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112395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7" w:lineRule="exact"/>
        <w:rPr>
          <w:rFonts w:ascii="MS PGothic" w:cs="MS PGothic" w:eastAsia="MS PGothic" w:hAnsi="MS PGothic"/>
          <w:sz w:val="18"/>
          <w:szCs w:val="18"/>
          <w:color w:val="auto"/>
        </w:rPr>
      </w:pPr>
    </w:p>
    <w:p>
      <w:pPr>
        <w:ind w:left="39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360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3640455</wp:posOffset>
            </wp:positionH>
            <wp:positionV relativeFrom="paragraph">
              <wp:posOffset>-3175</wp:posOffset>
            </wp:positionV>
            <wp:extent cx="539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Syndax Pharmaceuticals, Inc.</w:t>
      </w:r>
    </w:p>
    <w:p>
      <w:pPr>
        <w:spacing w:after="0" w:line="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6"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6140" w:type="dxa"/>
            <w:vAlign w:val="bottom"/>
          </w:tcPr>
          <w:p>
            <w:pPr>
              <w:jc w:val="center"/>
              <w:ind w:right="332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2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32-0162505</w:t>
            </w:r>
          </w:p>
        </w:tc>
      </w:tr>
      <w:tr>
        <w:trPr>
          <w:trHeight w:val="157"/>
        </w:trPr>
        <w:tc>
          <w:tcPr>
            <w:tcW w:w="6140" w:type="dxa"/>
            <w:vAlign w:val="bottom"/>
          </w:tcPr>
          <w:p>
            <w:pPr>
              <w:jc w:val="center"/>
              <w:ind w:right="3324"/>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20" w:type="dxa"/>
            <w:vAlign w:val="bottom"/>
          </w:tcPr>
          <w:p>
            <w:pPr>
              <w:jc w:val="center"/>
              <w:ind w:left="20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40" w:type="dxa"/>
            <w:vAlign w:val="bottom"/>
          </w:tcPr>
          <w:p>
            <w:pPr>
              <w:jc w:val="center"/>
              <w:ind w:right="33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6"/>
        </w:trPr>
        <w:tc>
          <w:tcPr>
            <w:tcW w:w="6140" w:type="dxa"/>
            <w:vAlign w:val="bottom"/>
          </w:tcPr>
          <w:p>
            <w:pPr>
              <w:jc w:val="center"/>
              <w:ind w:right="3304"/>
              <w:spacing w:after="0"/>
              <w:rPr>
                <w:sz w:val="20"/>
                <w:szCs w:val="20"/>
                <w:color w:val="auto"/>
              </w:rPr>
            </w:pPr>
            <w:r>
              <w:rPr>
                <w:rFonts w:ascii="Times New Roman" w:cs="Times New Roman" w:eastAsia="Times New Roman" w:hAnsi="Times New Roman"/>
                <w:sz w:val="16"/>
                <w:szCs w:val="16"/>
                <w:b w:val="1"/>
                <w:bCs w:val="1"/>
                <w:color w:val="auto"/>
              </w:rPr>
              <w:t>35 Gatehouse Drive, Building D, Floor 3</w:t>
            </w:r>
          </w:p>
        </w:tc>
        <w:tc>
          <w:tcPr>
            <w:tcW w:w="1420" w:type="dxa"/>
            <w:vAlign w:val="bottom"/>
          </w:tcPr>
          <w:p>
            <w:pPr>
              <w:spacing w:after="0"/>
              <w:rPr>
                <w:sz w:val="24"/>
                <w:szCs w:val="24"/>
                <w:color w:val="auto"/>
              </w:rPr>
            </w:pPr>
          </w:p>
        </w:tc>
      </w:tr>
      <w:tr>
        <w:trPr>
          <w:trHeight w:val="226"/>
        </w:trPr>
        <w:tc>
          <w:tcPr>
            <w:tcW w:w="6140" w:type="dxa"/>
            <w:vAlign w:val="bottom"/>
          </w:tcPr>
          <w:p>
            <w:pPr>
              <w:jc w:val="center"/>
              <w:ind w:right="3304"/>
              <w:spacing w:after="0"/>
              <w:rPr>
                <w:sz w:val="20"/>
                <w:szCs w:val="20"/>
                <w:color w:val="auto"/>
              </w:rPr>
            </w:pPr>
            <w:r>
              <w:rPr>
                <w:rFonts w:ascii="Times New Roman" w:cs="Times New Roman" w:eastAsia="Times New Roman" w:hAnsi="Times New Roman"/>
                <w:sz w:val="16"/>
                <w:szCs w:val="16"/>
                <w:b w:val="1"/>
                <w:bCs w:val="1"/>
                <w:color w:val="auto"/>
              </w:rPr>
              <w:t>Waltham, Massachusetts</w:t>
            </w:r>
          </w:p>
        </w:tc>
        <w:tc>
          <w:tcPr>
            <w:tcW w:w="142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02451</w:t>
            </w:r>
          </w:p>
        </w:tc>
      </w:tr>
      <w:tr>
        <w:trPr>
          <w:trHeight w:val="199"/>
        </w:trPr>
        <w:tc>
          <w:tcPr>
            <w:tcW w:w="6140" w:type="dxa"/>
            <w:vAlign w:val="bottom"/>
          </w:tcPr>
          <w:p>
            <w:pPr>
              <w:jc w:val="center"/>
              <w:ind w:right="33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2"/>
        </w:trPr>
        <w:tc>
          <w:tcPr>
            <w:tcW w:w="6140" w:type="dxa"/>
            <w:vAlign w:val="bottom"/>
          </w:tcPr>
          <w:p>
            <w:pPr>
              <w:jc w:val="right"/>
              <w:ind w:right="1404"/>
              <w:spacing w:after="0"/>
              <w:rPr>
                <w:sz w:val="20"/>
                <w:szCs w:val="20"/>
                <w:color w:val="auto"/>
              </w:rPr>
            </w:pPr>
            <w:r>
              <w:rPr>
                <w:rFonts w:ascii="Times New Roman" w:cs="Times New Roman" w:eastAsia="Times New Roman" w:hAnsi="Times New Roman"/>
                <w:sz w:val="16"/>
                <w:szCs w:val="16"/>
                <w:b w:val="1"/>
                <w:bCs w:val="1"/>
                <w:color w:val="auto"/>
              </w:rPr>
              <w:t>(781) 419-1400</w:t>
            </w:r>
          </w:p>
        </w:tc>
        <w:tc>
          <w:tcPr>
            <w:tcW w:w="1420" w:type="dxa"/>
            <w:vAlign w:val="bottom"/>
          </w:tcPr>
          <w:p>
            <w:pPr>
              <w:spacing w:after="0"/>
              <w:rPr>
                <w:sz w:val="24"/>
                <w:szCs w:val="24"/>
                <w:color w:val="auto"/>
              </w:rPr>
            </w:pPr>
          </w:p>
        </w:tc>
      </w:tr>
      <w:tr>
        <w:trPr>
          <w:trHeight w:val="190"/>
        </w:trPr>
        <w:tc>
          <w:tcPr>
            <w:tcW w:w="6140" w:type="dxa"/>
            <w:vAlign w:val="bottom"/>
          </w:tcPr>
          <w:p>
            <w:pPr>
              <w:jc w:val="center"/>
              <w:ind w:left="210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 w:lineRule="exact"/>
        <w:rPr>
          <w:sz w:val="24"/>
          <w:szCs w:val="24"/>
          <w:color w:val="auto"/>
        </w:rPr>
      </w:pPr>
    </w:p>
    <w:tbl>
      <w:tblPr>
        <w:tblLayout w:type="fixed"/>
        <w:tblInd w:w="590" w:type="dxa"/>
        <w:tblCellMar>
          <w:top w:w="0" w:type="dxa"/>
          <w:left w:w="0" w:type="dxa"/>
          <w:bottom w:w="0" w:type="dxa"/>
          <w:right w:w="0" w:type="dxa"/>
        </w:tblCellMar>
      </w:tblPr>
      <w:tr>
        <w:trPr>
          <w:trHeight w:val="243"/>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3"/>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SNDX</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4" w:lineRule="exact"/>
        <w:rPr>
          <w:sz w:val="24"/>
          <w:szCs w:val="24"/>
          <w:color w:val="auto"/>
        </w:rPr>
      </w:pPr>
    </w:p>
    <w:p>
      <w:pPr>
        <w:ind w:firstLine="382"/>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38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75" w:lineRule="exact"/>
        <w:rPr>
          <w:sz w:val="24"/>
          <w:szCs w:val="24"/>
          <w:color w:val="auto"/>
        </w:rPr>
      </w:pPr>
    </w:p>
    <w:p>
      <w:pPr>
        <w:ind w:right="300" w:firstLine="382"/>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Accelerated filer</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01" w:lineRule="exact"/>
        <w:rPr>
          <w:sz w:val="24"/>
          <w:szCs w:val="24"/>
          <w:color w:val="auto"/>
        </w:rPr>
      </w:pPr>
    </w:p>
    <w:p>
      <w:pPr>
        <w:ind w:right="200" w:firstLine="38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380" w:right="224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 2024, there were 84,987,060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891540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and information within the meaning of Section 27A of the Securities Act of 1933, as amended, and Section 21E of the Securities Exchange Act of 1934, as amended, which are subject to the "safe harbor" created by those sections. All statements other than statements of historical fact are “forward-looking statements” for purposes of this Quarterly Report on Form 10-Q. In some cases, you can identify forward-looking statements by terminology such as “anticipate,” “believe,” “could,” “estimate,” “expects,” “intend,” “may,” “plan,” “potential,” “predict,” “project,” “should,” “will,” “would” or the negative or plural of those terms, and similar expressions.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expenses, future revenues, anticipated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our research and development activities,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replicate results in future clinical trials;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 candidates and the timing or likelihood of regulatory filings and approvals for such candidates;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licenses with UCB Biopharma Sprl, and Vitae Pharmaceuticals, Inc., a subsidiary of Allergan plc, which was acquired by AbbVie Inc.;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 with Incyte Corporation, or Incyte, to further develop and commercialize axatilimab;</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milestone and royalty payments under certain of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establish and maintain for intellectual property rights covering our product candidates and our technology;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adoption of our product candidates by physicians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actions, including war or the perception that hostilities may be imminent (such as the ongoing war between Russia and Ukraine and the war in Israel), adverse global economic conditions, terrorism, public health crises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7"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104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780" w:type="dxa"/>
            <w:vAlign w:val="bottom"/>
          </w:tcPr>
          <w:p>
            <w:pPr>
              <w:spacing w:after="0"/>
              <w:rPr>
                <w:sz w:val="24"/>
                <w:szCs w:val="24"/>
                <w:color w:val="auto"/>
              </w:rPr>
            </w:pP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Unaudited Financial Statements:</w:t>
            </w:r>
          </w:p>
        </w:tc>
        <w:tc>
          <w:tcPr>
            <w:tcW w:w="7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months ended</w:t>
            </w:r>
          </w:p>
        </w:tc>
        <w:tc>
          <w:tcPr>
            <w:tcW w:w="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12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March 31,2024 and 2023</w:t>
            </w:r>
          </w:p>
        </w:tc>
        <w:tc>
          <w:tcPr>
            <w:tcW w:w="30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04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96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tcBorders>
              <w:left w:val="single" w:sz="8" w:color="0000FF"/>
            </w:tcBorders>
            <w:gridSpan w:val="4"/>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tcBorders>
              <w:left w:val="single" w:sz="8" w:color="0000FF"/>
            </w:tcBorders>
            <w:gridSpan w:val="4"/>
            <w:shd w:val="clear" w:color="auto" w:fill="0000FF"/>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80" w:type="dxa"/>
            <w:vAlign w:val="bottom"/>
            <w:tcBorders>
              <w:left w:val="single" w:sz="8" w:color="0000FF"/>
            </w:tcBorders>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80" w:type="dxa"/>
            <w:vAlign w:val="bottom"/>
          </w:tcPr>
          <w:p>
            <w:pPr>
              <w:spacing w:after="0"/>
              <w:rPr>
                <w:sz w:val="24"/>
                <w:szCs w:val="24"/>
                <w:color w:val="auto"/>
              </w:rPr>
            </w:pPr>
          </w:p>
        </w:tc>
      </w:tr>
      <w:tr>
        <w:trPr>
          <w:trHeight w:val="20"/>
        </w:trPr>
        <w:tc>
          <w:tcPr>
            <w:tcW w:w="10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8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08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319,963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275,304</w:t>
            </w:r>
          </w:p>
        </w:tc>
        <w:tc>
          <w:tcPr>
            <w:tcW w:w="100" w:type="dxa"/>
            <w:vAlign w:val="bottom"/>
          </w:tcPr>
          <w:p>
            <w:pPr>
              <w:spacing w:after="0"/>
              <w:rPr>
                <w:sz w:val="20"/>
                <w:szCs w:val="20"/>
                <w:color w:val="auto"/>
              </w:rPr>
            </w:pPr>
          </w:p>
        </w:tc>
      </w:tr>
      <w:tr>
        <w:trPr>
          <w:trHeight w:val="239"/>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deposits</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100" w:type="dxa"/>
            <w:vAlign w:val="bottom"/>
            <w:shd w:val="clear" w:color="auto" w:fill="CFF0FC"/>
          </w:tcPr>
          <w:p>
            <w:pPr>
              <w:spacing w:after="0"/>
              <w:rPr>
                <w:sz w:val="20"/>
                <w:szCs w:val="20"/>
                <w:color w:val="auto"/>
              </w:rPr>
            </w:pPr>
          </w:p>
        </w:tc>
      </w:tr>
      <w:tr>
        <w:trPr>
          <w:trHeight w:val="252"/>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receivable</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20"/>
                <w:szCs w:val="20"/>
                <w:color w:val="auto"/>
              </w:rPr>
            </w:pPr>
          </w:p>
        </w:tc>
      </w:tr>
      <w:tr>
        <w:trPr>
          <w:trHeight w:val="241"/>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453,899</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580,876</w:t>
            </w:r>
          </w:p>
        </w:tc>
        <w:tc>
          <w:tcPr>
            <w:tcW w:w="100" w:type="dxa"/>
            <w:vAlign w:val="bottom"/>
            <w:shd w:val="clear" w:color="auto" w:fill="CFF0FC"/>
          </w:tcPr>
          <w:p>
            <w:pPr>
              <w:spacing w:after="0"/>
              <w:rPr>
                <w:sz w:val="20"/>
                <w:szCs w:val="20"/>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net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r>
      <w:tr>
        <w:trPr>
          <w:trHeight w:val="27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543,028</w:t>
            </w:r>
          </w:p>
        </w:tc>
        <w:tc>
          <w:tcPr>
            <w:tcW w:w="30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612,880</w:t>
            </w:r>
          </w:p>
        </w:tc>
        <w:tc>
          <w:tcPr>
            <w:tcW w:w="100" w:type="dxa"/>
            <w:vAlign w:val="bottom"/>
            <w:shd w:val="clear" w:color="auto" w:fill="CFF0FC"/>
          </w:tcPr>
          <w:p>
            <w:pPr>
              <w:spacing w:after="0"/>
              <w:rPr>
                <w:sz w:val="24"/>
                <w:szCs w:val="24"/>
                <w:color w:val="auto"/>
              </w:rPr>
            </w:pPr>
          </w:p>
        </w:tc>
      </w:tr>
      <w:tr>
        <w:trPr>
          <w:trHeight w:val="226"/>
        </w:trPr>
        <w:tc>
          <w:tcPr>
            <w:tcW w:w="7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8,809</w:t>
            </w:r>
          </w:p>
        </w:tc>
        <w:tc>
          <w:tcPr>
            <w:tcW w:w="3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Collaboration payable, net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right-of-use liability</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capital lease</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36"/>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50,805</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liability, less current portion</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lease, less current portion</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36"/>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51,139</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58,684</w:t>
            </w:r>
          </w:p>
        </w:tc>
        <w:tc>
          <w:tcPr>
            <w:tcW w:w="100" w:type="dxa"/>
            <w:vAlign w:val="bottom"/>
          </w:tcPr>
          <w:p>
            <w:pPr>
              <w:spacing w:after="0"/>
              <w:rPr>
                <w:sz w:val="20"/>
                <w:szCs w:val="20"/>
                <w:color w:val="auto"/>
              </w:rPr>
            </w:pPr>
          </w:p>
        </w:tc>
      </w:tr>
      <w:tr>
        <w:trPr>
          <w:trHeight w:val="241"/>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0 shares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1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 at March 31, 2024 and December 31, 2023</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200,000,000 shares authorized; 84,979,686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84,826,632 shares issued and outstanding at March 31, 2024 and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50"/>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1,467,437</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1,456,370</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(756 )</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r>
      <w:tr>
        <w:trPr>
          <w:trHeight w:val="243"/>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(974,800 )</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(902,400 )</w:t>
            </w:r>
          </w:p>
        </w:tc>
      </w:tr>
      <w:tr>
        <w:trPr>
          <w:trHeight w:val="236"/>
        </w:trPr>
        <w:tc>
          <w:tcPr>
            <w:tcW w:w="71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491,889</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554,196</w:t>
            </w:r>
          </w:p>
        </w:tc>
        <w:tc>
          <w:tcPr>
            <w:tcW w:w="100" w:type="dxa"/>
            <w:vAlign w:val="bottom"/>
            <w:tcBorders>
              <w:top w:val="single" w:sz="8" w:color="CFF0FC"/>
            </w:tcBorders>
          </w:tcPr>
          <w:p>
            <w:pPr>
              <w:spacing w:after="0"/>
              <w:rPr>
                <w:sz w:val="20"/>
                <w:szCs w:val="20"/>
                <w:color w:val="auto"/>
              </w:rPr>
            </w:pPr>
          </w:p>
        </w:tc>
      </w:tr>
      <w:tr>
        <w:trPr>
          <w:trHeight w:val="276"/>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543,028</w:t>
            </w:r>
          </w:p>
        </w:tc>
        <w:tc>
          <w:tcPr>
            <w:tcW w:w="3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612,880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82"/>
        </w:trPr>
        <w:tc>
          <w:tcPr>
            <w:tcW w:w="9380" w:type="dxa"/>
            <w:vAlign w:val="bottom"/>
            <w:gridSpan w:val="5"/>
          </w:tcPr>
          <w:p>
            <w:pPr>
              <w:ind w:left="2060"/>
              <w:spacing w:after="0" w:line="182" w:lineRule="exact"/>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71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63"/>
        </w:trPr>
        <w:tc>
          <w:tcPr>
            <w:tcW w:w="7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-4688205</wp:posOffset>
            </wp:positionV>
            <wp:extent cx="77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-4671060</wp:posOffset>
            </wp:positionV>
            <wp:extent cx="77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-4688205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-4671060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-3419475</wp:posOffset>
            </wp:positionV>
            <wp:extent cx="77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-2785110</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-1122045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-796290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-779780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56,492</w:t>
            </w:r>
          </w:p>
        </w:tc>
        <w:tc>
          <w:tcPr>
            <w:tcW w:w="320" w:type="dxa"/>
            <w:vAlign w:val="bottom"/>
          </w:tcPr>
          <w:p>
            <w:pPr>
              <w:spacing w:after="0"/>
              <w:rPr>
                <w:sz w:val="20"/>
                <w:szCs w:val="20"/>
                <w:color w:val="auto"/>
              </w:rPr>
            </w:pP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3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79,514</w:t>
            </w:r>
          </w:p>
        </w:tc>
        <w:tc>
          <w:tcPr>
            <w:tcW w:w="3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(79,514 )</w:t>
            </w:r>
          </w:p>
        </w:tc>
        <w:tc>
          <w:tcPr>
            <w:tcW w:w="8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(46,015 )</w:t>
            </w: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(55 )</w:t>
            </w:r>
          </w:p>
        </w:tc>
        <w:tc>
          <w:tcPr>
            <w:tcW w:w="8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(87 )</w:t>
            </w:r>
          </w:p>
        </w:tc>
        <w:tc>
          <w:tcPr>
            <w:tcW w:w="86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37"/>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320" w:type="dxa"/>
            <w:vAlign w:val="bottom"/>
            <w:tcBorders>
              <w:top w:val="single" w:sz="8" w:color="CFF0FC"/>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FF0FC"/>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(72,400 )</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(41,126 )</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12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(974 )</w:t>
            </w:r>
          </w:p>
        </w:tc>
        <w:tc>
          <w:tcPr>
            <w:tcW w:w="8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(73,374 )</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(40,656 )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40" w:type="dxa"/>
            <w:vAlign w:val="bottom"/>
            <w:shd w:val="clear" w:color="auto" w:fill="CFF0FC"/>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(72,400 )</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(41,126 )</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stockholders—basic</w:t>
            </w:r>
          </w:p>
        </w:tc>
        <w:tc>
          <w:tcPr>
            <w:tcW w:w="1240" w:type="dxa"/>
            <w:vAlign w:val="bottom"/>
            <w:vMerge w:val="restart"/>
          </w:tcPr>
          <w:p>
            <w:pPr>
              <w:jc w:val="right"/>
              <w:ind w:right="105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(0.85 )</w:t>
            </w:r>
          </w:p>
        </w:tc>
        <w:tc>
          <w:tcPr>
            <w:tcW w:w="86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(0.59 )</w:t>
            </w:r>
          </w:p>
        </w:tc>
        <w:tc>
          <w:tcPr>
            <w:tcW w:w="0" w:type="dxa"/>
            <w:vAlign w:val="bottom"/>
          </w:tcPr>
          <w:p>
            <w:pPr>
              <w:spacing w:after="0"/>
              <w:rPr>
                <w:sz w:val="1"/>
                <w:szCs w:val="1"/>
                <w:color w:val="auto"/>
              </w:rPr>
            </w:pPr>
          </w:p>
        </w:tc>
      </w:tr>
      <w:tr>
        <w:trPr>
          <w:trHeight w:val="207"/>
        </w:trPr>
        <w:tc>
          <w:tcPr>
            <w:tcW w:w="6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12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0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number of common shares used to compute</w:t>
            </w:r>
          </w:p>
        </w:tc>
        <w:tc>
          <w:tcPr>
            <w:tcW w:w="1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24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85,213,200</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69,438,890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6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1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vMerge w:val="continue"/>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-2691130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-1748155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-1422400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-1405255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-1088390</wp:posOffset>
            </wp:positionV>
            <wp:extent cx="768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-745490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-727710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9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(72,400 )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(41,126 )</w:t>
            </w:r>
          </w:p>
        </w:tc>
      </w:tr>
      <w:tr>
        <w:trPr>
          <w:trHeight w:val="247"/>
        </w:trPr>
        <w:tc>
          <w:tcPr>
            <w:tcW w:w="7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Accretion of investments</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(3,821 )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(3,967 )</w:t>
            </w:r>
          </w:p>
        </w:tc>
      </w:tr>
      <w:tr>
        <w:trPr>
          <w:trHeight w:val="23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00" w:type="dxa"/>
            <w:vAlign w:val="bottom"/>
            <w:shd w:val="clear" w:color="auto" w:fill="CFF0FC"/>
          </w:tcPr>
          <w:p>
            <w:pPr>
              <w:spacing w:after="0"/>
              <w:rPr>
                <w:sz w:val="21"/>
                <w:szCs w:val="21"/>
                <w:color w:val="auto"/>
              </w:rPr>
            </w:pPr>
          </w:p>
        </w:tc>
      </w:tr>
      <w:tr>
        <w:trPr>
          <w:trHeight w:val="239"/>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(2,854 )</w:t>
            </w: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FF0FC"/>
          </w:tcPr>
          <w:p>
            <w:pPr>
              <w:spacing w:after="0"/>
              <w:rPr>
                <w:sz w:val="21"/>
                <w:szCs w:val="21"/>
                <w:color w:val="auto"/>
              </w:rPr>
            </w:pPr>
          </w:p>
        </w:tc>
      </w:tr>
      <w:tr>
        <w:trPr>
          <w:trHeight w:val="239"/>
        </w:trPr>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Collaboration receivable (payable), net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Pr>
          <w:p>
            <w:pPr>
              <w:spacing w:after="0"/>
              <w:rPr>
                <w:sz w:val="20"/>
                <w:szCs w:val="20"/>
                <w:color w:val="auto"/>
              </w:rPr>
            </w:pPr>
          </w:p>
        </w:tc>
      </w:tr>
      <w:tr>
        <w:trPr>
          <w:trHeight w:val="247"/>
        </w:trPr>
        <w:tc>
          <w:tcPr>
            <w:tcW w:w="7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receivable</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(6,073 )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(1,152 )</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tcPr>
          <w:p>
            <w:pPr>
              <w:spacing w:after="0"/>
              <w:rPr>
                <w:sz w:val="20"/>
                <w:szCs w:val="20"/>
                <w:color w:val="auto"/>
              </w:rPr>
            </w:pPr>
          </w:p>
        </w:tc>
      </w:tr>
      <w:tr>
        <w:trPr>
          <w:trHeight w:val="243"/>
        </w:trPr>
        <w:tc>
          <w:tcPr>
            <w:tcW w:w="79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(6,709 )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(9,174 )</w:t>
            </w:r>
          </w:p>
        </w:tc>
      </w:tr>
      <w:tr>
        <w:trPr>
          <w:trHeight w:val="20"/>
        </w:trPr>
        <w:tc>
          <w:tcPr>
            <w:tcW w:w="79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9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(83,548 )</w:t>
            </w: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(39,228 )</w:t>
            </w:r>
          </w:p>
        </w:tc>
      </w:tr>
      <w:tr>
        <w:trPr>
          <w:trHeight w:val="24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 and long-term investments</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(167,385 )</w:t>
            </w: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(61,585 )</w:t>
            </w:r>
          </w:p>
        </w:tc>
      </w:tr>
      <w:tr>
        <w:trPr>
          <w:trHeight w:val="243"/>
        </w:trPr>
        <w:tc>
          <w:tcPr>
            <w:tcW w:w="7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(99,399 )</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100" w:type="dxa"/>
            <w:vAlign w:val="bottom"/>
          </w:tcPr>
          <w:p>
            <w:pPr>
              <w:spacing w:after="0"/>
              <w:rPr>
                <w:sz w:val="20"/>
                <w:szCs w:val="20"/>
                <w:color w:val="auto"/>
              </w:rPr>
            </w:pPr>
          </w:p>
        </w:tc>
      </w:tr>
      <w:tr>
        <w:trPr>
          <w:trHeight w:val="24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r>
      <w:tr>
        <w:trPr>
          <w:trHeight w:val="243"/>
        </w:trPr>
        <w:tc>
          <w:tcPr>
            <w:tcW w:w="7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20"/>
                <w:szCs w:val="20"/>
                <w:color w:val="auto"/>
              </w:rPr>
            </w:pPr>
          </w:p>
        </w:tc>
      </w:tr>
      <w:tr>
        <w:trPr>
          <w:trHeight w:val="241"/>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(180,779 )</w:t>
            </w:r>
          </w:p>
        </w:tc>
        <w:tc>
          <w:tcPr>
            <w:tcW w:w="3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(16,839 )</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295,611</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74,471</w:t>
            </w:r>
          </w:p>
        </w:tc>
        <w:tc>
          <w:tcPr>
            <w:tcW w:w="100" w:type="dxa"/>
            <w:vAlign w:val="bottom"/>
          </w:tcPr>
          <w:p>
            <w:pPr>
              <w:spacing w:after="0"/>
              <w:rPr>
                <w:sz w:val="21"/>
                <w:szCs w:val="21"/>
                <w:color w:val="auto"/>
              </w:rPr>
            </w:pPr>
          </w:p>
        </w:tc>
      </w:tr>
      <w:tr>
        <w:trPr>
          <w:trHeight w:val="272"/>
        </w:trPr>
        <w:tc>
          <w:tcPr>
            <w:tcW w:w="7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114,832</w:t>
            </w:r>
          </w:p>
        </w:tc>
        <w:tc>
          <w:tcPr>
            <w:tcW w:w="28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57,632</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-1936750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-1302385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-668020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SYNDAX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Syndax Pharmaceuticals, Inc., is a clinical stage biopharmaceutical company developing an innovative pipeline of cancer therapies. We were incorporated in Delaware in 2005. We base our operations in Waltham, Massachusetts and we operate in one segment. References in these notes to condensed consolidated financial statements to “Syndax,” “the Company,” “we,” “us” or “our” refer to Syndax Pharmaceuticals, Inc. and its wholly owned subsidiaries.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 has prepared the accompanying condensed consolidated financial statements in conformity with accounting principles generally accepted in the United States of America, or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March 31, 2024, and the results of operations and comprehensive loss for the three months ended March 31, 2024 and 2023, and cash flows for the three months ended March 31, 2024 and 2023. The results for the three months ended March 31, 2024 are not necessarily indicative of the results to be expected for the year ending December 31, 2024, any other interim periods, or any future year or period. These interim financial statements should be read in conjunction with the audited financial statements as of and for the year ended December 31, 2023, and the notes thereto, which are included in the Company’s Annual Report on Form 10-K as filed with the Securities and Exchange Commission, or the SEC, on February 27, 2024.</w:t>
      </w:r>
    </w:p>
    <w:p>
      <w:pPr>
        <w:spacing w:after="0" w:line="194"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2011, the Company established a wholly owned subsidiary in the United Kingdom. In 2014, the Company established a wholly owned U.S. subsidiary, and in 2021, the Company established a wholly owned subsidiary in the Netherlands. To date, there have been no material activities for these entities. All intercompany balances and transactions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which are disclosed in the audited consolidated financial statements for the year ended December 31, 2023, and the notes thereto are included in the Company’s Annual Report on Form 10-K that was filed with the SEC on February 27, 2024. Since the date of filing, there have been no material changes to the Company’s significant accounting policies except as noted below.</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condensed consolidated financial statements.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are subject to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or other accounting standard setting bodies that we adopt as of the specified effective date. Unless otherwise discussed below, we do not believe that the adoption of recently issued standards have or may have a material impact on our consolidated statements or disclosures.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7"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The guidance in this update is effective for fiscal years beginning after December 15, 2023, and interim periods after December 15, 2024. The Company is currently in the process of evaluating the effects of this pronouncement on our related disclosures.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Significant Collaborative Research and License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Incyte Collaboration</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September 2021, the Company entered into the Incyte License and Collaboration Agreement, or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will co-commercialize axatilimab, with the Company having the right to co-promote axatilimab with Incyte, subject to the Company’s exercise of its co-promotion option. Incyte will be responsible for leading all aspects of the commercialization of axatilimab in the United States. The Company and Incyte will share equally the profits and losses from co-commercialization efforts in the United States. The Company and Incyte have agreed to co-develop axatilimab and to share development costs associated with global and U.S. – 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ex-U.S. countries. All development costs related to the collaboration will be subject to a joint development plan.</w:t>
      </w:r>
    </w:p>
    <w:p>
      <w:pPr>
        <w:spacing w:after="0" w:line="84"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is eligible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w:t>
      </w:r>
    </w:p>
    <w:p>
      <w:pPr>
        <w:spacing w:after="0" w:line="8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has recorded $4.0 million as a collaboration receivable due from Incyte related to the Company’s development and pre-commercialization costs under the Incyte Agreements and has recorded approximately $11.5 million as a collaboration payable due to Incyte for development and pre-commercialization costs incurred by Incyte as of March 31, 2024. Both expense and cost offset are recorded as part of research and development expense and general and administrative expense.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Vitae Pharmaceuticals, Inc.</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October 2017, the Company entered into a license agreement, or the Allergan License Agreement, with Vitae Pharmaceuticals, Inc., a subsidiary of Allergan plc, or Allergan, under which Allergan granted the Company an exclusive, sublicensable, worldwide license to a portfolio of preclinical, orally available, small molecule inhibitors of the Menin–KMT2A binding interaction, or the Menin Assets.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The Company is solely responsible for the development and commercialization of the Menin Assets. Each party may terminate the Allergan License Agreement for the other party’s uncured material breach or insolvency, and the Company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p>
      <w:pPr>
        <w:ind w:right="180"/>
        <w:spacing w:after="0" w:line="258" w:lineRule="auto"/>
        <w:rPr>
          <w:sz w:val="20"/>
          <w:szCs w:val="20"/>
          <w:color w:val="auto"/>
        </w:rPr>
      </w:pPr>
      <w:r>
        <w:rPr>
          <w:rFonts w:ascii="Times New Roman" w:cs="Times New Roman" w:eastAsia="Times New Roman" w:hAnsi="Times New Roman"/>
          <w:sz w:val="18"/>
          <w:szCs w:val="18"/>
          <w:color w:val="auto"/>
        </w:rPr>
        <w:t>may terminate the Allergan License Agreement at any time upon advance written notice to Allergan. Allergan may terminate the Allergan License Agreement if the Company or any of its 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Since the effective date of the Allergan License Agreement, the Company achieved certain development and regulatory milestones, resulting in $16.0 million in expense, which includes $8.0 million in milestone expense payable to AbbVie, Inc., which acquired Allergan, in the three months ended March 31, 2024.</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UCB Biopharma Sprl</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2016, the Company entered into a license agreement, or the UCB License Agreement, as amended from time to time, with UCB Biopharma Sprl, or UCB, under which UCB granted to the Company a worldwide, sublicensable, exclusive license to UCB6352, which the Company refers to as axatilimab, an anti-CSF-1R monoclonal antibody.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was responsible for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8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Additionally, in connection with its most recent amendment of the UCB License Agreement, in the second quarter of 2022 the Company paid UCB $5.8 million, which was recognized as a milestone expense. Since the effective date of the license agreement, the Company achieved certain development and regulatory milestones and has recorded $16.0 million as research and development expense, which includes $10.0 million paid in the three months ended March 31, 2024.</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color w:val="auto"/>
        </w:rPr>
        <w:t>Bayer Pharma AG (formerly known as Bayer Schering Pharma AG)</w:t>
      </w:r>
    </w:p>
    <w:p>
      <w:pPr>
        <w:spacing w:after="0" w:line="121"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In March 2007, the Company entered into a license agreement with Bayer Schering Pharma AG, or Bayer, for a worldwide, exclusive license to develop and commercialize entinostat and any other products containing the same active ingredient.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Loss per Share Attributable to Common Stockholders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8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820" w:type="dxa"/>
            <w:vAlign w:val="bottom"/>
          </w:tcPr>
          <w:p>
            <w:pPr>
              <w:spacing w:after="0"/>
              <w:rPr>
                <w:sz w:val="11"/>
                <w:szCs w:val="11"/>
                <w:color w:val="auto"/>
              </w:rPr>
            </w:pPr>
          </w:p>
        </w:tc>
        <w:tc>
          <w:tcPr>
            <w:tcW w:w="200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83"/>
              </w:rPr>
              <w:t>except</w:t>
            </w:r>
          </w:p>
        </w:tc>
        <w:tc>
          <w:tcPr>
            <w:tcW w:w="1160" w:type="dxa"/>
            <w:vAlign w:val="bottom"/>
          </w:tcPr>
          <w:p>
            <w:pPr>
              <w:jc w:val="right"/>
              <w:ind w:right="157"/>
              <w:spacing w:after="0" w:line="131" w:lineRule="exact"/>
              <w:rPr>
                <w:sz w:val="20"/>
                <w:szCs w:val="20"/>
                <w:color w:val="auto"/>
              </w:rPr>
            </w:pPr>
            <w:r>
              <w:rPr>
                <w:rFonts w:ascii="Times New Roman" w:cs="Times New Roman" w:eastAsia="Times New Roman" w:hAnsi="Times New Roman"/>
                <w:sz w:val="14"/>
                <w:szCs w:val="14"/>
                <w:b w:val="1"/>
                <w:bCs w:val="1"/>
                <w:color w:val="auto"/>
              </w:rPr>
              <w:t>share and per</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320" w:type="dxa"/>
            <w:vAlign w:val="bottom"/>
            <w:gridSpan w:val="3"/>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Numerator—basic and diluted:</w:t>
            </w: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(72,400 )</w:t>
            </w:r>
          </w:p>
        </w:tc>
        <w:tc>
          <w:tcPr>
            <w:tcW w:w="116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(41,126 )</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w:t>
            </w:r>
          </w:p>
        </w:tc>
        <w:tc>
          <w:tcPr>
            <w:tcW w:w="1160" w:type="dxa"/>
            <w:vAlign w:val="bottom"/>
            <w:vMerge w:val="restart"/>
            <w:shd w:val="clear" w:color="auto" w:fill="CFF0FC"/>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(72,400 )</w:t>
            </w:r>
          </w:p>
        </w:tc>
        <w:tc>
          <w:tcPr>
            <w:tcW w:w="1160" w:type="dxa"/>
            <w:vAlign w:val="bottom"/>
            <w:vMerge w:val="restart"/>
            <w:shd w:val="clear" w:color="auto" w:fill="CFF0FC"/>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(41,126 )</w:t>
            </w:r>
          </w:p>
        </w:tc>
        <w:tc>
          <w:tcPr>
            <w:tcW w:w="0" w:type="dxa"/>
            <w:vAlign w:val="bottom"/>
          </w:tcPr>
          <w:p>
            <w:pPr>
              <w:spacing w:after="0"/>
              <w:rPr>
                <w:sz w:val="1"/>
                <w:szCs w:val="1"/>
                <w:color w:val="auto"/>
              </w:rPr>
            </w:pPr>
          </w:p>
        </w:tc>
      </w:tr>
      <w:tr>
        <w:trPr>
          <w:trHeight w:val="227"/>
        </w:trPr>
        <w:tc>
          <w:tcPr>
            <w:tcW w:w="6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1160" w:type="dxa"/>
            <w:vAlign w:val="bottom"/>
            <w:vMerge w:val="continue"/>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2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w:t>
            </w:r>
          </w:p>
        </w:tc>
        <w:tc>
          <w:tcPr>
            <w:tcW w:w="1160" w:type="dxa"/>
            <w:vAlign w:val="bottom"/>
            <w:vMerge w:val="restart"/>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8"/>
                <w:szCs w:val="18"/>
                <w:color w:val="auto"/>
              </w:rPr>
              <w:t>(0.85 )</w:t>
            </w:r>
          </w:p>
        </w:tc>
        <w:tc>
          <w:tcPr>
            <w:tcW w:w="1160" w:type="dxa"/>
            <w:vAlign w:val="bottom"/>
            <w:vMerge w:val="restart"/>
          </w:tcPr>
          <w:p>
            <w:pPr>
              <w:jc w:val="right"/>
              <w:ind w:right="957"/>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(0.59 )</w:t>
            </w:r>
          </w:p>
        </w:tc>
        <w:tc>
          <w:tcPr>
            <w:tcW w:w="0" w:type="dxa"/>
            <w:vAlign w:val="bottom"/>
          </w:tcPr>
          <w:p>
            <w:pPr>
              <w:spacing w:after="0"/>
              <w:rPr>
                <w:sz w:val="1"/>
                <w:szCs w:val="1"/>
                <w:color w:val="auto"/>
              </w:rPr>
            </w:pPr>
          </w:p>
        </w:tc>
      </w:tr>
      <w:tr>
        <w:trPr>
          <w:trHeight w:val="207"/>
        </w:trPr>
        <w:tc>
          <w:tcPr>
            <w:tcW w:w="6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stockholders—basic and diluted</w:t>
            </w:r>
          </w:p>
        </w:tc>
        <w:tc>
          <w:tcPr>
            <w:tcW w:w="116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Denominator—basic and diluted:</w:t>
            </w: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used to compute net loss per share attributable</w:t>
            </w:r>
          </w:p>
        </w:tc>
        <w:tc>
          <w:tcPr>
            <w:tcW w:w="1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85,213,200</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69,438,890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common stockholders—basic and diluted</w:t>
            </w: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-899795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-882650</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0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20" w:type="dxa"/>
            <w:vAlign w:val="bottom"/>
            <w:tcBorders>
              <w:top w:val="single" w:sz="8" w:color="auto"/>
              <w:bottom w:val="single" w:sz="8" w:color="auto"/>
            </w:tcBorders>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11,872,530</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9,536,312</w:t>
            </w:r>
          </w:p>
        </w:tc>
        <w:tc>
          <w:tcPr>
            <w:tcW w:w="100" w:type="dxa"/>
            <w:vAlign w:val="bottom"/>
            <w:shd w:val="clear" w:color="auto" w:fill="CFF0FC"/>
          </w:tcPr>
          <w:p>
            <w:pPr>
              <w:spacing w:after="0"/>
              <w:rPr>
                <w:sz w:val="20"/>
                <w:szCs w:val="20"/>
                <w:color w:val="auto"/>
              </w:rPr>
            </w:pPr>
          </w:p>
        </w:tc>
      </w:tr>
      <w:tr>
        <w:trPr>
          <w:trHeight w:val="23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31,645</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100" w:type="dxa"/>
            <w:vAlign w:val="bottom"/>
          </w:tcPr>
          <w:p>
            <w:pPr>
              <w:spacing w:after="0"/>
              <w:rPr>
                <w:sz w:val="20"/>
                <w:szCs w:val="20"/>
                <w:color w:val="auto"/>
              </w:rPr>
            </w:pPr>
          </w:p>
        </w:tc>
      </w:tr>
      <w:tr>
        <w:trPr>
          <w:trHeight w:val="247"/>
        </w:trPr>
        <w:tc>
          <w:tcPr>
            <w:tcW w:w="7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(RSUs)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1,520,999</w:t>
            </w:r>
          </w:p>
        </w:tc>
        <w:tc>
          <w:tcPr>
            <w:tcW w:w="2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392,288</w:t>
            </w:r>
          </w:p>
        </w:tc>
        <w:tc>
          <w:tcPr>
            <w:tcW w:w="10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additional information related to the Company’s common stock see Note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Receivables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Contemporaneous with the Company’s New Drug Application, or NDA, submission to the U.S. Food and Drug Administration for revumenib, it was required to pay a $6.1 million refundable fee under the Prescription Drug User Fee Act, or PDUFA. The $6.1 million payment was made in January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91" w:lineRule="exact"/>
        <w:rPr>
          <w:sz w:val="20"/>
          <w:szCs w:val="20"/>
          <w:color w:val="auto"/>
        </w:rPr>
      </w:pPr>
    </w:p>
    <w:p>
      <w:pPr>
        <w:jc w:val="cente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market date for identical unrestricted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 w:name="page11"/>
    <w:bookmarkEnd w:id="10"/>
    <w:p>
      <w:pPr>
        <w:jc w:val="both"/>
        <w:ind w:left="1020" w:right="380" w:hanging="48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8"/>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4"/>
                <w:szCs w:val="14"/>
                <w:b w:val="1"/>
                <w:bCs w:val="1"/>
                <w:color w:val="auto"/>
              </w:rPr>
              <w:t>Quoted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(unadjusted)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5"/>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87"/>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3"/>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4560" w:type="dxa"/>
            <w:vAlign w:val="bottom"/>
            <w:tcBorders>
              <w:bottom w:val="single" w:sz="8" w:color="CFF0FC"/>
            </w:tcBorders>
            <w:gridSpan w:val="2"/>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114,615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94,707</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319,963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319,963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7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87,416</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87,416</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7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521,994</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94,707</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427,287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9"/>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275,304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7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7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600,527</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295,394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305,133</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-1148080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-1148080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impairments of our assets measured and carried at fair value during the period ended March 31, 2024 and 2023. In addition, there have been no changes in valuation techniques during the periods ended March 31, 2024 and 2023. The fair value of Level 1 instruments classified as cash equivalents are valued using quoted market prices in active markets. The fair value of Level 2 instruments classified as cash equivalents and short and long-term investments are determined based on quoted prices in active markets, which are either directly or indirectly observable as of the reporting date with fair value being determined using models or other valuation methodologies.</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Company’s short and long-term investments are classified as available-for-sale securities. As of March 31, 2024, the remaining contractual maturities of the available-for-sale securities were 1 to 19 months, and the balance in the Company’s accumulated other comprehensive loss was comprised solely of activity related to the Company’s available-for-sale securities. There were no realized gains or losses recognized on the sale or maturity of available-for-sale securities, during the three months ended March 31, 2024 and 2023. As a result, the Company did not reclassify any amounts out of accumulated other comprehensive loss for the same periods. The Company has a limited number of available-for-sale securities that are not in significant loss positions as of March 31, 2024, which the Company does not intend to sell, and it has concluded it will not be required to sell before recovery of the amortized cost for the investment at maturity.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available-for-sale securities: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4"/>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456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180,927</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180,826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47,604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47,532</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175,464</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bonds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23,465</w:t>
            </w:r>
          </w:p>
        </w:tc>
        <w:tc>
          <w:tcPr>
            <w:tcW w:w="100" w:type="dxa"/>
            <w:vAlign w:val="bottom"/>
            <w:shd w:val="clear" w:color="auto" w:fill="CFF0FC"/>
          </w:tcPr>
          <w:p>
            <w:pPr>
              <w:spacing w:after="0"/>
              <w:rPr>
                <w:sz w:val="21"/>
                <w:szCs w:val="2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428,043</w:t>
            </w:r>
          </w:p>
        </w:tc>
        <w:tc>
          <w:tcPr>
            <w:tcW w:w="28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427,287</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spacing w:after="0" w:line="174" w:lineRule="exact"/>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4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160,657</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160,806</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47,150</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47,212</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68,157</w:t>
            </w:r>
          </w:p>
        </w:tc>
        <w:tc>
          <w:tcPr>
            <w:tcW w:w="100" w:type="dxa"/>
            <w:vAlign w:val="bottom"/>
          </w:tcPr>
          <w:p>
            <w:pPr>
              <w:spacing w:after="0"/>
              <w:rPr>
                <w:sz w:val="20"/>
                <w:szCs w:val="20"/>
                <w:color w:val="auto"/>
              </w:rPr>
            </w:pPr>
          </w:p>
        </w:tc>
      </w:tr>
      <w:tr>
        <w:trPr>
          <w:trHeight w:val="243"/>
        </w:trPr>
        <w:tc>
          <w:tcPr>
            <w:tcW w:w="20" w:type="dxa"/>
            <w:vAlign w:val="bottom"/>
            <w:shd w:val="clear" w:color="auto" w:fill="CFF0FC"/>
          </w:tcPr>
          <w:p>
            <w:pPr>
              <w:spacing w:after="0"/>
              <w:rPr>
                <w:sz w:val="21"/>
                <w:szCs w:val="21"/>
                <w:color w:val="auto"/>
              </w:rPr>
            </w:pPr>
          </w:p>
        </w:tc>
        <w:tc>
          <w:tcPr>
            <w:tcW w:w="57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bonds</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28,958</w:t>
            </w:r>
          </w:p>
        </w:tc>
        <w:tc>
          <w:tcPr>
            <w:tcW w:w="100" w:type="dxa"/>
            <w:vAlign w:val="bottom"/>
            <w:shd w:val="clear" w:color="auto" w:fill="CFF0FC"/>
          </w:tcPr>
          <w:p>
            <w:pPr>
              <w:spacing w:after="0"/>
              <w:rPr>
                <w:sz w:val="21"/>
                <w:szCs w:val="2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304,916</w:t>
            </w:r>
          </w:p>
        </w:tc>
        <w:tc>
          <w:tcPr>
            <w:tcW w:w="280" w:type="dxa"/>
            <w:vAlign w:val="bottom"/>
            <w:gridSpan w:val="2"/>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305,133</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-1148080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-1148080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-1148080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receivable on investments</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subscription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state and local taxes</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0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36"/>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4"/>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clinical study and trial costs</w:t>
            </w:r>
          </w:p>
        </w:tc>
        <w:tc>
          <w:tcPr>
            <w:tcW w:w="2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18,110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costs</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4,567</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milestone costs</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33,395</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-1876425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right="260" w:firstLine="509"/>
        <w:spacing w:after="0" w:line="257" w:lineRule="auto"/>
        <w:rPr>
          <w:sz w:val="20"/>
          <w:szCs w:val="20"/>
          <w:color w:val="auto"/>
        </w:rPr>
      </w:pPr>
      <w:r>
        <w:rPr>
          <w:rFonts w:ascii="Times New Roman" w:cs="Times New Roman" w:eastAsia="Times New Roman" w:hAnsi="Times New Roman"/>
          <w:sz w:val="18"/>
          <w:szCs w:val="18"/>
          <w:color w:val="auto"/>
        </w:rPr>
        <w:t>In January 2024, the number of shares of common stock available for issuance under the Company’s 2015 Omnibus Incentive Plan, or the 2015 Plan, was increased by 3,393,065 shares of common stock due to the automatic annual provision to increase shares of common stock available under the 2015 Plan. Additionally in December 2023, the Company’s board of directors approved 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increase of 1,100,000 shares of common stock available for issuance under the Company’s 2023 Inducement Plan, or Inducement Plan.</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there were 3,417,671 shares of common stock of available for issuance under the 2015 Plan and 1,071,950 shares of common stock available for issuance under the Inducement Plan.</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issuance of stock option awards and restricted stock units to employees and non-employees and related to the Company’s 2015 Employee Stock Purchase Plan, or ESPP, in the condensed consolidated statements of comprehensive loss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220" w:type="dxa"/>
            <w:vAlign w:val="bottom"/>
            <w:gridSpan w:val="2"/>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shd w:val="clear" w:color="auto" w:fill="CFF0FC"/>
          </w:tcPr>
          <w:p>
            <w:pPr>
              <w:spacing w:after="0"/>
              <w:rPr>
                <w:sz w:val="21"/>
                <w:szCs w:val="21"/>
                <w:color w:val="auto"/>
              </w:rPr>
            </w:pPr>
          </w:p>
        </w:tc>
      </w:tr>
      <w:tr>
        <w:trPr>
          <w:trHeight w:val="23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3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20"/>
                <w:szCs w:val="20"/>
                <w:color w:val="auto"/>
              </w:rPr>
            </w:pPr>
          </w:p>
        </w:tc>
      </w:tr>
      <w:tr>
        <w:trPr>
          <w:trHeight w:val="276"/>
        </w:trPr>
        <w:tc>
          <w:tcPr>
            <w:tcW w:w="6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3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expense by type of award in the three months ended March 31, 2024 and 2023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8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shd w:val="clear" w:color="auto" w:fill="CFF0FC"/>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32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shd w:val="clear" w:color="auto" w:fill="CFF0FC"/>
          </w:tcPr>
          <w:p>
            <w:pPr>
              <w:spacing w:after="0"/>
              <w:rPr>
                <w:sz w:val="21"/>
                <w:szCs w:val="21"/>
                <w:color w:val="auto"/>
              </w:rPr>
            </w:pPr>
          </w:p>
        </w:tc>
      </w:tr>
      <w:tr>
        <w:trPr>
          <w:trHeight w:val="23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0"/>
                <w:szCs w:val="20"/>
                <w:color w:val="auto"/>
              </w:rPr>
            </w:pPr>
          </w:p>
        </w:tc>
      </w:tr>
      <w:tr>
        <w:trPr>
          <w:trHeight w:val="243"/>
        </w:trPr>
        <w:tc>
          <w:tcPr>
            <w:tcW w:w="5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5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3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00" w:type="dxa"/>
            <w:vAlign w:val="bottom"/>
          </w:tcPr>
          <w:p>
            <w:pPr>
              <w:spacing w:after="0"/>
              <w:rPr>
                <w:sz w:val="20"/>
                <w:szCs w:val="20"/>
                <w:color w:val="auto"/>
              </w:rPr>
            </w:pPr>
          </w:p>
        </w:tc>
      </w:tr>
      <w:tr>
        <w:trPr>
          <w:trHeight w:val="20"/>
        </w:trPr>
        <w:tc>
          <w:tcPr>
            <w:tcW w:w="58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-903605</wp:posOffset>
            </wp:positionV>
            <wp:extent cx="9398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-903605</wp:posOffset>
            </wp:positionV>
            <wp:extent cx="939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-187960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2024, there were $105.0 million of unrecognized compensation costs related to employee and non-employee unvested stock options and RSUs granted under the 2015 Plan and the Company’s 2007 Stock Plan, which are expected to be recognized over a weighted-average remaining service period of 2.8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stockholders’ equity for the three months ended March 31,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20" w:type="dxa"/>
            <w:vAlign w:val="bottom"/>
            <w:gridSpan w:val="3"/>
            <w:vMerge w:val="restart"/>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1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20" w:type="dxa"/>
            <w:vAlign w:val="bottom"/>
            <w:gridSpan w:val="3"/>
          </w:tcPr>
          <w:p>
            <w:pPr>
              <w:jc w:val="center"/>
              <w:ind w:left="116"/>
              <w:spacing w:after="0" w:line="149" w:lineRule="exact"/>
              <w:rPr>
                <w:sz w:val="20"/>
                <w:szCs w:val="20"/>
                <w:color w:val="auto"/>
              </w:rPr>
            </w:pPr>
            <w:r>
              <w:rPr>
                <w:rFonts w:ascii="Times New Roman" w:cs="Times New Roman" w:eastAsia="Times New Roman" w:hAnsi="Times New Roman"/>
                <w:sz w:val="14"/>
                <w:szCs w:val="14"/>
                <w:b w:val="1"/>
                <w:bCs w:val="1"/>
                <w:color w:val="auto"/>
              </w:rPr>
              <w:t>$0.0001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160" w:type="dxa"/>
            <w:vAlign w:val="bottom"/>
            <w:gridSpan w:val="3"/>
            <w:vMerge w:val="continue"/>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020" w:type="dxa"/>
            <w:vAlign w:val="bottom"/>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18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84,826,632</w:t>
            </w:r>
          </w:p>
        </w:tc>
        <w:tc>
          <w:tcPr>
            <w:tcW w:w="10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1,456,370</w:t>
            </w:r>
          </w:p>
        </w:tc>
        <w:tc>
          <w:tcPr>
            <w:tcW w:w="44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(902,400 )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35,463</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(974 )</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(974 )</w:t>
            </w: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113,841</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(72,400 )</w:t>
            </w:r>
          </w:p>
        </w:tc>
        <w:tc>
          <w:tcPr>
            <w:tcW w:w="1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(72,400 )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84,979,686</w:t>
            </w:r>
          </w:p>
        </w:tc>
        <w:tc>
          <w:tcPr>
            <w:tcW w:w="260" w:type="dxa"/>
            <w:vAlign w:val="bottom"/>
            <w:shd w:val="clear" w:color="auto" w:fill="CFF0FC"/>
          </w:tcPr>
          <w:p>
            <w:pPr>
              <w:spacing w:after="0"/>
              <w:rPr>
                <w:sz w:val="24"/>
                <w:szCs w:val="24"/>
                <w:color w:val="auto"/>
              </w:rPr>
            </w:pPr>
          </w:p>
        </w:tc>
        <w:tc>
          <w:tcPr>
            <w:tcW w:w="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1,467,437</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(974,800 )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491,889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424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-796290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-779780</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-796290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-779780</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-796290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-779780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-796290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-779780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-796290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-779780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stockholders’ equity for the three months ended March 31, 2023: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20" w:type="dxa"/>
            <w:vAlign w:val="bottom"/>
            <w:gridSpan w:val="3"/>
            <w:vMerge w:val="restart"/>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1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2020" w:type="dxa"/>
            <w:vAlign w:val="bottom"/>
            <w:gridSpan w:val="3"/>
          </w:tcPr>
          <w:p>
            <w:pPr>
              <w:jc w:val="center"/>
              <w:ind w:left="115"/>
              <w:spacing w:after="0" w:line="149" w:lineRule="exact"/>
              <w:rPr>
                <w:sz w:val="20"/>
                <w:szCs w:val="20"/>
                <w:color w:val="auto"/>
              </w:rPr>
            </w:pPr>
            <w:r>
              <w:rPr>
                <w:rFonts w:ascii="Times New Roman" w:cs="Times New Roman" w:eastAsia="Times New Roman" w:hAnsi="Times New Roman"/>
                <w:sz w:val="14"/>
                <w:szCs w:val="14"/>
                <w:b w:val="1"/>
                <w:bCs w:val="1"/>
                <w:color w:val="auto"/>
              </w:rPr>
              <w:t>$0.0001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160" w:type="dxa"/>
            <w:vAlign w:val="bottom"/>
            <w:gridSpan w:val="3"/>
            <w:vMerge w:val="continue"/>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020" w:type="dxa"/>
            <w:vAlign w:val="bottom"/>
            <w:gridSpan w:val="3"/>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6"/>
                <w:szCs w:val="16"/>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(Loss)/Income</w:t>
            </w:r>
          </w:p>
        </w:tc>
        <w:tc>
          <w:tcPr>
            <w:tcW w:w="180" w:type="dxa"/>
            <w:vAlign w:val="bottom"/>
          </w:tcPr>
          <w:p>
            <w:pPr>
              <w:spacing w:after="0"/>
              <w:rPr>
                <w:sz w:val="16"/>
                <w:szCs w:val="16"/>
                <w:color w:val="auto"/>
              </w:rPr>
            </w:pP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Borders>
              <w:top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68,111,385</w:t>
            </w:r>
          </w:p>
        </w:tc>
        <w:tc>
          <w:tcPr>
            <w:tcW w:w="1020" w:type="dxa"/>
            <w:vAlign w:val="bottom"/>
            <w:gridSpan w:val="2"/>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1,161,288</w:t>
            </w:r>
          </w:p>
        </w:tc>
        <w:tc>
          <w:tcPr>
            <w:tcW w:w="44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(693,040 )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under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short-term investments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Vesting of RSUs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withholdings ESPP</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Prefunded warrants, exercise</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85,998</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276,506</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(41,126 )</w:t>
            </w:r>
          </w:p>
        </w:tc>
        <w:tc>
          <w:tcPr>
            <w:tcW w:w="1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(41,126 )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68,495,426</w:t>
            </w:r>
          </w:p>
        </w:tc>
        <w:tc>
          <w:tcPr>
            <w:tcW w:w="260" w:type="dxa"/>
            <w:vAlign w:val="bottom"/>
          </w:tcPr>
          <w:p>
            <w:pPr>
              <w:spacing w:after="0"/>
              <w:rPr>
                <w:sz w:val="20"/>
                <w:szCs w:val="20"/>
                <w:color w:val="auto"/>
              </w:rPr>
            </w:pP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w:t>
            </w:r>
          </w:p>
        </w:tc>
        <w:tc>
          <w:tcPr>
            <w:tcW w:w="240" w:type="dxa"/>
            <w:vAlign w:val="bottom"/>
          </w:tcPr>
          <w:p>
            <w:pPr>
              <w:spacing w:after="0"/>
              <w:rPr>
                <w:sz w:val="20"/>
                <w:szCs w:val="20"/>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(734,166 )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-187960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-187960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-187960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-187960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-187960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At-the Market Program</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May 2023, the Company entered into a sales agreement with Cowen and Company, or TD Cowen, under which the Company could, from time to time, issue and sell shares of its common stock having aggregate sales proceeds of up to $200.0 million, in a series of one or more ATM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pursuant to the previous shelf registration statement on Form S-3ASR (Registration No. 333-277424), which became automatically effective upon the filing on February 27,2024. The Company’s common stock will be sold at prevailing market prices at the time of the sale, and as a result, prices may vary. For the period ended March 31, 2024, the Company sold no shares of common stock under the 2023 ATM Program.</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December 2021, the Company sold pre-funded warrants to purchase 1,142,856 shares of common stock. As of March 31, 2024, 285,714 pre-funded warrants were considered issued and outstanding.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March 31,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Securities and Exchange Commission, or SEC, on February 27,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an innovative pipeline of cancer therapies. Our two lead product candidates are revumenib, and axatilimab. We are developing revumenib, a potent, selective, small molecule inhibitor of the menin-MLL binding interaction for the treatment of KMT2A rearranged, or KMT2Ar, also known as mixed lineage leukemia rearranged or MLLr, acute leukemias including acute lymphoblastic leukemia, or ALL, and acute myeloid leukemia, or AML, and nucleophosmin1, also known as NPM1, mutant AML. We are also exploring the use of revumenib as a treatment in solid tumors, specifically its activity in metastatic colorectal cancer. We are developing axatilimab, a monoclonal antibody that blocks the colony stimulating factor 1 receptor, or CSF-1R, in chronic graft-versus-host disease, or cGVHD, as well as idiopathic pulmonary fibrosis, or IPF. We plan to continue to leverage the technical and business expertise of our management team and scientific collaborators to license, acquire and develop additional therapeutics to expand our pipeline.</w:t>
      </w:r>
    </w:p>
    <w:p>
      <w:pPr>
        <w:spacing w:after="0" w:line="8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product revenues from product sales to date. We continue to incur significant research and development and other expenses related to our ongoing operations. Except for 2021, we have not been profitable and have incurred losses in each period since our inception in 2005. For the three months ended March 31, 2024 and 2023, we reported a net loss of $72.4 million and $41.1 million, respectively. As of March 31, 2024, we had an accumulated deficit of $974.8 million. As of March 31, 2024, we had cash, cash equivalents and short and long-term investments of $522.0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Revumenib</w:t>
      </w:r>
    </w:p>
    <w:p>
      <w:pPr>
        <w:spacing w:after="0" w:line="121" w:lineRule="exact"/>
        <w:rPr>
          <w:sz w:val="20"/>
          <w:szCs w:val="20"/>
          <w:color w:val="auto"/>
        </w:rPr>
      </w:pPr>
    </w:p>
    <w:p>
      <w:pPr>
        <w:ind w:left="760" w:right="22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we announced that the FDA had granted Priority Review for the New Drug Application (NDA) filing for revumenib, a potent, selective small molecule menin inhibitor, for the treatment of adult and pediatric relapsed or refractory (R/R) KMT2A-rearranged (KMT2Ar) acute leukemia. The NDA filing is being reviewed under the FDA’s Real-Time Oncology Review Program (RTOR) and has been assigned a Prescription Drug User Fee Act (PDUFA) target action date of September 26, 2024. RTOR allows for a more efficient review and close engagement between the sponsor and the FDA throughout the submission process, which historically has led to earlier approvals.</w:t>
      </w:r>
    </w:p>
    <w:p>
      <w:pPr>
        <w:spacing w:after="0" w:line="75" w:lineRule="exact"/>
        <w:rPr>
          <w:rFonts w:ascii="Times New Roman" w:cs="Times New Roman" w:eastAsia="Times New Roman" w:hAnsi="Times New Roman"/>
          <w:sz w:val="18"/>
          <w:szCs w:val="18"/>
          <w:color w:val="auto"/>
        </w:rPr>
      </w:pPr>
    </w:p>
    <w:p>
      <w:pPr>
        <w:ind w:left="760" w:right="6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we also announced the completion of enrollment in the AUGMENT-101 pivotal trial cohort of patients with R/R mutant nucleophosmin (mNPM1) acute myeloid leukemia (AML). Topline data is expected in the fourth quarter of 2024 and could support a supplemental NDA (sNDA) filing for revumenib in R/R mNPM1 AML in the first half of 2025.</w:t>
      </w:r>
    </w:p>
    <w:p>
      <w:pPr>
        <w:spacing w:after="0" w:line="67"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a subset of the pivotal AUGMENT-101 trial in pediatric patients with R/R KMT2Ar AML and acute lymphoid leukemia (ALL) treated with revumenib were featured in a plenary session at the American Society of Pediatric Hematology/Oncology (ASPHO) Annual Meeting in April 2024.</w:t>
      </w:r>
    </w:p>
    <w:p>
      <w:pPr>
        <w:spacing w:after="0" w:line="67" w:lineRule="exact"/>
        <w:rPr>
          <w:rFonts w:ascii="Times New Roman" w:cs="Times New Roman" w:eastAsia="Times New Roman" w:hAnsi="Times New Roman"/>
          <w:sz w:val="18"/>
          <w:szCs w:val="18"/>
          <w:color w:val="auto"/>
        </w:rPr>
      </w:pPr>
    </w:p>
    <w:p>
      <w:pPr>
        <w:ind w:left="760" w:right="340" w:hanging="378"/>
        <w:spacing w:after="0" w:line="312"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Phase 1 combination trials of revumenib in mNPM1 and KMT2Ar acute leukemias are ongoing across the treatment landscape. The trials are expanding to validate recommended Phase 2 doses, with additional data expected in the second half of 2024. These trials include:</w:t>
      </w:r>
    </w:p>
    <w:p>
      <w:pPr>
        <w:spacing w:after="0" w:line="32" w:lineRule="exact"/>
        <w:rPr>
          <w:sz w:val="20"/>
          <w:szCs w:val="20"/>
          <w:color w:val="auto"/>
        </w:rPr>
      </w:pPr>
    </w:p>
    <w:p>
      <w:pPr>
        <w:ind w:left="1500" w:hanging="369"/>
        <w:spacing w:after="0" w:line="282" w:lineRule="auto"/>
        <w:tabs>
          <w:tab w:leader="none" w:pos="1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BEAT-AML: Evaluating the combination of revumenib with venetoclax and Azacytidine in front-line AML patients. This trial is being conducted as part of the Leukemia &amp; Lymphoma Society’s Beat AML® Master Clinical Trial.</w:t>
      </w:r>
    </w:p>
    <w:p>
      <w:pPr>
        <w:spacing w:after="0" w:line="53" w:lineRule="exact"/>
        <w:rPr>
          <w:rFonts w:ascii="Times New Roman" w:cs="Times New Roman" w:eastAsia="Times New Roman" w:hAnsi="Times New Roman"/>
          <w:sz w:val="18"/>
          <w:szCs w:val="18"/>
          <w:color w:val="auto"/>
        </w:rPr>
      </w:pPr>
    </w:p>
    <w:p>
      <w:pPr>
        <w:ind w:left="1500" w:right="700" w:hanging="369"/>
        <w:spacing w:after="0" w:line="282" w:lineRule="auto"/>
        <w:tabs>
          <w:tab w:leader="none" w:pos="1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Evaluating the all-oral combination of revumenib with venetoclax and decitabine/cedazuridine in R/R AML or mixed phenotype acute leukemias. The trial is being conducted by investigators from the MD Anderson Cancer Center.</w:t>
      </w:r>
    </w:p>
    <w:p>
      <w:pPr>
        <w:spacing w:after="0" w:line="5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AUGMENT-102: Evaluating the combination of revumenib with fludarabine and cytarabine in patients with R/R acute leukemias.</w:t>
      </w:r>
    </w:p>
    <w:p>
      <w:pPr>
        <w:spacing w:after="0" w:line="117"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 trial of revumenib in combination with 7+3 chemotherapy followed by maintenance treatment in newly diagnosed patients with mNPM1 or KMT2Ar acute leukemias was initiated during the quarter.</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initiate a pivotal trial of revumenib in combination with venetoclax and azacitidine in newly diagnosed mNPM1 or KMT2Ar acute leukemia patients unfit to receive intensive chemotherapy by year-end 2024.</w:t>
      </w:r>
    </w:p>
    <w:p>
      <w:pPr>
        <w:spacing w:after="0" w:line="53" w:lineRule="exact"/>
        <w:rPr>
          <w:rFonts w:ascii="Times New Roman" w:cs="Times New Roman" w:eastAsia="Times New Roman" w:hAnsi="Times New Roman"/>
          <w:sz w:val="18"/>
          <w:szCs w:val="18"/>
          <w:color w:val="auto"/>
        </w:rPr>
      </w:pPr>
    </w:p>
    <w:p>
      <w:pPr>
        <w:ind w:left="760" w:right="400" w:hanging="378"/>
        <w:spacing w:after="0" w:line="26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is ongoing in a Phase 1 proof-of-concept clinical trial of revumenib in patients with unresectable metastatic microsatellite stable colorectal cancer. We expect to provide an update on the trial in the second quarter of 2024.</w:t>
      </w: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Axatilimab</w:t>
      </w:r>
    </w:p>
    <w:p>
      <w:pPr>
        <w:spacing w:after="0" w:line="121" w:lineRule="exact"/>
        <w:rPr>
          <w:sz w:val="20"/>
          <w:szCs w:val="20"/>
          <w:color w:val="auto"/>
        </w:rPr>
      </w:pPr>
    </w:p>
    <w:p>
      <w:pPr>
        <w:ind w:left="760" w:right="12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we announced that the FDA had accepted the Biologics License Application (BLA) filing for axatilimab, an anti-CSF-1R antibody, in patients with chronic graft-versus-host disease (GVHD) after failure of at least two prior lines of systemic therapy. The application was granted Priority Review and assigned a PDUFA action date of August 28, 2024.</w:t>
      </w:r>
    </w:p>
    <w:p>
      <w:pPr>
        <w:spacing w:after="0" w:line="67"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is ongoing in a 26-week randomized, double-blinded, placebo-controlled Phase 2 trial of axatilimab on top of standard of care in patients with idiopathic pulmonary fibrosis (IPF).</w:t>
      </w:r>
    </w:p>
    <w:p>
      <w:pPr>
        <w:spacing w:after="0" w:line="53"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 Incyte plans to initiate two combination trials with axatilimab in chronic GVHD in 2024, including a Phase 2 combination trial with ruxolitinib and a Phase 3 combination trial with steroids.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Updates</w:t>
      </w:r>
    </w:p>
    <w:p>
      <w:pPr>
        <w:spacing w:after="0" w:line="121" w:lineRule="exact"/>
        <w:rPr>
          <w:sz w:val="20"/>
          <w:szCs w:val="20"/>
          <w:color w:val="auto"/>
        </w:rPr>
      </w:pPr>
    </w:p>
    <w:p>
      <w:pPr>
        <w:ind w:left="760" w:right="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we announced the appointment of Steven Closter as Chief Commercial Officer. Mr. Closter brings to Syndax more than 30 years of commercial experience in the biopharmaceutical industry.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current inflationary environment may materially affect our business and operating results by increasing the cost of our clinical trial materials and supplies, driving the U.S. Federal Reserve system to increase interest rates, which in turn increased our overhead costs. Rising interest rates could make it more difficult for us to obtain traditional financing on acceptable terms, if at all.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Although we do not believe that inflation has had a material impact on our financial position or results of operations to date, additional high inflation could increase our operating costs, including our labor costs and research and development costs. These costs may also be negatively impacted due to supply chain constraints, global geopolitical tensions as a result of the ongoing war between Russia and Ukraine and the war in Israel, worsening macroeconomic conditions and employee availability and wage increases, which may result in additional stress on our working capital.</w:t>
      </w:r>
    </w:p>
    <w:p>
      <w:pPr>
        <w:spacing w:after="0" w:line="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product revenues. Our ability to generate revenue and become profitable depends upon our ability to obtain marketing approval of and successfully commercialize our product candidates. We generated no revenue during the three months ended March 31, 2024 and 2023.</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2021, we granted Incyte an exclusive license to develop and commercialize axatilimab in the United States and the rest of the world.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no revenue has been recognized under the Incyte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54"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related to our clinical trials, including the costs for investigative sites and contract research organizations that conduct our clinical trials;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associated with our research and development activities, including salaries, benefits, travel and non-cash stock-based compensation expenses;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process-development, clinical supplies and technology-transfer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and milestone payments under our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paid to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and overhead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regulatory operations and regulatory compliance requirements.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6" w:name="page17"/>
    <w:bookmarkEnd w:id="16"/>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drug candidates. The amount of research and development expenses allocated to external spending will continue to grow, while we expect our internal spending to grow at a slower and more controlled pace.</w:t>
      </w:r>
    </w:p>
    <w:p>
      <w:pPr>
        <w:spacing w:after="0" w:line="75"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It is difficult to determine, with certainty, the duration and completion costs of our current or future preclinical programs, research studies and clinical trials of our product candidates. The duration, costs and timing of research studies and clinical trials of our product candidates will depend on a variety of factors that include, but are not limited to, the following:</w:t>
      </w:r>
    </w:p>
    <w:p>
      <w:pPr>
        <w:spacing w:after="0" w:line="68"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or other studies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monitoring;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receipt of any regulatory approvals.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probability of success for each drug candidate will depend on numerous factors, including competition, manufacturing capability and commercial viability. The successful development of our drug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drug candidates may commence. Clinical development timelines, the probability of success and development costs can differ materially from expectations.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employee-related expenses, including salaries, benefits, non-cash stock-based compensation and travel expenses, for our employees in executive, finance, human resources, business development and support functions. Other selling, general and administrative expenses include facility-related costs not otherwise allocated to research and development expenses and accounting, tax, legal, information technology and consulting services. We anticipate that our selling, general and administrative expenses will further increase in the future as we continue to increase our headcount to support our continued research and development and anticipated commercialization of our product candidates. Additionally, in anticipation of expected regulatory approvals of revumenib and axatilimab, we have begun preparation for commercial launches of both drug candidates and, as as result, expect an increase in employee-related and sales and marketing expenses and other commercial expenses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primarily of interest expense on our operational and capital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income earned on our cash, cash equivalents and short and long-term investment balances.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 net</w:t>
      </w:r>
    </w:p>
    <w:p>
      <w:pPr>
        <w:spacing w:after="0" w:line="121" w:lineRule="exact"/>
        <w:rPr>
          <w:sz w:val="20"/>
          <w:szCs w:val="20"/>
          <w:color w:val="auto"/>
        </w:rPr>
      </w:pPr>
    </w:p>
    <w:p>
      <w:pPr>
        <w:ind w:left="5540" w:right="1620" w:hanging="5016"/>
        <w:spacing w:after="0" w:line="282" w:lineRule="auto"/>
        <w:rPr>
          <w:sz w:val="20"/>
          <w:szCs w:val="20"/>
          <w:color w:val="auto"/>
        </w:rPr>
      </w:pPr>
      <w:r>
        <w:rPr>
          <w:rFonts w:ascii="Times New Roman" w:cs="Times New Roman" w:eastAsia="Times New Roman" w:hAnsi="Times New Roman"/>
          <w:sz w:val="18"/>
          <w:szCs w:val="18"/>
          <w:color w:val="auto"/>
        </w:rPr>
        <w:t>Other income (expense) net includes income (expense), consisting of revaluation of foreign currency related to trade payables.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8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new accounting pronouncements please read </w:t>
      </w:r>
      <w:r>
        <w:rPr>
          <w:rFonts w:ascii="Times New Roman" w:cs="Times New Roman" w:eastAsia="Times New Roman" w:hAnsi="Times New Roman"/>
          <w:sz w:val="18"/>
          <w:szCs w:val="18"/>
          <w:i w:val="1"/>
          <w:iCs w:val="1"/>
          <w:color w:val="auto"/>
        </w:rPr>
        <w:t>Note 3 “Summary of Significant Accounting Policies,”</w:t>
      </w:r>
      <w:r>
        <w:rPr>
          <w:rFonts w:ascii="Times New Roman" w:cs="Times New Roman" w:eastAsia="Times New Roman" w:hAnsi="Times New Roman"/>
          <w:sz w:val="18"/>
          <w:szCs w:val="18"/>
          <w:color w:val="auto"/>
        </w:rPr>
        <w:t xml:space="preserve"> , to our unaudited condensed consolidated financial statements included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on our financial statements, which have been prepared in accordance with accounting principles generally accepted in the United States, or U.S. GAAP. The preparation of these financial statements requires us to make estimates, judgments and assumptions that may affect the reported amounts of assets, liabilities, equity, revenue and expenses and related disclosures of contingent assets and liabilities.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8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“Management’s Discussion and Analysis of Financial Condition and Results of Operations” contained in our Annual Report on Form 10-K for the fiscal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3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56,492</w:t>
            </w:r>
          </w:p>
        </w:tc>
        <w:tc>
          <w:tcPr>
            <w:tcW w:w="2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7"/>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3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3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(79,514 )</w:t>
            </w: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(46,015 )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(55 )</w:t>
            </w: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(40 )</w:t>
            </w:r>
          </w:p>
        </w:tc>
        <w:tc>
          <w:tcPr>
            <w:tcW w:w="3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8"/>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(87 )</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(147 )</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7"/>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3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360" w:type="dxa"/>
            <w:vAlign w:val="bottom"/>
            <w:vMerge w:val="continue"/>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(72,400 )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(41,126 )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-1602740</wp:posOffset>
            </wp:positionV>
            <wp:extent cx="71323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research and development expenses for the three months ended March 31, 2024 and 2023: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336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Revumenib-related costs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38"/>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Axatilimab-related costs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 programs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(729 )</w:t>
            </w:r>
          </w:p>
        </w:tc>
        <w:tc>
          <w:tcPr>
            <w:tcW w:w="2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4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7"/>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360" w:type="dxa"/>
            <w:vAlign w:val="bottom"/>
            <w:vMerge w:val="continue"/>
          </w:tcPr>
          <w:p>
            <w:pPr>
              <w:spacing w:after="0"/>
              <w:rPr>
                <w:sz w:val="20"/>
                <w:szCs w:val="20"/>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56,492</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0"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our total research and development expenses increased $22.4 million, or 66%, from the comparable quarter in the prior period. The increase is primarily due to:</w:t>
      </w:r>
    </w:p>
    <w:p>
      <w:pPr>
        <w:spacing w:after="0" w:line="54" w:lineRule="exact"/>
        <w:rPr>
          <w:sz w:val="20"/>
          <w:szCs w:val="20"/>
          <w:color w:val="auto"/>
        </w:rPr>
      </w:pPr>
    </w:p>
    <w:p>
      <w:pPr>
        <w:ind w:left="1020" w:right="2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$16.5 million in revumenib-related costs due to increases in registrational clinical trial expenses, the initiation of 1L/combination trials, higher companion diagnostic development costs, pre-commercial manufacturing activities and milestones payments.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$0.6 million in axatilimab-related costs due to an increase in CMC-related expenses, partially offset by lower registrational trial costs, net of expense reimbursement from Incyte, our co-development partner of $2.0 million and</w:t>
      </w: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24" w:right="279" w:bottom="1440" w:gutter="0" w:footer="0" w:header="0"/>
        </w:sectPr>
      </w:pPr>
    </w:p>
    <w:bookmarkStart w:id="18" w:name="page19"/>
    <w:bookmarkEnd w:id="18"/>
    <w:p>
      <w:pPr>
        <w:ind w:left="1020" w:right="320"/>
        <w:spacing w:after="0" w:line="282" w:lineRule="auto"/>
        <w:rPr>
          <w:sz w:val="20"/>
          <w:szCs w:val="20"/>
          <w:color w:val="auto"/>
        </w:rPr>
      </w:pPr>
      <w:r>
        <w:rPr>
          <w:rFonts w:ascii="Times New Roman" w:cs="Times New Roman" w:eastAsia="Times New Roman" w:hAnsi="Times New Roman"/>
          <w:sz w:val="18"/>
          <w:szCs w:val="18"/>
          <w:color w:val="auto"/>
        </w:rPr>
        <w:t>$3.5 million for the three months ended March 31, 2024 and 2023, respectively. The decrease in co-development partner costs is primarily due to lower registrational trial cost related expenses.</w:t>
      </w:r>
    </w:p>
    <w:p>
      <w:pPr>
        <w:spacing w:after="0" w:line="54" w:lineRule="exact"/>
        <w:rPr>
          <w:sz w:val="20"/>
          <w:szCs w:val="20"/>
          <w:color w:val="auto"/>
        </w:rPr>
      </w:pPr>
    </w:p>
    <w:p>
      <w:pPr>
        <w:jc w:val="both"/>
        <w:ind w:left="1020" w:right="4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$6.2 million in personnel costs, including non-cash stock-based compensation, and other expenses related to increases in headcount to support on-going clinical trials and regulatory expenses, NDA activities and related expenses and overhead expenses (e.g., information technology and facilities).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internal and external research and development expenses for the three months ended March 31, 2024 and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External research and development expenses</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39,215</w:t>
            </w:r>
          </w:p>
        </w:tc>
        <w:tc>
          <w:tcPr>
            <w:tcW w:w="118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22,791</w:t>
            </w:r>
          </w:p>
        </w:tc>
        <w:tc>
          <w:tcPr>
            <w:tcW w:w="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17,277</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11,263</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7"/>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500" w:type="dxa"/>
            <w:vAlign w:val="bottom"/>
            <w:vMerge w:val="continue"/>
          </w:tcPr>
          <w:p>
            <w:pPr>
              <w:spacing w:after="0"/>
              <w:rPr>
                <w:sz w:val="20"/>
                <w:szCs w:val="20"/>
                <w:color w:val="auto"/>
              </w:rPr>
            </w:pP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56,492</w:t>
            </w:r>
          </w:p>
        </w:tc>
        <w:tc>
          <w:tcPr>
            <w:tcW w:w="280" w:type="dxa"/>
            <w:vAlign w:val="bottom"/>
          </w:tcPr>
          <w:p>
            <w:pPr>
              <w:spacing w:after="0"/>
              <w:rPr>
                <w:sz w:val="20"/>
                <w:szCs w:val="20"/>
                <w:color w:val="auto"/>
              </w:rPr>
            </w:pP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34,054</w:t>
            </w:r>
          </w:p>
        </w:tc>
        <w:tc>
          <w:tcPr>
            <w:tcW w:w="26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22,438</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expect research and development expenses to fluctuate from quarter-to-quarter depending on the timing of clinical trial activities, clinical manufacturing, and other development activities.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summarizes the selling, general and administrative expenses for the three months ended March 31, 2024 and 2023:</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336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related expenses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38"/>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8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4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 cost and other expenses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43"/>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7"/>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8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360" w:type="dxa"/>
            <w:vAlign w:val="bottom"/>
            <w:vMerge w:val="continue"/>
          </w:tcPr>
          <w:p>
            <w:pPr>
              <w:spacing w:after="0"/>
              <w:rPr>
                <w:sz w:val="20"/>
                <w:szCs w:val="20"/>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23,022</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0"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our total selling, general and administrative expenses increased $11.1 million, or 92%, from the comparable quarter in the prior period. The increase primarily is due to:</w:t>
      </w:r>
    </w:p>
    <w:p>
      <w:pPr>
        <w:spacing w:after="0" w:line="54"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$4.3 million in commercialization-related expenses due to pre-marketing activities for revumenib and axatilimab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 million related to increases in information technology and legal-related expenses.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$5.2 million in personnel costs, including non-cash stock-based compensation, and related costs related to increases in headcount to support a growing research and development organization and preparation of both commercial launches.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Interest Expense</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interest income increased by $2.2 million, or 43%, from the comparable period in the prior year. The increase is primarily due to higher interest rates and increased average balance on cash equivalents and short and long-term investments.</w:t>
      </w:r>
    </w:p>
    <w:p>
      <w:pPr>
        <w:spacing w:after="0" w:line="54"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interest expense increased by $15,000, or 38%, from the comparable period in the prior year. The increase is primarily due to our operational and capital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total other income (expense), net decreased from the comparable prior period primarily due to a decrease in foreign currency losses on short and long-term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20" w:right="279" w:bottom="1440" w:gutter="0" w:footer="0" w:header="0"/>
        </w:sectPr>
      </w:pPr>
    </w:p>
    <w:bookmarkStart w:id="19" w:name="page20"/>
    <w:bookmarkEnd w:id="19"/>
    <w:p>
      <w:pPr>
        <w:ind w:firstLine="509"/>
        <w:spacing w:after="0" w:line="254" w:lineRule="auto"/>
        <w:rPr>
          <w:sz w:val="20"/>
          <w:szCs w:val="20"/>
          <w:color w:val="auto"/>
        </w:rPr>
      </w:pPr>
      <w:r>
        <w:rPr>
          <w:rFonts w:ascii="Times New Roman" w:cs="Times New Roman" w:eastAsia="Times New Roman" w:hAnsi="Times New Roman"/>
          <w:sz w:val="18"/>
          <w:szCs w:val="18"/>
          <w:color w:val="auto"/>
        </w:rPr>
        <w:t>As of March 31, 2024, we had cash, cash equivalents and short- and long-term investments totaling $522.0 million. Since our inception, our operations have been primarily financed by net proceeds from our public stock offerings, and revenue from our license agreements. We believe that our present cash, cash equivalents and short and long-term investments as of March 31, 2024, will fund our projected operating expenses and capital expenditure requirements for at least the next 12 months. In addition to our existing cash, cash equivalents, short and long-term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May 2023, we entered into a sales agreement with Cowen and Company, LLC, or TD Cowen, under which we could, from time to time, issue and sell shares of our common stock having aggregate sales proceeds of up to $200.0 million, in a series of one or more ATM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under the shelf registration statement on Form S-3ASR (Registration No. 333-277424), which became automatically effective upon filing on February 27,2024. Our common stock will be sold at prevailing market prices at the time of the sale, and as a result, prices may vary. For the three months ended March 31, 2024, we did not sell any shares of common stock under the 2023 ATM Program. As of May 1, 2024, the Company had $157.9 million available under the 2023 ATM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available cash, cash equivalents and short and long-term investments are sufficient to fund existing and planned cash requirements for the next 12 months. Our primary uses of capital are, and we expect will continue to be, compensation and related expenses, third-party clinical research and development services, clinical costs, pre-commercialization costs, legal and other regulatory expenses and general overhead costs. We have based our estimates on assumptions that may prove to be incorrect, and we could use our capital resources sooner than we currently expect.</w:t>
      </w:r>
    </w:p>
    <w:p>
      <w:pPr>
        <w:spacing w:after="0" w:line="7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3"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reimbursement, which may require additional trials to address pharmacoeconomic benefit;</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if either candidate receives regulatory approval and we determine, in the case of revumenib to commercialize it ourselves, or in the case of axatilimab to co-commercialize it with Incyte;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key clinical trial activities, such as clinical trial site monitoring;</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disruptions to our supply chain and operations, and associated delays in the manufacturing and supply of our products, which would adversely impact our ability to continue our clinical trial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0" w:name="page21"/>
    <w:bookmarkEnd w:id="20"/>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as we grow our company.</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product revenues from product sales to date. 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w:t>
      </w:r>
    </w:p>
    <w:p>
      <w:pPr>
        <w:spacing w:after="0" w:line="18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material contractual obligations and commitments as of March 31, 2024, primarily relate to our maturities of operating leases for office space and equipment and capital leases for office equipment. As of March 31, 2024, we have $1.2 million payable within 12 months.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Except as disclosed above, we have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excluding the year ended December 31, 2021. As of March 31, 2024, we had an accumulated deficit of $974.8 million. We anticipate that we will likely continue to incur significant losses for at least the next couple of years. We expect that our research and development and selling,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cash flows: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5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w:t>
            </w:r>
          </w:p>
        </w:tc>
        <w:tc>
          <w:tcPr>
            <w:tcW w:w="1320" w:type="dxa"/>
            <w:vAlign w:val="bottom"/>
            <w:gridSpan w:val="2"/>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(83,548 )</w:t>
            </w:r>
          </w:p>
        </w:tc>
        <w:tc>
          <w:tcPr>
            <w:tcW w:w="1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(39,228 )</w:t>
            </w:r>
          </w:p>
        </w:tc>
      </w:tr>
      <w:tr>
        <w:trPr>
          <w:trHeight w:val="23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00" w:type="dxa"/>
            <w:vAlign w:val="bottom"/>
          </w:tcPr>
          <w:p>
            <w:pPr>
              <w:spacing w:after="0"/>
              <w:rPr>
                <w:sz w:val="20"/>
                <w:szCs w:val="20"/>
                <w:color w:val="auto"/>
              </w:rPr>
            </w:pP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(99,399 )</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3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5"/>
              </w:rPr>
              <w:t>(180,779 )</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(16,839 )</w:t>
            </w:r>
          </w:p>
        </w:tc>
      </w:tr>
      <w:tr>
        <w:trPr>
          <w:trHeight w:val="20"/>
        </w:trPr>
        <w:tc>
          <w:tcPr>
            <w:tcW w:w="7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-187960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2024, was $83.5 million and consisted of our net loss of $72.4 million adjusted for non-cash items, including stock-based compensation of $8.9 million, an investment accretion of $3.8 million, a net decrease in operating assets and liabilities of $16.5 million and an increase in operating lease and depreciation expenses of $0.2 million. The increase in net loss was primarily due to increased clinical trial activities and manufacturing expenses. The net decrease in operating assets and liabilities primarily consisted of decreased accrued expenses and other liabilities of $6.7 million, other receivables of $6.1 million, prepayments and deposits of $2.9 million, accounts payable of $1.2 million, partially offset by collaboration receivables of $0.3 million.</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2023, was $39.2 million and consisted of our net loss of $41.1 million adjusted for non-cash items, including stock-based compensation of $6.2 million, an investment accretion of $4.0 million, a net decrease in operating assets and liabilities of $0.5 million, and operating lease and depreciation expenses of $0.1 million. The increase in net loss was primarily due to increased clinical trial activities and manufacturing expenses. The net decrease in operating assets and liabilities primarily consisted of accounts payable of $3.7 million, increased prepayments and deposits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$2.9 million, increased other receivables of $2.1 million, partially offset by decreased accrued expenses and other liabilities of $9.2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Investing Activities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$99.4 million and was due to $68.0 million in proceeds from the maturities of available-for-sale securities, partially offset by the purchase of $167.4 million of available for sale securities.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Net provided by in investing activities for the three months ended March 31, 2023, was $19.9 million and was due to $81.5 million in proceeds from the maturities of available-for-sale securities, partially offset by the purchase of $61.6 million of available-for-sale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$2.2 million and was primarily due to proceeds from the exercise of stock options of $1.9 million and employee participation in our ESPP of $0.3 million.</w:t>
      </w:r>
    </w:p>
    <w:p>
      <w:pPr>
        <w:spacing w:after="0" w:line="5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2023, was $2.5 million and was primarily due to proceeds from the exercise of stock options of $2.3 million and employee participation in our ESPP of $0.2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The market risk inherent in our financial instruments and in our financial position represents the potential loss arising from adverse changes in interest rates. As of March 31, 2024, we had cash and cash equivalents of $114.6 million, consisting of overnight investments, interest-bearing money market funds and commercial paper, and short and long-term investments of $407.4 million, consisting of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 and long-term investments, an immediate 100 basis point change in interest rates would not have a material effect on the fair market value of our cash equivalents and short and long-term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believe that inflation and changing prices had a significant impact on our results of operations for any periods presented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 and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Controls and Procedures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w:t>
      </w:r>
    </w:p>
    <w:p>
      <w:pPr>
        <w:ind w:right="20"/>
        <w:spacing w:after="0" w:line="255" w:lineRule="auto"/>
        <w:rPr>
          <w:sz w:val="20"/>
          <w:szCs w:val="20"/>
          <w:color w:val="auto"/>
        </w:rPr>
      </w:pPr>
      <w:r>
        <w:rPr>
          <w:rFonts w:ascii="Times New Roman" w:cs="Times New Roman" w:eastAsia="Times New Roman" w:hAnsi="Times New Roman"/>
          <w:sz w:val="18"/>
          <w:szCs w:val="18"/>
          <w:color w:val="auto"/>
        </w:rPr>
        <w:t>15d-15(e) under the Securities Exchange Act of 1934, as amended, or the Exchange Act), as of March 31, 2024. Based upon that evaluation, our principal executive officer and principal financial officer concluded that, as of the end of the period covered by this report, our disclosure controls and procedures are effective in ensuring that:</w:t>
      </w:r>
    </w:p>
    <w:p>
      <w:pPr>
        <w:spacing w:after="0" w:line="78" w:lineRule="exact"/>
        <w:rPr>
          <w:sz w:val="20"/>
          <w:szCs w:val="20"/>
          <w:color w:val="auto"/>
        </w:rPr>
      </w:pPr>
    </w:p>
    <w:p>
      <w:pPr>
        <w:ind w:left="900" w:right="1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to be disclosed by us in the reports we file or submit under the Exchange Act is recorded, processed, summarized and reported within the time periods specified in the SEC's rules and forms;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is accumulated and communicated to our management, including our principal executive officer and principal financial officer</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appropriate to allow timely decisions regarding required disclosure.</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2" w:name="page23"/>
    <w:bookmarkEnd w:id="22"/>
    <w:p>
      <w:pPr>
        <w:ind w:firstLine="509"/>
        <w:spacing w:after="0" w:line="26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quarter ended March 31, 2024, that has materially affected, or is reasonably likely to materially affect, our internal control over financial reporting.</w:t>
      </w:r>
    </w:p>
    <w:p>
      <w:pPr>
        <w:jc w:val="center"/>
        <w:ind w:right="-2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20" w:right="599" w:bottom="1440" w:gutter="0" w:footer="0" w:header="0"/>
        </w:sectPr>
      </w:pPr>
    </w:p>
    <w:bookmarkStart w:id="23" w:name="page24"/>
    <w:bookmarkEnd w:id="2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March 31, 2024, we were not party to any material legal or arbitration proceedings. No governmental proceedings are pending or, to our knowledge, contemplated against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unaudited condensed consolidated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Selected Risks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of which you should be aware before making a decision to invest in our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and uncertainties include, among others, the following:</w:t>
      </w:r>
    </w:p>
    <w:p>
      <w:pPr>
        <w:spacing w:after="0" w:line="99" w:lineRule="exact"/>
        <w:rPr>
          <w:sz w:val="20"/>
          <w:szCs w:val="20"/>
          <w:color w:val="auto"/>
        </w:rPr>
      </w:pPr>
    </w:p>
    <w:p>
      <w:pPr>
        <w:ind w:left="1020" w:right="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Revumenib and axatilimab have undergone limited clinical testing and we may fail to show that each is well tolerated and provides sufficient clinical benefit for patients.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to the final data.</w:t>
      </w:r>
    </w:p>
    <w:p>
      <w:pPr>
        <w:spacing w:after="0" w:line="53" w:lineRule="exact"/>
        <w:rPr>
          <w:rFonts w:ascii="Times New Roman" w:cs="Times New Roman" w:eastAsia="Times New Roman" w:hAnsi="Times New Roman"/>
          <w:sz w:val="18"/>
          <w:szCs w:val="18"/>
          <w:color w:val="auto"/>
        </w:rPr>
      </w:pPr>
    </w:p>
    <w:p>
      <w:pPr>
        <w:ind w:left="1020" w:right="1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 commercialization of any of our product candidates.</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fail to perform its obligations as expected under the collaboration or may deprioritize its investment to further develop and commercialize axatilimab.</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enroll patients in clinical trials, these clinical trials may not be completed on a timely basis or at all.</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achieve adequate market acceptance among physicians, patients, healthcare payors and others in the medical community to be commercially successful.</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suppliers as well as Incyte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receive regulatory approval, they may still face future development and regulatory difficulties.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since our inception, except 2021, and anticipate that we will continue to incur net losses for the foreseeable</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future.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4" w:name="page25"/>
    <w:bookmarkEnd w:id="24"/>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source of product revenue and may never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likely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or protect intellectual property rights, we may not be able to compete effectively in our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stock may be volatile and you could lose all or part of your investment.</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51" w:lineRule="exact"/>
        <w:rPr>
          <w:sz w:val="20"/>
          <w:szCs w:val="20"/>
          <w:color w:val="auto"/>
        </w:rPr>
      </w:pPr>
    </w:p>
    <w:p>
      <w:pPr>
        <w:ind w:right="520" w:firstLine="578"/>
        <w:spacing w:after="0" w:line="266" w:lineRule="auto"/>
        <w:rPr>
          <w:sz w:val="20"/>
          <w:szCs w:val="20"/>
          <w:color w:val="auto"/>
        </w:rPr>
      </w:pPr>
      <w:r>
        <w:rPr>
          <w:rFonts w:ascii="Times New Roman" w:cs="Times New Roman" w:eastAsia="Times New Roman" w:hAnsi="Times New Roman"/>
          <w:sz w:val="18"/>
          <w:szCs w:val="18"/>
          <w:color w:val="auto"/>
        </w:rPr>
        <w:t>Our financial success will depend substantially on our ability to effectively and profitably commercialize our product candidates. In order to commercialize our product candidates, we will be required to obtain regulatory approvals by establishing that each of them is sufficiently safe and effective. The clinical and commercial success of our product candidates will depend on a number of factors, including the following:</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our research and development activities, clinical trials and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any future clinical trials of revumenib and axatilimab;</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in connection with public health threats or any future geopolitical tensions, such as the ongoing war between Russia and Ukraine and the war in Israel;</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foreign regulatory authorities to conduct additional clinical trials prior to receiving marketing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drug reactions in any of our clinical trials;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meeting the endpoints in the clinical trials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and maintaining compliance with all applicable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use of our product candidates to treat various cancer indications and fibrotic diseases;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alternative and competing treatments;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own or our potential strategic collaborators’ marketing, sales and distribution strategy and operations in the United States and abroad;</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collaboration partner and of third-party contract manufacturers to produce trial supplies and to develop, validate and maintain a commercially viable manufacturing process that is compliant with cGMP;</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in the United States and abroad, whether alone or in collaboration with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any significant disruptions of our information technology systems and protect the security of our data;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our intellectual property rights in and to our product candidates.</w:t>
      </w:r>
    </w:p>
    <w:p>
      <w:pPr>
        <w:spacing w:after="0" w:line="117" w:lineRule="exact"/>
        <w:rPr>
          <w:sz w:val="20"/>
          <w:szCs w:val="20"/>
          <w:color w:val="auto"/>
        </w:rPr>
      </w:pPr>
    </w:p>
    <w:p>
      <w:pPr>
        <w:ind w:firstLine="578"/>
        <w:spacing w:after="0" w:line="261" w:lineRule="auto"/>
        <w:rPr>
          <w:sz w:val="20"/>
          <w:szCs w:val="20"/>
          <w:color w:val="auto"/>
        </w:rPr>
      </w:pPr>
      <w:r>
        <w:rPr>
          <w:rFonts w:ascii="Times New Roman" w:cs="Times New Roman" w:eastAsia="Times New Roman" w:hAnsi="Times New Roman"/>
          <w:sz w:val="18"/>
          <w:szCs w:val="18"/>
          <w:color w:val="auto"/>
        </w:rPr>
        <w:t>If we fail to obtain regulatory approval for our product candidates, we will not be able to generate product sales, which will have a material adverse effect on our business and our prospects.</w:t>
      </w: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Revumenib has undergone limited clinical testing and we may fail to show that it is well tolerated and provides sufficient clinical benefit for patients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ind w:firstLine="584"/>
        <w:spacing w:after="0" w:line="252" w:lineRule="auto"/>
        <w:rPr>
          <w:sz w:val="20"/>
          <w:szCs w:val="20"/>
          <w:color w:val="auto"/>
        </w:rPr>
      </w:pPr>
      <w:r>
        <w:rPr>
          <w:rFonts w:ascii="Times New Roman" w:cs="Times New Roman" w:eastAsia="Times New Roman" w:hAnsi="Times New Roman"/>
          <w:sz w:val="18"/>
          <w:szCs w:val="18"/>
          <w:color w:val="auto"/>
        </w:rPr>
        <w:t>Research suggests that certain acute leukemias, such as lysine methyltransferase 2A rearranged, or KMT2Ar, acute myeloid or lymphoid leukemia, AML or ALL, and nucleophosmin 1, or NPM1, mutant AML, are driven by the interaction of menin, a nuclear protein involved in transcription, with the N-terminus of KMT2A protein. In NPM1 mutant AML the interaction with menin occurs via the wild type KMT2A protein, and in KMT2Ar acute leukemia, the interaction occurs via a mutant form of KMT2A, a fusion protein known as KMT2Ar. KMT2Ar results from a rare, spontaneous fusion between the N-terminus of the KMT2A gene and a host of signaling molecules and nuclear transcription factors. This fusion produces an aberrant transcription program that drives leukemic transformation. In pre-clinical animal models, small molecule inhibitors of the menin-KMT2Ar interaction, such as revumenib, which bind to, and block the interaction of menin with either KMT2A rearranged or wildtype, have demonstrated deep and durable single agent treatment effects in multiple leukemic xenograft models harboring KMT2A fusions or NPM1 mutations. Our strategy for developing revumenib is to conduct a Phase 1/2 clinical trial in r/r patients with KMT2Ar and NPM1 mutant acute leukemias and determine if the observed clinical efficacy supports further development. The Phase 1 portion of the trial is assessing the safety, tolerability and pharmacokinetics of revumenib,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revumenib across three expansion cohorts enrolling pediatric and adult R/R patients with KMT2Ar ALL, KMT2Ar AML, and NPM1 mutant AML. In October 2023, we announced positive topline data in patients with R/R KMT2Ar acute leukemia and that we have submitted an NDA under the FDA’s RTOR program. Neither breakthrough therapy designation nor RTOR review change the standards for approval and may not ultimately expedite the approval process or lead to approval. While we believe that we have established sufficient efficacy to warrant an NDA submission and continued development in these indications, we may not yet have sufficiently demonstrated a favorable risk-benefit of revumenib in patients.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Axatilimab has undergone limited clinical testing and we may fail to show that it is well tolerated and provides a clinical benefit for patients.</w:t>
      </w:r>
    </w:p>
    <w:p>
      <w:pPr>
        <w:spacing w:after="0" w:line="121" w:lineRule="exact"/>
        <w:rPr>
          <w:sz w:val="20"/>
          <w:szCs w:val="20"/>
          <w:color w:val="auto"/>
        </w:rPr>
      </w:pPr>
    </w:p>
    <w:p>
      <w:pPr>
        <w:ind w:right="60" w:firstLine="584"/>
        <w:spacing w:after="0" w:line="253" w:lineRule="auto"/>
        <w:rPr>
          <w:sz w:val="20"/>
          <w:szCs w:val="20"/>
          <w:color w:val="auto"/>
        </w:rPr>
      </w:pPr>
      <w:r>
        <w:rPr>
          <w:rFonts w:ascii="Times New Roman" w:cs="Times New Roman" w:eastAsia="Times New Roman" w:hAnsi="Times New Roman"/>
          <w:sz w:val="18"/>
          <w:szCs w:val="18"/>
          <w:color w:val="auto"/>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In 2018, we commenced a Phase 1/2 clinical trial with axatilimab in subjects with active cGVHD who had failed at least two prior lines of therapy. Following our end of Phase 1 meeting with the FDA, we aligned on a regulatory path for axatilimab for the treatment of cGVHD and commenced a pivotal Phase 2 clinical trial, AGAVE-201, to assess the safety and efficacy of different doses and schedules of axatilimab for the treatment of patients with cGVHD. In July 2023, we announced that AGAVE-201 met its primary endpoint across all three doses in the trial. In January 2024, we announced that, along with Incyte, we submitted a BLA the previous December. While we believe that we have established sufficient efficacy to warrant a BLA submission and continued development in this indication, we may not yet have sufficiently demonstrated a favorable risk-benefit of axatilimab in patients.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right="80" w:firstLine="578"/>
        <w:spacing w:after="0" w:line="269" w:lineRule="auto"/>
        <w:rPr>
          <w:sz w:val="20"/>
          <w:szCs w:val="20"/>
          <w:color w:val="auto"/>
        </w:rPr>
      </w:pPr>
      <w:r>
        <w:rPr>
          <w:rFonts w:ascii="Times New Roman" w:cs="Times New Roman" w:eastAsia="Times New Roman" w:hAnsi="Times New Roman"/>
          <w:sz w:val="17"/>
          <w:szCs w:val="17"/>
          <w:color w:val="auto"/>
        </w:rPr>
        <w:t>From time to time, we may publish interim top-line or preliminary data from our clinical trials. For example, in each of November 2022 and 2023, we announced interim data from our Phase 1/2 clinical trial of revumenib. While we have presented final data from our pivotal AGAVE-201 trial and from two of three cohorts in our AUGMENT-101 trial, interim data from other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51" w:lineRule="exact"/>
        <w:rPr>
          <w:sz w:val="20"/>
          <w:szCs w:val="20"/>
          <w:color w:val="auto"/>
        </w:rPr>
      </w:pPr>
    </w:p>
    <w:p>
      <w:pPr>
        <w:ind w:right="20" w:firstLine="578"/>
        <w:spacing w:after="0" w:line="261"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w:t>
      </w: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w:t>
      </w:r>
    </w:p>
    <w:p>
      <w:pPr>
        <w:spacing w:after="0" w:line="6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collaboration with Incyte to further develop and commercialize axatilimab. If we or Incyte fail to perform as expected the potential for us to generate future revenues under the collaboration could be significantly reduced, the development and/or commercialization of axatilimab may be terminated or substantially delayed, and our business could be adversely affected.</w:t>
      </w:r>
    </w:p>
    <w:p>
      <w:pPr>
        <w:spacing w:after="0" w:line="67" w:lineRule="exact"/>
        <w:rPr>
          <w:sz w:val="20"/>
          <w:szCs w:val="20"/>
          <w:color w:val="auto"/>
        </w:rPr>
      </w:pPr>
    </w:p>
    <w:p>
      <w:pPr>
        <w:ind w:right="500" w:firstLine="578"/>
        <w:spacing w:after="0" w:line="282" w:lineRule="auto"/>
        <w:rPr>
          <w:sz w:val="20"/>
          <w:szCs w:val="20"/>
          <w:color w:val="auto"/>
        </w:rPr>
      </w:pPr>
      <w:r>
        <w:rPr>
          <w:rFonts w:ascii="Times New Roman" w:cs="Times New Roman" w:eastAsia="Times New Roman" w:hAnsi="Times New Roman"/>
          <w:sz w:val="18"/>
          <w:szCs w:val="18"/>
          <w:color w:val="auto"/>
        </w:rPr>
        <w:t>We are subject to numerous risks related to the Incyte Collaboration Agreement to collaborate on the development and commercialization of axatilimab.</w:t>
      </w:r>
    </w:p>
    <w:p>
      <w:pPr>
        <w:spacing w:after="0" w:line="54" w:lineRule="exact"/>
        <w:rPr>
          <w:sz w:val="20"/>
          <w:szCs w:val="20"/>
          <w:color w:val="auto"/>
        </w:rPr>
      </w:pPr>
    </w:p>
    <w:p>
      <w:pPr>
        <w:ind w:right="300" w:firstLine="578"/>
        <w:spacing w:after="0" w:line="258" w:lineRule="auto"/>
        <w:rPr>
          <w:sz w:val="20"/>
          <w:szCs w:val="20"/>
          <w:color w:val="auto"/>
        </w:rPr>
      </w:pPr>
      <w:r>
        <w:rPr>
          <w:rFonts w:ascii="Times New Roman" w:cs="Times New Roman" w:eastAsia="Times New Roman" w:hAnsi="Times New Roman"/>
          <w:sz w:val="18"/>
          <w:szCs w:val="18"/>
          <w:color w:val="auto"/>
        </w:rPr>
        <w:t>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p>
    <w:p>
      <w:pPr>
        <w:spacing w:after="0" w:line="75" w:lineRule="exact"/>
        <w:rPr>
          <w:sz w:val="20"/>
          <w:szCs w:val="20"/>
          <w:color w:val="auto"/>
        </w:rPr>
      </w:pPr>
    </w:p>
    <w:p>
      <w:pPr>
        <w:ind w:left="1040" w:right="1020" w:hanging="377"/>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terminate the agreement for convenience upon 90 or 180 days’ notice depending on whether or not the parties have commercialized axatilimab in an indication in the respective territory;</w:t>
      </w:r>
    </w:p>
    <w:p>
      <w:pPr>
        <w:spacing w:after="0" w:line="53" w:lineRule="exact"/>
        <w:rPr>
          <w:rFonts w:ascii="Times New Roman" w:cs="Times New Roman" w:eastAsia="Times New Roman" w:hAnsi="Times New Roman"/>
          <w:sz w:val="18"/>
          <w:szCs w:val="18"/>
          <w:color w:val="auto"/>
        </w:rPr>
      </w:pPr>
    </w:p>
    <w:p>
      <w:pPr>
        <w:ind w:left="1040" w:right="280" w:hanging="377"/>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change the focus of its development and commercialization efforts or prioritize other programs more highly and, accordingly, reduce the efforts and resources allocated to axatilimab</w:t>
      </w:r>
    </w:p>
    <w:p>
      <w:pPr>
        <w:spacing w:after="0" w:line="53" w:lineRule="exact"/>
        <w:rPr>
          <w:rFonts w:ascii="Times New Roman" w:cs="Times New Roman" w:eastAsia="Times New Roman" w:hAnsi="Times New Roman"/>
          <w:sz w:val="18"/>
          <w:szCs w:val="18"/>
          <w:color w:val="auto"/>
        </w:rPr>
      </w:pPr>
    </w:p>
    <w:p>
      <w:pPr>
        <w:ind w:left="1040" w:right="20" w:hanging="377"/>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Incyte may, within its commercially reasonable discretion, choose not to develop and commercialize axatilimab in all relevant markets or for one or more indications, if at all; and</w:t>
      </w:r>
    </w:p>
    <w:p>
      <w:pPr>
        <w:spacing w:after="0" w:line="53" w:lineRule="exact"/>
        <w:rPr>
          <w:rFonts w:ascii="Times New Roman" w:cs="Times New Roman" w:eastAsia="Times New Roman" w:hAnsi="Times New Roman"/>
          <w:sz w:val="18"/>
          <w:szCs w:val="18"/>
          <w:color w:val="auto"/>
        </w:rPr>
      </w:pPr>
    </w:p>
    <w:p>
      <w:pPr>
        <w:ind w:left="1040" w:right="360" w:hanging="377"/>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cannot ensure that the potential strategic benefits and opportunities expected from this collaboration with be realized on our anticipated timeline or at all.</w:t>
      </w:r>
    </w:p>
    <w:p>
      <w:pPr>
        <w:spacing w:after="0" w:line="158" w:lineRule="exact"/>
        <w:rPr>
          <w:sz w:val="20"/>
          <w:szCs w:val="20"/>
          <w:color w:val="auto"/>
        </w:rPr>
      </w:pPr>
    </w:p>
    <w:p>
      <w:pPr>
        <w:jc w:val="center"/>
        <w:ind w:right="84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we or our collaborators are unable to enroll patients in clinical trials, these clinical trials may not be completed on a timely basis or at all. </w:t>
      </w:r>
      <w:r>
        <w:rPr>
          <w:rFonts w:ascii="Times New Roman" w:cs="Times New Roman" w:eastAsia="Times New Roman" w:hAnsi="Times New Roman"/>
          <w:sz w:val="18"/>
          <w:szCs w:val="18"/>
          <w:color w:val="auto"/>
        </w:rPr>
        <w:t>The timely completion of clinical trials largely depends on patient enrollment. Many factors affect patient enrollment, including:</w:t>
      </w: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crises, or geopolitical tensions, such as the ongoing war between Russia and Ukraine and the war in Israel;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about the relative efficacy of our product candidates versus other compounds in clinical development or commercially available;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standard of care in treating cancer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especially in the case of an orphan indication, we are pursuing;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trial sites enrolled;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organizations or our own clinical trials for clinical trial sites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a result of the above factors, there is a risk that our or our collaborators’ clinical trials may not be completed on a timely basis or at all.</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collaborations, including any future strategic collaborations we enter into, could subject us to a number of risks, including:</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7" w:name="page28"/>
    <w:bookmarkEnd w:id="27"/>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existing stockholders’ percentage of ownership;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117" w:lineRule="exact"/>
        <w:rPr>
          <w:rFonts w:ascii="Times New Roman" w:cs="Times New Roman" w:eastAsia="Times New Roman" w:hAnsi="Times New Roman"/>
          <w:sz w:val="18"/>
          <w:szCs w:val="18"/>
          <w:color w:val="auto"/>
        </w:rPr>
      </w:pPr>
    </w:p>
    <w:p>
      <w:pPr>
        <w:ind w:left="1020" w:right="11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sales and distribution of our product candidates,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experience financial difficulties;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1020" w:right="10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explore strategic collaborations that may never materialize or may fail.</w:t>
      </w:r>
    </w:p>
    <w:p>
      <w:pPr>
        <w:spacing w:after="0" w:line="121" w:lineRule="exact"/>
        <w:rPr>
          <w:sz w:val="20"/>
          <w:szCs w:val="20"/>
          <w:color w:val="auto"/>
        </w:rPr>
      </w:pPr>
    </w:p>
    <w:p>
      <w:pPr>
        <w:ind w:right="20" w:firstLine="578"/>
        <w:spacing w:after="0" w:line="256" w:lineRule="auto"/>
        <w:rPr>
          <w:sz w:val="20"/>
          <w:szCs w:val="20"/>
          <w:color w:val="auto"/>
        </w:rPr>
      </w:pPr>
      <w:r>
        <w:rPr>
          <w:rFonts w:ascii="Times New Roman" w:cs="Times New Roman" w:eastAsia="Times New Roman" w:hAnsi="Times New Roman"/>
          <w:sz w:val="18"/>
          <w:szCs w:val="18"/>
          <w:color w:val="auto"/>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8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foreign regulatory authorities are lengthy, time-consuming and inherently unpredictable. Our inability to obtain regulatory approval for our product candidates would harm our business.</w:t>
      </w:r>
    </w:p>
    <w:p>
      <w:pPr>
        <w:spacing w:after="0" w:line="51"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current Good Manufacturing Practices, or cGMP, current Good Laboratory Practices and current Good Clinical Practices,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84" w:lineRule="exact"/>
        <w:rPr>
          <w:sz w:val="20"/>
          <w:szCs w:val="20"/>
          <w:color w:val="auto"/>
        </w:rPr>
      </w:pPr>
    </w:p>
    <w:p>
      <w:pPr>
        <w:ind w:right="500" w:firstLine="578"/>
        <w:spacing w:after="0" w:line="282" w:lineRule="auto"/>
        <w:rPr>
          <w:sz w:val="20"/>
          <w:szCs w:val="20"/>
          <w:color w:val="auto"/>
        </w:rPr>
      </w:pPr>
      <w:r>
        <w:rPr>
          <w:rFonts w:ascii="Times New Roman" w:cs="Times New Roman" w:eastAsia="Times New Roman" w:hAnsi="Times New Roman"/>
          <w:sz w:val="18"/>
          <w:szCs w:val="18"/>
          <w:color w:val="auto"/>
        </w:rPr>
        <w:t>In addition, our product candidates could fail to receive regulatory approval from the FDA or foreign regulatory authorities for other reasons, including but not limited to:</w:t>
      </w:r>
    </w:p>
    <w:p>
      <w:pPr>
        <w:spacing w:after="0" w:line="5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our product candidates are effective for their proposed indication and have an acceptable safety profile;</w:t>
      </w:r>
    </w:p>
    <w:p>
      <w:pPr>
        <w:spacing w:after="0" w:line="2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trials to meet the primary endpoints or level of statistical significance required for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the clinical and other benefits of a product candidate outweigh any of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size, conduct or implementation of our or our collaborators’ trials;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data collected from trials of our product candidates to support the submission and filing of an NDA, BLA or other submission or to obtain regulatory approval;</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approval of the manufacturing and testing processes or facilities of third-party manufacturers with whom we contract for clinical and commercial product supplies or preclinical or clinical testing;</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 negative opinion from an advisory committee due to a change in the standard of care regardless of the outcome of the clinical trials;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approval policies or regulations that render our preclinical and clinical data insufficient for approval.</w:t>
      </w:r>
    </w:p>
    <w:p>
      <w:pPr>
        <w:spacing w:after="0" w:line="117"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 Moreover, if adopted in the form proposed, the recent European Commission proposals to revise the existing European Union, or EU, laws governing authorization of medicinal products may result in a decrease in data and market exclusivity for our product candidates in the EU.</w:t>
      </w:r>
    </w:p>
    <w:p>
      <w:pPr>
        <w:spacing w:after="0" w:line="19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Times New Roman" w:cs="Times New Roman" w:eastAsia="Times New Roman" w:hAnsi="Times New Roman"/>
          <w:sz w:val="18"/>
          <w:szCs w:val="18"/>
          <w:i w:val="1"/>
          <w:iCs w:val="1"/>
          <w:color w:val="auto"/>
        </w:rPr>
        <w:t>.</w:t>
      </w:r>
    </w:p>
    <w:p>
      <w:pPr>
        <w:spacing w:after="0" w:line="51" w:lineRule="exact"/>
        <w:rPr>
          <w:sz w:val="20"/>
          <w:szCs w:val="20"/>
          <w:color w:val="auto"/>
        </w:rPr>
      </w:pPr>
    </w:p>
    <w:p>
      <w:pPr>
        <w:ind w:right="120" w:firstLine="578"/>
        <w:spacing w:after="0" w:line="261"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as well as competitive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clinics and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the availability of coverage and adequate reimbursement by third-party payors, including government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 candidates.</w:t>
      </w:r>
    </w:p>
    <w:p>
      <w:pPr>
        <w:spacing w:after="0" w:line="117" w:lineRule="exact"/>
        <w:rPr>
          <w:sz w:val="20"/>
          <w:szCs w:val="20"/>
          <w:color w:val="auto"/>
        </w:rPr>
      </w:pPr>
    </w:p>
    <w:p>
      <w:pPr>
        <w:ind w:right="120" w:firstLine="578"/>
        <w:spacing w:after="0" w:line="282" w:lineRule="auto"/>
        <w:rPr>
          <w:sz w:val="20"/>
          <w:szCs w:val="20"/>
          <w:color w:val="auto"/>
        </w:rPr>
      </w:pPr>
      <w:r>
        <w:rPr>
          <w:rFonts w:ascii="Times New Roman" w:cs="Times New Roman" w:eastAsia="Times New Roman" w:hAnsi="Times New Roman"/>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5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suppliers as well as Incyte to manufacture and distribute our clinical drug supplies for our product candidates, we intend to rely on third parties for commercial manufacturing and distribution of our product candidates and we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expect to rely on third parties for manufacturing and distribution of preclinical, clinical and commercial supplies of any future product candidates.</w:t>
      </w:r>
    </w:p>
    <w:p>
      <w:pPr>
        <w:spacing w:after="0" w:line="121" w:lineRule="exact"/>
        <w:rPr>
          <w:sz w:val="20"/>
          <w:szCs w:val="20"/>
          <w:color w:val="auto"/>
        </w:rPr>
      </w:pPr>
    </w:p>
    <w:p>
      <w:pPr>
        <w:ind w:right="80" w:firstLine="578"/>
        <w:spacing w:after="0" w:line="258"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and Incyte for the foreseeable future, we do not have direct control over the ability of these parties to maintain adequate manufacturing capacity and capabilities to serve our needs, including quality control, quality assurance and qualified personnel. In addition, public health crises, may impact the ability of our existing or future manufacturers to perform their obligations to us.</w:t>
      </w:r>
    </w:p>
    <w:p>
      <w:pPr>
        <w:spacing w:after="0" w:line="75"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We are dependent on our third-party manufacturers and Incyte for compliance with cGMPs and for manufacture of both active drug substances and finished drug products. Facilities used by our third-party manufacturers and Incyte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or Incyte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w:t>
      </w:r>
    </w:p>
    <w:p>
      <w:pPr>
        <w:spacing w:after="0" w:line="121" w:lineRule="exact"/>
        <w:rPr>
          <w:sz w:val="20"/>
          <w:szCs w:val="20"/>
          <w:color w:val="auto"/>
        </w:rPr>
      </w:pPr>
    </w:p>
    <w:p>
      <w:pPr>
        <w:ind w:right="40" w:firstLine="578"/>
        <w:spacing w:after="0" w:line="255" w:lineRule="auto"/>
        <w:rPr>
          <w:sz w:val="20"/>
          <w:szCs w:val="20"/>
          <w:color w:val="auto"/>
        </w:rPr>
      </w:pPr>
      <w:r>
        <w:rPr>
          <w:rFonts w:ascii="Times New Roman" w:cs="Times New Roman" w:eastAsia="Times New Roman" w:hAnsi="Times New Roman"/>
          <w:sz w:val="18"/>
          <w:szCs w:val="18"/>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81"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79"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refuse to permit the import or export of products.</w:t>
      </w:r>
    </w:p>
    <w:p>
      <w:pPr>
        <w:spacing w:after="0" w:line="117" w:lineRule="exact"/>
        <w:rPr>
          <w:sz w:val="20"/>
          <w:szCs w:val="20"/>
          <w:color w:val="auto"/>
        </w:rPr>
      </w:pPr>
    </w:p>
    <w:p>
      <w:pPr>
        <w:ind w:right="40" w:firstLine="578"/>
        <w:spacing w:after="0" w:line="282"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and generate revenue from the sale of our product candidates.</w:t>
      </w:r>
    </w:p>
    <w:p>
      <w:pPr>
        <w:spacing w:after="0" w:line="54" w:lineRule="exact"/>
        <w:rPr>
          <w:sz w:val="20"/>
          <w:szCs w:val="20"/>
          <w:color w:val="auto"/>
        </w:rPr>
      </w:pPr>
    </w:p>
    <w:p>
      <w:pPr>
        <w:jc w:val="both"/>
        <w:ind w:right="540" w:firstLine="578"/>
        <w:spacing w:after="0" w:line="257"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is heavily scrutinized by the FDA’s Office of Prescription Drug Promotion, the Department of Justice, the Department of Health and Human Services’ Office of Inspector General, state attorneys general, members of Congress, other government agencies and the public. While physicians may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0" w:name="page31"/>
    <w:bookmarkEnd w:id="30"/>
    <w:p>
      <w:pPr>
        <w:ind w:right="120"/>
        <w:spacing w:after="0" w:line="256" w:lineRule="auto"/>
        <w:rPr>
          <w:sz w:val="20"/>
          <w:szCs w:val="20"/>
          <w:color w:val="auto"/>
        </w:rPr>
      </w:pPr>
      <w:r>
        <w:rPr>
          <w:rFonts w:ascii="Times New Roman" w:cs="Times New Roman" w:eastAsia="Times New Roman" w:hAnsi="Times New Roman"/>
          <w:sz w:val="18"/>
          <w:szCs w:val="18"/>
          <w:color w:val="auto"/>
        </w:rPr>
        <w:t>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79" w:lineRule="exact"/>
        <w:rPr>
          <w:sz w:val="20"/>
          <w:szCs w:val="20"/>
          <w:color w:val="auto"/>
        </w:rPr>
      </w:pPr>
    </w:p>
    <w:p>
      <w:pPr>
        <w:ind w:right="60" w:firstLine="578"/>
        <w:spacing w:after="0" w:line="253"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51"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79" w:lineRule="exact"/>
        <w:rPr>
          <w:sz w:val="20"/>
          <w:szCs w:val="20"/>
          <w:color w:val="auto"/>
        </w:rPr>
      </w:pPr>
    </w:p>
    <w:p>
      <w:pPr>
        <w:ind w:right="100" w:firstLine="578"/>
        <w:spacing w:after="0" w:line="282" w:lineRule="auto"/>
        <w:rPr>
          <w:sz w:val="20"/>
          <w:szCs w:val="20"/>
          <w:color w:val="auto"/>
        </w:rPr>
      </w:pPr>
      <w:r>
        <w:rPr>
          <w:rFonts w:ascii="Times New Roman" w:cs="Times New Roman" w:eastAsia="Times New Roman" w:hAnsi="Times New Roman"/>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suspend marketing of, or withdraw or recall,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product labels;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issue safety alerts, Dear Healthcare Provider letters, press releases or other communications containing warnings about the product;</w:t>
      </w:r>
    </w:p>
    <w:p>
      <w:pPr>
        <w:spacing w:after="0" w:line="53"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120" w:firstLine="578"/>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51"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9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right="140" w:firstLine="578"/>
        <w:spacing w:after="0" w:line="239" w:lineRule="auto"/>
        <w:rPr>
          <w:sz w:val="20"/>
          <w:szCs w:val="20"/>
          <w:color w:val="auto"/>
        </w:rPr>
      </w:pPr>
      <w:r>
        <w:rPr>
          <w:rFonts w:ascii="Times New Roman" w:cs="Times New Roman" w:eastAsia="Times New Roman" w:hAnsi="Times New Roman"/>
          <w:sz w:val="18"/>
          <w:szCs w:val="18"/>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several years, the FDA has approved three drugs, ibrutinib (</w:t>
      </w:r>
      <w:r>
        <w:rPr>
          <w:rFonts w:ascii="Times New Roman" w:cs="Times New Roman" w:eastAsia="Times New Roman" w:hAnsi="Times New Roman"/>
          <w:sz w:val="18"/>
          <w:szCs w:val="18"/>
          <w:i w:val="1"/>
          <w:iCs w:val="1"/>
          <w:color w:val="auto"/>
        </w:rPr>
        <w:t>Imbruvica</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color w:val="auto"/>
        </w:rPr>
        <w:t>), belomosidil (</w:t>
      </w:r>
      <w:r>
        <w:rPr>
          <w:rFonts w:ascii="Times New Roman" w:cs="Times New Roman" w:eastAsia="Times New Roman" w:hAnsi="Times New Roman"/>
          <w:sz w:val="18"/>
          <w:szCs w:val="18"/>
          <w:i w:val="1"/>
          <w:iCs w:val="1"/>
          <w:color w:val="auto"/>
        </w:rPr>
        <w:t>Rezurock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ruxolitinib (</w:t>
      </w:r>
      <w:r>
        <w:rPr>
          <w:rFonts w:ascii="Times New Roman" w:cs="Times New Roman" w:eastAsia="Times New Roman" w:hAnsi="Times New Roman"/>
          <w:sz w:val="18"/>
          <w:szCs w:val="18"/>
          <w:i w:val="1"/>
          <w:iCs w:val="1"/>
          <w:color w:val="auto"/>
        </w:rPr>
        <w:t>Jakafi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 use in patients with cGVHD after failure of one or more lines of systemic therapy. All three of these drugs may compete with axatilimab in patients diagnosed with cGVHD.</w:t>
      </w:r>
    </w:p>
    <w:p>
      <w:pPr>
        <w:spacing w:after="0" w:line="92" w:lineRule="exact"/>
        <w:rPr>
          <w:sz w:val="20"/>
          <w:szCs w:val="20"/>
          <w:color w:val="auto"/>
        </w:rPr>
      </w:pPr>
    </w:p>
    <w:p>
      <w:pPr>
        <w:ind w:right="80" w:firstLine="578"/>
        <w:spacing w:after="0" w:line="261" w:lineRule="auto"/>
        <w:rPr>
          <w:sz w:val="20"/>
          <w:szCs w:val="20"/>
          <w:color w:val="auto"/>
        </w:rPr>
      </w:pPr>
      <w:r>
        <w:rPr>
          <w:rFonts w:ascii="Times New Roman" w:cs="Times New Roman" w:eastAsia="Times New Roman" w:hAnsi="Times New Roman"/>
          <w:sz w:val="18"/>
          <w:szCs w:val="18"/>
          <w:color w:val="auto"/>
        </w:rPr>
        <w:t>Revumenib is being developed for the treatment of R/R adult and pediatric patients with KMT2Ar ALL, KMT2Ar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revumenib has the potential to be the first defined therapy for patients with KMT2Ar ALL, KMT2Ar AML and/or NPM1 mutant AML.</w:t>
      </w:r>
    </w:p>
    <w:p>
      <w:pPr>
        <w:spacing w:after="0" w:line="72" w:lineRule="exact"/>
        <w:rPr>
          <w:sz w:val="20"/>
          <w:szCs w:val="20"/>
          <w:color w:val="auto"/>
        </w:rPr>
      </w:pPr>
    </w:p>
    <w:p>
      <w:pPr>
        <w:ind w:right="20" w:firstLine="578"/>
        <w:spacing w:after="0" w:line="255" w:lineRule="auto"/>
        <w:rPr>
          <w:sz w:val="20"/>
          <w:szCs w:val="20"/>
          <w:color w:val="auto"/>
        </w:rPr>
      </w:pPr>
      <w:r>
        <w:rPr>
          <w:rFonts w:ascii="Times New Roman" w:cs="Times New Roman" w:eastAsia="Times New Roman" w:hAnsi="Times New Roman"/>
          <w:sz w:val="18"/>
          <w:szCs w:val="18"/>
          <w:color w:val="auto"/>
        </w:rPr>
        <w:t>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that our ability to successfully compete will depend on, among other things:</w:t>
      </w:r>
    </w:p>
    <w:p>
      <w:pPr>
        <w:spacing w:after="0" w:line="117" w:lineRule="exact"/>
        <w:rPr>
          <w:sz w:val="20"/>
          <w:szCs w:val="20"/>
          <w:color w:val="auto"/>
        </w:rPr>
      </w:pPr>
    </w:p>
    <w:p>
      <w:pPr>
        <w:ind w:left="1020" w:right="5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 relative to marketed products and product candidates in development by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for our product candidates to complete clinical development and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if they receive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 candidates, including in comparison to branded or generic competitors;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coverage and adequate levels of reimbursement are available under private and governmental health insurance plans, including Medicare;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commercial quantities of our product candidates if they receive regulatory approval;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preferential formulary status for our product candidates.</w:t>
      </w:r>
    </w:p>
    <w:p>
      <w:pPr>
        <w:spacing w:after="0" w:line="117" w:lineRule="exact"/>
        <w:rPr>
          <w:sz w:val="20"/>
          <w:szCs w:val="20"/>
          <w:color w:val="auto"/>
        </w:rPr>
      </w:pPr>
    </w:p>
    <w:p>
      <w:pPr>
        <w:jc w:val="both"/>
        <w:ind w:right="200" w:firstLine="578"/>
        <w:spacing w:after="0" w:line="257" w:lineRule="auto"/>
        <w:rPr>
          <w:sz w:val="20"/>
          <w:szCs w:val="20"/>
          <w:color w:val="auto"/>
        </w:rPr>
      </w:pPr>
      <w:r>
        <w:rPr>
          <w:rFonts w:ascii="Times New Roman" w:cs="Times New Roman" w:eastAsia="Times New Roman" w:hAnsi="Times New Roman"/>
          <w:sz w:val="18"/>
          <w:szCs w:val="18"/>
          <w:color w:val="auto"/>
        </w:rPr>
        <w:t>Even if we obtain regulatory approval of our product candidates, the availability, commercial formulary placement, and price of our competitors’ products could limit the demand and the price we are able to charge. We may not be able to implement our business plan if the acceptance of our product candidates is inhibited by price competition or the reluctance of physicians to switch from</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32" w:name="page33"/>
    <w:bookmarkEnd w:id="32"/>
    <w:p>
      <w:pPr>
        <w:ind w:right="1040"/>
        <w:spacing w:after="0" w:line="282" w:lineRule="auto"/>
        <w:rPr>
          <w:sz w:val="20"/>
          <w:szCs w:val="20"/>
          <w:color w:val="auto"/>
        </w:rPr>
      </w:pPr>
      <w:r>
        <w:rPr>
          <w:rFonts w:ascii="Times New Roman" w:cs="Times New Roman" w:eastAsia="Times New Roman" w:hAnsi="Times New Roman"/>
          <w:sz w:val="18"/>
          <w:szCs w:val="18"/>
          <w:color w:val="auto"/>
        </w:rPr>
        <w:t>existing methods of treatment, or if physicians switch to other new drug or biologic products or choose to reserve our drugs for use in limited circumstances.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investigational products may require companion diagnostics in certain indications. Failure to successfully develop, validate and obtain regulatory clearance or approval for such tests could harm our product development strategy or prevent us from realizing the full commercial potential of our investigational products.</w:t>
      </w:r>
    </w:p>
    <w:p>
      <w:pPr>
        <w:spacing w:after="0" w:line="67"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Companion diagnostics are subject to regulation by the FDA and comparable foreign regulatory authorities as a medical device and may require separate regulatory authorization prior to commercialization. Certain of our revumenib clinical trials include the use of an investigational or laboratory developed diagnostic test to help identify eligible patients. We currently do not have any plans to develop diagnostic tests internally. We are therefore dependent on the sustained cooperation and effort of third-party collaborators in developing and, if our investigational products are approved for use only with an approved companion diagnostic test, obtaining approval and commercializing these tests. If these parties are unable to successfully develop companion diagnostics for our investigational products, or experience delays in doing so, the development of our investigational products may be adversely affected and we may not be able to obtain marketing authorization for these investigational products. Furthermore, our ability to market and sell, as well as the commercial success, of any of our investigational products that require a companion diagnostic will be tied to, and dependent upon, the receipt of required regulatory authorization and the continued ability of such third parties to make the companion diagnostic commercially available on reasonable terms in the relevant geographies. Any failure to develop, validate, obtain and maintain marketing authorization and supply for a companion diagnostic we need may harm our business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UCB Biopharma Sprl, or UCB, to comply with the terms of our license agreement for axatilimab.</w:t>
      </w:r>
    </w:p>
    <w:p>
      <w:pPr>
        <w:spacing w:after="0" w:line="121" w:lineRule="exact"/>
        <w:rPr>
          <w:sz w:val="20"/>
          <w:szCs w:val="20"/>
          <w:color w:val="auto"/>
        </w:rPr>
      </w:pPr>
    </w:p>
    <w:p>
      <w:pPr>
        <w:ind w:right="180" w:firstLine="578"/>
        <w:spacing w:after="0" w:line="256" w:lineRule="auto"/>
        <w:rPr>
          <w:sz w:val="20"/>
          <w:szCs w:val="20"/>
          <w:color w:val="auto"/>
        </w:rPr>
      </w:pPr>
      <w:r>
        <w:rPr>
          <w:rFonts w:ascii="Times New Roman" w:cs="Times New Roman" w:eastAsia="Times New Roman" w:hAnsi="Times New Roman"/>
          <w:sz w:val="18"/>
          <w:szCs w:val="18"/>
          <w:color w:val="auto"/>
        </w:rPr>
        <w:t>Our commercial success also depends upon our ability to develop, manufacture, market and sell axatilimab. We have a worldwide, sublicensable, exclusive license to axatilimab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51" w:lineRule="exact"/>
        <w:rPr>
          <w:sz w:val="20"/>
          <w:szCs w:val="20"/>
          <w:color w:val="auto"/>
        </w:rPr>
      </w:pPr>
    </w:p>
    <w:p>
      <w:pPr>
        <w:ind w:right="20" w:firstLine="57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attract and retain additional highly skilled employees in order to succeed.</w:t>
      </w:r>
    </w:p>
    <w:p>
      <w:pPr>
        <w:spacing w:after="0" w:line="121" w:lineRule="exact"/>
        <w:rPr>
          <w:sz w:val="20"/>
          <w:szCs w:val="20"/>
          <w:color w:val="auto"/>
        </w:rPr>
      </w:pPr>
    </w:p>
    <w:p>
      <w:pPr>
        <w:ind w:right="20" w:firstLine="578"/>
        <w:spacing w:after="0" w:line="254" w:lineRule="auto"/>
        <w:rPr>
          <w:sz w:val="20"/>
          <w:szCs w:val="20"/>
          <w:color w:val="auto"/>
        </w:rPr>
      </w:pPr>
      <w:r>
        <w:rPr>
          <w:rFonts w:ascii="Times New Roman" w:cs="Times New Roman" w:eastAsia="Times New Roman" w:hAnsi="Times New Roman"/>
          <w:sz w:val="18"/>
          <w:szCs w:val="18"/>
          <w:color w:val="auto"/>
        </w:rPr>
        <w:t>We must recruit, retain, manage and motivate qualified clinical, scientific, technical, commercial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 intense and as a</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3" w:name="page34"/>
    <w:bookmarkEnd w:id="33"/>
    <w:p>
      <w:pPr>
        <w:ind w:right="800"/>
        <w:spacing w:after="0" w:line="282" w:lineRule="auto"/>
        <w:rPr>
          <w:sz w:val="20"/>
          <w:szCs w:val="20"/>
          <w:color w:val="auto"/>
        </w:rPr>
      </w:pPr>
      <w:r>
        <w:rPr>
          <w:rFonts w:ascii="Times New Roman" w:cs="Times New Roman" w:eastAsia="Times New Roman" w:hAnsi="Times New Roman"/>
          <w:sz w:val="18"/>
          <w:szCs w:val="18"/>
          <w:color w:val="auto"/>
        </w:rPr>
        <w:t>result, we may be unable to continue to attract and retain qualified personnel necessary for the development of our business or to recruit suitable replacement personnel.</w:t>
      </w:r>
    </w:p>
    <w:p>
      <w:pPr>
        <w:spacing w:after="0" w:line="54"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51" w:lineRule="exact"/>
        <w:rPr>
          <w:sz w:val="20"/>
          <w:szCs w:val="20"/>
          <w:color w:val="auto"/>
        </w:rPr>
      </w:pPr>
    </w:p>
    <w:p>
      <w:pPr>
        <w:ind w:right="100" w:firstLine="578"/>
        <w:spacing w:after="0" w:line="256" w:lineRule="auto"/>
        <w:rPr>
          <w:sz w:val="20"/>
          <w:szCs w:val="20"/>
          <w:color w:val="auto"/>
        </w:rPr>
      </w:pPr>
      <w:r>
        <w:rPr>
          <w:rFonts w:ascii="Times New Roman" w:cs="Times New Roman" w:eastAsia="Times New Roman" w:hAnsi="Times New Roman"/>
          <w:sz w:val="18"/>
          <w:szCs w:val="18"/>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pharmacy benefit managers,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rebates and discounts from list prices and are challenging the prices charged for medical products.</w:t>
      </w:r>
    </w:p>
    <w:p>
      <w:pPr>
        <w:spacing w:after="0" w:line="79" w:lineRule="exact"/>
        <w:rPr>
          <w:sz w:val="20"/>
          <w:szCs w:val="20"/>
          <w:color w:val="auto"/>
        </w:rPr>
      </w:pPr>
    </w:p>
    <w:p>
      <w:pPr>
        <w:ind w:right="260" w:firstLine="578"/>
        <w:spacing w:after="0" w:line="266"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68"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There may be significant delays in obtaining adequate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marketing,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84" w:lineRule="exact"/>
        <w:rPr>
          <w:sz w:val="20"/>
          <w:szCs w:val="20"/>
          <w:color w:val="auto"/>
        </w:rPr>
      </w:pPr>
    </w:p>
    <w:p>
      <w:pPr>
        <w:ind w:right="20" w:firstLine="578"/>
        <w:spacing w:after="0" w:line="255" w:lineRule="auto"/>
        <w:rPr>
          <w:sz w:val="20"/>
          <w:szCs w:val="20"/>
          <w:color w:val="auto"/>
        </w:rPr>
      </w:pPr>
      <w:r>
        <w:rPr>
          <w:rFonts w:ascii="Times New Roman" w:cs="Times New Roman" w:eastAsia="Times New Roman" w:hAnsi="Times New Roman"/>
          <w:sz w:val="18"/>
          <w:szCs w:val="18"/>
          <w:color w:val="auto"/>
        </w:rPr>
        <w:t>Private payors often follow decisions by Center for Medicare &amp; Medicaid Services, or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81"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84" w:lineRule="exact"/>
        <w:rPr>
          <w:sz w:val="20"/>
          <w:szCs w:val="20"/>
          <w:color w:val="auto"/>
        </w:rPr>
      </w:pPr>
    </w:p>
    <w:p>
      <w:pPr>
        <w:ind w:right="20" w:firstLine="578"/>
        <w:spacing w:after="0" w:line="254" w:lineRule="auto"/>
        <w:rPr>
          <w:sz w:val="20"/>
          <w:szCs w:val="20"/>
          <w:color w:val="auto"/>
        </w:rPr>
      </w:pPr>
      <w:r>
        <w:rPr>
          <w:rFonts w:ascii="Times New Roman" w:cs="Times New Roman" w:eastAsia="Times New Roman" w:hAnsi="Times New Roman"/>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 Even if favorable coverage status and adequate reimbursement rates are attained, less favorable coverage policies and reimbursement rates may be implemented in the future.</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commercialize our product candidates and affect the prices we may obtain.</w:t>
      </w:r>
    </w:p>
    <w:p>
      <w:pPr>
        <w:spacing w:after="0" w:line="121" w:lineRule="exact"/>
        <w:rPr>
          <w:sz w:val="20"/>
          <w:szCs w:val="20"/>
          <w:color w:val="auto"/>
        </w:rPr>
      </w:pPr>
    </w:p>
    <w:p>
      <w:pPr>
        <w:jc w:val="both"/>
        <w:ind w:right="40" w:firstLine="578"/>
        <w:spacing w:after="0" w:line="266" w:lineRule="auto"/>
        <w:rPr>
          <w:sz w:val="20"/>
          <w:szCs w:val="20"/>
          <w:color w:val="auto"/>
        </w:rPr>
      </w:pPr>
      <w:r>
        <w:rPr>
          <w:rFonts w:ascii="Times New Roman" w:cs="Times New Roman" w:eastAsia="Times New Roman" w:hAnsi="Times New Roman"/>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68" w:lineRule="exact"/>
        <w:rPr>
          <w:sz w:val="20"/>
          <w:szCs w:val="20"/>
          <w:color w:val="auto"/>
        </w:rPr>
      </w:pPr>
    </w:p>
    <w:p>
      <w:pPr>
        <w:ind w:right="260" w:firstLine="578"/>
        <w:spacing w:after="0" w:line="266" w:lineRule="auto"/>
        <w:rPr>
          <w:sz w:val="20"/>
          <w:szCs w:val="20"/>
          <w:color w:val="auto"/>
        </w:rPr>
      </w:pPr>
      <w:r>
        <w:rPr>
          <w:rFonts w:ascii="Times New Roman" w:cs="Times New Roman" w:eastAsia="Times New Roman" w:hAnsi="Times New Roman"/>
          <w:sz w:val="18"/>
          <w:szCs w:val="18"/>
          <w:color w:val="auto"/>
        </w:rPr>
        <w:t>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Affordable Care Act.</w:t>
      </w:r>
    </w:p>
    <w:p>
      <w:pPr>
        <w:spacing w:after="0" w:line="117"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On August 16, 2022, President Biden signed the Inflation Reduction Act of 2022 or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costs through a newly established manufacturer discount program.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86" w:lineRule="exact"/>
        <w:rPr>
          <w:sz w:val="20"/>
          <w:szCs w:val="20"/>
          <w:color w:val="auto"/>
        </w:rPr>
      </w:pPr>
    </w:p>
    <w:p>
      <w:pPr>
        <w:ind w:right="40" w:firstLine="578"/>
        <w:spacing w:after="0" w:line="26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These changes include aggregate reductions to Medicare payments to providers of up to 2% per fiscal year, which began in 2013, and due to subsequent legislative amendments to the statute, will remain in effect through 2032 unless additional Congressional action is taken.</w:t>
      </w:r>
    </w:p>
    <w:p>
      <w:pPr>
        <w:spacing w:after="0" w:line="68"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Additional changes that may affect our business include the expansion of new programs such as Medicare payment for performance initiatives for physicians under the Medicare Access and CHIP Reauthorization Act of 2015, or MACRA, which ended the use of the statutory formula and established a quality payment program, also referred to as the Quality Payment Program. The Quality Payment Program consists of two payment tracks that eligible clinicians can participate in: Advanced Alternative Payment Models, APMs, and the Merit-Based Incentive Payment System, MIPS. Under both APMs and MIPS the Advanced Alternative Payment Models and the Merit-Based Incentive Payment System, performance data collected each performance year will affect Medicare payments in later years, including potentially reducing payments..</w:t>
      </w:r>
    </w:p>
    <w:p>
      <w:pPr>
        <w:spacing w:after="0" w:line="79" w:lineRule="exact"/>
        <w:rPr>
          <w:sz w:val="20"/>
          <w:szCs w:val="20"/>
          <w:color w:val="auto"/>
        </w:rPr>
      </w:pPr>
    </w:p>
    <w:p>
      <w:pPr>
        <w:ind w:firstLine="578"/>
        <w:spacing w:after="0" w:line="251" w:lineRule="auto"/>
        <w:rPr>
          <w:sz w:val="20"/>
          <w:szCs w:val="20"/>
          <w:color w:val="auto"/>
        </w:rPr>
      </w:pPr>
      <w:r>
        <w:rPr>
          <w:rFonts w:ascii="Times New Roman" w:cs="Times New Roman" w:eastAsia="Times New Roman" w:hAnsi="Times New Roman"/>
          <w:sz w:val="18"/>
          <w:szCs w:val="18"/>
          <w:color w:val="auto"/>
        </w:rPr>
        <w:t>Also, there has been heightened governmental scrutiny recently over the manner in which drug manufacturers set prices for their marketed products, which have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(i) directs the Secretary of HHS to negotiate the price of certain high-expenditure, single-source drugs and biologics covered under Medicare Part B and Medicare Part D, and subjects drug manufacturers to civil monetary penalties and a potential excise tax by offering a price that is not equal to or less than the negotiated “maximum fair price” under the law, and (ii)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March-in rights allow a federal agency to grant a compulsory license on a privately owned patent to third parties, if the invention was developed with federal funding and the agency finds that certain statutory criteria apply.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35" w:name="page36"/>
    <w:bookmarkEnd w:id="35"/>
    <w:p>
      <w:pPr>
        <w:ind w:right="20"/>
        <w:spacing w:after="0" w:line="255" w:lineRule="auto"/>
        <w:rPr>
          <w:sz w:val="20"/>
          <w:szCs w:val="20"/>
          <w:color w:val="auto"/>
        </w:rPr>
      </w:pPr>
      <w:r>
        <w:rPr>
          <w:rFonts w:ascii="Times New Roman" w:cs="Times New Roman" w:eastAsia="Times New Roman" w:hAnsi="Times New Roman"/>
          <w:sz w:val="18"/>
          <w:szCs w:val="18"/>
          <w:color w:val="auto"/>
        </w:rPr>
        <w:t>continue under the new framework. At the state level, legislatures have increasingly passed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spacing w:after="0" w:line="81"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These and other healthcare reform measures that may be adopted in the future, may result in more rigorous coverage criteria and in additional downward pressure on the price that we receive for any approved drug. For example, based on a recent executive order, the Biden administration expressed its intent to pursue certain policy initiatives to reduce drug prices.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 the process of building our sales, marketing and distribution infrastructure.</w:t>
      </w:r>
    </w:p>
    <w:p>
      <w:pPr>
        <w:spacing w:after="0" w:line="121" w:lineRule="exact"/>
        <w:rPr>
          <w:sz w:val="20"/>
          <w:szCs w:val="20"/>
          <w:color w:val="auto"/>
        </w:rPr>
      </w:pPr>
    </w:p>
    <w:p>
      <w:pPr>
        <w:ind w:right="280" w:firstLine="578"/>
        <w:spacing w:after="0" w:line="281" w:lineRule="auto"/>
        <w:rPr>
          <w:sz w:val="20"/>
          <w:szCs w:val="20"/>
          <w:color w:val="auto"/>
        </w:rPr>
      </w:pPr>
      <w:r>
        <w:rPr>
          <w:rFonts w:ascii="Times New Roman" w:cs="Times New Roman" w:eastAsia="Times New Roman" w:hAnsi="Times New Roman"/>
          <w:sz w:val="17"/>
          <w:szCs w:val="17"/>
          <w:color w:val="auto"/>
        </w:rPr>
        <w:t>In order to market any approved product candidate in the future, we must build our sales, marketing, distribution, managerial and other non-technical capabilities or make arrangements with third parties to perform these services, as we do not presently have all of these capabilities. To develop our internal sales, distribution and marketing capabilities, we must invest significant amounts of financial and management resources in the future. For drugs where we decide to perform sales, marketing and distribution functions ourselves, we could face a number of challenges, including that:</w:t>
      </w:r>
    </w:p>
    <w:p>
      <w:pPr>
        <w:spacing w:after="0" w:line="5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and build an effective marketing or sales organization;</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training and providing regulatory oversight for a marketing or sales force may not be justifiable in light of the revenues generated by any particular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or indirect sales and marketing efforts may not be successful; and</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68" w:lineRule="exact"/>
        <w:rPr>
          <w:sz w:val="20"/>
          <w:szCs w:val="20"/>
          <w:color w:val="auto"/>
        </w:rPr>
      </w:pPr>
    </w:p>
    <w:p>
      <w:pPr>
        <w:ind w:right="220" w:firstLine="578"/>
        <w:spacing w:after="0" w:line="261" w:lineRule="auto"/>
        <w:rPr>
          <w:sz w:val="20"/>
          <w:szCs w:val="20"/>
          <w:color w:val="auto"/>
        </w:rPr>
      </w:pPr>
      <w:r>
        <w:rPr>
          <w:rFonts w:ascii="Times New Roman" w:cs="Times New Roman" w:eastAsia="Times New Roman" w:hAnsi="Times New Roman"/>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our product candidates.</w:t>
      </w:r>
    </w:p>
    <w:p>
      <w:pPr>
        <w:spacing w:after="0" w:line="121" w:lineRule="exact"/>
        <w:rPr>
          <w:sz w:val="20"/>
          <w:szCs w:val="20"/>
          <w:color w:val="auto"/>
        </w:rPr>
      </w:pPr>
    </w:p>
    <w:p>
      <w:pPr>
        <w:ind w:right="200" w:firstLine="57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75"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ind w:firstLine="578"/>
        <w:spacing w:after="0" w:line="256" w:lineRule="auto"/>
        <w:rPr>
          <w:sz w:val="20"/>
          <w:szCs w:val="20"/>
          <w:color w:val="auto"/>
        </w:rPr>
      </w:pPr>
      <w:r>
        <w:rPr>
          <w:rFonts w:ascii="Times New Roman" w:cs="Times New Roman" w:eastAsia="Times New Roman" w:hAnsi="Times New Roman"/>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83"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72"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75" w:lineRule="exact"/>
        <w:rPr>
          <w:sz w:val="20"/>
          <w:szCs w:val="20"/>
          <w:color w:val="auto"/>
        </w:rPr>
      </w:pPr>
    </w:p>
    <w:p>
      <w:pPr>
        <w:ind w:left="1020" w:right="100" w:hanging="503"/>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has been interpreted to apply to arrangements between pharmaceutical manufacturers on the one hand, and prescribers, purchasers and formulary managers on the other;</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Affordable Care Act amended the intent requirement of the federal Anti-Kickback Statute so that a person or entity no longer needs to have actual knowledge of this statute or specific intent to violate it in order to have committed a violation;</w:t>
      </w:r>
    </w:p>
    <w:p>
      <w:pPr>
        <w:spacing w:after="0" w:line="53"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1"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75"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spacing w:after="0" w:line="79" w:lineRule="exact"/>
        <w:rPr>
          <w:rFonts w:ascii="Times New Roman" w:cs="Times New Roman" w:eastAsia="Times New Roman" w:hAnsi="Times New Roman"/>
          <w:sz w:val="18"/>
          <w:szCs w:val="18"/>
          <w:color w:val="auto"/>
        </w:rPr>
      </w:pPr>
    </w:p>
    <w:p>
      <w:pPr>
        <w:ind w:left="1020" w:right="180" w:hanging="503"/>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37" w:name="page38"/>
    <w:bookmarkEnd w:id="37"/>
    <w:p>
      <w:pPr>
        <w:ind w:left="1020" w:right="120"/>
        <w:spacing w:after="0" w:line="254" w:lineRule="auto"/>
        <w:rPr>
          <w:sz w:val="20"/>
          <w:szCs w:val="20"/>
          <w:color w:val="auto"/>
        </w:rPr>
      </w:pPr>
      <w:r>
        <w:rPr>
          <w:rFonts w:ascii="Times New Roman" w:cs="Times New Roman" w:eastAsia="Times New Roman" w:hAnsi="Times New Roman"/>
          <w:sz w:val="18"/>
          <w:szCs w:val="18"/>
          <w:color w:val="auto"/>
        </w:rPr>
        <w:t>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80" w:lineRule="exact"/>
        <w:rPr>
          <w:sz w:val="20"/>
          <w:szCs w:val="20"/>
          <w:color w:val="auto"/>
        </w:rPr>
      </w:pPr>
    </w:p>
    <w:p>
      <w:pPr>
        <w:ind w:right="60" w:firstLine="578"/>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29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72" w:lineRule="exact"/>
        <w:rPr>
          <w:sz w:val="20"/>
          <w:szCs w:val="20"/>
          <w:color w:val="auto"/>
        </w:rPr>
      </w:pPr>
    </w:p>
    <w:p>
      <w:pPr>
        <w:ind w:right="120" w:firstLine="57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third-party data, business plans, transactions, clinical trial data and financial information or collectively, sensitive data.</w:t>
      </w:r>
    </w:p>
    <w:p>
      <w:pPr>
        <w:spacing w:after="0" w:line="72" w:lineRule="exact"/>
        <w:rPr>
          <w:sz w:val="20"/>
          <w:szCs w:val="20"/>
          <w:color w:val="auto"/>
        </w:rPr>
      </w:pPr>
    </w:p>
    <w:p>
      <w:pPr>
        <w:ind w:right="260" w:firstLine="578"/>
        <w:spacing w:after="0" w:line="312" w:lineRule="auto"/>
        <w:rPr>
          <w:sz w:val="20"/>
          <w:szCs w:val="20"/>
          <w:color w:val="auto"/>
        </w:rPr>
      </w:pPr>
      <w:r>
        <w:rPr>
          <w:rFonts w:ascii="Times New Roman" w:cs="Times New Roman" w:eastAsia="Times New Roman" w:hAnsi="Times New Roman"/>
          <w:sz w:val="17"/>
          <w:szCs w:val="17"/>
          <w:color w:val="auto"/>
        </w:rPr>
        <w:t>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32" w:lineRule="exact"/>
        <w:rPr>
          <w:sz w:val="20"/>
          <w:szCs w:val="20"/>
          <w:color w:val="auto"/>
        </w:rPr>
      </w:pPr>
    </w:p>
    <w:p>
      <w:pPr>
        <w:ind w:firstLine="578"/>
        <w:spacing w:after="0" w:line="256"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or HIPAA, as amended by the Health Information Technology for Economic and Clinical Health Act, or HITECH, imposes specific requirements relating to the privacy, security, and transmission of individually identifiable protected health information. For more information regarding risks associated with HIPAA, please refer to the section above that discusses risks associated with healthcare laws and regulations.</w:t>
      </w:r>
    </w:p>
    <w:p>
      <w:pPr>
        <w:spacing w:after="0" w:line="79"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or CPRA and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Although there are limited exemptions for clinical trial data under the CCPA, the CCPA and other similar laws may impact (possibly significantly) our business activities depending on how it is interpreted, should we become subject to the CCPA in the future. Similar laws are being considered in several other states, as well as at the federal and local levels,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8" w:name="page39"/>
    <w:bookmarkEnd w:id="38"/>
    <w:p>
      <w:pPr>
        <w:ind w:right="320"/>
        <w:spacing w:after="0" w:line="282" w:lineRule="auto"/>
        <w:rPr>
          <w:sz w:val="20"/>
          <w:szCs w:val="20"/>
          <w:color w:val="auto"/>
        </w:rPr>
      </w:pPr>
      <w:r>
        <w:rPr>
          <w:rFonts w:ascii="Times New Roman" w:cs="Times New Roman" w:eastAsia="Times New Roman" w:hAnsi="Times New Roman"/>
          <w:sz w:val="18"/>
          <w:szCs w:val="18"/>
          <w:color w:val="auto"/>
        </w:rPr>
        <w:t>and we expect more states to pass similar laws in the future. These developments may further complicate compliance efforts and increase legal risk and compliance costs for us and the third parties upon whom we rely.</w:t>
      </w:r>
    </w:p>
    <w:p>
      <w:pPr>
        <w:spacing w:after="0" w:line="54" w:lineRule="exact"/>
        <w:rPr>
          <w:sz w:val="20"/>
          <w:szCs w:val="20"/>
          <w:color w:val="auto"/>
        </w:rPr>
      </w:pPr>
    </w:p>
    <w:p>
      <w:pPr>
        <w:ind w:right="140" w:firstLine="578"/>
        <w:spacing w:after="0" w:line="256"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or EU GDPR, and the United Kingdom’s GDPR, or UK GDPR, impose strict requirements for processing personal data. 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79" w:lineRule="exact"/>
        <w:rPr>
          <w:sz w:val="20"/>
          <w:szCs w:val="20"/>
          <w:color w:val="auto"/>
        </w:rPr>
      </w:pPr>
    </w:p>
    <w:p>
      <w:pPr>
        <w:ind w:right="280" w:firstLine="578"/>
        <w:spacing w:after="0" w:line="281" w:lineRule="auto"/>
        <w:rPr>
          <w:sz w:val="20"/>
          <w:szCs w:val="20"/>
          <w:color w:val="auto"/>
        </w:rPr>
      </w:pPr>
      <w:r>
        <w:rPr>
          <w:rFonts w:ascii="Times New Roman" w:cs="Times New Roman" w:eastAsia="Times New Roman" w:hAnsi="Times New Roman"/>
          <w:sz w:val="17"/>
          <w:szCs w:val="17"/>
          <w:color w:val="auto"/>
        </w:rPr>
        <w:t>We may be subject to new laws governing the privacy of consumer health data, including reproductive, sexual orientation, and gender identity privacy rights.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w:t>
      </w:r>
    </w:p>
    <w:p>
      <w:pPr>
        <w:spacing w:after="0" w:line="56" w:lineRule="exact"/>
        <w:rPr>
          <w:sz w:val="20"/>
          <w:szCs w:val="20"/>
          <w:color w:val="auto"/>
        </w:rPr>
      </w:pPr>
    </w:p>
    <w:p>
      <w:pPr>
        <w:ind w:right="20" w:firstLine="578"/>
        <w:spacing w:after="0" w:line="261" w:lineRule="auto"/>
        <w:rPr>
          <w:sz w:val="20"/>
          <w:szCs w:val="20"/>
          <w:color w:val="auto"/>
        </w:rPr>
      </w:pPr>
      <w:r>
        <w:rPr>
          <w:rFonts w:ascii="Times New Roman" w:cs="Times New Roman" w:eastAsia="Times New Roman" w:hAnsi="Times New Roman"/>
          <w:sz w:val="18"/>
          <w:szCs w:val="18"/>
          <w:color w:val="auto"/>
        </w:rPr>
        <w:t>Our employees and personnel may occasionally use generative artificial intelligence, or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72" w:lineRule="exact"/>
        <w:rPr>
          <w:sz w:val="20"/>
          <w:szCs w:val="20"/>
          <w:color w:val="auto"/>
        </w:rPr>
      </w:pPr>
    </w:p>
    <w:p>
      <w:pPr>
        <w:ind w:firstLine="578"/>
        <w:spacing w:after="0" w:line="252"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w:t>
      </w:r>
    </w:p>
    <w:p>
      <w:pPr>
        <w:spacing w:after="0" w:line="85" w:lineRule="exact"/>
        <w:rPr>
          <w:sz w:val="20"/>
          <w:szCs w:val="20"/>
          <w:color w:val="auto"/>
        </w:rPr>
      </w:pPr>
    </w:p>
    <w:p>
      <w:pPr>
        <w:ind w:right="160" w:firstLine="578"/>
        <w:spacing w:after="0" w:line="261" w:lineRule="auto"/>
        <w:rPr>
          <w:sz w:val="20"/>
          <w:szCs w:val="20"/>
          <w:color w:val="auto"/>
        </w:rPr>
      </w:pPr>
      <w:r>
        <w:rPr>
          <w:rFonts w:ascii="Times New Roman" w:cs="Times New Roman" w:eastAsia="Times New Roman" w:hAnsi="Times New Roman"/>
          <w:sz w:val="18"/>
          <w:szCs w:val="18"/>
          <w:color w:val="auto"/>
        </w:rPr>
        <w:t>In addition to data privacy and security laws, we are bound by other contractual obligations related to data privacy and security, and our efforts to comply with such obligations may not be successful. We also publish privacy policies, marketing materials, and other statements regarding data privacy and security and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72" w:lineRule="exact"/>
        <w:rPr>
          <w:sz w:val="20"/>
          <w:szCs w:val="20"/>
          <w:color w:val="auto"/>
        </w:rPr>
      </w:pPr>
    </w:p>
    <w:p>
      <w:pPr>
        <w:ind w:right="20" w:firstLine="578"/>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(including clinical trial data); and orders to destroy or not use personal data. In particular, plaintiffs have become increasingly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9" w:name="page40"/>
    <w:bookmarkEnd w:id="39"/>
    <w:p>
      <w:pPr>
        <w:spacing w:after="0" w:line="258" w:lineRule="auto"/>
        <w:rPr>
          <w:sz w:val="20"/>
          <w:szCs w:val="20"/>
          <w:color w:val="auto"/>
        </w:rPr>
      </w:pPr>
      <w:r>
        <w:rPr>
          <w:rFonts w:ascii="Times New Roman" w:cs="Times New Roman" w:eastAsia="Times New Roman" w:hAnsi="Times New Roman"/>
          <w:sz w:val="18"/>
          <w:szCs w:val="18"/>
          <w:color w:val="auto"/>
        </w:rPr>
        <w:t>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8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our data are or were compromised, we could experience adverse consequences resulting from such compromise, including but not limited to regulatory investigations or actions; fines and penalties; disruptions of our business operations; reputational harm; loss of revenue or profits; and other adverse consequences.</w:t>
      </w:r>
    </w:p>
    <w:p>
      <w:pPr>
        <w:spacing w:after="0" w:line="67" w:lineRule="exact"/>
        <w:rPr>
          <w:sz w:val="20"/>
          <w:szCs w:val="20"/>
          <w:color w:val="auto"/>
        </w:rPr>
      </w:pPr>
    </w:p>
    <w:p>
      <w:pPr>
        <w:ind w:right="20" w:firstLine="578"/>
        <w:spacing w:after="0" w:line="253"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In the ordinary course of our business, we collect, store, process and transmit large amounts of sensitive data, and, as a result, we and the third parties upon which we rely face a variety of evolving threats that could cause security incidents. We have also outsourced elements of our operations (including elements of our information technology infrastructure) to third parties, and as a result, we manage a number of third-party vendors who may or could have access to our computer networks and our sensitive data.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data stored on those systems, make such systems vulnerable to unintentional or malicious, internal and external attacks on our technology environment. Furthermore, our ability to monitor the aforementioned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79" w:lineRule="exact"/>
        <w:rPr>
          <w:sz w:val="20"/>
          <w:szCs w:val="20"/>
          <w:color w:val="auto"/>
        </w:rPr>
      </w:pPr>
    </w:p>
    <w:p>
      <w:pPr>
        <w:ind w:right="80" w:firstLine="578"/>
        <w:spacing w:after="0" w:line="256" w:lineRule="auto"/>
        <w:rPr>
          <w:sz w:val="20"/>
          <w:szCs w:val="20"/>
          <w:color w:val="auto"/>
        </w:rPr>
      </w:pPr>
      <w:r>
        <w:rPr>
          <w:rFonts w:ascii="Times New Roman" w:cs="Times New Roman" w:eastAsia="Times New Roman" w:hAnsi="Times New Roman"/>
          <w:sz w:val="18"/>
          <w:szCs w:val="18"/>
          <w:color w:val="auto"/>
        </w:rPr>
        <w:t>In addition, we currently offer a hybrid-work environment, which may make us more vulnerable to cyberattacks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9"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Potential vulnerabilities can be exploited from inadvertent or intentional actions of our employees, third-party vendors, business partners, or by malicious third parties. We take steps designed to detect, mitigate, and remediate vulnerabilities in our information systems (such as our hardware and/or software, including that of third parties upon which we rely); however, we may not detect and remediate all such vulnerabilities including on a timely basis. Further, we may experience delays in deploying remedial measures and patches designed to address identified vulnerabilities. Vulnerabilities could be exploited and result in a security incident.</w:t>
      </w:r>
    </w:p>
    <w:p>
      <w:pPr>
        <w:spacing w:after="0" w:line="75" w:lineRule="exact"/>
        <w:rPr>
          <w:sz w:val="20"/>
          <w:szCs w:val="20"/>
          <w:color w:val="auto"/>
        </w:rPr>
      </w:pPr>
    </w:p>
    <w:p>
      <w:pPr>
        <w:ind w:right="80" w:firstLine="578"/>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are increasing in their frequency, levels of persistence, sophistication and intensity, and are also being conducted by sophisticated and organized groups and individuals with a wide range of motives (including, but not limited to, industrial espionage) and expertise, including organized criminal groups, “hacktivists,” nation states and others. Such attacks could include the deployment of harmful malware (including as a result of advanced persistent threat intrusions), ransomware attacks, denial-of-service attacks, credential stuffing and/or harvesting, social engineering (including through deep fakes, which may be increasingly more difficult to identify as fake, and phishing attacks), supply-chain attacks, software bugs, server malfunctions, software or hardware failures, loss of sensitive data or other information technology assets, adware, attacks enhanced or facilitated by AI, telecommunications failures, earthquakes, fires, floods and other means to affect service reliability and threaten the confidentiality, integrity and availability of our information systems and sensitive data.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2" w:lineRule="exact"/>
        <w:rPr>
          <w:sz w:val="20"/>
          <w:szCs w:val="20"/>
          <w:color w:val="auto"/>
        </w:rPr>
      </w:pPr>
    </w:p>
    <w:p>
      <w:pPr>
        <w:ind w:right="80" w:firstLine="578"/>
        <w:spacing w:after="0" w:line="253" w:lineRule="auto"/>
        <w:rPr>
          <w:sz w:val="20"/>
          <w:szCs w:val="20"/>
          <w:color w:val="auto"/>
        </w:rPr>
      </w:pPr>
      <w:r>
        <w:rPr>
          <w:rFonts w:ascii="Times New Roman" w:cs="Times New Roman" w:eastAsia="Times New Roman" w:hAnsi="Times New Roman"/>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data,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0" w:name="page41"/>
    <w:bookmarkEnd w:id="40"/>
    <w:p>
      <w:pPr>
        <w:ind w:right="540"/>
        <w:spacing w:after="0" w:line="282" w:lineRule="auto"/>
        <w:rPr>
          <w:sz w:val="20"/>
          <w:szCs w:val="20"/>
          <w:color w:val="auto"/>
        </w:rPr>
      </w:pPr>
      <w:r>
        <w:rPr>
          <w:rFonts w:ascii="Times New Roman" w:cs="Times New Roman" w:eastAsia="Times New Roman" w:hAnsi="Times New Roman"/>
          <w:sz w:val="18"/>
          <w:szCs w:val="18"/>
          <w:color w:val="auto"/>
        </w:rPr>
        <w:t>data from completed or future clinical trials could result in delays in our regulatory approval efforts and significantly increase our costs to recover or reproduce the data.</w:t>
      </w:r>
    </w:p>
    <w:p>
      <w:pPr>
        <w:spacing w:after="0" w:line="54" w:lineRule="exact"/>
        <w:rPr>
          <w:sz w:val="20"/>
          <w:szCs w:val="20"/>
          <w:color w:val="auto"/>
        </w:rPr>
      </w:pPr>
    </w:p>
    <w:p>
      <w:pPr>
        <w:ind w:right="60" w:firstLine="578"/>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68" w:lineRule="exact"/>
        <w:rPr>
          <w:sz w:val="20"/>
          <w:szCs w:val="20"/>
          <w:color w:val="auto"/>
        </w:rPr>
      </w:pPr>
    </w:p>
    <w:p>
      <w:pPr>
        <w:ind w:right="60" w:firstLine="578"/>
        <w:spacing w:after="0" w:line="266"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68"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including but not limited to a security incident involving personal information regarding employees or clinical trial patients, we may experience adverse consequences, such as disruptions to our business, harm to our reputation, government enforcement actions (for example, investigations, fines, penalties, audits, and inspections), additional reporting requirements and/or oversight, or we may otherwise be subject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data,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and any delay in identifying them may lead to increased harm of the type described above.</w:t>
      </w:r>
    </w:p>
    <w:p>
      <w:pPr>
        <w:spacing w:after="0" w:line="82" w:lineRule="exact"/>
        <w:rPr>
          <w:sz w:val="20"/>
          <w:szCs w:val="20"/>
          <w:color w:val="auto"/>
        </w:rPr>
      </w:pPr>
    </w:p>
    <w:p>
      <w:pPr>
        <w:ind w:right="60" w:firstLine="578"/>
        <w:spacing w:after="0" w:line="258" w:lineRule="auto"/>
        <w:rPr>
          <w:sz w:val="20"/>
          <w:szCs w:val="20"/>
          <w:color w:val="auto"/>
        </w:rPr>
      </w:pPr>
      <w:r>
        <w:rPr>
          <w:rFonts w:ascii="Times New Roman" w:cs="Times New Roman" w:eastAsia="Times New Roman" w:hAnsi="Times New Roman"/>
          <w:sz w:val="18"/>
          <w:szCs w:val="18"/>
          <w:color w:val="auto"/>
        </w:rPr>
        <w:t>While we have implemented security measures to protect our information technology systems and infrastructure, there can be no assurance that such measures will be effective.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75" w:lineRule="exact"/>
        <w:rPr>
          <w:sz w:val="20"/>
          <w:szCs w:val="20"/>
          <w:color w:val="auto"/>
        </w:rPr>
      </w:pPr>
    </w:p>
    <w:p>
      <w:pPr>
        <w:ind w:right="200" w:firstLine="578"/>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Additionally, sensitive data of the Company or our customers could be leaked, disclosed, or revealed as a result of or in connection with our employees’, personnel’s, or vendors’ potential use of generative AI technologies.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platforms and AI-based platforms present new risks and challenges to our business.</w:t>
      </w:r>
    </w:p>
    <w:p>
      <w:pPr>
        <w:spacing w:after="0" w:line="12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 Additionally, AI-based platforms are increasingly being used in the biopharmaceutical industry. The use of AI platforms by people, including our vendors, suppliers and contractors, with access to our proprietary and confidential information, including trade secrets, may continue to increase and may lead to the release of such information, which may negatively impact our company, including our ability to realize the benefit of our intellectual property.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our inception, except 2021, and anticipate that we will continue to incur net losses for the foreseeable future.</w:t>
      </w:r>
    </w:p>
    <w:p>
      <w:pPr>
        <w:spacing w:after="0" w:line="121" w:lineRule="exact"/>
        <w:rPr>
          <w:sz w:val="20"/>
          <w:szCs w:val="20"/>
          <w:color w:val="auto"/>
        </w:rPr>
      </w:pPr>
    </w:p>
    <w:p>
      <w:pPr>
        <w:ind w:right="740" w:firstLine="578"/>
        <w:spacing w:after="0" w:line="261" w:lineRule="auto"/>
        <w:rPr>
          <w:sz w:val="20"/>
          <w:szCs w:val="20"/>
          <w:color w:val="auto"/>
        </w:rPr>
      </w:pPr>
      <w:r>
        <w:rPr>
          <w:rFonts w:ascii="Times New Roman" w:cs="Times New Roman" w:eastAsia="Times New Roman" w:hAnsi="Times New Roman"/>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w:t>
      </w: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spacing w:after="0" w:line="261" w:lineRule="auto"/>
        <w:rPr>
          <w:sz w:val="20"/>
          <w:szCs w:val="20"/>
          <w:color w:val="auto"/>
        </w:rPr>
      </w:pPr>
      <w:r>
        <w:rPr>
          <w:rFonts w:ascii="Times New Roman" w:cs="Times New Roman" w:eastAsia="Times New Roman" w:hAnsi="Times New Roman"/>
          <w:sz w:val="18"/>
          <w:szCs w:val="18"/>
          <w:color w:val="auto"/>
        </w:rPr>
        <w:t>profile, gain regulatory approval or be commercially viable. We are a clinical-stage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the quarter ended March 31, 2024, we reported a net loss attributable to stockholders of $72.4 million. As of March 31, 2024, we had an accumulated deficit of $974.8 million, which included non-cash charges for stock-based compensation, preferred stock accretion and historical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growth of our expenses and our ability to generate revenues, if any. Our prior losses and expected future losses have had and will continue to have an adverse effect on our stockholders’ equity and 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source of product revenue and may never achieve or maintain profitability.</w:t>
      </w:r>
    </w:p>
    <w:p>
      <w:pPr>
        <w:spacing w:after="0" w:line="121" w:lineRule="exact"/>
        <w:rPr>
          <w:sz w:val="20"/>
          <w:szCs w:val="20"/>
          <w:color w:val="auto"/>
        </w:rPr>
      </w:pPr>
    </w:p>
    <w:p>
      <w:pPr>
        <w:jc w:val="both"/>
        <w:ind w:right="120" w:firstLine="578"/>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6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the research and clinical development of, and receive regulatory approval for, our product candidates;</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commercialize and achieve market acceptance of our product candidates, and if launched independently, successfully establish a sales, marketing and distribution infrastructure;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build a portfolio of product candidates through the acquisition or in-license of products, product candidates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and clinical trials for any additional product candidates that we may pursue in the future;</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expand and protect our intellectual property rights;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qualified personnel.</w:t>
      </w:r>
    </w:p>
    <w:p>
      <w:pPr>
        <w:spacing w:after="0" w:line="117" w:lineRule="exact"/>
        <w:rPr>
          <w:sz w:val="20"/>
          <w:szCs w:val="20"/>
          <w:color w:val="auto"/>
        </w:rPr>
      </w:pPr>
    </w:p>
    <w:p>
      <w:pPr>
        <w:ind w:right="180" w:firstLine="578"/>
        <w:spacing w:after="0" w:line="258"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75" w:lineRule="exact"/>
        <w:rPr>
          <w:sz w:val="20"/>
          <w:szCs w:val="20"/>
          <w:color w:val="auto"/>
        </w:rPr>
      </w:pPr>
    </w:p>
    <w:p>
      <w:pPr>
        <w:ind w:right="120" w:firstLine="584"/>
        <w:spacing w:after="0" w:line="261" w:lineRule="auto"/>
        <w:rPr>
          <w:sz w:val="20"/>
          <w:szCs w:val="20"/>
          <w:color w:val="auto"/>
        </w:rPr>
      </w:pPr>
      <w:r>
        <w:rPr>
          <w:rFonts w:ascii="Times New Roman" w:cs="Times New Roman" w:eastAsia="Times New Roman" w:hAnsi="Times New Roman"/>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7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likely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67"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global economic slowdown, including any recessions that have occurred or may occur in the future. In addition, we may discover that we need to conduct additional activities that exceed our current budget to achieve appropriate rates of patient enrollment, which would increase our development costs.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ind w:right="40" w:firstLine="578"/>
        <w:spacing w:after="0" w:line="266" w:lineRule="auto"/>
        <w:rPr>
          <w:sz w:val="20"/>
          <w:szCs w:val="20"/>
          <w:color w:val="auto"/>
        </w:rPr>
      </w:pPr>
      <w:r>
        <w:rPr>
          <w:rFonts w:ascii="Times New Roman" w:cs="Times New Roman" w:eastAsia="Times New Roman" w:hAnsi="Times New Roman"/>
          <w:sz w:val="18"/>
          <w:szCs w:val="18"/>
          <w:color w:val="auto"/>
        </w:rPr>
        <w:t>In any event, we will likely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w:t>
      </w:r>
    </w:p>
    <w:p>
      <w:pPr>
        <w:spacing w:after="0" w:line="68" w:lineRule="exact"/>
        <w:rPr>
          <w:sz w:val="20"/>
          <w:szCs w:val="20"/>
          <w:color w:val="auto"/>
        </w:rPr>
      </w:pPr>
    </w:p>
    <w:p>
      <w:pPr>
        <w:ind w:right="120" w:firstLine="578"/>
        <w:spacing w:after="0" w:line="254" w:lineRule="auto"/>
        <w:rPr>
          <w:sz w:val="20"/>
          <w:szCs w:val="20"/>
          <w:color w:val="auto"/>
        </w:rPr>
      </w:pPr>
      <w:r>
        <w:rPr>
          <w:rFonts w:ascii="Times New Roman" w:cs="Times New Roman" w:eastAsia="Times New Roman" w:hAnsi="Times New Roman"/>
          <w:sz w:val="18"/>
          <w:szCs w:val="18"/>
          <w:color w:val="auto"/>
        </w:rPr>
        <w:t>While the long-term economic impacts associated with public health crises and global geopolitical tensions, like the ongoing war between Russia and Ukraine and the war in Israel, are difficult to assess or predict, each of these events has caused significant disruptions to the global financial markets and contributed to a general global economic slowdown. Furthermore, inflation rates have increased recently to levels not seen in decades. Increased inflation may result in increased operating costs (including labor costs) and may affect our operating budgets. In addition, the U.S. Federal Reserve has raised and is expected to further raise, interest rates in response to concerns about inflation.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 We cannot guarantee that future financing will be available in sufficient amounts or on terms acceptable to us, if at all. If we do not raise additional capital when required or on acceptable terms, we may need to:</w:t>
      </w:r>
    </w:p>
    <w:p>
      <w:pPr>
        <w:spacing w:after="0" w:line="80"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scale back or discontinue the development or commercialization of our product candidates or cease operations altogether;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strategic alliances for our existing product candidates on terms less favorable than might otherwise be available; or</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any future product candidates that we otherwise would seek to develop or commercialize ourselves.</w:t>
      </w:r>
    </w:p>
    <w:p>
      <w:pPr>
        <w:spacing w:after="0" w:line="54" w:lineRule="exact"/>
        <w:rPr>
          <w:sz w:val="20"/>
          <w:szCs w:val="20"/>
          <w:color w:val="auto"/>
        </w:rPr>
      </w:pPr>
    </w:p>
    <w:p>
      <w:pPr>
        <w:ind w:right="40" w:firstLine="578"/>
        <w:spacing w:after="0" w:line="282" w:lineRule="auto"/>
        <w:rPr>
          <w:sz w:val="20"/>
          <w:szCs w:val="20"/>
          <w:color w:val="auto"/>
        </w:rPr>
      </w:pPr>
      <w:r>
        <w:rPr>
          <w:rFonts w:ascii="Times New Roman" w:cs="Times New Roman" w:eastAsia="Times New Roman" w:hAnsi="Times New Roman"/>
          <w:sz w:val="18"/>
          <w:szCs w:val="18"/>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future funding requirements, both short- and long-term,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clinical trials of our product candidates;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3" w:lineRule="exact"/>
        <w:rPr>
          <w:rFonts w:ascii="Times New Roman" w:cs="Times New Roman" w:eastAsia="Times New Roman" w:hAnsi="Times New Roman"/>
          <w:sz w:val="18"/>
          <w:szCs w:val="18"/>
          <w:color w:val="auto"/>
        </w:rPr>
      </w:pPr>
    </w:p>
    <w:p>
      <w:pPr>
        <w:jc w:val="both"/>
        <w:ind w:left="1020" w:right="20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selecting, auditing and developing manufacturing capabilities, and potentially validating manufacturing sites for commercial-scale manufacturing;</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for obtaining pricing, and coverage and reimbursement by third-party payors, which may require additional trials to address pharmacoeconomic benefit;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if any candidate receives regulatory approval and we determine to commercialize it ourselves;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acquire and implement additional internal systems and infrastructure, including compliance and financial and reporting systems, as we grow our company;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or the perception that hostilities may be imminent (such as the ongoing war between Russia and Ukraine and the war in Israel), terrorism, natural disasters, including earthquakes, typhoons, floods and fires, or public health crises.</w:t>
      </w:r>
    </w:p>
    <w:p>
      <w:pPr>
        <w:spacing w:after="0" w:line="68" w:lineRule="exact"/>
        <w:rPr>
          <w:sz w:val="20"/>
          <w:szCs w:val="20"/>
          <w:color w:val="auto"/>
        </w:rPr>
      </w:pPr>
    </w:p>
    <w:p>
      <w:pPr>
        <w:ind w:right="20" w:firstLine="578"/>
        <w:spacing w:after="0" w:line="282" w:lineRule="auto"/>
        <w:rPr>
          <w:sz w:val="20"/>
          <w:szCs w:val="20"/>
          <w:color w:val="auto"/>
        </w:rPr>
      </w:pPr>
      <w:r>
        <w:rPr>
          <w:rFonts w:ascii="Times New Roman" w:cs="Times New Roman" w:eastAsia="Times New Roman" w:hAnsi="Times New Roman"/>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our company.</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43" w:name="page44"/>
    <w:bookmarkEnd w:id="43"/>
    <w:p>
      <w:pPr>
        <w:ind w:firstLine="578"/>
        <w:spacing w:after="0" w:line="252"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Cuts and Jobs Act, or the Tax Act, enacted many significant changes to the U.S. tax laws, including changes in corporate tax rates, which collectively may impact the utilization of our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or the CARES Act, modified certain provisions of the Tax Act. In addition, it is uncertain if and to what extent various states will conform to the Tax Act, the CARES Act, or any newly enacted federal tax legislation. Most recently, the IRA included a number of significant drug pricing reforms, including the establishment of a drug price negotiation program within the U.S. Department of Health and Human Services that would require pharmaceutical manufacturers to charge a negotiated “maximum fair price” for certain selected drugs or pay an excise tax for noncompliance, the establishment of rebate payment requirements on manufacturers under Medicare Parts B and D to penalize price increases that outpace inflation, and a redesign of the Part D benefit, as part of which manufacturers are required to provide discounts on Part D drugs and Part D beneficiaries’ annual out-of-pocket spending will be capped at $2,000 beginning in 2025. The impact of changes under the Tax Act, the CARES Act, the IRA, or future reform legislation could increase our future U.S. tax expense and could have a material adverse impact on our business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from January 1, 2021 through December 31, 2023 and determined that no ownership changes had occurred in that period. Prior analyses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right="20" w:firstLine="578"/>
        <w:spacing w:after="0" w:line="258"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75"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80" w:lineRule="exact"/>
        <w:rPr>
          <w:sz w:val="20"/>
          <w:szCs w:val="20"/>
          <w:color w:val="auto"/>
        </w:rPr>
      </w:pPr>
    </w:p>
    <w:p>
      <w:pPr>
        <w:ind w:firstLine="57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ind w:right="80"/>
        <w:spacing w:after="0" w:line="253" w:lineRule="auto"/>
        <w:rPr>
          <w:sz w:val="20"/>
          <w:szCs w:val="20"/>
          <w:color w:val="auto"/>
        </w:rPr>
      </w:pPr>
      <w:r>
        <w:rPr>
          <w:rFonts w:ascii="Times New Roman" w:cs="Times New Roman" w:eastAsia="Times New Roman" w:hAnsi="Times New Roman"/>
          <w:sz w:val="18"/>
          <w:szCs w:val="18"/>
          <w:color w:val="auto"/>
        </w:rPr>
        <w:t>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of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79" w:lineRule="exact"/>
        <w:rPr>
          <w:sz w:val="20"/>
          <w:szCs w:val="20"/>
          <w:color w:val="auto"/>
        </w:rPr>
      </w:pPr>
    </w:p>
    <w:p>
      <w:pPr>
        <w:ind w:right="220" w:firstLine="578"/>
        <w:spacing w:after="0" w:line="266"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8" w:lineRule="exact"/>
        <w:rPr>
          <w:sz w:val="20"/>
          <w:szCs w:val="20"/>
          <w:color w:val="auto"/>
        </w:rPr>
      </w:pPr>
    </w:p>
    <w:p>
      <w:pPr>
        <w:ind w:right="60" w:firstLine="578"/>
        <w:spacing w:after="0" w:line="255" w:lineRule="auto"/>
        <w:rPr>
          <w:sz w:val="20"/>
          <w:szCs w:val="20"/>
          <w:color w:val="auto"/>
        </w:rPr>
      </w:pPr>
      <w:r>
        <w:rPr>
          <w:rFonts w:ascii="Times New Roman" w:cs="Times New Roman" w:eastAsia="Times New Roman" w:hAnsi="Times New Roman"/>
          <w:sz w:val="18"/>
          <w:szCs w:val="18"/>
          <w:color w:val="auto"/>
        </w:rPr>
        <w:t>The portfolio that we licensed from UCB includes granted patents and patent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methods of using axatilimab, or formulations of axatilimab. Based on the priority date and filing date of the applications in the portfolio we licensed from UCB, we expect that additional patents, if any, granted based on the currently pending applications would expire in 2036 or later should patent term extension be granted. The actual term of any patents granted based on the pending applications we licensed from UCB can only be determined after such patents are granted.</w:t>
      </w:r>
    </w:p>
    <w:p>
      <w:pPr>
        <w:spacing w:after="0" w:line="81"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The portfolio that we licensed from Vitae Pharmaceuticals,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or later should patent term extension be granted. The actual term of any patents granted based on the pending applications that we licensed from AbbVie can only be determined after such patents are granted.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40" w:firstLine="578"/>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80"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ind w:right="20" w:firstLine="578"/>
        <w:spacing w:after="0" w:line="253" w:lineRule="auto"/>
        <w:rPr>
          <w:sz w:val="20"/>
          <w:szCs w:val="20"/>
          <w:color w:val="auto"/>
        </w:rPr>
      </w:pPr>
      <w:r>
        <w:rPr>
          <w:rFonts w:ascii="Times New Roman" w:cs="Times New Roman" w:eastAsia="Times New Roman" w:hAnsi="Times New Roman"/>
          <w:sz w:val="18"/>
          <w:szCs w:val="18"/>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9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51" w:lineRule="exact"/>
        <w:rPr>
          <w:sz w:val="20"/>
          <w:szCs w:val="20"/>
          <w:color w:val="auto"/>
        </w:rPr>
      </w:pPr>
    </w:p>
    <w:p>
      <w:pPr>
        <w:ind w:right="60" w:firstLine="578"/>
        <w:spacing w:after="0" w:line="256"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we may be required to share a percentage of non-royalty income from sublicensees, subject to certain deductions, with UCB.</w:t>
      </w:r>
    </w:p>
    <w:p>
      <w:pPr>
        <w:spacing w:after="0" w:line="79" w:lineRule="exact"/>
        <w:rPr>
          <w:sz w:val="20"/>
          <w:szCs w:val="20"/>
          <w:color w:val="auto"/>
        </w:rPr>
      </w:pPr>
    </w:p>
    <w:p>
      <w:pPr>
        <w:ind w:right="80" w:firstLine="578"/>
        <w:spacing w:after="0" w:line="258" w:lineRule="auto"/>
        <w:rPr>
          <w:sz w:val="20"/>
          <w:szCs w:val="20"/>
          <w:color w:val="auto"/>
        </w:rPr>
      </w:pPr>
      <w:r>
        <w:rPr>
          <w:rFonts w:ascii="Times New Roman" w:cs="Times New Roman" w:eastAsia="Times New Roman" w:hAnsi="Times New Roman"/>
          <w:sz w:val="18"/>
          <w:szCs w:val="18"/>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75" w:lineRule="exact"/>
        <w:rPr>
          <w:sz w:val="20"/>
          <w:szCs w:val="20"/>
          <w:color w:val="auto"/>
        </w:rPr>
      </w:pPr>
    </w:p>
    <w:p>
      <w:pPr>
        <w:ind w:right="40" w:firstLine="578"/>
        <w:spacing w:after="0" w:line="258" w:lineRule="auto"/>
        <w:rPr>
          <w:sz w:val="20"/>
          <w:szCs w:val="20"/>
          <w:color w:val="auto"/>
        </w:rPr>
      </w:pPr>
      <w:r>
        <w:rPr>
          <w:rFonts w:ascii="Times New Roman" w:cs="Times New Roman" w:eastAsia="Times New Roman" w:hAnsi="Times New Roman"/>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75" w:lineRule="exact"/>
        <w:rPr>
          <w:sz w:val="20"/>
          <w:szCs w:val="20"/>
          <w:color w:val="auto"/>
        </w:rPr>
      </w:pPr>
    </w:p>
    <w:p>
      <w:pPr>
        <w:ind w:right="20" w:firstLine="578"/>
        <w:spacing w:after="0" w:line="261" w:lineRule="auto"/>
        <w:rPr>
          <w:sz w:val="20"/>
          <w:szCs w:val="20"/>
          <w:color w:val="auto"/>
        </w:rPr>
      </w:pPr>
      <w:r>
        <w:rPr>
          <w:rFonts w:ascii="Times New Roman" w:cs="Times New Roman" w:eastAsia="Times New Roman" w:hAnsi="Times New Roman"/>
          <w:sz w:val="18"/>
          <w:szCs w:val="18"/>
          <w:color w:val="auto"/>
        </w:rPr>
        <w:t>If the UCB license agreement is terminated, we would not be able to develop, manufacture, market or sell axatilimab and would need to negotiate a new or reinstated agreement, which may not be available to us on equally favorable terms, or at all. In addition, our collaboration with Incyte to further develop and commercialize axatilimab is dependent upon the effectiveness of the UCB license agreement. If the UCB license agreement is terminated, Incyte may terminate our collaboration and our business could be adversely affected.</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breach the license agreement related to revumenib or if the license agreement is otherwise terminated, we could lose the ability to continue the development and commercialization of revumenib.</w:t>
      </w:r>
    </w:p>
    <w:p>
      <w:pPr>
        <w:spacing w:after="0" w:line="51" w:lineRule="exact"/>
        <w:rPr>
          <w:sz w:val="20"/>
          <w:szCs w:val="20"/>
          <w:color w:val="auto"/>
        </w:rPr>
      </w:pPr>
    </w:p>
    <w:p>
      <w:pPr>
        <w:ind w:right="40" w:firstLine="578"/>
        <w:spacing w:after="0" w:line="274" w:lineRule="auto"/>
        <w:rPr>
          <w:sz w:val="20"/>
          <w:szCs w:val="20"/>
          <w:color w:val="auto"/>
        </w:rPr>
      </w:pPr>
      <w:r>
        <w:rPr>
          <w:rFonts w:ascii="Times New Roman" w:cs="Times New Roman" w:eastAsia="Times New Roman" w:hAnsi="Times New Roman"/>
          <w:sz w:val="17"/>
          <w:szCs w:val="17"/>
          <w:color w:val="auto"/>
        </w:rPr>
        <w:t>Our commercial success depends upon our ability to develop, manufacture, market and sell revumenib. Subject to the achievement of certain milestone events, we may be required to pay Vitae, which is now a subsidiary of AbbVie, up to $99.0 million in one-time development and regulatory milestone payments over the term of the AbbVie license agreement. In the event that we or any of our affiliates or sublicensees commercializes revumenib, we will also be obligated to pay AbbVie low single to low double-digit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AbbVie.</w:t>
      </w:r>
    </w:p>
    <w:p>
      <w:pPr>
        <w:spacing w:after="0" w:line="65" w:lineRule="exact"/>
        <w:rPr>
          <w:sz w:val="20"/>
          <w:szCs w:val="20"/>
          <w:color w:val="auto"/>
        </w:rPr>
      </w:pPr>
    </w:p>
    <w:p>
      <w:pPr>
        <w:ind w:firstLine="578"/>
        <w:spacing w:after="0" w:line="258" w:lineRule="auto"/>
        <w:rPr>
          <w:sz w:val="20"/>
          <w:szCs w:val="20"/>
          <w:color w:val="auto"/>
        </w:rPr>
      </w:pPr>
      <w:r>
        <w:rPr>
          <w:rFonts w:ascii="Times New Roman" w:cs="Times New Roman" w:eastAsia="Times New Roman" w:hAnsi="Times New Roman"/>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75" w:lineRule="exact"/>
        <w:rPr>
          <w:sz w:val="20"/>
          <w:szCs w:val="20"/>
          <w:color w:val="auto"/>
        </w:rPr>
      </w:pPr>
    </w:p>
    <w:p>
      <w:pPr>
        <w:ind w:right="180" w:firstLine="578"/>
        <w:spacing w:after="0" w:line="261" w:lineRule="auto"/>
        <w:rPr>
          <w:sz w:val="20"/>
          <w:szCs w:val="20"/>
          <w:color w:val="auto"/>
        </w:rPr>
      </w:pPr>
      <w:r>
        <w:rPr>
          <w:rFonts w:ascii="Times New Roman" w:cs="Times New Roman" w:eastAsia="Times New Roman" w:hAnsi="Times New Roman"/>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w:t>
      </w: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6" w:name="page47"/>
    <w:bookmarkEnd w:id="46"/>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revumenib have occurred and the last-to-expire relevant patent covering revumenib in a given country may change in the future.</w:t>
      </w:r>
    </w:p>
    <w:p>
      <w:pPr>
        <w:spacing w:after="0" w:line="68" w:lineRule="exact"/>
        <w:rPr>
          <w:sz w:val="20"/>
          <w:szCs w:val="20"/>
          <w:color w:val="auto"/>
        </w:rPr>
      </w:pPr>
    </w:p>
    <w:p>
      <w:pPr>
        <w:ind w:right="80" w:firstLine="578"/>
        <w:spacing w:after="0" w:line="282" w:lineRule="auto"/>
        <w:rPr>
          <w:sz w:val="20"/>
          <w:szCs w:val="20"/>
          <w:color w:val="auto"/>
        </w:rPr>
      </w:pPr>
      <w:r>
        <w:rPr>
          <w:rFonts w:ascii="Times New Roman" w:cs="Times New Roman" w:eastAsia="Times New Roman" w:hAnsi="Times New Roman"/>
          <w:sz w:val="18"/>
          <w:szCs w:val="18"/>
          <w:color w:val="auto"/>
        </w:rPr>
        <w:t>If the license agreement is terminated, we would not be able to develop, manufacture, market or sell revumenib and would need to negotiate a new or reinstated agreement, which may not be available to us on equally favorable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121" w:lineRule="exact"/>
        <w:rPr>
          <w:sz w:val="20"/>
          <w:szCs w:val="20"/>
          <w:color w:val="auto"/>
        </w:rPr>
      </w:pPr>
    </w:p>
    <w:p>
      <w:pPr>
        <w:ind w:right="40" w:firstLine="578"/>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84" w:lineRule="exact"/>
        <w:rPr>
          <w:sz w:val="20"/>
          <w:szCs w:val="20"/>
          <w:color w:val="auto"/>
        </w:rPr>
      </w:pPr>
    </w:p>
    <w:p>
      <w:pPr>
        <w:ind w:firstLine="578"/>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84" w:lineRule="exact"/>
        <w:rPr>
          <w:sz w:val="20"/>
          <w:szCs w:val="20"/>
          <w:color w:val="auto"/>
        </w:rPr>
      </w:pPr>
    </w:p>
    <w:p>
      <w:pPr>
        <w:jc w:val="both"/>
        <w:ind w:right="5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78"/>
        <w:spacing w:after="0" w:line="254"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51" w:lineRule="exact"/>
        <w:rPr>
          <w:sz w:val="20"/>
          <w:szCs w:val="20"/>
          <w:color w:val="auto"/>
        </w:rPr>
      </w:pPr>
    </w:p>
    <w:p>
      <w:pPr>
        <w:ind w:right="120" w:firstLine="578"/>
        <w:spacing w:after="0" w:line="252" w:lineRule="auto"/>
        <w:rPr>
          <w:sz w:val="20"/>
          <w:szCs w:val="20"/>
          <w:color w:val="auto"/>
        </w:rPr>
      </w:pPr>
      <w:r>
        <w:rPr>
          <w:rFonts w:ascii="Times New Roman" w:cs="Times New Roman" w:eastAsia="Times New Roman" w:hAnsi="Times New Roman"/>
          <w:sz w:val="18"/>
          <w:szCs w:val="18"/>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7" w:name="page48"/>
    <w:bookmarkEnd w:id="47"/>
    <w:p>
      <w:pPr>
        <w:ind w:right="220"/>
        <w:spacing w:after="0" w:line="266" w:lineRule="auto"/>
        <w:rPr>
          <w:sz w:val="20"/>
          <w:szCs w:val="20"/>
          <w:color w:val="auto"/>
        </w:rPr>
      </w:pPr>
      <w:r>
        <w:rPr>
          <w:rFonts w:ascii="Times New Roman" w:cs="Times New Roman" w:eastAsia="Times New Roman" w:hAnsi="Times New Roman"/>
          <w:sz w:val="18"/>
          <w:szCs w:val="18"/>
          <w:color w:val="auto"/>
        </w:rPr>
        <w:t>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68" w:lineRule="exact"/>
        <w:rPr>
          <w:sz w:val="20"/>
          <w:szCs w:val="20"/>
          <w:color w:val="auto"/>
        </w:rPr>
      </w:pPr>
    </w:p>
    <w:p>
      <w:pPr>
        <w:ind w:right="80" w:firstLine="578"/>
        <w:spacing w:after="0" w:line="253" w:lineRule="auto"/>
        <w:rPr>
          <w:sz w:val="20"/>
          <w:szCs w:val="20"/>
          <w:color w:val="auto"/>
        </w:rPr>
      </w:pPr>
      <w:r>
        <w:rPr>
          <w:rFonts w:ascii="Times New Roman" w:cs="Times New Roman" w:eastAsia="Times New Roman" w:hAnsi="Times New Roman"/>
          <w:sz w:val="18"/>
          <w:szCs w:val="18"/>
          <w:color w:val="auto"/>
        </w:rPr>
        <w:t>Third-party pre-issuance submission of prior art to the USPTO, or opposition, derivation, reexamination, inter partes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84" w:lineRule="exact"/>
        <w:rPr>
          <w:sz w:val="20"/>
          <w:szCs w:val="20"/>
          <w:color w:val="auto"/>
        </w:rPr>
      </w:pPr>
    </w:p>
    <w:p>
      <w:pPr>
        <w:ind w:right="60" w:firstLine="57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67" w:lineRule="exact"/>
        <w:rPr>
          <w:sz w:val="20"/>
          <w:szCs w:val="20"/>
          <w:color w:val="auto"/>
        </w:rPr>
      </w:pPr>
    </w:p>
    <w:p>
      <w:pPr>
        <w:ind w:right="40" w:firstLine="578"/>
        <w:spacing w:after="0" w:line="256" w:lineRule="auto"/>
        <w:rPr>
          <w:sz w:val="20"/>
          <w:szCs w:val="20"/>
          <w:color w:val="auto"/>
        </w:rPr>
      </w:pPr>
      <w:r>
        <w:rPr>
          <w:rFonts w:ascii="Times New Roman" w:cs="Times New Roman" w:eastAsia="Times New Roman" w:hAnsi="Times New Roman"/>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79"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51" w:lineRule="exact"/>
        <w:rPr>
          <w:sz w:val="20"/>
          <w:szCs w:val="20"/>
          <w:color w:val="auto"/>
        </w:rPr>
      </w:pPr>
    </w:p>
    <w:p>
      <w:pPr>
        <w:jc w:val="both"/>
        <w:ind w:right="140" w:firstLine="578"/>
        <w:spacing w:after="0" w:line="256"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79" w:lineRule="exact"/>
        <w:rPr>
          <w:sz w:val="20"/>
          <w:szCs w:val="20"/>
          <w:color w:val="auto"/>
        </w:rPr>
      </w:pPr>
    </w:p>
    <w:p>
      <w:pPr>
        <w:ind w:right="20" w:firstLine="578"/>
        <w:spacing w:after="0" w:line="266" w:lineRule="auto"/>
        <w:rPr>
          <w:sz w:val="20"/>
          <w:szCs w:val="20"/>
          <w:color w:val="auto"/>
        </w:rPr>
      </w:pPr>
      <w:r>
        <w:rPr>
          <w:rFonts w:ascii="Times New Roman" w:cs="Times New Roman" w:eastAsia="Times New Roman" w:hAnsi="Times New Roman"/>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68" w:lineRule="exact"/>
        <w:rPr>
          <w:sz w:val="20"/>
          <w:szCs w:val="20"/>
          <w:color w:val="auto"/>
        </w:rPr>
      </w:pPr>
    </w:p>
    <w:p>
      <w:pPr>
        <w:ind w:right="60" w:firstLine="578"/>
        <w:spacing w:after="0" w:line="255"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6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Other General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121" w:lineRule="exact"/>
        <w:rPr>
          <w:sz w:val="20"/>
          <w:szCs w:val="20"/>
          <w:color w:val="auto"/>
        </w:rPr>
      </w:pPr>
    </w:p>
    <w:p>
      <w:pPr>
        <w:ind w:right="160" w:firstLine="57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subject to wide fluctuations in response to various factors, some of which we cannot control. In addition to the factors discussed in this “Risk Factors” section and elsewhere in this Quarterly Report on Form 10-Q report, these factors include:</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trials of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and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including, but not limited to new or ongoing public health crises and the war between Russia and Ukraine and the war in Israel.</w:t>
      </w:r>
    </w:p>
    <w:p>
      <w:pPr>
        <w:spacing w:after="0" w:line="54" w:lineRule="exact"/>
        <w:rPr>
          <w:sz w:val="20"/>
          <w:szCs w:val="20"/>
          <w:color w:val="auto"/>
        </w:rPr>
      </w:pPr>
    </w:p>
    <w:p>
      <w:pPr>
        <w:ind w:right="80" w:firstLine="562"/>
        <w:spacing w:after="0" w:line="253"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share price.</w:t>
      </w:r>
    </w:p>
    <w:p>
      <w:pPr>
        <w:spacing w:after="0" w:line="121" w:lineRule="exact"/>
        <w:rPr>
          <w:sz w:val="20"/>
          <w:szCs w:val="20"/>
          <w:color w:val="auto"/>
        </w:rPr>
      </w:pPr>
    </w:p>
    <w:p>
      <w:pPr>
        <w:ind w:firstLine="562"/>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bank failures,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global capital markets. Similarly, the current Russia-Ukraine war exacerbated volatility in the global capital markets and continues to disrupt the global supply chain and energy markets. Any such volatility and disruptions may have adverse consequences for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 significant increases in inflation and related increases in interest rates could have a material adverse effect on our business, results of operations and financial condition.</w:t>
      </w:r>
    </w:p>
    <w:p>
      <w:pPr>
        <w:spacing w:after="0" w:line="184"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51" w:lineRule="exact"/>
        <w:rPr>
          <w:sz w:val="20"/>
          <w:szCs w:val="20"/>
          <w:color w:val="auto"/>
        </w:rPr>
      </w:pPr>
    </w:p>
    <w:p>
      <w:pPr>
        <w:ind w:right="160" w:firstLine="578"/>
        <w:spacing w:after="0" w:line="258" w:lineRule="auto"/>
        <w:rPr>
          <w:sz w:val="20"/>
          <w:szCs w:val="20"/>
          <w:color w:val="auto"/>
        </w:rPr>
      </w:pPr>
      <w:r>
        <w:rPr>
          <w:rFonts w:ascii="Times New Roman" w:cs="Times New Roman" w:eastAsia="Times New Roman" w:hAnsi="Times New Roman"/>
          <w:sz w:val="18"/>
          <w:szCs w:val="18"/>
          <w:color w:val="auto"/>
        </w:rPr>
        <w:t>Until we can generate a sufficient amount of profit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in December 2023, we sold a total of 12,432,431 shares of our common stock in a public offering. The issuance of these shares of our common stock resulted, and any future issuance pursuant to sales under the 2023 ATM Program will result in dilution to our stockholders.</w:t>
      </w:r>
    </w:p>
    <w:p>
      <w:pPr>
        <w:spacing w:after="0" w:line="75" w:lineRule="exact"/>
        <w:rPr>
          <w:sz w:val="20"/>
          <w:szCs w:val="20"/>
          <w:color w:val="auto"/>
        </w:rPr>
      </w:pPr>
    </w:p>
    <w:p>
      <w:pPr>
        <w:ind w:firstLine="578"/>
        <w:spacing w:after="0" w:line="261" w:lineRule="auto"/>
        <w:rPr>
          <w:sz w:val="20"/>
          <w:szCs w:val="20"/>
          <w:color w:val="auto"/>
        </w:rPr>
      </w:pPr>
      <w:r>
        <w:rPr>
          <w:rFonts w:ascii="Times New Roman" w:cs="Times New Roman" w:eastAsia="Times New Roman" w:hAnsi="Times New Roman"/>
          <w:sz w:val="18"/>
          <w:szCs w:val="18"/>
          <w:color w:val="auto"/>
        </w:rPr>
        <w:t>The shares of common stock into which the warrants may be exercised are considered outstanding for the purposes of computing earnings per share. Additionally, in November 2023, we sold 2,719,744 common shares under the 2023 ATM Program, with net proceeds of approximately $42.1 million. The issuance of these shares of our common stock resulted, and any future issuance pursuant to the exercise of the outstanding pre-funded warrants or sales under the 2023 ATM Program will result in dilution to our stockholders.</w:t>
      </w:r>
    </w:p>
    <w:p>
      <w:pPr>
        <w:spacing w:after="0" w:line="72" w:lineRule="exact"/>
        <w:rPr>
          <w:sz w:val="20"/>
          <w:szCs w:val="20"/>
          <w:color w:val="auto"/>
        </w:rPr>
      </w:pPr>
    </w:p>
    <w:p>
      <w:pPr>
        <w:ind w:right="100" w:firstLine="578"/>
        <w:spacing w:after="0" w:line="256" w:lineRule="auto"/>
        <w:rPr>
          <w:sz w:val="20"/>
          <w:szCs w:val="20"/>
          <w:color w:val="auto"/>
        </w:rPr>
      </w:pPr>
      <w:r>
        <w:rPr>
          <w:rFonts w:ascii="Times New Roman" w:cs="Times New Roman" w:eastAsia="Times New Roman" w:hAnsi="Times New Roman"/>
          <w:sz w:val="18"/>
          <w:szCs w:val="18"/>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w:t>
      </w:r>
    </w:p>
    <w:p>
      <w:pPr>
        <w:spacing w:after="0" w:line="79" w:lineRule="exact"/>
        <w:rPr>
          <w:sz w:val="20"/>
          <w:szCs w:val="20"/>
          <w:color w:val="auto"/>
        </w:rPr>
      </w:pPr>
    </w:p>
    <w:p>
      <w:pPr>
        <w:jc w:val="both"/>
        <w:ind w:right="80" w:firstLine="578"/>
        <w:spacing w:after="0" w:line="266" w:lineRule="auto"/>
        <w:rPr>
          <w:sz w:val="20"/>
          <w:szCs w:val="20"/>
          <w:color w:val="auto"/>
        </w:rPr>
      </w:pPr>
      <w:r>
        <w:rPr>
          <w:rFonts w:ascii="Times New Roman" w:cs="Times New Roman" w:eastAsia="Times New Roman" w:hAnsi="Times New Roman"/>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72" w:lineRule="exact"/>
        <w:rPr>
          <w:sz w:val="20"/>
          <w:szCs w:val="20"/>
          <w:color w:val="auto"/>
        </w:rPr>
      </w:pPr>
    </w:p>
    <w:p>
      <w:pPr>
        <w:ind w:right="560" w:firstLine="57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6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March 31, 2024, our executive officers, directors, and holders of 5% or more of our capital stock and their respective affiliates beneficially owned approximately 37.8%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81"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7"/>
          <w:szCs w:val="17"/>
          <w:color w:val="auto"/>
        </w:rPr>
        <w:t>We are required to get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w:t>
      </w:r>
    </w:p>
    <w:p>
      <w:pPr>
        <w:spacing w:after="0" w:line="3" w:lineRule="exact"/>
        <w:rPr>
          <w:sz w:val="20"/>
          <w:szCs w:val="20"/>
          <w:color w:val="auto"/>
        </w:rPr>
      </w:pPr>
    </w:p>
    <w:p>
      <w:pPr>
        <w:ind w:right="80" w:firstLine="8"/>
        <w:spacing w:after="0" w:line="251"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19" w:lineRule="exact"/>
        <w:rPr>
          <w:sz w:val="20"/>
          <w:szCs w:val="20"/>
          <w:color w:val="auto"/>
        </w:rPr>
      </w:pPr>
    </w:p>
    <w:p>
      <w:pPr>
        <w:ind w:right="540" w:firstLine="509"/>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and officers (as defined in Rule 16a-1(f) under the Exchange Act) adopted or terminated contracts, instructions or written plans for the purchase or sale of our securities.</w:t>
      </w: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200" w:type="dxa"/>
            <w:vAlign w:val="bottom"/>
            <w:gridSpan w:val="10"/>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97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Amended and Restated Certificate of Incorporation of the Company (incorporated herein by reference to Exhibit 3.1 to the Company’s</w:t>
              </w:r>
            </w:hyperlink>
          </w:p>
        </w:tc>
        <w:tc>
          <w:tcPr>
            <w:tcW w:w="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Current Report on Form 8-K (File No. 001-37708), as filed with the SEC on March 8, 2016).</w:t>
              </w:r>
            </w:hyperlink>
          </w:p>
        </w:tc>
        <w:tc>
          <w:tcPr>
            <w:tcW w:w="20" w:type="dxa"/>
            <w:vAlign w:val="bottom"/>
            <w:tcBorders>
              <w:bottom w:val="single" w:sz="8" w:color="0000EE"/>
            </w:tcBorders>
          </w:tcPr>
          <w:p>
            <w:pPr>
              <w:spacing w:after="0"/>
              <w:rPr>
                <w:sz w:val="17"/>
                <w:szCs w:val="17"/>
                <w:color w:val="auto"/>
              </w:rPr>
            </w:pPr>
          </w:p>
        </w:tc>
        <w:tc>
          <w:tcPr>
            <w:tcW w:w="33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Certificate of Amendment to the Amended and Restated Certificate of Incorporation of the Company (incorporated herein by reference to</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Exhibit 3.1 to the Company’s Current Report on Form 8-K (File No. 001-37708), as filed with the SEC on May 18, 2023).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tcBorders>
              <w:right w:val="single" w:sz="8" w:color="0000EE"/>
            </w:tcBorders>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100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Amended and Restated Bylaws of the Company (incorporated herein by reference to Exhibit 3.2 to the Company’s Current Report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3"/>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8-K (File No. 001-37708), as filed with the SEC on March 8,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9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promulgated under the Securities Exchange Act of</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0" w:type="dxa"/>
            <w:vAlign w:val="bottom"/>
            <w:tcBorders>
              <w:bottom w:val="single" w:sz="8" w:color="0000EE"/>
            </w:tcBorders>
          </w:tcPr>
          <w:p>
            <w:pPr>
              <w:spacing w:after="0"/>
              <w:rPr>
                <w:sz w:val="17"/>
                <w:szCs w:val="17"/>
                <w:color w:val="auto"/>
              </w:rPr>
            </w:pPr>
          </w:p>
        </w:tc>
        <w:tc>
          <w:tcPr>
            <w:tcW w:w="87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99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promulgated under the Securities Exchange Act of</w:t>
            </w:r>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1934, as amended.</w:t>
            </w:r>
          </w:p>
        </w:tc>
        <w:tc>
          <w:tcPr>
            <w:tcW w:w="20" w:type="dxa"/>
            <w:vAlign w:val="bottom"/>
            <w:tcBorders>
              <w:bottom w:val="single" w:sz="8" w:color="0000EE"/>
            </w:tcBorders>
          </w:tcPr>
          <w:p>
            <w:pPr>
              <w:spacing w:after="0"/>
              <w:rPr>
                <w:sz w:val="17"/>
                <w:szCs w:val="17"/>
                <w:color w:val="auto"/>
              </w:rPr>
            </w:pPr>
          </w:p>
        </w:tc>
        <w:tc>
          <w:tcPr>
            <w:tcW w:w="87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9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Chief Financial Officer pursuant to 18 U.S.C. Section 1350, as adopted pursuant to Section</w:t>
            </w:r>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80" w:type="dxa"/>
            <w:vAlign w:val="bottom"/>
            <w:tcBorders>
              <w:right w:val="single" w:sz="8" w:color="0000EE"/>
            </w:tcBorders>
            <w:gridSpan w:val="3"/>
            <w:shd w:val="clear" w:color="auto" w:fill="0000FF"/>
          </w:tcPr>
          <w:p>
            <w:pPr>
              <w:spacing w:after="0" w:line="20" w:lineRule="exact"/>
              <w:rPr>
                <w:sz w:val="1"/>
                <w:szCs w:val="1"/>
                <w:color w:val="auto"/>
              </w:rPr>
            </w:pPr>
          </w:p>
        </w:tc>
        <w:tc>
          <w:tcPr>
            <w:tcW w:w="7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9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0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160" w:hanging="1139"/>
        <w:spacing w:after="0"/>
        <w:tabs>
          <w:tab w:leader="none" w:pos="11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right="42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deemed to be “filed” for purposes of Section 18 of the Exchange Act of 1934, or otherwise subject to the liability of that section,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9512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2" w:name="page53"/>
    <w:bookmarkEnd w:id="5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pacing w:after="0" w:line="26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Keith A. Goldan</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3" w:name="page54"/>
    <w:bookmarkEnd w:id="53"/>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 Metzger, certify that:</w:t>
      </w:r>
    </w:p>
    <w:p>
      <w:pPr>
        <w:spacing w:after="0" w:line="225" w:lineRule="exact"/>
        <w:rPr>
          <w:sz w:val="20"/>
          <w:szCs w:val="20"/>
          <w:color w:val="auto"/>
        </w:rPr>
      </w:pPr>
    </w:p>
    <w:p>
      <w:pPr>
        <w:ind w:left="700" w:hanging="183"/>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517"/>
        <w:spacing w:after="0" w:line="266"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17"/>
        <w:spacing w:after="0" w:line="282" w:lineRule="auto"/>
        <w:tabs>
          <w:tab w:leader="none" w:pos="6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tab/>
        <w:t>/s/ Michael A.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26035</wp:posOffset>
            </wp:positionV>
            <wp:extent cx="25457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Michael A. Metzger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4" w:name="page55"/>
    <w:bookmarkEnd w:id="54"/>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A. Goldan, certify that:</w:t>
      </w:r>
    </w:p>
    <w:p>
      <w:pPr>
        <w:spacing w:after="0" w:line="225" w:lineRule="exact"/>
        <w:rPr>
          <w:sz w:val="20"/>
          <w:szCs w:val="20"/>
          <w:color w:val="auto"/>
        </w:rPr>
      </w:pPr>
    </w:p>
    <w:p>
      <w:pPr>
        <w:ind w:left="700" w:hanging="183"/>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Syndax Pharmaceuticals, Inc.;</w:t>
      </w:r>
    </w:p>
    <w:p>
      <w:pPr>
        <w:spacing w:after="0" w:line="225" w:lineRule="exact"/>
        <w:rPr>
          <w:rFonts w:ascii="Times New Roman" w:cs="Times New Roman" w:eastAsia="Times New Roman" w:hAnsi="Times New Roman"/>
          <w:sz w:val="18"/>
          <w:szCs w:val="18"/>
          <w:color w:val="auto"/>
        </w:rPr>
      </w:pPr>
    </w:p>
    <w:p>
      <w:pPr>
        <w:ind w:right="40" w:firstLine="517"/>
        <w:spacing w:after="0" w:line="312" w:lineRule="auto"/>
        <w:tabs>
          <w:tab w:leader="none" w:pos="689"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firstLine="517"/>
        <w:spacing w:after="0" w:line="282" w:lineRule="auto"/>
        <w:tabs>
          <w:tab w:leader="none" w:pos="6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517"/>
        <w:spacing w:after="0" w:line="266" w:lineRule="auto"/>
        <w:tabs>
          <w:tab w:leader="none" w:pos="6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380" w:firstLine="506"/>
        <w:spacing w:after="0" w:line="266" w:lineRule="auto"/>
        <w:tabs>
          <w:tab w:leader="none" w:pos="12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00" w:firstLine="506"/>
        <w:spacing w:after="0" w:line="266" w:lineRule="auto"/>
        <w:tabs>
          <w:tab w:leader="none" w:pos="12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20" w:firstLine="506"/>
        <w:spacing w:after="0" w:line="282" w:lineRule="auto"/>
        <w:tabs>
          <w:tab w:leader="none" w:pos="12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00" w:firstLine="506"/>
        <w:spacing w:after="0" w:line="266" w:lineRule="auto"/>
        <w:tabs>
          <w:tab w:leader="none" w:pos="12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17"/>
        <w:spacing w:after="0" w:line="282" w:lineRule="auto"/>
        <w:tabs>
          <w:tab w:leader="none" w:pos="6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40" w:firstLine="506"/>
        <w:spacing w:after="0" w:line="282" w:lineRule="auto"/>
        <w:tabs>
          <w:tab w:leader="none" w:pos="12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20" w:firstLine="506"/>
        <w:spacing w:after="0" w:line="282" w:lineRule="auto"/>
        <w:tabs>
          <w:tab w:leader="none" w:pos="12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20"/>
        <w:spacing w:after="0"/>
        <w:tabs>
          <w:tab w:leader="none" w:pos="6720" w:val="left"/>
          <w:tab w:leader="none" w:pos="722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tab/>
        <w:t>/s/ Keith A. Goldan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26035</wp:posOffset>
            </wp:positionV>
            <wp:extent cx="25457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Keith A. Goldan</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4" w:right="379" w:bottom="1440" w:gutter="0" w:footer="0" w:header="0"/>
        </w:sectPr>
      </w:pPr>
    </w:p>
    <w:bookmarkStart w:id="55" w:name="page56"/>
    <w:bookmarkEnd w:id="55"/>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Syndax Pharmaceuticals, Inc. (the “Company”) for the period ended March 31, 2024, as filed with the Securities and Exchange Commission on the date hereof (the “Report”), each of the undersigned officers of the Company hereby certifies, pursuant to 18 U.S.C. Section 1350, that to his or her knowledge:</w:t>
      </w:r>
    </w:p>
    <w:p>
      <w:pPr>
        <w:spacing w:after="0" w:line="176" w:lineRule="exact"/>
        <w:rPr>
          <w:sz w:val="20"/>
          <w:szCs w:val="20"/>
          <w:color w:val="auto"/>
        </w:rPr>
      </w:pPr>
    </w:p>
    <w:p>
      <w:pPr>
        <w:ind w:left="900" w:hanging="359"/>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31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A. Metzger</w:t>
            </w:r>
          </w:p>
        </w:tc>
      </w:tr>
      <w:tr>
        <w:trPr>
          <w:trHeight w:val="205"/>
        </w:trPr>
        <w:tc>
          <w:tcPr>
            <w:tcW w:w="41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Michael A. Metzger</w:t>
            </w:r>
          </w:p>
        </w:tc>
      </w:tr>
      <w:tr>
        <w:trPr>
          <w:trHeight w:val="234"/>
        </w:trPr>
        <w:tc>
          <w:tcPr>
            <w:tcW w:w="41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53"/>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312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Keith A. Goldan</w:t>
            </w:r>
          </w:p>
        </w:tc>
      </w:tr>
      <w:tr>
        <w:trPr>
          <w:trHeight w:val="205"/>
        </w:trPr>
        <w:tc>
          <w:tcPr>
            <w:tcW w:w="41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Keith A. Goldan</w:t>
            </w:r>
          </w:p>
        </w:tc>
      </w:tr>
      <w:tr>
        <w:trPr>
          <w:trHeight w:val="234"/>
        </w:trPr>
        <w:tc>
          <w:tcPr>
            <w:tcW w:w="41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1249"/>
        </w:trPr>
        <w:tc>
          <w:tcPr>
            <w:tcW w:w="41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lvl w:ilvl="1">
      <w:lvlJc w:val="left"/>
      <w:lvlText w:val="o"/>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404"/>
    </w:lvl>
  </w:abstractNum>
  <w:abstractNum w:abstractNumId="35">
    <w:nsid w:val="7724C67E"/>
    <w:multiLevelType w:val="hybridMultilevel"/>
    <w:lvl w:ilvl="0">
      <w:lvlJc w:val="left"/>
      <w:lvlText w:val="*"/>
      <w:numFmt w:val="bullet"/>
      <w:start w:val="1"/>
    </w:lvl>
    <w:lvl w:ilvl="1">
      <w:lvlJc w:val="left"/>
      <w:lvlText w:val="%2"/>
      <w:numFmt w:val="decimal"/>
      <w:start w:val="104"/>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76" Type="http://schemas.openxmlformats.org/officeDocument/2006/relationships/hyperlink" Target="https://www.sec.gov/Archives/edgar/data/1395937/000119312516496764/d119516dex31.htm" TargetMode="External"/><Relationship Id="rId177" Type="http://schemas.openxmlformats.org/officeDocument/2006/relationships/hyperlink" Target="https://www.sec.gov/Archives/edgar/data/1395937/000095017023022802/sndx-ex3_1.htm" TargetMode="External"/><Relationship Id="rId178" Type="http://schemas.openxmlformats.org/officeDocument/2006/relationships/hyperlink" Target="https://www.sec.gov/Archives/edgar/data/1395937/000119312516496764/d11951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2024-05-08T06:14:46Z</dcterms:created>
  <dcterms:modified xsi:type="dcterms:W3CDTF">2024-05-08T06:14:46Z</dcterms:modified>
</cp:coreProperties>
</file>