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dx-20230930.htm"/>
      <w:bookmarkStart w:id="1" w:name="kssndx20230930"/>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quarterly period ended September 30, 2023</w:t>
      </w:r>
      <w:r>
        <w:rPr>
          <w:rFonts w:ascii="Times New Roman" w:hAnsi="Times New Roman"/>
          <w:color w:val="000000"/>
          <w:sz w:val="18"/>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Commission File Number: 001-37708</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tbl>
      <w:tblPr>
        <w:tblW w:w="4667" w:type="dxa"/>
        <w:jc w:val="left"/>
        <w:tblInd w:w="0" w:type="dxa"/>
        <w:tblLayout w:type="fixed"/>
        <w:tblCellMar>
          <w:top w:w="28" w:type="dxa"/>
          <w:left w:w="28" w:type="dxa"/>
          <w:bottom w:w="28" w:type="dxa"/>
          <w:right w:w="28" w:type="dxa"/>
        </w:tblCellMar>
      </w:tblPr>
      <w:tblGrid>
        <w:gridCol w:w="3181"/>
        <w:gridCol w:w="1486"/>
      </w:tblGrid>
      <w:tr>
        <w:trPr/>
        <w:tc>
          <w:tcPr>
            <w:tcW w:w="31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r>
      <w:tr>
        <w:trPr/>
        <w:tc>
          <w:tcPr>
            <w:tcW w:w="318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32-0162505</w:t>
            </w:r>
          </w:p>
        </w:tc>
      </w:tr>
      <w:tr>
        <w:trPr/>
        <w:tc>
          <w:tcPr>
            <w:tcW w:w="318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181"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r>
      <w:tr>
        <w:trPr/>
        <w:tc>
          <w:tcPr>
            <w:tcW w:w="3181"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35 Gatehouse Drive, Building D, Floor 3</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Waltham, Massachusetts</w:t>
            </w:r>
          </w:p>
        </w:tc>
        <w:tc>
          <w:tcPr>
            <w:tcW w:w="148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02451</w:t>
            </w:r>
          </w:p>
        </w:tc>
      </w:tr>
      <w:tr>
        <w:trPr/>
        <w:tc>
          <w:tcPr>
            <w:tcW w:w="318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18"/>
        </w:rPr>
        <w:t>(781) 419-1400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Securities registered pursuant to Section 12(b) of the Act:</w:t>
      </w:r>
    </w:p>
    <w:tbl>
      <w:tblPr>
        <w:tblW w:w="6498" w:type="dxa"/>
        <w:jc w:val="left"/>
        <w:tblInd w:w="0" w:type="dxa"/>
        <w:tblLayout w:type="fixed"/>
        <w:tblCellMar>
          <w:top w:w="28" w:type="dxa"/>
          <w:left w:w="28" w:type="dxa"/>
          <w:bottom w:w="28" w:type="dxa"/>
          <w:right w:w="28" w:type="dxa"/>
        </w:tblCellMar>
      </w:tblPr>
      <w:tblGrid>
        <w:gridCol w:w="1456"/>
        <w:gridCol w:w="1561"/>
        <w:gridCol w:w="3481"/>
      </w:tblGrid>
      <w:tr>
        <w:trPr/>
        <w:tc>
          <w:tcPr>
            <w:tcW w:w="14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45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14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w:t>
            </w:r>
          </w:p>
        </w:tc>
        <w:tc>
          <w:tcPr>
            <w:tcW w:w="15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SNDX</w:t>
            </w:r>
          </w:p>
        </w:tc>
        <w:tc>
          <w:tcPr>
            <w:tcW w:w="3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color w:val="000000"/>
          <w:sz w:val="18"/>
        </w:rPr>
        <w:t>Yes</w:t>
      </w:r>
      <w:r>
        <w:rPr>
          <w:rFonts w:ascii="Times New Roman" w:hAnsi="Times New Roman"/>
          <w:color w:val="000000"/>
          <w:sz w:val="20"/>
        </w:rPr>
        <w:t xml:space="preserve"> ☒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hAnsi="Times New Roman"/>
          <w:b/>
          <w:color w:val="000000"/>
          <w:sz w:val="18"/>
        </w:rPr>
        <w:t>Yes</w:t>
      </w:r>
      <w:r>
        <w:rPr>
          <w:rFonts w:ascii="Times New Roman" w:hAnsi="Times New Roman"/>
          <w:color w:val="000000"/>
          <w:sz w:val="20"/>
        </w:rPr>
        <w:t xml:space="preserve"> ☒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950" w:type="dxa"/>
        <w:jc w:val="left"/>
        <w:tblInd w:w="0" w:type="dxa"/>
        <w:tblLayout w:type="fixed"/>
        <w:tblCellMar>
          <w:top w:w="28" w:type="dxa"/>
          <w:left w:w="28" w:type="dxa"/>
          <w:bottom w:w="28" w:type="dxa"/>
          <w:right w:w="28" w:type="dxa"/>
        </w:tblCellMar>
      </w:tblPr>
      <w:tblGrid>
        <w:gridCol w:w="2101"/>
        <w:gridCol w:w="316"/>
        <w:gridCol w:w="146"/>
        <w:gridCol w:w="2026"/>
        <w:gridCol w:w="361"/>
      </w:tblGrid>
      <w:tr>
        <w:trPr/>
        <w:tc>
          <w:tcPr>
            <w:tcW w:w="21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10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101" w:type="dxa"/>
            <w:tcBorders/>
            <w:vAlign w:val="center"/>
          </w:tcPr>
          <w:p>
            <w:pPr>
              <w:pStyle w:val="TableContents"/>
              <w:bidi w:val="0"/>
              <w:spacing w:before="0" w:after="283"/>
              <w:jc w:val="left"/>
              <w:rPr>
                <w:rFonts w:ascii="Times New Roman" w:hAnsi="Times New Roman"/>
                <w:sz w:val="18"/>
              </w:rPr>
            </w:pPr>
            <w:r>
              <w:rPr>
                <w:rFonts w:ascii="Times New Roman" w:hAnsi="Times New Roman"/>
                <w:b w:val="false"/>
                <w:color w:val="000000"/>
                <w:sz w:val="18"/>
              </w:rPr>
              <w:t>Emerging growth company</w:t>
            </w:r>
            <w:r>
              <w:rPr>
                <w:rFonts w:ascii="Times New Roman" w:hAnsi="Times New Roman"/>
                <w:color w:val="000000"/>
                <w:sz w:val="18"/>
              </w:rPr>
              <w:t xml:space="preserve">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If an emerging growth company, indicate by check mark if the registrant has elected not to use the extended transition period for complying with any new or revised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w:t>
      </w:r>
      <w:r>
        <w:rPr>
          <w:rFonts w:ascii="Times New Roman" w:hAnsi="Times New Roman"/>
          <w:b/>
          <w:color w:val="000000"/>
          <w:sz w:val="18"/>
        </w:rPr>
        <w:t xml:space="preserve">Yes </w:t>
      </w:r>
      <w:r>
        <w:rPr>
          <w:rFonts w:ascii="Times New Roman" w:hAnsi="Times New Roman"/>
          <w:color w:val="000000"/>
          <w:sz w:val="20"/>
        </w:rPr>
        <w:t xml:space="preserve">☐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As of October 27, 2023, there were 69,640,668</w:t>
      </w:r>
      <w:r>
        <w:rPr>
          <w:rFonts w:ascii="Times New Roman" w:hAnsi="Times New Roman"/>
          <w:color w:val="FF0000"/>
          <w:sz w:val="20"/>
        </w:rPr>
        <w:t xml:space="preserve"> </w:t>
      </w:r>
      <w:r>
        <w:rPr>
          <w:rFonts w:ascii="Times New Roman" w:hAnsi="Times New Roman"/>
          <w:b w:val="false"/>
          <w:color w:val="000000"/>
          <w:sz w:val="18"/>
        </w:rPr>
        <w:t>shares of the registrant’s Common Stock, par value $0.0001 per share, outstanding.</w:t>
      </w:r>
      <w:r>
        <w:rPr>
          <w:rFonts w:ascii="Times New Roman" w:hAnsi="Times New Roman"/>
          <w:color w:val="000000"/>
          <w:sz w:val="20"/>
        </w:rPr>
        <w:t xml:space="preserve"> </w:t>
      </w:r>
    </w:p>
    <w:p>
      <w:pPr>
        <w:pStyle w:val="TextBody"/>
        <w:bidi w:val="0"/>
        <w:spacing w:before="120" w:after="283"/>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similar expressions.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Forward-looking statements include, but are not limited to, statements about: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estimates regarding our expenses, future revenues, anticipated capital requirements and our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initiation, cost, timing, progress and results of our research and development activities,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replicate results in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the potential safety, efficacy or clinical utility of our product candidates as well as the potential use of our product candidates to treat various cancer indications and fibrotic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obtain and maintain regulatory approval for our product candidates and the timing or likelihood of regulatory filings and approvals for such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maintain our licenses with Bayer Pharma AG, Eddingpharm Investment Company Limited, UCB Biopharma Sprl, and Vitae Pharmaceuticals, Inc., a subsidiary of Allergan plc, which was acquired by AbbVie Inc.;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 of our collaboration with Incyte Corporation, or Incyte, to further develop and commercialize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milestone and royalty payments under certain of our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implementation of our strategic plans for our business and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of protection we establish and maintain for intellectual property rights covering our product candidates and our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market adoption of our product candidates by physicians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developments relating to our competitors and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geo-political actions, including war or the perception that hostilities may be imminent (such as the ongoing war between Russia and Ukraine and the war in Israel),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6"/>
        <w:gridCol w:w="420"/>
        <w:gridCol w:w="8341"/>
        <w:gridCol w:w="146"/>
        <w:gridCol w:w="512"/>
      </w:tblGrid>
      <w:tr>
        <w:trPr/>
        <w:tc>
          <w:tcPr>
            <w:tcW w:w="78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center"/>
              <w:rPr/>
            </w:pPr>
            <w:r>
              <w:rPr/>
              <w:t> </w:t>
            </w:r>
          </w:p>
        </w:tc>
      </w:tr>
      <w:tr>
        <w:trPr/>
        <w:tc>
          <w:tcPr>
            <w:tcW w:w="9547" w:type="dxa"/>
            <w:gridSpan w:val="3"/>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Unaudited Financial Statements: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b w:val="false"/>
                  <w:color w:val="0000FF"/>
                  <w:sz w:val="20"/>
                  <w:u w:val="single"/>
                </w:rPr>
                <w:t>Condensed Consolidated Balance Sheets as of September 30, 2023 and December 31, 2022</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ind w:left="0" w:right="0" w:firstLine="274"/>
              <w:jc w:val="left"/>
              <w:rPr/>
            </w:pPr>
            <w:r>
              <w:rPr/>
              <w:t> </w:t>
            </w:r>
          </w:p>
        </w:tc>
        <w:tc>
          <w:tcPr>
            <w:tcW w:w="8341" w:type="dxa"/>
            <w:tcBorders/>
            <w:vAlign w:val="center"/>
          </w:tcPr>
          <w:p>
            <w:pPr>
              <w:pStyle w:val="TableContents"/>
              <w:pBdr/>
              <w:bidi w:val="0"/>
              <w:spacing w:before="0" w:after="283"/>
              <w:ind w:left="0" w:right="0" w:hanging="274"/>
              <w:jc w:val="left"/>
              <w:rPr/>
            </w:pPr>
            <w:hyperlink w:anchor="condensed_consolidated_statements_compre">
              <w:r>
                <w:rPr>
                  <w:rStyle w:val="InternetLink"/>
                  <w:rFonts w:ascii="Times New Roman" w:hAnsi="Times New Roman"/>
                  <w:b w:val="false"/>
                  <w:color w:val="0000FF"/>
                  <w:sz w:val="20"/>
                  <w:u w:val="single"/>
                </w:rPr>
                <w:t xml:space="preserve">Condensed Consolidated Statements of Comprehensive Loss for the three and nine months ended </w:t>
                <w:br/>
                <w:t>September 30, 2023 and 2022</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ind w:left="0" w:right="0" w:firstLine="274"/>
              <w:jc w:val="left"/>
              <w:rPr/>
            </w:pPr>
            <w:r>
              <w:rPr/>
              <w:t> </w:t>
            </w:r>
          </w:p>
        </w:tc>
        <w:tc>
          <w:tcPr>
            <w:tcW w:w="8341" w:type="dxa"/>
            <w:tcBorders/>
            <w:vAlign w:val="center"/>
          </w:tcPr>
          <w:p>
            <w:pPr>
              <w:pStyle w:val="TableContents"/>
              <w:pBdr/>
              <w:bidi w:val="0"/>
              <w:spacing w:before="0" w:after="283"/>
              <w:ind w:left="0" w:right="0" w:hanging="274"/>
              <w:jc w:val="left"/>
              <w:rPr/>
            </w:pPr>
            <w:hyperlink w:anchor="condensed_consolidated_statements_cash_f">
              <w:r>
                <w:rPr>
                  <w:rStyle w:val="InternetLink"/>
                  <w:rFonts w:ascii="Times New Roman" w:hAnsi="Times New Roman"/>
                  <w:b w:val="false"/>
                  <w:color w:val="0000FF"/>
                  <w:sz w:val="20"/>
                  <w:u w:val="single"/>
                </w:rPr>
                <w:t>Condensed Consolidated Statements of Cash Flows for the nine months ended September 30, 2023 and 2022</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hyperlink w:anchor="notes_to_condensed_consolidated_fin">
              <w:r>
                <w:rPr>
                  <w:rStyle w:val="InternetLink"/>
                  <w:rFonts w:ascii="Times New Roman" w:hAnsi="Times New Roman"/>
                  <w:b w:val="false"/>
                  <w:color w:val="0000FF"/>
                  <w:sz w:val="20"/>
                  <w:u w:val="single"/>
                </w:rPr>
                <w:t>Notes to Condensed Consolidated Financial Statements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hyperlink w:anchor="quantitative_and_qualitative_disclosures">
              <w:r>
                <w:rPr>
                  <w:rStyle w:val="InternetLink"/>
                  <w:rFonts w:ascii="Times New Roman" w:hAnsi="Times New Roman"/>
                  <w:b w:val="false"/>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547" w:type="dxa"/>
            <w:gridSpan w:val="3"/>
            <w:tcBorders/>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786"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rFonts w:ascii="Times New Roman" w:hAnsi="Times New Roman"/>
                <w:b w:val="false"/>
                <w:color w:val="0000FF"/>
                <w:sz w:val="20"/>
                <w:u w:val="single"/>
              </w:rPr>
            </w:pPr>
            <w:r>
              <w:rPr>
                <w:rFonts w:ascii="Times New Roman" w:hAnsi="Times New Roman"/>
                <w:b w:val="false"/>
                <w:color w:val="0000FF"/>
                <w:sz w:val="20"/>
                <w:u w:val="single"/>
              </w:rPr>
              <w:t>Other Information</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r>
      <w:tr>
        <w:trPr/>
        <w:tc>
          <w:tcPr>
            <w:tcW w:w="78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8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420" w:type="dxa"/>
            <w:tcBorders/>
            <w:vAlign w:val="center"/>
          </w:tcPr>
          <w:p>
            <w:pPr>
              <w:pStyle w:val="TableContents"/>
              <w:bidi w:val="0"/>
              <w:spacing w:before="0" w:after="283"/>
              <w:jc w:val="left"/>
              <w:rPr/>
            </w:pPr>
            <w:r>
              <w:rPr/>
              <w:t> </w:t>
            </w:r>
          </w:p>
        </w:tc>
        <w:tc>
          <w:tcPr>
            <w:tcW w:w="8341"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146"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49"/>
        <w:gridCol w:w="146"/>
        <w:gridCol w:w="279"/>
        <w:gridCol w:w="1234"/>
        <w:gridCol w:w="166"/>
        <w:gridCol w:w="146"/>
        <w:gridCol w:w="271"/>
        <w:gridCol w:w="1200"/>
        <w:gridCol w:w="414"/>
      </w:tblGrid>
      <w:tr>
        <w:trPr/>
        <w:tc>
          <w:tcPr>
            <w:tcW w:w="6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3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51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51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63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74,356</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34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269,006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401,446</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3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deposits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8,595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34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Collaboration receivable, net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3,474</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3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380,974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489,786</w:t>
            </w:r>
          </w:p>
        </w:tc>
        <w:tc>
          <w:tcPr>
            <w:tcW w:w="414" w:type="dxa"/>
            <w:tcBorders/>
            <w:shd w:fill="FFFFFF" w:val="clear"/>
            <w:vAlign w:val="center"/>
          </w:tcPr>
          <w:p>
            <w:pPr>
              <w:pStyle w:val="TableContents"/>
              <w:bidi w:val="0"/>
              <w:spacing w:before="0" w:after="283"/>
              <w:jc w:val="left"/>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5,469</w:t>
            </w:r>
          </w:p>
        </w:tc>
        <w:tc>
          <w:tcPr>
            <w:tcW w:w="414" w:type="dxa"/>
            <w:tcBorders/>
            <w:shd w:fill="CFF0FC" w:val="cle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414" w:type="dxa"/>
            <w:tcBorders/>
            <w:shd w:fill="FFFFFF" w:val="clear"/>
            <w:vAlign w:val="center"/>
          </w:tcPr>
          <w:p>
            <w:pPr>
              <w:pStyle w:val="TableContents"/>
              <w:bidi w:val="0"/>
              <w:spacing w:before="0" w:after="283"/>
              <w:jc w:val="left"/>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Right-of-use asset, net</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1,039</w:t>
            </w:r>
          </w:p>
        </w:tc>
        <w:tc>
          <w:tcPr>
            <w:tcW w:w="414" w:type="dxa"/>
            <w:tcBorders/>
            <w:shd w:fill="CFF0FC" w:val="cle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414" w:type="dxa"/>
            <w:tcBorders/>
            <w:shd w:fill="FFFFFF" w:val="clear"/>
            <w:vAlign w:val="center"/>
          </w:tcPr>
          <w:p>
            <w:pPr>
              <w:pStyle w:val="TableContents"/>
              <w:bidi w:val="0"/>
              <w:spacing w:before="0" w:after="283"/>
              <w:jc w:val="left"/>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497,236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51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51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63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4,350</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34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24,276</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3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right-of-use liability</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34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Current portion of capital lease</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29,065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liabilities:</w:t>
            </w:r>
          </w:p>
        </w:tc>
        <w:tc>
          <w:tcPr>
            <w:tcW w:w="146" w:type="dxa"/>
            <w:tcBorders/>
            <w:shd w:fill="FFFFFF" w:val="clear"/>
            <w:vAlign w:val="center"/>
          </w:tcPr>
          <w:p>
            <w:pPr>
              <w:pStyle w:val="TableContents"/>
              <w:bidi w:val="0"/>
              <w:spacing w:before="0" w:after="283"/>
              <w:jc w:val="left"/>
              <w:rPr/>
            </w:pPr>
            <w:r>
              <w:rPr/>
              <w:t> </w:t>
            </w:r>
          </w:p>
        </w:tc>
        <w:tc>
          <w:tcPr>
            <w:tcW w:w="151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63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Right-of-use liability, less current portion</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34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Capital lease, less current portion</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long-term liabilities</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29,787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12)</w:t>
            </w:r>
          </w:p>
        </w:tc>
        <w:tc>
          <w:tcPr>
            <w:tcW w:w="146" w:type="dxa"/>
            <w:tcBorders/>
            <w:shd w:fill="CFF0FC" w:val="clear"/>
            <w:vAlign w:val="center"/>
          </w:tcPr>
          <w:p>
            <w:pPr>
              <w:pStyle w:val="TableContents"/>
              <w:bidi w:val="0"/>
              <w:spacing w:before="0" w:after="283"/>
              <w:jc w:val="left"/>
              <w:rPr/>
            </w:pPr>
            <w:r>
              <w:rPr/>
              <w:t> </w:t>
            </w:r>
          </w:p>
        </w:tc>
        <w:tc>
          <w:tcPr>
            <w:tcW w:w="151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63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51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6349"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$0.001</w:t>
            </w:r>
            <w:r>
              <w:rPr>
                <w:rFonts w:ascii="Times New Roman" w:hAnsi="Times New Roman"/>
                <w:color w:val="000000"/>
                <w:sz w:val="20"/>
              </w:rPr>
              <w:t> </w:t>
            </w:r>
            <w:r>
              <w:rPr>
                <w:rFonts w:ascii="Times New Roman" w:hAnsi="Times New Roman"/>
                <w:b w:val="false"/>
                <w:color w:val="000000"/>
                <w:sz w:val="20"/>
              </w:rPr>
              <w:t>par value, 10,000,000</w:t>
            </w:r>
            <w:r>
              <w:rPr>
                <w:rFonts w:ascii="Times New Roman" w:hAnsi="Times New Roman"/>
                <w:color w:val="000000"/>
                <w:sz w:val="20"/>
              </w:rPr>
              <w:t> </w:t>
            </w:r>
            <w:r>
              <w:rPr>
                <w:rFonts w:ascii="Times New Roman" w:hAnsi="Times New Roman"/>
                <w:b w:val="false"/>
                <w:color w:val="000000"/>
                <w:sz w:val="20"/>
              </w:rPr>
              <w:t>shares authorized; 0</w:t>
            </w:r>
            <w:r>
              <w:rPr>
                <w:rFonts w:ascii="Times New Roman" w:hAnsi="Times New Roman"/>
                <w:color w:val="000000"/>
                <w:sz w:val="20"/>
              </w:rPr>
              <w:t> </w:t>
            </w:r>
            <w:r>
              <w:rPr>
                <w:rFonts w:ascii="Times New Roman" w:hAnsi="Times New Roman"/>
                <w:b w:val="false"/>
                <w:color w:val="000000"/>
                <w:sz w:val="20"/>
              </w:rPr>
              <w:t>shares</w:t>
              <w:br/>
              <w:t>   outstanding at September 30, 2023 and December 31, 2022</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349"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$0.0001</w:t>
            </w:r>
            <w:r>
              <w:rPr>
                <w:rFonts w:ascii="Times New Roman" w:hAnsi="Times New Roman"/>
                <w:color w:val="000000"/>
                <w:sz w:val="20"/>
              </w:rPr>
              <w:t> </w:t>
            </w:r>
            <w:r>
              <w:rPr>
                <w:rFonts w:ascii="Times New Roman" w:hAnsi="Times New Roman"/>
                <w:b w:val="false"/>
                <w:color w:val="000000"/>
                <w:sz w:val="20"/>
              </w:rPr>
              <w:t>par value, 100,000,000</w:t>
            </w:r>
            <w:r>
              <w:rPr>
                <w:rFonts w:ascii="Times New Roman" w:hAnsi="Times New Roman"/>
                <w:color w:val="000000"/>
                <w:sz w:val="20"/>
              </w:rPr>
              <w:t> </w:t>
            </w:r>
            <w:r>
              <w:rPr>
                <w:rFonts w:ascii="Times New Roman" w:hAnsi="Times New Roman"/>
                <w:b w:val="false"/>
                <w:color w:val="000000"/>
                <w:sz w:val="20"/>
              </w:rPr>
              <w:t>shares authorized; 69,638,168</w:t>
              <w:br/>
              <w:t>   and 68,111,385</w:t>
            </w:r>
            <w:r>
              <w:rPr>
                <w:rFonts w:ascii="Times New Roman" w:hAnsi="Times New Roman"/>
                <w:color w:val="000000"/>
                <w:sz w:val="20"/>
              </w:rPr>
              <w:t> </w:t>
            </w:r>
            <w:r>
              <w:rPr>
                <w:rFonts w:ascii="Times New Roman" w:hAnsi="Times New Roman"/>
                <w:b w:val="false"/>
                <w:color w:val="000000"/>
                <w:sz w:val="20"/>
              </w:rPr>
              <w:t>shares issued and outstanding at September 30, 2023 and</w:t>
              <w:br/>
              <w:t>   December 31, 2022, respectively</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63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12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1,189,561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2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1,161,288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634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34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(829,927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(693,040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3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467,449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399,224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497,236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compre"/>
      <w:bookmarkEnd w:id="5"/>
      <w:r>
        <w:rPr>
          <w:rFonts w:ascii="Times New Roman" w:hAnsi="Times New Roman"/>
          <w:b/>
          <w:color w:val="000000"/>
          <w:sz w:val="20"/>
        </w:rPr>
        <w:t>CONDENSED 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70"/>
        <w:gridCol w:w="211"/>
        <w:gridCol w:w="1036"/>
        <w:gridCol w:w="166"/>
        <w:gridCol w:w="146"/>
        <w:gridCol w:w="211"/>
        <w:gridCol w:w="1036"/>
        <w:gridCol w:w="366"/>
        <w:gridCol w:w="346"/>
        <w:gridCol w:w="211"/>
        <w:gridCol w:w="1036"/>
        <w:gridCol w:w="166"/>
        <w:gridCol w:w="146"/>
        <w:gridCol w:w="211"/>
        <w:gridCol w:w="1036"/>
        <w:gridCol w:w="411"/>
      </w:tblGrid>
      <w:tr>
        <w:trPr/>
        <w:tc>
          <w:tcPr>
            <w:tcW w:w="3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0"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47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26,901</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86,658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4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23,066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35,141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109,724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(35,141</w:t>
            </w:r>
          </w:p>
        </w:tc>
        <w:tc>
          <w:tcPr>
            <w:tcW w:w="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(152,049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(109,724</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4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(1,748</w:t>
            </w:r>
          </w:p>
        </w:tc>
        <w:tc>
          <w:tcPr>
            <w:tcW w:w="36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7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1,781</w:t>
            </w:r>
          </w:p>
        </w:tc>
        <w:tc>
          <w:tcPr>
            <w:tcW w:w="366" w:type="dxa"/>
            <w:tcBorders/>
            <w:shd w:fill="FFFFFF" w:val="cle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4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(35,403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47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(loss) on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(35,673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(111,794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common stockholders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(35,403</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attributable to common stockholders—basic</w:t>
              <w:br/>
              <w:t>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(0.58</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number of common shares used to compute</w:t>
              <w:br/>
              <w:t>   net loss per share attributable to common stockholders</w:t>
              <w:br/>
              <w:t>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69,855,766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60,670,294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69,645,888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59,941,384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b w:val="false"/>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ash_f"/>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491"/>
        <w:gridCol w:w="146"/>
        <w:gridCol w:w="222"/>
        <w:gridCol w:w="890"/>
        <w:gridCol w:w="175"/>
        <w:gridCol w:w="153"/>
        <w:gridCol w:w="222"/>
        <w:gridCol w:w="890"/>
        <w:gridCol w:w="1016"/>
      </w:tblGrid>
      <w:tr>
        <w:trPr/>
        <w:tc>
          <w:tcPr>
            <w:tcW w:w="6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6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center"/>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center"/>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64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(136,887</w:t>
            </w:r>
          </w:p>
        </w:tc>
        <w:tc>
          <w:tcPr>
            <w:tcW w:w="1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(110,144</w:t>
            </w:r>
          </w:p>
        </w:tc>
        <w:tc>
          <w:tcPr>
            <w:tcW w:w="10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center"/>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center"/>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400"/>
              <w:jc w:val="right"/>
              <w:rPr/>
            </w:pPr>
            <w:r>
              <w:rPr/>
              <w:t> </w:t>
            </w:r>
          </w:p>
        </w:tc>
      </w:tr>
      <w:tr>
        <w:trPr/>
        <w:tc>
          <w:tcPr>
            <w:tcW w:w="64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Depreciation</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4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Accretion of investments</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(11,344</w:t>
            </w:r>
          </w:p>
        </w:tc>
        <w:tc>
          <w:tcPr>
            <w:tcW w:w="1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(1,357</w:t>
            </w:r>
          </w:p>
        </w:tc>
        <w:tc>
          <w:tcPr>
            <w:tcW w:w="10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Non-cash operating lease expense</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w:t>
            </w:r>
          </w:p>
        </w:tc>
        <w:tc>
          <w:tcPr>
            <w:tcW w:w="1016" w:type="dxa"/>
            <w:tcBorders/>
            <w:shd w:fill="FFFFFF" w:val="clear"/>
            <w:vAlign w:val="center"/>
          </w:tcPr>
          <w:p>
            <w:pPr>
              <w:pStyle w:val="TableContents"/>
              <w:bidi w:val="0"/>
              <w:spacing w:before="0" w:after="283"/>
              <w:ind w:left="0" w:right="0" w:firstLine="400"/>
              <w:jc w:val="left"/>
              <w:rPr/>
            </w:pPr>
            <w:r>
              <w:rPr/>
              <w:t> </w:t>
            </w:r>
          </w:p>
        </w:tc>
      </w:tr>
      <w:tr>
        <w:trPr/>
        <w:tc>
          <w:tcPr>
            <w:tcW w:w="64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Non-cash interest expense</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1,103</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4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Changes in fair value of derivative liability</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color w:val="000000"/>
              </w:rPr>
            </w:pPr>
            <w:r>
              <w:rPr>
                <w:color w:val="000000"/>
              </w:rPr>
              <w:t>—</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w:t>
            </w:r>
          </w:p>
        </w:tc>
        <w:tc>
          <w:tcPr>
            <w:tcW w:w="101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22,624</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11,778</w:t>
            </w:r>
          </w:p>
        </w:tc>
        <w:tc>
          <w:tcPr>
            <w:tcW w:w="1016" w:type="dxa"/>
            <w:tcBorders/>
            <w:shd w:fill="CFF0FC" w:val="clear"/>
            <w:vAlign w:val="center"/>
          </w:tcPr>
          <w:p>
            <w:pPr>
              <w:pStyle w:val="TableContents"/>
              <w:bidi w:val="0"/>
              <w:spacing w:before="0" w:after="283"/>
              <w:ind w:left="0" w:right="0" w:firstLine="400"/>
              <w:jc w:val="left"/>
              <w:rPr/>
            </w:pPr>
            <w:r>
              <w:rPr/>
              <w:t> </w:t>
            </w:r>
          </w:p>
        </w:tc>
      </w:tr>
      <w:tr>
        <w:trPr/>
        <w:tc>
          <w:tcPr>
            <w:tcW w:w="64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600"/>
              <w:jc w:val="right"/>
              <w:rPr/>
            </w:pPr>
            <w:r>
              <w:rPr/>
              <w:t> </w:t>
            </w:r>
          </w:p>
        </w:tc>
      </w:tr>
      <w:tr>
        <w:trPr/>
        <w:tc>
          <w:tcPr>
            <w:tcW w:w="649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(3,281</w:t>
            </w:r>
          </w:p>
        </w:tc>
        <w:tc>
          <w:tcPr>
            <w:tcW w:w="1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(7,674</w:t>
            </w:r>
          </w:p>
        </w:tc>
        <w:tc>
          <w:tcPr>
            <w:tcW w:w="1016"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Collaboration receivable (payable), net</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(4,539</w:t>
            </w:r>
          </w:p>
        </w:tc>
        <w:tc>
          <w:tcPr>
            <w:tcW w:w="1016"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1,699</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1,445</w:t>
            </w:r>
          </w:p>
        </w:tc>
        <w:tc>
          <w:tcPr>
            <w:tcW w:w="1016" w:type="dxa"/>
            <w:tcBorders/>
            <w:shd w:fill="CFF0FC" w:val="clear"/>
            <w:vAlign w:val="center"/>
          </w:tcPr>
          <w:p>
            <w:pPr>
              <w:pStyle w:val="TableContents"/>
              <w:bidi w:val="0"/>
              <w:spacing w:before="0" w:after="283"/>
              <w:ind w:left="0" w:right="0" w:firstLine="600"/>
              <w:jc w:val="left"/>
              <w:rPr/>
            </w:pPr>
            <w:r>
              <w:rPr/>
              <w:t> </w:t>
            </w:r>
          </w:p>
        </w:tc>
      </w:tr>
      <w:tr>
        <w:trPr/>
        <w:tc>
          <w:tcPr>
            <w:tcW w:w="649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Accrued expenses and other liabilities</w:t>
            </w:r>
          </w:p>
        </w:tc>
        <w:tc>
          <w:tcPr>
            <w:tcW w:w="146" w:type="dxa"/>
            <w:tcBorders/>
            <w:shd w:fill="FFFFFF" w:val="cle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7,364</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(1,545</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CFF0FC" w:val="clear"/>
            <w:vAlign w:val="center"/>
          </w:tcPr>
          <w:p>
            <w:pPr>
              <w:pStyle w:val="TableContents"/>
              <w:bidi w:val="0"/>
              <w:spacing w:before="0" w:after="283"/>
              <w:ind w:left="800" w:right="0" w:firstLine="800"/>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(119,252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CFF0FC" w:val="cle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(110,781</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ind w:left="0" w:right="0" w:firstLine="200"/>
              <w:jc w:val="right"/>
              <w:rPr/>
            </w:pPr>
            <w:r>
              <w:rPr/>
              <w:t> </w:t>
            </w:r>
          </w:p>
        </w:tc>
      </w:tr>
      <w:tr>
        <w:trPr/>
        <w:tc>
          <w:tcPr>
            <w:tcW w:w="64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short and long-term investments</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(225,316</w:t>
            </w:r>
          </w:p>
        </w:tc>
        <w:tc>
          <w:tcPr>
            <w:tcW w:w="1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3"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(244,467</w:t>
            </w:r>
          </w:p>
        </w:tc>
        <w:tc>
          <w:tcPr>
            <w:tcW w:w="10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sales and maturities of short-term investments</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359,215</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195,683</w:t>
            </w:r>
          </w:p>
        </w:tc>
        <w:tc>
          <w:tcPr>
            <w:tcW w:w="1016" w:type="dxa"/>
            <w:tcBorders/>
            <w:shd w:fill="FFFFFF" w:val="clear"/>
            <w:vAlign w:val="center"/>
          </w:tcPr>
          <w:p>
            <w:pPr>
              <w:pStyle w:val="TableContents"/>
              <w:bidi w:val="0"/>
              <w:spacing w:before="0" w:after="283"/>
              <w:ind w:left="0" w:right="0" w:firstLine="200"/>
              <w:jc w:val="left"/>
              <w:rPr/>
            </w:pPr>
            <w:r>
              <w:rPr/>
              <w:t> </w:t>
            </w:r>
          </w:p>
        </w:tc>
      </w:tr>
      <w:tr>
        <w:trPr/>
        <w:tc>
          <w:tcPr>
            <w:tcW w:w="64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sales of equipment</w:t>
            </w:r>
          </w:p>
        </w:tc>
        <w:tc>
          <w:tcPr>
            <w:tcW w:w="146" w:type="dxa"/>
            <w:tcBorders/>
            <w:shd w:fill="CFF0FC" w:val="cle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133,899</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(48,559</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center"/>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3" w:type="dxa"/>
            <w:tcBorders/>
            <w:shd w:fill="CFF0FC" w:val="clear"/>
            <w:vAlign w:val="center"/>
          </w:tcPr>
          <w:p>
            <w:pPr>
              <w:pStyle w:val="TableContents"/>
              <w:bidi w:val="0"/>
              <w:spacing w:before="0" w:after="283"/>
              <w:jc w:val="center"/>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1016" w:type="dxa"/>
            <w:tcBorders/>
            <w:shd w:fill="CFF0FC" w:val="clear"/>
            <w:vAlign w:val="center"/>
          </w:tcPr>
          <w:p>
            <w:pPr>
              <w:pStyle w:val="TableContents"/>
              <w:bidi w:val="0"/>
              <w:spacing w:before="0" w:after="283"/>
              <w:ind w:left="0" w:right="0" w:firstLine="200"/>
              <w:jc w:val="right"/>
              <w:rPr/>
            </w:pPr>
            <w:r>
              <w:rPr/>
              <w:t> </w:t>
            </w:r>
          </w:p>
        </w:tc>
      </w:tr>
      <w:tr>
        <w:trPr/>
        <w:tc>
          <w:tcPr>
            <w:tcW w:w="64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Employee Stock Purchase Plan</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w:t>
            </w:r>
          </w:p>
        </w:tc>
        <w:tc>
          <w:tcPr>
            <w:tcW w:w="1016" w:type="dxa"/>
            <w:tcBorders/>
            <w:shd w:fill="FFFFFF" w:val="clear"/>
            <w:vAlign w:val="center"/>
          </w:tcPr>
          <w:p>
            <w:pPr>
              <w:pStyle w:val="TableContents"/>
              <w:bidi w:val="0"/>
              <w:spacing w:before="0" w:after="283"/>
              <w:ind w:left="0" w:right="0" w:firstLine="200"/>
              <w:jc w:val="left"/>
              <w:rPr/>
            </w:pPr>
            <w:r>
              <w:rPr/>
              <w:t> </w:t>
            </w:r>
          </w:p>
        </w:tc>
      </w:tr>
      <w:tr>
        <w:trPr/>
        <w:tc>
          <w:tcPr>
            <w:tcW w:w="64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stock option exercises</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5,016</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10,063</w:t>
            </w:r>
          </w:p>
        </w:tc>
        <w:tc>
          <w:tcPr>
            <w:tcW w:w="1016" w:type="dxa"/>
            <w:tcBorders/>
            <w:shd w:fill="CFF0FC" w:val="clear"/>
            <w:vAlign w:val="center"/>
          </w:tcPr>
          <w:p>
            <w:pPr>
              <w:pStyle w:val="TableContents"/>
              <w:bidi w:val="0"/>
              <w:spacing w:before="0" w:after="283"/>
              <w:ind w:left="0" w:right="0" w:firstLine="200"/>
              <w:jc w:val="left"/>
              <w:rPr/>
            </w:pPr>
            <w:r>
              <w:rPr/>
              <w:t> </w:t>
            </w:r>
          </w:p>
        </w:tc>
      </w:tr>
      <w:tr>
        <w:trPr/>
        <w:tc>
          <w:tcPr>
            <w:tcW w:w="64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issuance of common stock in at-the-market stock offering, net</w:t>
            </w:r>
          </w:p>
        </w:tc>
        <w:tc>
          <w:tcPr>
            <w:tcW w:w="146"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color w:val="000000"/>
              </w:rPr>
            </w:pPr>
            <w:r>
              <w:rPr>
                <w:color w:val="000000"/>
              </w:rPr>
              <w:t>—</w:t>
            </w:r>
          </w:p>
        </w:tc>
        <w:tc>
          <w:tcPr>
            <w:tcW w:w="17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19,427</w:t>
            </w:r>
          </w:p>
        </w:tc>
        <w:tc>
          <w:tcPr>
            <w:tcW w:w="1016" w:type="dxa"/>
            <w:tcBorders/>
            <w:shd w:fill="FFFFFF" w:val="clear"/>
            <w:vAlign w:val="center"/>
          </w:tcPr>
          <w:p>
            <w:pPr>
              <w:pStyle w:val="TableContents"/>
              <w:bidi w:val="0"/>
              <w:spacing w:before="0" w:after="283"/>
              <w:ind w:left="0" w:right="0" w:firstLine="200"/>
              <w:jc w:val="left"/>
              <w:rPr/>
            </w:pPr>
            <w:r>
              <w:rPr/>
              <w:t> </w:t>
            </w:r>
          </w:p>
        </w:tc>
      </w:tr>
      <w:tr>
        <w:trPr/>
        <w:tc>
          <w:tcPr>
            <w:tcW w:w="64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 on term loan</w:t>
            </w:r>
          </w:p>
        </w:tc>
        <w:tc>
          <w:tcPr>
            <w:tcW w:w="146" w:type="dxa"/>
            <w:tcBorders/>
            <w:shd w:fill="CFF0FC" w:val="cle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center"/>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(20,998</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FFFFFF" w:val="cle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5,649</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8,752</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 CASH EQUIVALENTS AND RESTRICTED CASH</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20,296</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(150,588</w:t>
            </w:r>
          </w:p>
        </w:tc>
        <w:tc>
          <w:tcPr>
            <w:tcW w:w="1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4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CASH—beginning of period</w:t>
            </w:r>
          </w:p>
        </w:tc>
        <w:tc>
          <w:tcPr>
            <w:tcW w:w="146" w:type="dxa"/>
            <w:tcBorders/>
            <w:shd w:fill="FFFFFF" w:val="cle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74,471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center"/>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222,080</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—end of period</w:t>
            </w:r>
          </w:p>
        </w:tc>
        <w:tc>
          <w:tcPr>
            <w:tcW w:w="146" w:type="dxa"/>
            <w:tcBorders/>
            <w:shd w:fill="CFF0FC" w:val="clear"/>
            <w:vAlign w:val="center"/>
          </w:tcPr>
          <w:p>
            <w:pPr>
              <w:pStyle w:val="TableContents"/>
              <w:bidi w:val="0"/>
              <w:spacing w:before="0" w:after="283"/>
              <w:jc w:val="center"/>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94,767</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center"/>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71,492</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center"/>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1016" w:type="dxa"/>
            <w:tcBorders/>
            <w:shd w:fill="FFFFFF" w:val="clear"/>
            <w:vAlign w:val="center"/>
          </w:tcPr>
          <w:p>
            <w:pPr>
              <w:pStyle w:val="TableContents"/>
              <w:bidi w:val="0"/>
              <w:spacing w:before="0" w:after="283"/>
              <w:jc w:val="right"/>
              <w:rPr/>
            </w:pPr>
            <w:r>
              <w:rPr/>
              <w:t> </w:t>
            </w:r>
          </w:p>
        </w:tc>
      </w:tr>
      <w:tr>
        <w:trPr/>
        <w:tc>
          <w:tcPr>
            <w:tcW w:w="64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interest</w:t>
            </w:r>
          </w:p>
        </w:tc>
        <w:tc>
          <w:tcPr>
            <w:tcW w:w="146"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175"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center"/>
              <w:rPr/>
            </w:pPr>
            <w:r>
              <w:rPr/>
              <w:t> </w:t>
            </w:r>
          </w:p>
        </w:tc>
        <w:tc>
          <w:tcPr>
            <w:tcW w:w="2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2,059</w:t>
            </w:r>
          </w:p>
        </w:tc>
        <w:tc>
          <w:tcPr>
            <w:tcW w:w="1016"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sz w:val="20"/>
        </w:rPr>
      </w:pPr>
      <w:r>
        <w:rPr>
          <w:rFonts w:ascii="Times New Roman" w:hAnsi="Times New Roman"/>
          <w:b w:val="false"/>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SYNDAX PHARMACEUTICALS, INC.</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notes_to_condensed_consolidated_fin"/>
      <w:bookmarkEnd w:id="7"/>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Syndax Pharmaceuticals, Inc., is a clinical stage biopharmaceutical company developing an innovative pipeline of cancer therapies. We were incorporated in Delaware</w:t>
      </w:r>
      <w:r>
        <w:rPr>
          <w:rFonts w:ascii="Times New Roman" w:hAnsi="Times New Roman"/>
          <w:color w:val="000000"/>
          <w:sz w:val="20"/>
        </w:rPr>
        <w:t xml:space="preserve"> </w:t>
      </w:r>
      <w:r>
        <w:rPr>
          <w:rFonts w:ascii="Times New Roman" w:hAnsi="Times New Roman"/>
          <w:b w:val="false"/>
          <w:color w:val="000000"/>
          <w:sz w:val="20"/>
        </w:rPr>
        <w:t>in 2005. We base our operations in Waltham, Massachusetts and we operate in one</w:t>
      </w:r>
      <w:r>
        <w:rPr>
          <w:rFonts w:ascii="Times New Roman" w:hAnsi="Times New Roman"/>
          <w:color w:val="000000"/>
          <w:sz w:val="20"/>
        </w:rPr>
        <w:t xml:space="preserve"> </w:t>
      </w:r>
      <w:r>
        <w:rPr>
          <w:rFonts w:ascii="Times New Roman" w:hAnsi="Times New Roman"/>
          <w:b w:val="false"/>
          <w:color w:val="000000"/>
          <w:sz w:val="20"/>
        </w:rPr>
        <w:t>segment. References in these notes to condensed consolidated financial statements to “Syndax,” “the Company,” “we,” “us” or “our” refer to Syndax Pharmaceuticals, Inc. and its wholly owned subsidiaries.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has prepared the accompanying condensed consolidated financial statements in conformity with accounting principles generally accepted in the United States of America, or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2023, and the results of operations and comprehensive loss for the three and nine months ended September 30, 2023 and 2022, and cash flows for the nine months ended September 30, 2023 and 2022. The results for the three and nine months ended September 30, 2023 are not necessarily indicative of the results to be expected for the year ending December 31, 2023, any other interim periods, or any future year or period. These interim financial statements should be read in conjunction with the audited financial statements as of and for the year ended December 31, 2022, and the notes thereto, which are included in the Company’s Annual Report on Form 10-K as filed with the Securities and Exchange Commission, or the SEC, on February 28, 2023.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2011, the Company established a wholly owned subsidiary in the United Kingdom. In 2014, the Company established a wholly owned U.S. subsidiary, and in 2021, the Company established a wholly owned subsidiary in the Netherlands. To date, there have been no material activities for these entities. All intercompany balances and transactions have been eliminated in consolidation.</w:t>
      </w:r>
    </w:p>
    <w:p>
      <w:pPr>
        <w:pStyle w:val="TextBody"/>
        <w:bidi w:val="0"/>
        <w:spacing w:before="360" w:after="283"/>
        <w:jc w:val="left"/>
        <w:rPr>
          <w:rFonts w:ascii="Times New Roman" w:hAnsi="Times New Roman"/>
          <w:sz w:val="20"/>
        </w:rPr>
      </w:pPr>
      <w:r>
        <w:rPr>
          <w:rFonts w:ascii="Times New Roman" w:hAnsi="Times New Roman"/>
          <w:b/>
          <w:color w:val="000000"/>
          <w:sz w:val="20"/>
        </w:rPr>
        <w:t>3.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significant accounting policies, which are disclosed in the audited consolidated financial statements for the year ended December 31, 2022, and the notes thereto are included in the Company’s Annual Report on Form 10-K that was filed with the SEC on February 28, 2023. Since the date of filing, there have been no material changes to the Company’s significant accounting policies except as noted below.</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condensed consolidated financial statements.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Significant Risks and Uncertainties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new accounting pronouncements are issued by the Financial Accounting Standards Board, or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Collaborative Research and License Agreements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Incyte Collaboration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September 2021, the Company entered into the Incyte License and Collaboration Agreement, or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will co-commercialize axatilimab, with the Company having the right to co-promote axatilimab with Incyte, subject to the Company’s exercise of its co-promotion option. Incyte will be responsible for leading all aspects of the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Under the terms of the Incyte Agreements, in December 2021, Incyte paid the Company a non-refundable cash payment of $117.0</w:t>
      </w:r>
      <w:r>
        <w:rPr>
          <w:rFonts w:ascii="Times New Roman" w:hAnsi="Times New Roman"/>
          <w:color w:val="000000"/>
          <w:sz w:val="20"/>
        </w:rPr>
        <w:t xml:space="preserve"> </w:t>
      </w:r>
      <w:r>
        <w:rPr>
          <w:rFonts w:ascii="Times New Roman" w:hAnsi="Times New Roman"/>
          <w:b w:val="false"/>
          <w:color w:val="000000"/>
          <w:sz w:val="20"/>
        </w:rPr>
        <w:t>million and the Company issued 1,421,523</w:t>
      </w:r>
      <w:r>
        <w:rPr>
          <w:rFonts w:ascii="Times New Roman" w:hAnsi="Times New Roman"/>
          <w:color w:val="000000"/>
          <w:sz w:val="20"/>
        </w:rPr>
        <w:t xml:space="preserve"> </w:t>
      </w:r>
      <w:r>
        <w:rPr>
          <w:rFonts w:ascii="Times New Roman" w:hAnsi="Times New Roman"/>
          <w:b w:val="false"/>
          <w:color w:val="000000"/>
          <w:sz w:val="20"/>
        </w:rPr>
        <w:t>shares of common stock with an aggregate purchase price of $35.0</w:t>
      </w:r>
      <w:r>
        <w:rPr>
          <w:rFonts w:ascii="Times New Roman" w:hAnsi="Times New Roman"/>
          <w:color w:val="000000"/>
          <w:sz w:val="20"/>
        </w:rPr>
        <w:t xml:space="preserve"> </w:t>
      </w:r>
      <w:r>
        <w:rPr>
          <w:rFonts w:ascii="Times New Roman" w:hAnsi="Times New Roman"/>
          <w:b w:val="false"/>
          <w:color w:val="000000"/>
          <w:sz w:val="20"/>
        </w:rPr>
        <w:t>million, or $24.62</w:t>
      </w:r>
      <w:r>
        <w:rPr>
          <w:rFonts w:ascii="Times New Roman" w:hAnsi="Times New Roman"/>
          <w:color w:val="000000"/>
          <w:sz w:val="20"/>
        </w:rPr>
        <w:t xml:space="preserve"> </w:t>
      </w:r>
      <w:r>
        <w:rPr>
          <w:rFonts w:ascii="Times New Roman" w:hAnsi="Times New Roman"/>
          <w:b w:val="false"/>
          <w:color w:val="000000"/>
          <w:sz w:val="20"/>
        </w:rPr>
        <w:t>per share. Additionally, under the terms of the Incyte Agreements, the Company is eligible to receive up to $220.0</w:t>
      </w:r>
      <w:r>
        <w:rPr>
          <w:rFonts w:ascii="Times New Roman" w:hAnsi="Times New Roman"/>
          <w:color w:val="000000"/>
          <w:sz w:val="20"/>
        </w:rPr>
        <w:t xml:space="preserve"> </w:t>
      </w:r>
      <w:r>
        <w:rPr>
          <w:rFonts w:ascii="Times New Roman" w:hAnsi="Times New Roman"/>
          <w:b w:val="false"/>
          <w:color w:val="000000"/>
          <w:sz w:val="20"/>
        </w:rPr>
        <w:t>million in future contingent development and regulatory milestones and up to $230.0</w:t>
      </w:r>
      <w:r>
        <w:rPr>
          <w:rFonts w:ascii="Times New Roman" w:hAnsi="Times New Roman"/>
          <w:color w:val="000000"/>
          <w:sz w:val="20"/>
        </w:rPr>
        <w:t xml:space="preserve"> </w:t>
      </w:r>
      <w:r>
        <w:rPr>
          <w:rFonts w:ascii="Times New Roman" w:hAnsi="Times New Roman"/>
          <w:b w:val="false"/>
          <w:color w:val="000000"/>
          <w:sz w:val="20"/>
        </w:rPr>
        <w:t>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has recorded $6.6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a collaboration receivable due from Incyte related to the Company's development and pre-commercialization costs under the Incyte Agreements and has recorded approximately $3.2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a collaboration payable due to Incyte for development and pre-commercialization costs incurred by Incyte as of September 30, 2023. Both expense and cost offset are recorded as part of research and development expense and general and administrative expense.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 </w:t>
      </w:r>
    </w:p>
    <w:p>
      <w:pPr>
        <w:pStyle w:val="TextBody"/>
        <w:bidi w:val="0"/>
        <w:spacing w:before="120" w:after="283"/>
        <w:jc w:val="left"/>
        <w:rPr/>
      </w:pPr>
      <w:r>
        <w:rPr/>
        <w:t> </w:t>
      </w:r>
    </w:p>
    <w:tbl>
      <w:tblPr>
        <w:tblW w:w="10141" w:type="dxa"/>
        <w:jc w:val="left"/>
        <w:tblInd w:w="0" w:type="dxa"/>
        <w:tblLayout w:type="fixed"/>
        <w:tblCellMar>
          <w:top w:w="28" w:type="dxa"/>
          <w:left w:w="28" w:type="dxa"/>
          <w:bottom w:w="28" w:type="dxa"/>
          <w:right w:w="28" w:type="dxa"/>
        </w:tblCellMar>
      </w:tblPr>
      <w:tblGrid>
        <w:gridCol w:w="4006"/>
        <w:gridCol w:w="211"/>
        <w:gridCol w:w="1036"/>
        <w:gridCol w:w="166"/>
        <w:gridCol w:w="146"/>
        <w:gridCol w:w="211"/>
        <w:gridCol w:w="1036"/>
        <w:gridCol w:w="166"/>
        <w:gridCol w:w="146"/>
        <w:gridCol w:w="211"/>
        <w:gridCol w:w="1036"/>
        <w:gridCol w:w="166"/>
        <w:gridCol w:w="146"/>
        <w:gridCol w:w="211"/>
        <w:gridCol w:w="103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vAlign w:val="center"/>
          </w:tcPr>
          <w:p>
            <w:pPr>
              <w:pStyle w:val="TableContents"/>
              <w:bidi w:val="0"/>
              <w:spacing w:before="0" w:after="283"/>
              <w:jc w:val="center"/>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data)</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data)</w:t>
            </w:r>
          </w:p>
        </w:tc>
        <w:tc>
          <w:tcPr>
            <w:tcW w:w="211" w:type="dxa"/>
            <w:tcBorders/>
            <w:shd w:fill="FFFFFF" w:val="cle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Numerator—basic and diluted:</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attributable to common</w:t>
              <w:br/>
              <w:t>   stockholders—basic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attributable to common</w:t>
              <w:br/>
              <w:t>   stockholders—basic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0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Denominator—basic and diluted:</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Weighted-average number of common shares </w:t>
              <w:br/>
              <w:t>   used to compute net loss per share attributable</w:t>
              <w:br/>
              <w:t>   to common stockholders—basic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69,855,766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60,670,294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69,645,888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59,941,384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potentially dilutive securities have been excluded from the computation of diluted weighted-average shares outstanding because such securities have an antidilutive impact due to losses reported (in common stock equivalent shares):</w:t>
      </w:r>
      <w:r>
        <w:rPr>
          <w:rFonts w:ascii="Times New Roman" w:hAnsi="Times New Roman"/>
          <w:color w:val="000000"/>
          <w:sz w:val="20"/>
        </w:rPr>
        <w:t xml:space="preserve"> </w:t>
      </w:r>
    </w:p>
    <w:tbl>
      <w:tblPr>
        <w:tblW w:w="6279" w:type="dxa"/>
        <w:jc w:val="left"/>
        <w:tblInd w:w="0" w:type="dxa"/>
        <w:tblLayout w:type="fixed"/>
        <w:tblCellMar>
          <w:top w:w="28" w:type="dxa"/>
          <w:left w:w="28" w:type="dxa"/>
          <w:bottom w:w="28" w:type="dxa"/>
          <w:right w:w="28" w:type="dxa"/>
        </w:tblCellMar>
      </w:tblPr>
      <w:tblGrid>
        <w:gridCol w:w="3391"/>
        <w:gridCol w:w="146"/>
        <w:gridCol w:w="146"/>
        <w:gridCol w:w="1036"/>
        <w:gridCol w:w="146"/>
        <w:gridCol w:w="146"/>
        <w:gridCol w:w="146"/>
        <w:gridCol w:w="931"/>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10,530,750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7,386,063</w:t>
            </w:r>
          </w:p>
        </w:tc>
        <w:tc>
          <w:tcPr>
            <w:tcW w:w="1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17,135</w:t>
            </w:r>
          </w:p>
        </w:tc>
        <w:tc>
          <w:tcPr>
            <w:tcW w:w="1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restricted stock units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524,236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226,038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additional information related to the Company's common stock see Note 10.</w:t>
      </w:r>
    </w:p>
    <w:p>
      <w:pPr>
        <w:pStyle w:val="TextBody"/>
        <w:bidi w:val="0"/>
        <w:spacing w:before="240" w:after="283"/>
        <w:jc w:val="left"/>
        <w:rPr>
          <w:rFonts w:ascii="Times New Roman" w:hAnsi="Times New Roman"/>
          <w:sz w:val="20"/>
        </w:rPr>
      </w:pPr>
      <w:r>
        <w:rPr>
          <w:rFonts w:ascii="Times New Roman" w:hAnsi="Times New Roman"/>
          <w:b/>
          <w:color w:val="000000"/>
          <w:sz w:val="20"/>
        </w:rPr>
        <w:t>6. Significant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Vitae Pharmaceuticals, Inc.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2017, the Company entered into a license agreement, or the Allergan License Agreement, with Vitae Pharmaceuticals, Inc., a subsidiary of Allergan plc, or Allergan, under which Allergan granted the Company an exclusive, sublicensable, worldwide license to a portfolio of preclinical, orally available, small molecule inhibitors of the Menin–KMT2A binding interaction, or the Menin Assets. Subject to the achievement of certain milestone events, the Company may be required to pay Allergan up to $99.0</w:t>
      </w:r>
      <w:r>
        <w:rPr>
          <w:rFonts w:ascii="Times New Roman" w:hAnsi="Times New Roman"/>
          <w:color w:val="000000"/>
          <w:sz w:val="20"/>
        </w:rPr>
        <w:t xml:space="preserve"> </w:t>
      </w:r>
      <w:r>
        <w:rPr>
          <w:rFonts w:ascii="Times New Roman" w:hAnsi="Times New Roman"/>
          <w:b w:val="false"/>
          <w:color w:val="000000"/>
          <w:sz w:val="20"/>
        </w:rPr>
        <w:t>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w:t>
      </w:r>
      <w:r>
        <w:rPr>
          <w:rFonts w:ascii="Times New Roman" w:hAnsi="Times New Roman"/>
          <w:color w:val="000000"/>
          <w:sz w:val="20"/>
        </w:rPr>
        <w:t xml:space="preserve"> </w:t>
      </w:r>
      <w:r>
        <w:rPr>
          <w:rFonts w:ascii="Times New Roman" w:hAnsi="Times New Roman"/>
          <w:b w:val="false"/>
          <w:color w:val="000000"/>
          <w:sz w:val="20"/>
        </w:rPr>
        <w:t>million in potential one-time, sales-based milestone payments based on achievement of certain annual sales thresholds. The Company is solely responsible for the development and commercialization of the Menin Assets. Each party may terminate the Allergan License Agreement for the other party’s uncured material breach or insolvency, and the Company may terminate the Allergan License Agreement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w:t>
      </w:r>
      <w:r>
        <w:rPr>
          <w:rFonts w:ascii="Times New Roman" w:hAnsi="Times New Roman"/>
          <w:color w:val="000000"/>
          <w:sz w:val="20"/>
        </w:rPr>
        <w:t xml:space="preserve"> </w:t>
      </w:r>
      <w:r>
        <w:rPr>
          <w:rFonts w:ascii="Times New Roman" w:hAnsi="Times New Roman"/>
          <w:b w:val="false"/>
          <w:color w:val="000000"/>
          <w:sz w:val="20"/>
        </w:rPr>
        <w:t>years from the date of the first commercial sale of the product in such country.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Since the inception of the Allergan License Agreement, the Company achieved certain development and regulatory milestones, resulting in $8.0</w:t>
      </w:r>
      <w:r>
        <w:rPr>
          <w:rFonts w:ascii="Times New Roman" w:hAnsi="Times New Roman"/>
          <w:color w:val="000000"/>
          <w:sz w:val="20"/>
        </w:rPr>
        <w:t xml:space="preserve"> </w:t>
      </w:r>
      <w:r>
        <w:rPr>
          <w:rFonts w:ascii="Times New Roman" w:hAnsi="Times New Roman"/>
          <w:b w:val="false"/>
          <w:color w:val="000000"/>
          <w:sz w:val="20"/>
        </w:rPr>
        <w:t>million in expense, which includes $2.0</w:t>
      </w:r>
      <w:r>
        <w:rPr>
          <w:rFonts w:ascii="Times New Roman" w:hAnsi="Times New Roman"/>
          <w:color w:val="000000"/>
          <w:sz w:val="20"/>
        </w:rPr>
        <w:t xml:space="preserve"> </w:t>
      </w:r>
      <w:r>
        <w:rPr>
          <w:rFonts w:ascii="Times New Roman" w:hAnsi="Times New Roman"/>
          <w:b w:val="false"/>
          <w:color w:val="000000"/>
          <w:sz w:val="20"/>
        </w:rPr>
        <w:t>million paid in the first quarter of 2023.</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UCB Biopharma Sprl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Subject to the achievement of certain milestone events, the Company may be required to pay UCB up to $119.5</w:t>
      </w:r>
      <w:r>
        <w:rPr>
          <w:rFonts w:ascii="Times New Roman" w:hAnsi="Times New Roman"/>
          <w:color w:val="000000"/>
          <w:sz w:val="20"/>
        </w:rPr>
        <w:t xml:space="preserve"> </w:t>
      </w:r>
      <w:r>
        <w:rPr>
          <w:rFonts w:ascii="Times New Roman" w:hAnsi="Times New Roman"/>
          <w:b w:val="false"/>
          <w:color w:val="000000"/>
          <w:sz w:val="20"/>
        </w:rPr>
        <w:t>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w:t>
      </w:r>
      <w:r>
        <w:rPr>
          <w:rFonts w:ascii="Times New Roman" w:hAnsi="Times New Roman"/>
          <w:color w:val="000000"/>
          <w:sz w:val="20"/>
        </w:rPr>
        <w:t xml:space="preserve"> </w:t>
      </w:r>
      <w:r>
        <w:rPr>
          <w:rFonts w:ascii="Times New Roman" w:hAnsi="Times New Roman"/>
          <w:b w:val="false"/>
          <w:color w:val="000000"/>
          <w:sz w:val="20"/>
        </w:rPr>
        <w:t>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w:t>
      </w:r>
      <w:r>
        <w:rPr>
          <w:rFonts w:ascii="Times New Roman" w:hAnsi="Times New Roman"/>
          <w:color w:val="000000"/>
          <w:sz w:val="20"/>
        </w:rPr>
        <w:t xml:space="preserve"> </w:t>
      </w:r>
      <w:r>
        <w:rPr>
          <w:rFonts w:ascii="Times New Roman" w:hAnsi="Times New Roman"/>
          <w:b w:val="false"/>
          <w:color w:val="000000"/>
          <w:sz w:val="20"/>
        </w:rPr>
        <w:t>years from the date of the first commercial sale of the product in such country.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w:t>
      </w:r>
      <w:r>
        <w:rPr>
          <w:rFonts w:ascii="Times New Roman" w:hAnsi="Times New Roman"/>
          <w:color w:val="000000"/>
          <w:sz w:val="20"/>
        </w:rPr>
        <w:t xml:space="preserve"> </w:t>
      </w:r>
      <w:r>
        <w:rPr>
          <w:rFonts w:ascii="Times New Roman" w:hAnsi="Times New Roman"/>
          <w:b w:val="false"/>
          <w:color w:val="000000"/>
          <w:sz w:val="20"/>
        </w:rPr>
        <w:t>million was recorded as research and development expense in the consolidated statements of operations. Since the start of the license agreement, the Company achieved certain development and regulatory milestones and has recorded $6.0</w:t>
      </w:r>
      <w:r>
        <w:rPr>
          <w:rFonts w:ascii="Times New Roman" w:hAnsi="Times New Roman"/>
          <w:color w:val="000000"/>
          <w:sz w:val="20"/>
        </w:rPr>
        <w:t xml:space="preserve"> </w:t>
      </w:r>
      <w:r>
        <w:rPr>
          <w:rFonts w:ascii="Times New Roman" w:hAnsi="Times New Roman"/>
          <w:b w:val="false"/>
          <w:color w:val="000000"/>
          <w:sz w:val="20"/>
        </w:rPr>
        <w:t>million as research and development expense. Additionally, in connection with its most recent amendment of the UCB License Agreement, in the second quarter of 2022 the Company paid UCB $5.8</w:t>
      </w:r>
      <w:r>
        <w:rPr>
          <w:rFonts w:ascii="Times New Roman" w:hAnsi="Times New Roman"/>
          <w:color w:val="000000"/>
          <w:sz w:val="20"/>
        </w:rPr>
        <w:t xml:space="preserve"> </w:t>
      </w:r>
      <w:r>
        <w:rPr>
          <w:rFonts w:ascii="Times New Roman" w:hAnsi="Times New Roman"/>
          <w:b w:val="false"/>
          <w:color w:val="000000"/>
          <w:sz w:val="20"/>
        </w:rPr>
        <w:t>million, which is recognized as a milestone expense.</w:t>
      </w:r>
    </w:p>
    <w:p>
      <w:pPr>
        <w:pStyle w:val="TextBody"/>
        <w:bidi w:val="0"/>
        <w:spacing w:before="240" w:after="283"/>
        <w:jc w:val="left"/>
        <w:rPr>
          <w:rFonts w:ascii="Times New Roman" w:hAnsi="Times New Roman"/>
          <w:sz w:val="20"/>
        </w:rPr>
      </w:pPr>
      <w:r>
        <w:rPr>
          <w:rFonts w:ascii="Times New Roman" w:hAnsi="Times New Roman"/>
          <w:b/>
          <w:color w:val="000000"/>
          <w:sz w:val="20"/>
        </w:rPr>
        <w:t>Bayer Pharma AG (formerly known as Bayer Schering Pharma AG)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March 2007, the Company entered into a license agreement with Bayer Schering Pharma AG, or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w:t>
      </w:r>
      <w:r>
        <w:rPr>
          <w:rFonts w:ascii="Times New Roman" w:hAnsi="Times New Roman"/>
          <w:color w:val="000000"/>
          <w:sz w:val="20"/>
        </w:rPr>
        <w:t xml:space="preserve"> </w:t>
      </w:r>
      <w:r>
        <w:rPr>
          <w:rFonts w:ascii="Times New Roman" w:hAnsi="Times New Roman"/>
          <w:b w:val="false"/>
          <w:color w:val="000000"/>
          <w:sz w:val="20"/>
        </w:rPr>
        <w:t>million in the event that certain specified development and regulatory goals and sales levels are achieved.</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7.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Level 1— </w:t>
      </w:r>
      <w:r>
        <w:rPr>
          <w:rFonts w:ascii="Times New Roman" w:hAnsi="Times New Roman"/>
          <w:b w:val="false"/>
          <w:color w:val="000000"/>
          <w:sz w:val="20"/>
        </w:rPr>
        <w:t>Quoted prices (unadjusted) in active markets that are accessible at the market date for identical unrestricted assets or liabilities.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Level 2— </w:t>
      </w:r>
      <w:r>
        <w:rPr>
          <w:rFonts w:ascii="Times New Roman" w:hAnsi="Times New Roman"/>
          <w:b w:val="false"/>
          <w:color w:val="000000"/>
          <w:sz w:val="20"/>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Level 3— </w:t>
      </w:r>
      <w:r>
        <w:rPr>
          <w:rFonts w:ascii="Times New Roman" w:hAnsi="Times New Roman"/>
          <w:b w:val="false"/>
          <w:color w:val="000000"/>
          <w:sz w:val="20"/>
        </w:rPr>
        <w:t>Unobservable inputs that are supported by little or no market activity and that are significant to the fair value of the assets or liabilities.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r>
        <w:rPr>
          <w:rFonts w:ascii="Times New Roman" w:hAnsi="Times New Roman"/>
          <w:color w:val="000000"/>
          <w:sz w:val="20"/>
        </w:rPr>
        <w:t xml:space="preserve"> </w:t>
      </w:r>
    </w:p>
    <w:tbl>
      <w:tblPr>
        <w:tblW w:w="8179" w:type="dxa"/>
        <w:jc w:val="left"/>
        <w:tblInd w:w="0" w:type="dxa"/>
        <w:tblLayout w:type="fixed"/>
        <w:tblCellMar>
          <w:top w:w="28" w:type="dxa"/>
          <w:left w:w="28" w:type="dxa"/>
          <w:bottom w:w="28" w:type="dxa"/>
          <w:right w:w="28" w:type="dxa"/>
        </w:tblCellMar>
      </w:tblPr>
      <w:tblGrid>
        <w:gridCol w:w="2466"/>
        <w:gridCol w:w="146"/>
        <w:gridCol w:w="211"/>
        <w:gridCol w:w="781"/>
        <w:gridCol w:w="146"/>
        <w:gridCol w:w="146"/>
        <w:gridCol w:w="242"/>
        <w:gridCol w:w="778"/>
        <w:gridCol w:w="146"/>
        <w:gridCol w:w="146"/>
        <w:gridCol w:w="211"/>
        <w:gridCol w:w="781"/>
        <w:gridCol w:w="146"/>
        <w:gridCol w:w="146"/>
        <w:gridCol w:w="414"/>
        <w:gridCol w:w="682"/>
        <w:gridCol w:w="59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7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(unadjusted)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591" w:type="dxa"/>
            <w:tcBorders/>
            <w:shd w:fill="FFFFFF" w:val="clear"/>
            <w:vAlign w:val="center"/>
          </w:tcPr>
          <w:p>
            <w:pPr>
              <w:pStyle w:val="TableContents"/>
              <w:bidi w:val="0"/>
              <w:spacing w:before="0" w:after="283"/>
              <w:jc w:val="center"/>
              <w:rPr/>
            </w:pPr>
            <w:r>
              <w:rPr/>
              <w:t> </w:t>
            </w:r>
          </w:p>
        </w:tc>
      </w:tr>
      <w:tr>
        <w:trPr/>
        <w:tc>
          <w:tcPr>
            <w:tcW w:w="2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Active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591" w:type="dxa"/>
            <w:tcBorders/>
            <w:shd w:fill="FFFFFF" w:val="clear"/>
            <w:vAlign w:val="center"/>
          </w:tcPr>
          <w:p>
            <w:pPr>
              <w:pStyle w:val="TableContents"/>
              <w:bidi w:val="0"/>
              <w:spacing w:before="0" w:after="283"/>
              <w:jc w:val="center"/>
              <w:rPr/>
            </w:pPr>
            <w:r>
              <w:rPr/>
              <w:t> </w:t>
            </w:r>
          </w:p>
        </w:tc>
      </w:tr>
      <w:tr>
        <w:trPr/>
        <w:tc>
          <w:tcPr>
            <w:tcW w:w="2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591" w:type="dxa"/>
            <w:tcBorders/>
            <w:shd w:fill="FFFFFF" w:val="clear"/>
            <w:vAlign w:val="center"/>
          </w:tcPr>
          <w:p>
            <w:pPr>
              <w:pStyle w:val="TableContents"/>
              <w:bidi w:val="0"/>
              <w:spacing w:before="0" w:after="283"/>
              <w:jc w:val="center"/>
              <w:rPr/>
            </w:pPr>
            <w:r>
              <w:rPr/>
              <w:t> </w:t>
            </w:r>
          </w:p>
        </w:tc>
      </w:tr>
      <w:tr>
        <w:trPr/>
        <w:tc>
          <w:tcPr>
            <w:tcW w:w="2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7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246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September 30, 2023</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2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4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4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269,006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269,006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4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94,550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284,711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2022</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2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4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74,356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2"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4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2"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401,446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4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There have been no material impairments of our assets measured and carried at fair value during the period ended September 30, 2023 and 2022. In addition, there have been no changes in valuation techniques during the periods ended September 30, 2023 and 2022. The fair value of Level 1 instruments classified as cash equivalents are valued using quoted market prices in active markets. The fair value of Level 2 instruments classified as cash equivalents and short and long-term investments are determined based on quoted prices in active markets, which are either directly or indirectly observable as of the reporting date with fair value being determined using models or other valuation methodologies.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short and long-term investments are classified as available-for-sale securities. As of September 30, 2023, the remaining contractual maturities of the available-for-sale securities were</w:t>
      </w:r>
      <w:r>
        <w:rPr>
          <w:rFonts w:ascii="Times New Roman" w:hAnsi="Times New Roman"/>
          <w:color w:val="FF0000"/>
          <w:sz w:val="20"/>
        </w:rPr>
        <w:t xml:space="preserve"> </w:t>
      </w:r>
      <w:r>
        <w:rPr>
          <w:rFonts w:ascii="Times New Roman" w:hAnsi="Times New Roman"/>
          <w:b w:val="false"/>
          <w:color w:val="000000"/>
          <w:sz w:val="20"/>
        </w:rPr>
        <w:t>1 to 13 months, and the balance in the Company’s accumulated other comprehensive loss was comprised solely of activity related to the Company’s available-for-sale securities. There were no</w:t>
      </w:r>
      <w:r>
        <w:rPr>
          <w:rFonts w:ascii="Times New Roman" w:hAnsi="Times New Roman"/>
          <w:color w:val="000000"/>
          <w:sz w:val="20"/>
        </w:rPr>
        <w:t xml:space="preserve"> </w:t>
      </w:r>
      <w:r>
        <w:rPr>
          <w:rFonts w:ascii="Times New Roman" w:hAnsi="Times New Roman"/>
          <w:b w:val="false"/>
          <w:color w:val="000000"/>
          <w:sz w:val="20"/>
        </w:rPr>
        <w:t>realized gains or losses recognized on the sale or maturity of available-for-sale securities, during the three and nine months ended September 30, 2023 and 2022. As a result, the Company did not reclassify any amounts out of accumulated other comprehensive loss for the same periods. The Company has a limited number of available-for-sale securities that are not in significant loss positions as of September 30, 2023, which the Company does not intend to sell, and it has concluded it will not be required to sell before recovery of the amortized cost for the investment at maturity.</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following table summarizes the available-for-sale securities:</w:t>
      </w:r>
      <w:r>
        <w:rPr>
          <w:rFonts w:ascii="Times New Roman" w:hAnsi="Times New Roman"/>
          <w:color w:val="000000"/>
          <w:sz w:val="20"/>
        </w:rPr>
        <w:t xml:space="preserve"> </w:t>
      </w:r>
    </w:p>
    <w:p>
      <w:pPr>
        <w:pStyle w:val="TextBody"/>
        <w:bidi w:val="0"/>
        <w:spacing w:before="240" w:after="283"/>
        <w:jc w:val="left"/>
        <w:rPr/>
      </w:pPr>
      <w:r>
        <w:rPr/>
        <w:t> </w:t>
      </w:r>
    </w:p>
    <w:tbl>
      <w:tblPr>
        <w:tblW w:w="6995" w:type="dxa"/>
        <w:jc w:val="left"/>
        <w:tblInd w:w="0" w:type="dxa"/>
        <w:tblLayout w:type="fixed"/>
        <w:tblCellMar>
          <w:top w:w="28" w:type="dxa"/>
          <w:left w:w="28" w:type="dxa"/>
          <w:bottom w:w="28" w:type="dxa"/>
          <w:right w:w="28" w:type="dxa"/>
        </w:tblCellMar>
      </w:tblPr>
      <w:tblGrid>
        <w:gridCol w:w="1806"/>
        <w:gridCol w:w="146"/>
        <w:gridCol w:w="211"/>
        <w:gridCol w:w="781"/>
        <w:gridCol w:w="146"/>
        <w:gridCol w:w="146"/>
        <w:gridCol w:w="335"/>
        <w:gridCol w:w="551"/>
        <w:gridCol w:w="146"/>
        <w:gridCol w:w="146"/>
        <w:gridCol w:w="270"/>
        <w:gridCol w:w="616"/>
        <w:gridCol w:w="166"/>
        <w:gridCol w:w="146"/>
        <w:gridCol w:w="211"/>
        <w:gridCol w:w="781"/>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1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652"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September 30, 2023</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179,096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178,984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48,113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Federal bonds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284,711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2022</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321,630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321,425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64,193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Federal bonds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421,775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Prepaid expenses and other current assets consisted of the following (in thousands):</w:t>
      </w:r>
      <w:r>
        <w:rPr>
          <w:rFonts w:ascii="Times New Roman" w:hAnsi="Times New Roman"/>
          <w:color w:val="000000"/>
          <w:sz w:val="20"/>
        </w:rPr>
        <w:t xml:space="preserve"> </w:t>
      </w:r>
    </w:p>
    <w:tbl>
      <w:tblPr>
        <w:tblW w:w="8055" w:type="dxa"/>
        <w:jc w:val="left"/>
        <w:tblInd w:w="0" w:type="dxa"/>
        <w:tblLayout w:type="fixed"/>
        <w:tblCellMar>
          <w:top w:w="28" w:type="dxa"/>
          <w:left w:w="28" w:type="dxa"/>
          <w:bottom w:w="28" w:type="dxa"/>
          <w:right w:w="28" w:type="dxa"/>
        </w:tblCellMar>
      </w:tblPr>
      <w:tblGrid>
        <w:gridCol w:w="3931"/>
        <w:gridCol w:w="146"/>
        <w:gridCol w:w="477"/>
        <w:gridCol w:w="1293"/>
        <w:gridCol w:w="146"/>
        <w:gridCol w:w="146"/>
        <w:gridCol w:w="465"/>
        <w:gridCol w:w="1260"/>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insurance</w:t>
            </w:r>
          </w:p>
        </w:tc>
        <w:tc>
          <w:tcPr>
            <w:tcW w:w="146"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692</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receivable on investments</w:t>
            </w:r>
          </w:p>
        </w:tc>
        <w:tc>
          <w:tcPr>
            <w:tcW w:w="146" w:type="dxa"/>
            <w:tcBorders/>
            <w:shd w:fill="CFF0FC" w:val="clear"/>
            <w:vAlign w:val="center"/>
          </w:tcPr>
          <w:p>
            <w:pPr>
              <w:pStyle w:val="TableContents"/>
              <w:bidi w:val="0"/>
              <w:spacing w:before="0" w:after="283"/>
              <w:jc w:val="center"/>
              <w:rPr/>
            </w:pPr>
            <w:r>
              <w:rPr/>
              <w:t> </w:t>
            </w:r>
          </w:p>
        </w:tc>
        <w:tc>
          <w:tcPr>
            <w:tcW w:w="47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65"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583</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subscription</w:t>
            </w:r>
          </w:p>
        </w:tc>
        <w:tc>
          <w:tcPr>
            <w:tcW w:w="146" w:type="dxa"/>
            <w:tcBorders/>
            <w:shd w:fill="FFFFFF" w:val="clear"/>
            <w:vAlign w:val="center"/>
          </w:tcPr>
          <w:p>
            <w:pPr>
              <w:pStyle w:val="TableContents"/>
              <w:bidi w:val="0"/>
              <w:spacing w:before="0" w:after="283"/>
              <w:jc w:val="center"/>
              <w:rPr/>
            </w:pPr>
            <w:r>
              <w:rPr/>
              <w:t> </w:t>
            </w:r>
          </w:p>
        </w:tc>
        <w:tc>
          <w:tcPr>
            <w:tcW w:w="47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65"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state and local taxes</w:t>
            </w:r>
          </w:p>
        </w:tc>
        <w:tc>
          <w:tcPr>
            <w:tcW w:w="146" w:type="dxa"/>
            <w:tcBorders/>
            <w:shd w:fill="CFF0FC" w:val="clear"/>
            <w:vAlign w:val="center"/>
          </w:tcPr>
          <w:p>
            <w:pPr>
              <w:pStyle w:val="TableContents"/>
              <w:bidi w:val="0"/>
              <w:spacing w:before="0" w:after="283"/>
              <w:jc w:val="center"/>
              <w:rPr/>
            </w:pPr>
            <w:r>
              <w:rPr/>
              <w:t> </w:t>
            </w:r>
          </w:p>
        </w:tc>
        <w:tc>
          <w:tcPr>
            <w:tcW w:w="47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65" w:type="dxa"/>
            <w:tcBorders/>
            <w:shd w:fill="CFF0FC" w:val="clear"/>
            <w:vAlign w:val="center"/>
          </w:tcPr>
          <w:p>
            <w:pPr>
              <w:pStyle w:val="TableContents"/>
              <w:bidi w:val="0"/>
              <w:spacing w:before="0" w:after="283"/>
              <w:jc w:val="left"/>
              <w:rPr/>
            </w:pPr>
            <w:r>
              <w:rPr/>
              <w:t> </w:t>
            </w:r>
          </w:p>
        </w:tc>
        <w:tc>
          <w:tcPr>
            <w:tcW w:w="12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center"/>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prepaid expenses and other current assets</w:t>
            </w:r>
          </w:p>
        </w:tc>
        <w:tc>
          <w:tcPr>
            <w:tcW w:w="146" w:type="dxa"/>
            <w:tcBorders/>
            <w:shd w:fill="CFF0FC" w:val="clear"/>
            <w:vAlign w:val="center"/>
          </w:tcPr>
          <w:p>
            <w:pPr>
              <w:pStyle w:val="TableContents"/>
              <w:bidi w:val="0"/>
              <w:spacing w:before="0" w:after="283"/>
              <w:jc w:val="center"/>
              <w:rPr/>
            </w:pPr>
            <w:r>
              <w:rPr/>
              <w:t> </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9.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Accrued expenses and other current liabilities consisted of the following (in thousands):</w:t>
      </w:r>
      <w:r>
        <w:rPr>
          <w:rFonts w:ascii="Times New Roman" w:hAnsi="Times New Roman"/>
          <w:color w:val="000000"/>
          <w:sz w:val="20"/>
        </w:rPr>
        <w:t xml:space="preserve"> </w:t>
      </w:r>
    </w:p>
    <w:tbl>
      <w:tblPr>
        <w:tblW w:w="8385" w:type="dxa"/>
        <w:jc w:val="left"/>
        <w:tblInd w:w="0" w:type="dxa"/>
        <w:tblLayout w:type="fixed"/>
        <w:tblCellMar>
          <w:top w:w="28" w:type="dxa"/>
          <w:left w:w="28" w:type="dxa"/>
          <w:bottom w:w="28" w:type="dxa"/>
          <w:right w:w="28" w:type="dxa"/>
        </w:tblCellMar>
      </w:tblPr>
      <w:tblGrid>
        <w:gridCol w:w="4261"/>
        <w:gridCol w:w="146"/>
        <w:gridCol w:w="420"/>
        <w:gridCol w:w="1350"/>
        <w:gridCol w:w="146"/>
        <w:gridCol w:w="146"/>
        <w:gridCol w:w="409"/>
        <w:gridCol w:w="131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clinical study and trial costs</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14,375</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 and related costs</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5,945</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professional fees</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1,352</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milestone costs</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135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9"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24,276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10.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January 2023, the number of shares of common stock available for issuance under the Company's 2015 Omnibus Incentive Plan, or the 2015 Plan, was increased by 2,724,455</w:t>
      </w:r>
      <w:r>
        <w:rPr>
          <w:rFonts w:ascii="Times New Roman" w:hAnsi="Times New Roman"/>
          <w:color w:val="000000"/>
          <w:sz w:val="20"/>
        </w:rPr>
        <w:t xml:space="preserve"> </w:t>
      </w:r>
      <w:r>
        <w:rPr>
          <w:rFonts w:ascii="Times New Roman" w:hAnsi="Times New Roman"/>
          <w:b w:val="false"/>
          <w:color w:val="000000"/>
          <w:sz w:val="20"/>
        </w:rPr>
        <w:t xml:space="preserve">shares due to the automatic annual provision to increase shares available under the 2015 Plan. As of September 30, 2023, the total number of shares of common stock available for issuance under the 2015 Plan was 2,488,979. The Company recognized stock-based compensation expense related to the issuance of stock option awards to employees and non-employees and related to the Company's 2015 Employee Stock Purchase Plan, or ESPP, in the condensed consolidated statements of comprehensive loss as follows: </w:t>
      </w:r>
    </w:p>
    <w:tbl>
      <w:tblPr>
        <w:tblW w:w="8072" w:type="dxa"/>
        <w:jc w:val="left"/>
        <w:tblInd w:w="0" w:type="dxa"/>
        <w:tblLayout w:type="fixed"/>
        <w:tblCellMar>
          <w:top w:w="28" w:type="dxa"/>
          <w:left w:w="28" w:type="dxa"/>
          <w:bottom w:w="28" w:type="dxa"/>
          <w:right w:w="28" w:type="dxa"/>
        </w:tblCellMar>
      </w:tblPr>
      <w:tblGrid>
        <w:gridCol w:w="2311"/>
        <w:gridCol w:w="305"/>
        <w:gridCol w:w="826"/>
        <w:gridCol w:w="211"/>
        <w:gridCol w:w="211"/>
        <w:gridCol w:w="305"/>
        <w:gridCol w:w="826"/>
        <w:gridCol w:w="146"/>
        <w:gridCol w:w="146"/>
        <w:gridCol w:w="265"/>
        <w:gridCol w:w="849"/>
        <w:gridCol w:w="183"/>
        <w:gridCol w:w="183"/>
        <w:gridCol w:w="265"/>
        <w:gridCol w:w="849"/>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131"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1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shd w:fill="FFFFFF" w:val="cle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3,853</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10,329</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4,531</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12,295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22,624</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Compensation expense by type of award in the three and nine months ended September 30, 2023 and 2022 was as follows:</w:t>
      </w:r>
      <w:r>
        <w:rPr>
          <w:rFonts w:ascii="Times New Roman" w:hAnsi="Times New Roman"/>
          <w:color w:val="000000"/>
          <w:sz w:val="20"/>
        </w:rPr>
        <w:t xml:space="preserve"> </w:t>
      </w:r>
    </w:p>
    <w:p>
      <w:pPr>
        <w:pStyle w:val="TextBody"/>
        <w:bidi w:val="0"/>
        <w:jc w:val="left"/>
        <w:rPr/>
      </w:pPr>
      <w:r>
        <w:rPr/>
        <w:t> </w:t>
      </w:r>
    </w:p>
    <w:tbl>
      <w:tblPr>
        <w:tblW w:w="8387" w:type="dxa"/>
        <w:jc w:val="left"/>
        <w:tblInd w:w="0" w:type="dxa"/>
        <w:tblLayout w:type="fixed"/>
        <w:tblCellMar>
          <w:top w:w="28" w:type="dxa"/>
          <w:left w:w="28" w:type="dxa"/>
          <w:bottom w:w="28" w:type="dxa"/>
          <w:right w:w="28" w:type="dxa"/>
        </w:tblCellMar>
      </w:tblPr>
      <w:tblGrid>
        <w:gridCol w:w="2626"/>
        <w:gridCol w:w="305"/>
        <w:gridCol w:w="826"/>
        <w:gridCol w:w="211"/>
        <w:gridCol w:w="211"/>
        <w:gridCol w:w="305"/>
        <w:gridCol w:w="826"/>
        <w:gridCol w:w="146"/>
        <w:gridCol w:w="146"/>
        <w:gridCol w:w="265"/>
        <w:gridCol w:w="849"/>
        <w:gridCol w:w="183"/>
        <w:gridCol w:w="183"/>
        <w:gridCol w:w="265"/>
        <w:gridCol w:w="849"/>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center"/>
              <w:rPr/>
            </w:pPr>
            <w:r>
              <w:rPr/>
              <w:t> </w:t>
            </w:r>
          </w:p>
        </w:tc>
        <w:tc>
          <w:tcPr>
            <w:tcW w:w="268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shd w:fill="FFFFFF"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center"/>
              <w:rPr/>
            </w:pPr>
            <w:r>
              <w:rPr/>
              <w:t> </w:t>
            </w:r>
          </w:p>
        </w:tc>
        <w:tc>
          <w:tcPr>
            <w:tcW w:w="11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1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center"/>
              <w:rPr/>
            </w:pPr>
            <w:r>
              <w:rPr/>
              <w:t> </w:t>
            </w:r>
          </w:p>
        </w:tc>
        <w:tc>
          <w:tcPr>
            <w:tcW w:w="1131"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1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shd w:fill="FFFFFF" w:val="cle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7,242</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19,654</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9,977</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990</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2,749</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1,690</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Stock Purchase Plan</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22,624</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During the nine months ended September 30, 2023, the Company granted 3,336,941</w:t>
      </w:r>
      <w:r>
        <w:rPr>
          <w:rFonts w:ascii="Times New Roman" w:hAnsi="Times New Roman"/>
          <w:color w:val="000000"/>
          <w:sz w:val="20"/>
        </w:rPr>
        <w:t xml:space="preserve"> </w:t>
      </w:r>
      <w:r>
        <w:rPr>
          <w:rFonts w:ascii="Times New Roman" w:hAnsi="Times New Roman"/>
          <w:b w:val="false"/>
          <w:color w:val="000000"/>
          <w:sz w:val="20"/>
        </w:rPr>
        <w:t>stock options to certain executives, consultants and employees having service-based vesting conditions. The grant date fair value of the options granted in the nine months ended September 30, 2023, was $57.1</w:t>
      </w:r>
      <w:r>
        <w:rPr>
          <w:rFonts w:ascii="Times New Roman" w:hAnsi="Times New Roman"/>
          <w:color w:val="000000"/>
          <w:sz w:val="20"/>
        </w:rPr>
        <w:t xml:space="preserve"> </w:t>
      </w:r>
      <w:r>
        <w:rPr>
          <w:rFonts w:ascii="Times New Roman" w:hAnsi="Times New Roman"/>
          <w:b w:val="false"/>
          <w:color w:val="000000"/>
          <w:sz w:val="20"/>
        </w:rPr>
        <w:t>million, or $17.11</w:t>
      </w:r>
      <w:r>
        <w:rPr>
          <w:rFonts w:ascii="Times New Roman" w:hAnsi="Times New Roman"/>
          <w:color w:val="000000"/>
          <w:sz w:val="20"/>
        </w:rPr>
        <w:t xml:space="preserve"> </w:t>
      </w:r>
      <w:r>
        <w:rPr>
          <w:rFonts w:ascii="Times New Roman" w:hAnsi="Times New Roman"/>
          <w:b w:val="false"/>
          <w:color w:val="000000"/>
          <w:sz w:val="20"/>
        </w:rPr>
        <w:t>per share on a weighted-average basis and will be recognized as compensation expense over the requisite service period of two to four years.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2022, the Company granted to certain employees 140,000</w:t>
      </w:r>
      <w:r>
        <w:rPr>
          <w:rFonts w:ascii="Times New Roman" w:hAnsi="Times New Roman"/>
          <w:color w:val="000000"/>
          <w:sz w:val="20"/>
        </w:rPr>
        <w:t xml:space="preserve"> </w:t>
      </w:r>
      <w:r>
        <w:rPr>
          <w:rFonts w:ascii="Times New Roman" w:hAnsi="Times New Roman"/>
          <w:b w:val="false"/>
          <w:color w:val="000000"/>
          <w:sz w:val="20"/>
        </w:rPr>
        <w:t>performance-based stock options, or the 2022 Performance Awards, related to the achievement of certain clinical and regulatory development milestones and market-based conditions. Recognition of stock-based compensation expense associated with these performance-based stock options commences when the performance condition is probable of achievement, using management’s best estimates, which consider the inherent risk and uncertainty regarding the future outcomes of the milestones.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first quarter of 2022, management estimated one of the milestones for the 2022 Performance Awards was probable of achievement and, as such, the Company recorded approximately $258,000</w:t>
      </w:r>
      <w:r>
        <w:rPr>
          <w:rFonts w:ascii="Times New Roman" w:hAnsi="Times New Roman"/>
          <w:color w:val="000000"/>
          <w:sz w:val="20"/>
        </w:rPr>
        <w:t xml:space="preserve"> </w:t>
      </w:r>
      <w:r>
        <w:rPr>
          <w:rFonts w:ascii="Times New Roman" w:hAnsi="Times New Roman"/>
          <w:b w:val="false"/>
          <w:color w:val="000000"/>
          <w:sz w:val="20"/>
        </w:rPr>
        <w:t>and $346,000</w:t>
      </w:r>
      <w:r>
        <w:rPr>
          <w:rFonts w:ascii="Times New Roman" w:hAnsi="Times New Roman"/>
          <w:color w:val="FF0000"/>
          <w:sz w:val="20"/>
        </w:rPr>
        <w:t xml:space="preserve"> </w:t>
      </w:r>
      <w:r>
        <w:rPr>
          <w:rFonts w:ascii="Times New Roman" w:hAnsi="Times New Roman"/>
          <w:b w:val="false"/>
          <w:color w:val="000000"/>
          <w:sz w:val="20"/>
        </w:rPr>
        <w:t>of stock compensation expense for these awards for the nine months ended September 30, 2023 and 2022, respectively. As of September 30, 2023, 140,000</w:t>
      </w:r>
      <w:r>
        <w:rPr>
          <w:rFonts w:ascii="Times New Roman" w:hAnsi="Times New Roman"/>
          <w:color w:val="000000"/>
          <w:sz w:val="20"/>
        </w:rPr>
        <w:t xml:space="preserve"> </w:t>
      </w:r>
      <w:r>
        <w:rPr>
          <w:rFonts w:ascii="Times New Roman" w:hAnsi="Times New Roman"/>
          <w:b w:val="false"/>
          <w:color w:val="000000"/>
          <w:sz w:val="20"/>
        </w:rPr>
        <w:t>stock options outstanding were unvested, and no</w:t>
      </w:r>
      <w:r>
        <w:rPr>
          <w:rFonts w:ascii="Times New Roman" w:hAnsi="Times New Roman"/>
          <w:color w:val="000000"/>
          <w:sz w:val="20"/>
        </w:rPr>
        <w:t xml:space="preserve"> </w:t>
      </w:r>
      <w:r>
        <w:rPr>
          <w:rFonts w:ascii="Times New Roman" w:hAnsi="Times New Roman"/>
          <w:b w:val="false"/>
          <w:color w:val="000000"/>
          <w:sz w:val="20"/>
        </w:rPr>
        <w:t>options had been canceled.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628,253</w:t>
      </w:r>
      <w:r>
        <w:rPr>
          <w:rFonts w:ascii="Times New Roman" w:hAnsi="Times New Roman"/>
          <w:color w:val="000000"/>
          <w:sz w:val="20"/>
        </w:rPr>
        <w:t xml:space="preserve"> </w:t>
      </w:r>
      <w:r>
        <w:rPr>
          <w:rFonts w:ascii="Times New Roman" w:hAnsi="Times New Roman"/>
          <w:b w:val="false"/>
          <w:color w:val="000000"/>
          <w:sz w:val="20"/>
        </w:rPr>
        <w:t>options were exercised for cash proceeds of approximately $5.0</w:t>
      </w:r>
      <w:r>
        <w:rPr>
          <w:rFonts w:ascii="Times New Roman" w:hAnsi="Times New Roman"/>
          <w:color w:val="000000"/>
          <w:sz w:val="20"/>
        </w:rPr>
        <w:t xml:space="preserve"> </w:t>
      </w:r>
      <w:r>
        <w:rPr>
          <w:rFonts w:ascii="Times New Roman" w:hAnsi="Times New Roman"/>
          <w:b w:val="false"/>
          <w:color w:val="000000"/>
          <w:sz w:val="20"/>
        </w:rPr>
        <w:t>million. During the nine months ended September 30, 2022, 1,167,295</w:t>
      </w:r>
      <w:r>
        <w:rPr>
          <w:rFonts w:ascii="Times New Roman" w:hAnsi="Times New Roman"/>
          <w:color w:val="000000"/>
          <w:sz w:val="20"/>
        </w:rPr>
        <w:t xml:space="preserve"> </w:t>
      </w:r>
      <w:r>
        <w:rPr>
          <w:rFonts w:ascii="Times New Roman" w:hAnsi="Times New Roman"/>
          <w:b w:val="false"/>
          <w:color w:val="000000"/>
          <w:sz w:val="20"/>
        </w:rPr>
        <w:t>options were exercised for cash proceeds of $10.1</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RSUs awarded to members of the Company's board of directors or employees vest on either (i) the one-year anniversary date of the related grant or (ii) 25% on each anniversary date of the related grant for four years.</w:t>
      </w:r>
      <w:r>
        <w:rPr>
          <w:rFonts w:ascii="Times New Roman" w:hAnsi="Times New Roman"/>
          <w:color w:val="000000"/>
          <w:sz w:val="20"/>
        </w:rPr>
        <w:t xml:space="preserve"> </w:t>
      </w:r>
      <w:r>
        <w:rPr>
          <w:rFonts w:ascii="Times New Roman" w:hAnsi="Times New Roman"/>
          <w:b w:val="false"/>
          <w:color w:val="000000"/>
          <w:sz w:val="20"/>
        </w:rPr>
        <w:t>The following table summarizes the Company's RSU activity:</w:t>
      </w:r>
      <w:r>
        <w:rPr>
          <w:rFonts w:ascii="Times New Roman" w:hAnsi="Times New Roman"/>
          <w:color w:val="000000"/>
          <w:sz w:val="20"/>
        </w:rPr>
        <w:t xml:space="preserve"> </w:t>
      </w:r>
    </w:p>
    <w:tbl>
      <w:tblPr>
        <w:tblW w:w="6257" w:type="dxa"/>
        <w:jc w:val="left"/>
        <w:tblInd w:w="0" w:type="dxa"/>
        <w:tblLayout w:type="fixed"/>
        <w:tblCellMar>
          <w:top w:w="28" w:type="dxa"/>
          <w:left w:w="28" w:type="dxa"/>
          <w:bottom w:w="28" w:type="dxa"/>
          <w:right w:w="28" w:type="dxa"/>
        </w:tblCellMar>
      </w:tblPr>
      <w:tblGrid>
        <w:gridCol w:w="2911"/>
        <w:gridCol w:w="146"/>
        <w:gridCol w:w="146"/>
        <w:gridCol w:w="781"/>
        <w:gridCol w:w="166"/>
        <w:gridCol w:w="146"/>
        <w:gridCol w:w="476"/>
        <w:gridCol w:w="1294"/>
        <w:gridCol w:w="1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Unvested</w:t>
            </w:r>
            <w:r>
              <w:rPr>
                <w:rFonts w:ascii="Times New Roman" w:hAnsi="Times New Roman"/>
                <w:color w:val="000000"/>
                <w:sz w:val="20"/>
              </w:rPr>
              <w:t>—</w:t>
            </w:r>
            <w:r>
              <w:rPr>
                <w:rFonts w:ascii="Times New Roman" w:hAnsi="Times New Roman"/>
                <w:b w:val="false"/>
                <w:color w:val="000000"/>
                <w:sz w:val="20"/>
              </w:rPr>
              <w:t>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18.02</w:t>
            </w:r>
          </w:p>
        </w:tc>
        <w:tc>
          <w:tcPr>
            <w:tcW w:w="1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Granted</w:t>
            </w:r>
            <w:r>
              <w:rPr>
                <w:rFonts w:ascii="Times New Roman" w:hAnsi="Times New Roman"/>
                <w:color w:val="000000"/>
                <w:sz w:val="20"/>
              </w:rPr>
              <w:t xml:space="preserve"> </w:t>
            </w:r>
            <w:r>
              <w:rPr>
                <w:rFonts w:ascii="Times New Roman" w:hAnsi="Times New Roman"/>
                <w:b w:val="false"/>
                <w:color w:val="000000"/>
                <w:sz w:val="14"/>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308,550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24.94</w:t>
            </w:r>
          </w:p>
        </w:tc>
        <w:tc>
          <w:tcPr>
            <w:tcW w:w="191" w:type="dxa"/>
            <w:tcBorders/>
            <w:shd w:fill="FFFFFF" w:val="clear"/>
            <w:vAlign w:val="center"/>
          </w:tcPr>
          <w:p>
            <w:pPr>
              <w:pStyle w:val="TableContents"/>
              <w:bidi w:val="0"/>
              <w:spacing w:before="0" w:after="283"/>
              <w:jc w:val="left"/>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13.87</w:t>
            </w:r>
          </w:p>
        </w:tc>
        <w:tc>
          <w:tcPr>
            <w:tcW w:w="19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Unvested—September 30, 2023</w:t>
            </w:r>
            <w:r>
              <w:rPr>
                <w:rFonts w:ascii="Times New Roman" w:hAnsi="Times New Roman"/>
                <w:color w:val="000000"/>
                <w:sz w:val="20"/>
              </w:rPr>
              <w:t> </w:t>
            </w:r>
            <w:r>
              <w:rPr>
                <w:rFonts w:ascii="Times New Roman" w:hAnsi="Times New Roman"/>
                <w:b w:val="false"/>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22.16</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17"/>
        </w:rPr>
        <w:t>(1)</w:t>
      </w:r>
      <w:r>
        <w:rPr>
          <w:rFonts w:ascii="Times New Roman" w:hAnsi="Times New Roman"/>
          <w:color w:val="000000"/>
          <w:sz w:val="20"/>
        </w:rPr>
        <w:t xml:space="preserve"> </w:t>
      </w:r>
      <w:r>
        <w:rPr>
          <w:rFonts w:ascii="Times New Roman" w:hAnsi="Times New Roman"/>
          <w:b w:val="false"/>
          <w:color w:val="000000"/>
          <w:sz w:val="20"/>
        </w:rPr>
        <w:t>RSUs granted in 2023 and 2022 had a weighted average grant date fair value of $24.94</w:t>
      </w:r>
      <w:r>
        <w:rPr>
          <w:rFonts w:ascii="Times New Roman" w:hAnsi="Times New Roman"/>
          <w:color w:val="000000"/>
          <w:sz w:val="20"/>
        </w:rPr>
        <w:t xml:space="preserve"> </w:t>
      </w:r>
      <w:r>
        <w:rPr>
          <w:rFonts w:ascii="Times New Roman" w:hAnsi="Times New Roman"/>
          <w:b w:val="false"/>
          <w:color w:val="000000"/>
          <w:sz w:val="20"/>
        </w:rPr>
        <w:t>and $15.79, respectively. The fair values of RSUs vested in 2023 and 2022 totaled $127,000</w:t>
      </w:r>
      <w:r>
        <w:rPr>
          <w:rFonts w:ascii="Times New Roman" w:hAnsi="Times New Roman"/>
          <w:color w:val="000000"/>
          <w:sz w:val="20"/>
        </w:rPr>
        <w:t xml:space="preserve"> </w:t>
      </w:r>
      <w:r>
        <w:rPr>
          <w:rFonts w:ascii="Times New Roman" w:hAnsi="Times New Roman"/>
          <w:b w:val="false"/>
          <w:color w:val="000000"/>
          <w:sz w:val="20"/>
        </w:rPr>
        <w:t>and $656,000, respectively.</w:t>
      </w:r>
    </w:p>
    <w:p>
      <w:pPr>
        <w:pStyle w:val="TextBody"/>
        <w:bidi w:val="0"/>
        <w:spacing w:before="240" w:after="283"/>
        <w:jc w:val="left"/>
        <w:rPr>
          <w:rFonts w:ascii="Times New Roman" w:hAnsi="Times New Roman"/>
          <w:sz w:val="20"/>
        </w:rPr>
      </w:pPr>
      <w:r>
        <w:rPr>
          <w:rFonts w:ascii="Times New Roman" w:hAnsi="Times New Roman"/>
          <w:b w:val="false"/>
          <w:color w:val="000000"/>
          <w:sz w:val="17"/>
        </w:rPr>
        <w:t>(2)</w:t>
      </w:r>
      <w:r>
        <w:rPr>
          <w:rFonts w:ascii="Times New Roman" w:hAnsi="Times New Roman"/>
          <w:color w:val="000000"/>
          <w:sz w:val="20"/>
        </w:rPr>
        <w:t xml:space="preserve"> </w:t>
      </w:r>
      <w:r>
        <w:rPr>
          <w:rFonts w:ascii="Times New Roman" w:hAnsi="Times New Roman"/>
          <w:b w:val="false"/>
          <w:color w:val="000000"/>
          <w:sz w:val="20"/>
        </w:rPr>
        <w:t>Unvested RSUs as of September 30, 2023, include 317,333</w:t>
      </w:r>
      <w:r>
        <w:rPr>
          <w:rFonts w:ascii="Times New Roman" w:hAnsi="Times New Roman"/>
          <w:color w:val="000000"/>
          <w:sz w:val="20"/>
        </w:rPr>
        <w:t xml:space="preserve"> </w:t>
      </w:r>
      <w:r>
        <w:rPr>
          <w:rFonts w:ascii="Times New Roman" w:hAnsi="Times New Roman"/>
          <w:b w:val="false"/>
          <w:color w:val="000000"/>
          <w:sz w:val="20"/>
        </w:rPr>
        <w:t>RSUs which were granted to members of the Company's board of directors and will not be considered issued and outstanding until the occurrence of a separation from service, death, disability, or a change in control.</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there were $82.7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unrecognized compensation costs related to employee and non-employee unvested stock options and RSUs granted under the 2015 Plan and 2007 Plan, which are expected to be recognized over a weighted-average remaining service period of 2.9</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 Stockholders’ Equity</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presents the changes in stockholders’ equity for the three and nine months ended September 30, 2023:</w:t>
      </w:r>
    </w:p>
    <w:tbl>
      <w:tblPr>
        <w:tblW w:w="10205" w:type="dxa"/>
        <w:jc w:val="left"/>
        <w:tblInd w:w="0" w:type="dxa"/>
        <w:tblLayout w:type="fixed"/>
        <w:tblCellMar>
          <w:top w:w="28" w:type="dxa"/>
          <w:left w:w="28" w:type="dxa"/>
          <w:bottom w:w="28" w:type="dxa"/>
          <w:right w:w="28" w:type="dxa"/>
        </w:tblCellMar>
      </w:tblPr>
      <w:tblGrid>
        <w:gridCol w:w="1949"/>
        <w:gridCol w:w="146"/>
        <w:gridCol w:w="146"/>
        <w:gridCol w:w="1036"/>
        <w:gridCol w:w="146"/>
        <w:gridCol w:w="146"/>
        <w:gridCol w:w="261"/>
        <w:gridCol w:w="430"/>
        <w:gridCol w:w="146"/>
        <w:gridCol w:w="146"/>
        <w:gridCol w:w="211"/>
        <w:gridCol w:w="931"/>
        <w:gridCol w:w="166"/>
        <w:gridCol w:w="146"/>
        <w:gridCol w:w="370"/>
        <w:gridCol w:w="846"/>
        <w:gridCol w:w="166"/>
        <w:gridCol w:w="146"/>
        <w:gridCol w:w="211"/>
        <w:gridCol w:w="841"/>
        <w:gridCol w:w="166"/>
        <w:gridCol w:w="146"/>
        <w:gridCol w:w="233"/>
        <w:gridCol w:w="863"/>
        <w:gridCol w:w="211"/>
      </w:tblGrid>
      <w:tr>
        <w:trPr/>
        <w:tc>
          <w:tcPr>
            <w:tcW w:w="1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4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br/>
              <w:t>$0.0001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68,111,385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1,161,288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(693,040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467,449</w:t>
            </w:r>
          </w:p>
        </w:tc>
        <w:tc>
          <w:tcPr>
            <w:tcW w:w="211" w:type="dxa"/>
            <w:tcBorders/>
            <w:shd w:fill="CFF0FC" w:val="clear"/>
            <w:vAlign w:val="center"/>
          </w:tcPr>
          <w:p>
            <w:pPr>
              <w:pStyle w:val="TableContents"/>
              <w:bidi w:val="0"/>
              <w:spacing w:before="0" w:after="283"/>
              <w:jc w:val="left"/>
              <w:rPr/>
            </w:pPr>
            <w:r>
              <w:rPr/>
              <w:t> </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purchase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6,238</w:t>
            </w:r>
          </w:p>
        </w:tc>
        <w:tc>
          <w:tcPr>
            <w:tcW w:w="211" w:type="dxa"/>
            <w:tcBorders/>
            <w:shd w:fill="CFF0FC" w:val="clear"/>
            <w:vAlign w:val="center"/>
          </w:tcPr>
          <w:p>
            <w:pPr>
              <w:pStyle w:val="TableContents"/>
              <w:bidi w:val="0"/>
              <w:spacing w:before="0" w:after="283"/>
              <w:jc w:val="left"/>
              <w:rPr/>
            </w:pPr>
            <w:r>
              <w:rPr/>
              <w:t> </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gains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w:t>
            </w:r>
          </w:p>
        </w:tc>
        <w:tc>
          <w:tcPr>
            <w:tcW w:w="211" w:type="dxa"/>
            <w:tcBorders/>
            <w:shd w:fill="FFFFFF" w:val="cle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Vesting of RSU</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withholdings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w:t>
            </w:r>
          </w:p>
        </w:tc>
        <w:tc>
          <w:tcPr>
            <w:tcW w:w="211" w:type="dxa"/>
            <w:tcBorders/>
            <w:shd w:fill="FFFFFF" w:val="cle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Prefunded warrants, exercise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2,278</w:t>
            </w:r>
          </w:p>
        </w:tc>
        <w:tc>
          <w:tcPr>
            <w:tcW w:w="211" w:type="dxa"/>
            <w:tcBorders/>
            <w:shd w:fill="FFFFFF" w:val="cle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68,495,426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435,505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8,065</w:t>
            </w:r>
          </w:p>
        </w:tc>
        <w:tc>
          <w:tcPr>
            <w:tcW w:w="211" w:type="dxa"/>
            <w:tcBorders/>
            <w:shd w:fill="CFF0FC" w:val="clear"/>
            <w:vAlign w:val="center"/>
          </w:tcPr>
          <w:p>
            <w:pPr>
              <w:pStyle w:val="TableContents"/>
              <w:bidi w:val="0"/>
              <w:spacing w:before="0" w:after="283"/>
              <w:jc w:val="left"/>
              <w:rPr/>
            </w:pPr>
            <w:r>
              <w:rPr/>
              <w:t> </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loss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Vesting of RSU</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withholdings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w:t>
            </w:r>
          </w:p>
        </w:tc>
        <w:tc>
          <w:tcPr>
            <w:tcW w:w="211" w:type="dxa"/>
            <w:tcBorders/>
            <w:shd w:fill="FFFFFF" w:val="cle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Prefunded warrants, exercise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771,133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163,037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1,146</w:t>
            </w:r>
          </w:p>
        </w:tc>
        <w:tc>
          <w:tcPr>
            <w:tcW w:w="211" w:type="dxa"/>
            <w:tcBorders/>
            <w:shd w:fill="FFFFFF" w:val="cle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69,431,198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1,179,389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400,041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8,321</w:t>
            </w:r>
          </w:p>
        </w:tc>
        <w:tc>
          <w:tcPr>
            <w:tcW w:w="211" w:type="dxa"/>
            <w:tcBorders/>
            <w:shd w:fill="CFF0FC" w:val="clear"/>
            <w:vAlign w:val="center"/>
          </w:tcPr>
          <w:p>
            <w:pPr>
              <w:pStyle w:val="TableContents"/>
              <w:bidi w:val="0"/>
              <w:spacing w:before="0" w:after="283"/>
              <w:jc w:val="left"/>
              <w:rPr/>
            </w:pPr>
            <w:r>
              <w:rPr/>
              <w:t> </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gains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211" w:type="dxa"/>
            <w:tcBorders/>
            <w:shd w:fill="FFFFFF" w:val="cle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purchase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withholdings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211" w:type="dxa"/>
            <w:tcBorders/>
            <w:shd w:fill="FFFFFF" w:val="cle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Prefunded warrants, exercise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1,592</w:t>
            </w:r>
          </w:p>
        </w:tc>
        <w:tc>
          <w:tcPr>
            <w:tcW w:w="211" w:type="dxa"/>
            <w:tcBorders/>
            <w:shd w:fill="FFFFFF" w:val="clear"/>
            <w:vAlign w:val="center"/>
          </w:tcPr>
          <w:p>
            <w:pPr>
              <w:pStyle w:val="TableContents"/>
              <w:bidi w:val="0"/>
              <w:spacing w:before="0" w:after="283"/>
              <w:jc w:val="left"/>
              <w:rPr/>
            </w:pPr>
            <w:r>
              <w:rPr/>
              <w:t> </w:t>
            </w:r>
          </w:p>
        </w:tc>
      </w:tr>
      <w:tr>
        <w:trPr/>
        <w:tc>
          <w:tcPr>
            <w:tcW w:w="19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4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69,638,168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1,189,561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(829,927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359,186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val="false"/>
          <w:color w:val="000000"/>
          <w:sz w:val="20"/>
        </w:rPr>
        <w:t>The following table presents the changes in stockholders’ equity for the three and nine months ended September 30, 2022:</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119"/>
        <w:gridCol w:w="146"/>
        <w:gridCol w:w="146"/>
        <w:gridCol w:w="1036"/>
        <w:gridCol w:w="146"/>
        <w:gridCol w:w="146"/>
        <w:gridCol w:w="261"/>
        <w:gridCol w:w="430"/>
        <w:gridCol w:w="146"/>
        <w:gridCol w:w="146"/>
        <w:gridCol w:w="211"/>
        <w:gridCol w:w="781"/>
        <w:gridCol w:w="146"/>
        <w:gridCol w:w="146"/>
        <w:gridCol w:w="304"/>
        <w:gridCol w:w="912"/>
        <w:gridCol w:w="166"/>
        <w:gridCol w:w="146"/>
        <w:gridCol w:w="211"/>
        <w:gridCol w:w="841"/>
        <w:gridCol w:w="166"/>
        <w:gridCol w:w="146"/>
        <w:gridCol w:w="233"/>
        <w:gridCol w:w="863"/>
        <w:gridCol w:w="211"/>
      </w:tblGrid>
      <w:tr>
        <w:trPr/>
        <w:tc>
          <w:tcPr>
            <w:tcW w:w="2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19"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br/>
              <w:t>$0.0001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54,983,105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(543,702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408,368</w:t>
            </w:r>
          </w:p>
        </w:tc>
        <w:tc>
          <w:tcPr>
            <w:tcW w:w="211" w:type="dxa"/>
            <w:tcBorders/>
            <w:shd w:fill="CFF0FC" w:val="clear"/>
            <w:vAlign w:val="center"/>
          </w:tcPr>
          <w:p>
            <w:pPr>
              <w:pStyle w:val="TableContents"/>
              <w:bidi w:val="0"/>
              <w:spacing w:before="0" w:after="283"/>
              <w:jc w:val="left"/>
              <w:rPr/>
            </w:pPr>
            <w:r>
              <w:rPr/>
              <w:t> </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purchase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3,478</w:t>
            </w:r>
          </w:p>
        </w:tc>
        <w:tc>
          <w:tcPr>
            <w:tcW w:w="211" w:type="dxa"/>
            <w:tcBorders/>
            <w:shd w:fill="CFF0FC" w:val="clear"/>
            <w:vAlign w:val="center"/>
          </w:tcPr>
          <w:p>
            <w:pPr>
              <w:pStyle w:val="TableContents"/>
              <w:bidi w:val="0"/>
              <w:spacing w:before="0" w:after="283"/>
              <w:jc w:val="left"/>
              <w:rPr/>
            </w:pPr>
            <w:r>
              <w:rPr/>
              <w:t> </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loss on short-term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(685</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withholdings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211" w:type="dxa"/>
            <w:tcBorders/>
            <w:shd w:fill="CFF0FC" w:val="clear"/>
            <w:vAlign w:val="center"/>
          </w:tcPr>
          <w:p>
            <w:pPr>
              <w:pStyle w:val="TableContents"/>
              <w:bidi w:val="0"/>
              <w:spacing w:before="0" w:after="283"/>
              <w:jc w:val="left"/>
              <w:rPr/>
            </w:pPr>
            <w:r>
              <w:rPr/>
              <w:t> </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w:t>
            </w:r>
          </w:p>
        </w:tc>
        <w:tc>
          <w:tcPr>
            <w:tcW w:w="211" w:type="dxa"/>
            <w:tcBorders/>
            <w:shd w:fill="FFFFFF" w:val="clear"/>
            <w:vAlign w:val="center"/>
          </w:tcPr>
          <w:p>
            <w:pPr>
              <w:pStyle w:val="TableContents"/>
              <w:bidi w:val="0"/>
              <w:spacing w:before="0" w:after="283"/>
              <w:jc w:val="left"/>
              <w:rPr/>
            </w:pPr>
            <w:r>
              <w:rPr/>
              <w:t> </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55,030,890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374,549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ATM sales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1,111,111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19,427</w:t>
            </w:r>
          </w:p>
        </w:tc>
        <w:tc>
          <w:tcPr>
            <w:tcW w:w="211" w:type="dxa"/>
            <w:tcBorders/>
            <w:shd w:fill="CFF0FC" w:val="clear"/>
            <w:vAlign w:val="center"/>
          </w:tcPr>
          <w:p>
            <w:pPr>
              <w:pStyle w:val="TableContents"/>
              <w:bidi w:val="0"/>
              <w:spacing w:before="0" w:after="283"/>
              <w:jc w:val="left"/>
              <w:rPr/>
            </w:pPr>
            <w:r>
              <w:rPr/>
              <w:t> </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3,938</w:t>
            </w:r>
          </w:p>
        </w:tc>
        <w:tc>
          <w:tcPr>
            <w:tcW w:w="211" w:type="dxa"/>
            <w:tcBorders/>
            <w:shd w:fill="FFFFFF" w:val="clear"/>
            <w:vAlign w:val="center"/>
          </w:tcPr>
          <w:p>
            <w:pPr>
              <w:pStyle w:val="TableContents"/>
              <w:bidi w:val="0"/>
              <w:spacing w:before="0" w:after="283"/>
              <w:jc w:val="left"/>
              <w:rPr/>
            </w:pPr>
            <w:r>
              <w:rPr/>
              <w:t> </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loss on short-term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withholdings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211" w:type="dxa"/>
            <w:tcBorders/>
            <w:shd w:fill="FFFFFF" w:val="clear"/>
            <w:vAlign w:val="center"/>
          </w:tcPr>
          <w:p>
            <w:pPr>
              <w:pStyle w:val="TableContents"/>
              <w:bidi w:val="0"/>
              <w:spacing w:before="0" w:after="283"/>
              <w:jc w:val="left"/>
              <w:rPr/>
            </w:pPr>
            <w:r>
              <w:rPr/>
              <w:t> </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2,235</w:t>
            </w:r>
          </w:p>
        </w:tc>
        <w:tc>
          <w:tcPr>
            <w:tcW w:w="211" w:type="dxa"/>
            <w:tcBorders/>
            <w:shd w:fill="CFF0FC" w:val="clear"/>
            <w:vAlign w:val="center"/>
          </w:tcPr>
          <w:p>
            <w:pPr>
              <w:pStyle w:val="TableContents"/>
              <w:bidi w:val="0"/>
              <w:spacing w:before="0" w:after="283"/>
              <w:jc w:val="left"/>
              <w:rPr/>
            </w:pPr>
            <w:r>
              <w:rPr/>
              <w:t> </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56,399,734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981,712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(618,443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361,940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purchase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4,362</w:t>
            </w:r>
          </w:p>
        </w:tc>
        <w:tc>
          <w:tcPr>
            <w:tcW w:w="211" w:type="dxa"/>
            <w:tcBorders/>
            <w:shd w:fill="CFF0FC" w:val="clear"/>
            <w:vAlign w:val="center"/>
          </w:tcPr>
          <w:p>
            <w:pPr>
              <w:pStyle w:val="TableContents"/>
              <w:bidi w:val="0"/>
              <w:spacing w:before="0" w:after="283"/>
              <w:jc w:val="left"/>
              <w:rPr/>
            </w:pPr>
            <w:r>
              <w:rPr/>
              <w:t> </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loss on short-term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of 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2,832,151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withholdings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211" w:type="dxa"/>
            <w:tcBorders/>
            <w:shd w:fill="FFFFFF" w:val="clear"/>
            <w:vAlign w:val="center"/>
          </w:tcPr>
          <w:p>
            <w:pPr>
              <w:pStyle w:val="TableContents"/>
              <w:bidi w:val="0"/>
              <w:spacing w:before="0" w:after="283"/>
              <w:jc w:val="left"/>
              <w:rPr/>
            </w:pPr>
            <w:r>
              <w:rPr/>
              <w:t> </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880,723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7,363</w:t>
            </w:r>
          </w:p>
        </w:tc>
        <w:tc>
          <w:tcPr>
            <w:tcW w:w="211" w:type="dxa"/>
            <w:tcBorders/>
            <w:shd w:fill="CFF0FC" w:val="clear"/>
            <w:vAlign w:val="center"/>
          </w:tcPr>
          <w:p>
            <w:pPr>
              <w:pStyle w:val="TableContents"/>
              <w:bidi w:val="0"/>
              <w:spacing w:before="0" w:after="283"/>
              <w:jc w:val="left"/>
              <w:rPr/>
            </w:pPr>
            <w:r>
              <w:rPr/>
              <w:t> </w:t>
            </w:r>
          </w:p>
        </w:tc>
      </w:tr>
      <w:tr>
        <w:trPr/>
        <w:tc>
          <w:tcPr>
            <w:tcW w:w="21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as of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60,122,661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993,547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(653,846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338,102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In March 2021, the Company entered into a sales agreement with Cowen and Company, LLC, or TD Cowen, under which the Company could, from time to time, issue and sell shares of its common stock having aggregate sales proceeds of up to $75.0</w:t>
      </w:r>
      <w:r>
        <w:rPr>
          <w:rFonts w:ascii="Times New Roman" w:hAnsi="Times New Roman"/>
          <w:color w:val="000000"/>
          <w:sz w:val="20"/>
        </w:rPr>
        <w:t xml:space="preserve"> </w:t>
      </w:r>
      <w:r>
        <w:rPr>
          <w:rFonts w:ascii="Times New Roman" w:hAnsi="Times New Roman"/>
          <w:b w:val="false"/>
          <w:color w:val="000000"/>
          <w:sz w:val="20"/>
        </w:rPr>
        <w:t>million, in a series of one or more At-the-Market, or ATM, equity offerings, or the 2021 ATM Program. On May 26, 2023, the Company terminated the 2021 ATM Program. Prior to termination the Company sold shares for aggregate proceeds of approximately $25.0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May 2023, the Company entered into a new sales agreement with TD Cowen under which the Company could, from time to time, issue and sell shares of its common stock having aggregate sales proceeds of up to $200.0</w:t>
      </w:r>
      <w:r>
        <w:rPr>
          <w:rFonts w:ascii="Times New Roman" w:hAnsi="Times New Roman"/>
          <w:color w:val="000000"/>
          <w:sz w:val="20"/>
        </w:rPr>
        <w:t xml:space="preserve"> </w:t>
      </w:r>
      <w:r>
        <w:rPr>
          <w:rFonts w:ascii="Times New Roman" w:hAnsi="Times New Roman"/>
          <w:b w:val="false"/>
          <w:color w:val="000000"/>
          <w:sz w:val="20"/>
        </w:rPr>
        <w:t>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pursuant to the previous shelf registration statement on Form S-3ASR (Registration No. 333-254661), which became automatically effective upon the filing on March 24, 2021. The Company’s common stock will be sold at prevailing market prices at the time of the sale, and as a result, prices may vary. For the period ended September 30, 2023, the Company sold no</w:t>
      </w:r>
      <w:r>
        <w:rPr>
          <w:rFonts w:ascii="Times New Roman" w:hAnsi="Times New Roman"/>
          <w:color w:val="000000"/>
          <w:sz w:val="20"/>
        </w:rPr>
        <w:t xml:space="preserve"> </w:t>
      </w:r>
      <w:r>
        <w:rPr>
          <w:rFonts w:ascii="Times New Roman" w:hAnsi="Times New Roman"/>
          <w:b w:val="false"/>
          <w:color w:val="000000"/>
          <w:sz w:val="20"/>
        </w:rPr>
        <w:t>shares of common stock under the 2023 ATM Program.</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December 2021, the Company issued 3,802,144</w:t>
      </w:r>
      <w:r>
        <w:rPr>
          <w:rFonts w:ascii="Times New Roman" w:hAnsi="Times New Roman"/>
          <w:color w:val="000000"/>
          <w:sz w:val="20"/>
        </w:rPr>
        <w:t xml:space="preserve"> </w:t>
      </w:r>
      <w:r>
        <w:rPr>
          <w:rFonts w:ascii="Times New Roman" w:hAnsi="Times New Roman"/>
          <w:b w:val="false"/>
          <w:color w:val="000000"/>
          <w:sz w:val="20"/>
        </w:rPr>
        <w:t>shares of common stock and granted pre-funded warrants to purchase 1,142,856</w:t>
      </w:r>
      <w:r>
        <w:rPr>
          <w:rFonts w:ascii="Times New Roman" w:hAnsi="Times New Roman"/>
          <w:color w:val="000000"/>
          <w:sz w:val="20"/>
        </w:rPr>
        <w:t xml:space="preserve"> </w:t>
      </w:r>
      <w:r>
        <w:rPr>
          <w:rFonts w:ascii="Times New Roman" w:hAnsi="Times New Roman"/>
          <w:b w:val="false"/>
          <w:color w:val="000000"/>
          <w:sz w:val="20"/>
        </w:rPr>
        <w:t>shares of common stock. The offering price for the securities was $17.50</w:t>
      </w:r>
      <w:r>
        <w:rPr>
          <w:rFonts w:ascii="Times New Roman" w:hAnsi="Times New Roman"/>
          <w:color w:val="000000"/>
          <w:sz w:val="20"/>
        </w:rPr>
        <w:t xml:space="preserve"> </w:t>
      </w:r>
      <w:r>
        <w:rPr>
          <w:rFonts w:ascii="Times New Roman" w:hAnsi="Times New Roman"/>
          <w:b w:val="false"/>
          <w:color w:val="000000"/>
          <w:sz w:val="20"/>
        </w:rPr>
        <w:t>per share or $17.4999</w:t>
      </w:r>
      <w:r>
        <w:rPr>
          <w:rFonts w:ascii="Times New Roman" w:hAnsi="Times New Roman"/>
          <w:color w:val="000000"/>
          <w:sz w:val="20"/>
        </w:rPr>
        <w:t xml:space="preserve"> </w:t>
      </w:r>
      <w:r>
        <w:rPr>
          <w:rFonts w:ascii="Times New Roman" w:hAnsi="Times New Roman"/>
          <w:b w:val="false"/>
          <w:color w:val="000000"/>
          <w:sz w:val="20"/>
        </w:rPr>
        <w:t>for each pre-funded warrant, with net proceeds of approximately $81.2</w:t>
      </w:r>
      <w:r>
        <w:rPr>
          <w:rFonts w:ascii="Times New Roman" w:hAnsi="Times New Roman"/>
          <w:color w:val="000000"/>
          <w:sz w:val="20"/>
        </w:rPr>
        <w:t xml:space="preserve"> </w:t>
      </w:r>
      <w:r>
        <w:rPr>
          <w:rFonts w:ascii="Times New Roman" w:hAnsi="Times New Roman"/>
          <w:b w:val="false"/>
          <w:color w:val="000000"/>
          <w:sz w:val="20"/>
        </w:rPr>
        <w:t>million. On April 12, 2023, 273,000</w:t>
      </w:r>
      <w:r>
        <w:rPr>
          <w:rFonts w:ascii="Times New Roman" w:hAnsi="Times New Roman"/>
          <w:color w:val="000000"/>
          <w:sz w:val="20"/>
        </w:rPr>
        <w:t xml:space="preserve"> </w:t>
      </w:r>
      <w:r>
        <w:rPr>
          <w:rFonts w:ascii="Times New Roman" w:hAnsi="Times New Roman"/>
          <w:b w:val="false"/>
          <w:color w:val="000000"/>
          <w:sz w:val="20"/>
        </w:rPr>
        <w:t>pre-funded warrants were exercised for 272,996</w:t>
      </w:r>
      <w:r>
        <w:rPr>
          <w:rFonts w:ascii="Times New Roman" w:hAnsi="Times New Roman"/>
          <w:color w:val="000000"/>
          <w:sz w:val="20"/>
        </w:rPr>
        <w:t xml:space="preserve"> </w:t>
      </w:r>
      <w:r>
        <w:rPr>
          <w:rFonts w:ascii="Times New Roman" w:hAnsi="Times New Roman"/>
          <w:b w:val="false"/>
          <w:color w:val="000000"/>
          <w:sz w:val="20"/>
        </w:rPr>
        <w:t>shares of common stock, under a cashless exercise. On May 9, 2023, 498,142</w:t>
      </w:r>
      <w:r>
        <w:rPr>
          <w:rFonts w:ascii="Times New Roman" w:hAnsi="Times New Roman"/>
          <w:color w:val="000000"/>
          <w:sz w:val="20"/>
        </w:rPr>
        <w:t xml:space="preserve"> </w:t>
      </w:r>
      <w:r>
        <w:rPr>
          <w:rFonts w:ascii="Times New Roman" w:hAnsi="Times New Roman"/>
          <w:b w:val="false"/>
          <w:color w:val="000000"/>
          <w:sz w:val="20"/>
        </w:rPr>
        <w:t>pre-funded warrants were exercised for 498,137</w:t>
      </w:r>
      <w:r>
        <w:rPr>
          <w:rFonts w:ascii="Times New Roman" w:hAnsi="Times New Roman"/>
          <w:color w:val="000000"/>
          <w:sz w:val="20"/>
        </w:rPr>
        <w:t xml:space="preserve"> </w:t>
      </w:r>
      <w:r>
        <w:rPr>
          <w:rFonts w:ascii="Times New Roman" w:hAnsi="Times New Roman"/>
          <w:b w:val="false"/>
          <w:color w:val="000000"/>
          <w:sz w:val="20"/>
        </w:rPr>
        <w:t>shares of common stock, under a cashless exercise. As of September 30, 2023, 285,714</w:t>
      </w:r>
      <w:r>
        <w:rPr>
          <w:rFonts w:ascii="Times New Roman" w:hAnsi="Times New Roman"/>
          <w:color w:val="000000"/>
          <w:sz w:val="20"/>
        </w:rPr>
        <w:t xml:space="preserve"> </w:t>
      </w:r>
      <w:r>
        <w:rPr>
          <w:rFonts w:ascii="Times New Roman" w:hAnsi="Times New Roman"/>
          <w:b w:val="false"/>
          <w:color w:val="000000"/>
          <w:sz w:val="20"/>
        </w:rPr>
        <w:t>pre-funded warrants were outstanding.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December 2021, in connection with the Incyte License and the Incyte Share Purchase Agreement, the Company issued 1,421,523</w:t>
      </w:r>
      <w:r>
        <w:rPr>
          <w:rFonts w:ascii="Times New Roman" w:hAnsi="Times New Roman"/>
          <w:color w:val="000000"/>
          <w:sz w:val="20"/>
        </w:rPr>
        <w:t xml:space="preserve"> </w:t>
      </w:r>
      <w:r>
        <w:rPr>
          <w:rFonts w:ascii="Times New Roman" w:hAnsi="Times New Roman"/>
          <w:b w:val="false"/>
          <w:color w:val="000000"/>
          <w:sz w:val="20"/>
        </w:rPr>
        <w:t>shares of common stock, with net proceeds of approximately $35.0</w:t>
      </w:r>
      <w:r>
        <w:rPr>
          <w:rFonts w:ascii="Times New Roman" w:hAnsi="Times New Roman"/>
          <w:color w:val="000000"/>
          <w:sz w:val="20"/>
        </w:rPr>
        <w:t xml:space="preserve"> </w:t>
      </w:r>
      <w:r>
        <w:rPr>
          <w:rFonts w:ascii="Times New Roman" w:hAnsi="Times New Roman"/>
          <w:b w:val="false"/>
          <w:color w:val="000000"/>
          <w:sz w:val="20"/>
        </w:rPr>
        <w:t>million. The Company recorded the equity issuance at a fair value of $24.8</w:t>
      </w:r>
      <w:r>
        <w:rPr>
          <w:rFonts w:ascii="Times New Roman" w:hAnsi="Times New Roman"/>
          <w:color w:val="000000"/>
          <w:sz w:val="20"/>
        </w:rPr>
        <w:t xml:space="preserve"> </w:t>
      </w:r>
      <w:r>
        <w:rPr>
          <w:rFonts w:ascii="Times New Roman" w:hAnsi="Times New Roman"/>
          <w:b w:val="false"/>
          <w:color w:val="000000"/>
          <w:sz w:val="20"/>
        </w:rPr>
        <w:t>million based on the market price of the stock on the date of issuance.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December 2022, the Company issued 7,840,909</w:t>
      </w:r>
      <w:r>
        <w:rPr>
          <w:rFonts w:ascii="Times New Roman" w:hAnsi="Times New Roman"/>
          <w:color w:val="000000"/>
          <w:sz w:val="20"/>
        </w:rPr>
        <w:t xml:space="preserve"> </w:t>
      </w:r>
      <w:r>
        <w:rPr>
          <w:rFonts w:ascii="Times New Roman" w:hAnsi="Times New Roman"/>
          <w:b w:val="false"/>
          <w:color w:val="000000"/>
          <w:sz w:val="20"/>
        </w:rPr>
        <w:t>shares of common stock in a public offering. The offering price for the securities was $22.00</w:t>
      </w:r>
      <w:r>
        <w:rPr>
          <w:rFonts w:ascii="Times New Roman" w:hAnsi="Times New Roman"/>
          <w:color w:val="000000"/>
          <w:sz w:val="20"/>
        </w:rPr>
        <w:t xml:space="preserve"> </w:t>
      </w:r>
      <w:r>
        <w:rPr>
          <w:rFonts w:ascii="Times New Roman" w:hAnsi="Times New Roman"/>
          <w:b w:val="false"/>
          <w:color w:val="000000"/>
          <w:sz w:val="20"/>
        </w:rPr>
        <w:t>per share, with net proceeds of approximately $162.0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val="false"/>
          <w:color w:val="000000"/>
          <w:sz w:val="20"/>
        </w:rPr>
      </w:pPr>
      <w:r>
        <w:rPr>
          <w:rFonts w:ascii="Times New Roman" w:hAnsi="Times New Roman"/>
          <w:b w:val="false"/>
          <w:color w:val="000000"/>
          <w:sz w:val="20"/>
        </w:rPr>
        <w:t>The Company has reserved for future issuance the following shares of common stock related to the potential warrant exercise, exercise of stock options and the employee stock purchase plan:</w:t>
      </w:r>
    </w:p>
    <w:tbl>
      <w:tblPr>
        <w:tblW w:w="6177" w:type="dxa"/>
        <w:jc w:val="left"/>
        <w:tblInd w:w="0" w:type="dxa"/>
        <w:tblLayout w:type="fixed"/>
        <w:tblCellMar>
          <w:top w:w="28" w:type="dxa"/>
          <w:left w:w="28" w:type="dxa"/>
          <w:bottom w:w="28" w:type="dxa"/>
          <w:right w:w="28" w:type="dxa"/>
        </w:tblCellMar>
      </w:tblPr>
      <w:tblGrid>
        <w:gridCol w:w="4216"/>
        <w:gridCol w:w="218"/>
        <w:gridCol w:w="1552"/>
        <w:gridCol w:w="191"/>
      </w:tblGrid>
      <w:tr>
        <w:trPr/>
        <w:tc>
          <w:tcPr>
            <w:tcW w:w="4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issuable under pre-funded warrants</w:t>
            </w:r>
          </w:p>
        </w:tc>
        <w:tc>
          <w:tcPr>
            <w:tcW w:w="218" w:type="dxa"/>
            <w:tcBorders/>
            <w:shd w:fill="CFF0FC" w:val="clear"/>
            <w:vAlign w:val="center"/>
          </w:tcPr>
          <w:p>
            <w:pPr>
              <w:pStyle w:val="TableContents"/>
              <w:bidi w:val="0"/>
              <w:spacing w:before="0" w:after="283"/>
              <w:jc w:val="left"/>
              <w:rPr/>
            </w:pPr>
            <w:r>
              <w:rPr/>
              <w:t> </w:t>
            </w:r>
          </w:p>
        </w:tc>
        <w:tc>
          <w:tcPr>
            <w:tcW w:w="15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285,714</w:t>
            </w:r>
          </w:p>
        </w:tc>
        <w:tc>
          <w:tcPr>
            <w:tcW w:w="19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to purchase common stock</w:t>
            </w:r>
          </w:p>
        </w:tc>
        <w:tc>
          <w:tcPr>
            <w:tcW w:w="218" w:type="dxa"/>
            <w:tcBorders/>
            <w:shd w:fill="FFFFFF" w:val="clear"/>
            <w:vAlign w:val="center"/>
          </w:tcPr>
          <w:p>
            <w:pPr>
              <w:pStyle w:val="TableContents"/>
              <w:bidi w:val="0"/>
              <w:spacing w:before="0" w:after="283"/>
              <w:jc w:val="left"/>
              <w:rPr/>
            </w:pPr>
            <w:r>
              <w:rPr/>
              <w:t> </w:t>
            </w:r>
          </w:p>
        </w:tc>
        <w:tc>
          <w:tcPr>
            <w:tcW w:w="155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13,543,965</w:t>
            </w:r>
          </w:p>
        </w:tc>
        <w:tc>
          <w:tcPr>
            <w:tcW w:w="191" w:type="dxa"/>
            <w:tcBorders/>
            <w:shd w:fill="FFFFFF" w:val="clear"/>
            <w:vAlign w:val="center"/>
          </w:tcPr>
          <w:p>
            <w:pPr>
              <w:pStyle w:val="TableContents"/>
              <w:bidi w:val="0"/>
              <w:spacing w:before="0" w:after="283"/>
              <w:jc w:val="lef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Stock Purchase Plan</w:t>
            </w:r>
          </w:p>
        </w:tc>
        <w:tc>
          <w:tcPr>
            <w:tcW w:w="218" w:type="dxa"/>
            <w:tcBorders/>
            <w:shd w:fill="CFF0FC" w:val="clear"/>
            <w:vAlign w:val="center"/>
          </w:tcPr>
          <w:p>
            <w:pPr>
              <w:pStyle w:val="TableContents"/>
              <w:bidi w:val="0"/>
              <w:spacing w:before="0" w:after="283"/>
              <w:jc w:val="left"/>
              <w:rPr/>
            </w:pPr>
            <w:r>
              <w:rPr/>
              <w:t> </w:t>
            </w:r>
          </w:p>
        </w:tc>
        <w:tc>
          <w:tcPr>
            <w:tcW w:w="155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1,732,614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w:t>
      </w:r>
      <w:r>
        <w:rPr>
          <w:rFonts w:ascii="Times New Roman" w:hAnsi="Times New Roman"/>
          <w:color w:val="000000"/>
          <w:sz w:val="20"/>
        </w:rPr>
        <w:t xml:space="preserve"> </w:t>
      </w:r>
      <w:r>
        <w:rPr>
          <w:rFonts w:ascii="Times New Roman" w:hAnsi="Times New Roman"/>
          <w:b w:val="false"/>
          <w:color w:val="000000"/>
          <w:sz w:val="20"/>
        </w:rPr>
        <w:t>contingent liabilities recorded as of September 30, 2023.</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item_2_managements_discussion_analysis_f"/>
      <w:bookmarkEnd w:id="8"/>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February 28, 2023.</w:t>
      </w:r>
    </w:p>
    <w:p>
      <w:pPr>
        <w:pStyle w:val="TextBody"/>
        <w:bidi w:val="0"/>
        <w:spacing w:before="360" w:after="283"/>
        <w:jc w:val="left"/>
        <w:rPr>
          <w:rFonts w:ascii="Times New Roman" w:hAnsi="Times New Roman"/>
          <w:sz w:val="20"/>
        </w:rPr>
      </w:pPr>
      <w:r>
        <w:rPr>
          <w:rFonts w:ascii="Times New Roman" w:hAnsi="Times New Roman"/>
          <w:b/>
          <w:color w:val="000000"/>
          <w:sz w:val="20"/>
        </w:rPr>
        <w:t>Company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clinical-stage biopharmaceutical company developing an innovative pipeline of cancer therapies. Our two lead product candidates are revumenib (SNDX-5613), and axatilimab (SNDX-6352). We are developing revumenib, a potent, selective, small molecule inhibitor of the menin-MLL binding interaction for the treatment of KMT2A rearranged, or KMT2Ar, also known as mixed lineage leukemia rearranged, or MLLr, acute leukemias including acute lymphoblastic leukemia, or ALL, and acute myeloid leukemia, or AML, and nucleophosmin 1, also known as NPM1, mutant AML. We are also exploring the use of revumenib as a treatment in solid tumors, specifically its activity in metastatic colorectal cancer. We are developing axatilimab, a monoclonal antibody that blocks the colony stimulating factor 1 receptor, or CSF-1R,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no products approved for commercial sale and have not generated any product revenues from product sales to date. We continue to incur significant research and development and other expenses related to our ongoing operations. Except for 2021, we have not been profitable and have incurred losses in each period since our inception in 2005. For the nine months ended September 30, 2023 and 2022, we reported a net loss of $136.9 million and $110.1 million, respectively. As of September 30, 2023, we had an accumulated deficit of $829.9 million. As of September 30, 2023, we had cash, cash equivalents and short and long-term investments of $379.3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Clinical Developments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Revumenib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November 2023, we announced positive data from the Phase 1 portion of the AUGMENT-101 trial of revumenib in a total of 14 patients with R/R mNPM1 AML who met the RP2D criteria. The final dataset includes three additional patients that were enrolled in the Phase 1 trial to complete the pharmacokinetic characterization of revumenib. In this analysis, the overall response rate (ORR)1 was 50% (7/14) with a complete remission (CR) or a CR with partial hematological recovery (CRh) rate of 36% (5/14); 100% (5/5) of CR/CRh patients were minimal residual disease (MRD) negative. 43% (3/7) of responders proceeded to transplant, all after achieving a CR or CRh. 60% (3/5) of CR/CRh patients maintained a response beyond six months. At the time of the analysis, four patients remained in response, with two patients in response over twenty-two months. Revumenib was well tolerated, and the safety profile was consistent with what was previously reported in the AUGMENT-101 trial. There were no Grade 4 or 5 QTc prolongation or greater than Grade 2 differentiation syndrome events, and no patients discontinued due to treatment-related adverse events (TREAs).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November 2023, we announced that we have initiated a New Drug Application (NDA) for revumenib for the treatment of R/R KMT2Ar acute leukemia under the FDA’s Real-time Oncology Review (RTOR) program. RTOR provides a more efficient review process for oncology drugs to ensure that safe and effective treatments are available to patients as early as possible. We expect to complete the NDA submission by year-end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October 2023, we announced positive topline data from the pivotal AUGMENT-101 trial of revumenib in patients with R/R KMT2Ar acute leukemia. The trial met its primary endpoint at the protocol-defined interim analysis stage with a CR/CRh rate of 23% (13/57; 95% confidence interval [CI]: [12.7, 35.8, one-sided p-value = 0.0036]) in the pooled KMT2Ar acute leukemia cohort. The CR/CRh rate in patients with KMT2Ar AML was 24.5% (12/49). 39% (14/36) of patients who achieved a CR/CRh underwent hematopoietic stem cell transplant (HSCT); eight of whom went to transplant prior to achieving CR/CRh and therefore, were not included in the reported CR/CRh rate. The CR/CRh responses in both the overall population and the AML subset were durable with a 6.4-month (95% CI: 3.4, NR) median duration as of the July 2023 data cut-off, with 46% (6/13) remaining in response. MRD status was assessed in 10 of the 13 patients who achieved a CR/CRh, 70% (7/10) of whom were MRD negative. Revumenib was well tolerated, and the overall safety profile was consistent with our previously reported data. TRAEs leading to dose reductions and treatment discontinuation were low. Based on the Independent Data Monitoring Committee (IDMC) recommendation, we stopped the trial to further accrual in the KMT2Ar cohorts.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AUGMENT-101 pivotal data will be presented at the upcoming 65</w:t>
      </w:r>
      <w:r>
        <w:rPr>
          <w:rFonts w:ascii="Times New Roman" w:hAnsi="Times New Roman"/>
          <w:b w:val="false"/>
          <w:color w:val="000000"/>
          <w:sz w:val="13"/>
        </w:rPr>
        <w:t>th</w:t>
      </w:r>
      <w:r>
        <w:rPr>
          <w:rFonts w:ascii="Times New Roman" w:hAnsi="Times New Roman"/>
          <w:color w:val="000000"/>
          <w:sz w:val="20"/>
        </w:rPr>
        <w:t xml:space="preserve"> </w:t>
      </w:r>
      <w:r>
        <w:rPr>
          <w:rFonts w:ascii="Times New Roman" w:hAnsi="Times New Roman"/>
          <w:b w:val="false"/>
          <w:color w:val="000000"/>
          <w:sz w:val="20"/>
        </w:rPr>
        <w:t>American Society of Hematology (ASH) Annual Meeting on December 10, 2023. Of note, the abstract for this session only includes data from the Phase 1 portion of the AUGMENT-101 trial, however the presentation will describe the pivotal dataset.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AUGMENT-101 pivotal trial is enrolling patients with mNPM1 AML which could support a second indication in acute leukemia for revumenib. We expect to complete enrollment of the cohort in late first quarter 2024 or early second quarter 2024 and report topline data in the fourth quarter of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also announced data from patients in the AUGMENT-101 trial who received revumenib maintenance therapy, including some ongoing for more than one year after HSCT. Revumenib duration of treatment in the maintenance setting at the time of this analysis ranged from 23 to 588 days, with treatment ongoing for five of the nine patients. CRc (CR + CRh + CRp + CRi + MLFS) was maintained in six of nine patients after HSCT and maintenance revumenib. One patient with reported MRD after HSCT converted to MRD negative status following initiation of revumenib maintenance therapy. MRD negative remissions were maintained in five patients as of the data cutoff. Three patients remain on revumenib maintenance therapy for more than one-year post-transplant. Results, including longer follow-up of these patients and data from the patients in the pivotal portion of the AUGMENT-101 trial, will be presented at the upcoming ASH Annual Meeting on December 11, 2023. A copy of the abstract is available on the ASH website.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several trials of revumenib ongoing across the treatment landscape in mNPM1 and KMT2Ar acute leukemias that include the following: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pPr>
      <w:r>
        <w:rPr>
          <w:rFonts w:ascii="Times New Roman" w:hAnsi="Times New Roman"/>
          <w:b w:val="false"/>
          <w:color w:val="000000"/>
          <w:sz w:val="20"/>
        </w:rPr>
        <w:t>BEAT-AML: Evaluating the combination of revumenib with venetoclax and azacitidine in front-line AML patients, being conducted as part of the Leukemia &amp; Lymphoma Society’s Beat AML</w:t>
      </w:r>
      <w:r>
        <w:rPr>
          <w:rFonts w:ascii="Times New Roman" w:hAnsi="Times New Roman"/>
          <w:b w:val="false"/>
          <w:color w:val="000000"/>
          <w:sz w:val="13"/>
        </w:rPr>
        <w:t>®</w:t>
      </w:r>
      <w:r>
        <w:rPr>
          <w:color w:val="000000"/>
        </w:rPr>
        <w:t> </w:t>
      </w:r>
      <w:r>
        <w:rPr>
          <w:rFonts w:ascii="Times New Roman" w:hAnsi="Times New Roman"/>
          <w:b w:val="false"/>
          <w:color w:val="000000"/>
          <w:sz w:val="20"/>
        </w:rPr>
        <w:t>Master Clinical Trial. We expect to present preliminary safety and efficacy data in the fourth quarter of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SAVE: Evaluating the all-oral combination of revumenib with venetoclax and decitabine/cedazuridine in R/R AML or mixed phenotype acute leukemias. The trial is being conducted by investigators from the MD Anderson Cancer Center. As of a data cutoff date of July 20, 2023, eight patients were enrolled, with 2.5 median prior lines of therapy. Seven of eight patients were response-evaluable, and all seven attained a morphologic remission (overall response rate of 100%). Three patients transitioned to HSCT following response. Two patients are in continued remission and have started maintenance treatment with revumenib. Enrollment in the study is ongoing, and updated data will be presented at the ASH Annual Meeting on Saturday, December 9, 2023. The combination was well tolerated in this relapsed and refractory population. Grade ≥3 TRAEs were febrile neutropenia (63%), decreased platelets count (25%), and decreased neutrophil count (25%). There was one dose-limiting toxicity, Grade 4 prolonged thrombocytopenia and neutropenia. There were no deaths due to TRAEs and no Grade 3 or higher QTc prolongation occurred. A copy of the abstract is available on the ASH website.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AUGMENT-102: Evaluating the combination of revumenib with chemotherapy in patients with R/R acute leukemias. We expect to provide an update on initial safety data along with the RP2D from the trial in the fourth quarter of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INTERCEPT: Evaluating revumenib as a monotherapy in patients with AML who are minimal residual disease-positive following initial treatment as part of the INTERCEPT AML Master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plan to initiate a trial of revumenib with 7+3 cytarabine and daunorubicin chemotherapy followed by maintenance treatment in newly diagnosed patients with mNPM1 or KMT2Ar acute leukemias in late fourth quarter 2023 or early first quarter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proof-of-concept clinical trial of revumenib in patients with unresectable metastatic microsatellite stable colorectal cancer is enrolling patients, and we expect to provide an update on the Phase 1 trial in the first quarter of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In July 2023, we and our partner, Incyte, announced positive topline data from the pivotal AGAVE-201 trial of axatilimab in patients with cGVHD following two or more prior lines of therapy. All three dose cohorts, 0.3 mg/kg every two weeks, 1.0 mg/kg every two weeks and 3.0 mg/kg every four weeks, met the primary endpoint. The ORR within the first six months of treatment at the 0.3 mg/kg dose was 74%, and 60% of these patients were still responding at one year. Furthermore, axatilimab was generally well tolerated, and the most common adverse events were consistent with on-target effects and prior trials.  Along with Incyte we expect to submit a BLA filing by year-end 2023. The pivotal AGAVE-201 trial results will be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featured at the plenary session at the ASH Annual Meeting on December 10, 2023. A copy of the abstract is available on the ASH website.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At the ASH Annual Meeting on December 10, 2023, preclinical data detailing the anti-inflammatory and anti-fibrotic mechanism through which axatilimab is thought to impact the disease process in cGVHD will be featured during a poster session. A copy of the abstract is available on the ASH website.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initiate a randomized, double-blind and placebo-controlled Phase 2 trial that assesses the efficacy, safety and tolerability of axatilimab in patients with IPF by year-end 2023.</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Along with Incyte, we expect to initiate a trial assessing axatilimab in combination with ruxolitinib in cGVHD in mid-2024.</w:t>
        <w:br/>
      </w:r>
      <w:r>
        <w:rPr>
          <w:color w:val="000000"/>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Significant Risks and Uncertainties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current high inflation rates may materially affect our business and operating results by increasing the cost of our clinical trial materials and supplies, driving the Federal Reserve to increase interest rates and increasing our overhead costs. Rising interest rates could make it more difficult for us to obtain traditional financing on acceptable terms, if at all.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 or results of operations to date, ongoing high inflation could increase our operating costs, including our labor costs and research and development costs. These costs may also be negatively impacted due to supply chain constraints, the global geopolitical tension as a result of the ongoing war between Russia and Ukraine and the war in Israel, worsening macroeconomic conditions and employee availability and wage increases, which may result in additional stress on our working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Financial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date, we have not generated any product revenues. Our ability to generate revenue and become profitable depends upon our ability to obtain marketing approval of and successfully commercialize our product candidates. We generated no revenue during the three and nine months ended September 30, 2023 and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September 2021, we entered into the Incyte Agreements covering the worldwide development and commercialization of axatilimab. We granted Incyte an exclusive license to develop and commercialize axatilimab in the United States and the rest of the world. For the three and nine months ended September 30, 2023, no revenue has been recognized under the Incyte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our inception, we have primarily focused on our clinical development programs. Research and development expenses consist primarily of costs incurred for the development of our product candidates and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expenses incurred under agreements related to our clinical trials, including the costs for investigative sites and contract research organizations, or CROs, that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employee-related expenses associated with our research and development activities, including salaries, benefits, travel and non-cash stock-based compensation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manufacturing process-development, clinical supplies and technology-transfer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license fees and milestone payments under our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consulting fees paid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allocated facilities and overhead expenses;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associated with regulatory operations and regulatory compliance requirements.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per patient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of patients that participate;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number of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countries in which the studies and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potential additional safety monitoring or other studies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duration of patient monitoring;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efficacy and safety profile of the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timing and receipt of any regulatory approvals.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further increase in the future as we continue to increase our headcount to support our continued research and development and anticipated commercialization of our product candidates. Additionally, if and when we believe a regulatory approval of the one or more of our product candidates appears likely, we anticipate an increase in payroll and related expenses as a result of our preparation for commercial operations, especially as it relates to the sales and marketing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expense consists primarily of interest expense on our operational and capital 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income consists of income earned on our cash, cash equivalents and short and long-term investment balances.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income (expense), net includes income (expense) consisting of foreign currency gains (losses) on short and long-term investment balances.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For a discussion of new accounting pronouncements please read </w:t>
      </w:r>
      <w:r>
        <w:rPr>
          <w:rFonts w:ascii="Times New Roman" w:hAnsi="Times New Roman"/>
          <w:b w:val="false"/>
          <w:i/>
          <w:color w:val="000000"/>
          <w:sz w:val="20"/>
        </w:rPr>
        <w:t>Note 3 Summary of Significant Accounting Policies</w:t>
      </w:r>
      <w:r>
        <w:rPr>
          <w:rFonts w:ascii="Times New Roman" w:hAnsi="Times New Roman"/>
          <w:b w:val="false"/>
          <w:color w:val="000000"/>
          <w:sz w:val="20"/>
        </w:rPr>
        <w:t>, to our unaudited condensed consolidated financial statements included in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material changes to our critical accounting estimates described in the “Management’s Discussion and Analysis of Financial Condition and Results of Operations” contained in our Annual Report on Form 10-K for the fiscal year ended December 31, 2022.</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jc w:val="left"/>
        <w:rPr/>
      </w:pPr>
      <w:r>
        <w:rPr/>
        <w:t> </w:t>
      </w:r>
    </w:p>
    <w:tbl>
      <w:tblPr>
        <w:tblW w:w="8604" w:type="dxa"/>
        <w:jc w:val="left"/>
        <w:tblInd w:w="0" w:type="dxa"/>
        <w:tblLayout w:type="fixed"/>
        <w:tblCellMar>
          <w:top w:w="28" w:type="dxa"/>
          <w:left w:w="28" w:type="dxa"/>
          <w:bottom w:w="28" w:type="dxa"/>
          <w:right w:w="28" w:type="dxa"/>
        </w:tblCellMar>
      </w:tblPr>
      <w:tblGrid>
        <w:gridCol w:w="2836"/>
        <w:gridCol w:w="146"/>
        <w:gridCol w:w="256"/>
        <w:gridCol w:w="896"/>
        <w:gridCol w:w="202"/>
        <w:gridCol w:w="177"/>
        <w:gridCol w:w="256"/>
        <w:gridCol w:w="896"/>
        <w:gridCol w:w="166"/>
        <w:gridCol w:w="146"/>
        <w:gridCol w:w="211"/>
        <w:gridCol w:w="676"/>
        <w:gridCol w:w="146"/>
        <w:gridCol w:w="146"/>
        <w:gridCol w:w="146"/>
        <w:gridCol w:w="586"/>
        <w:gridCol w:w="71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0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716" w:type="dxa"/>
            <w:tcBorders/>
            <w:shd w:fill="FFFFFF" w:val="cle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400"/>
              <w:jc w:val="right"/>
              <w:rPr/>
            </w:pPr>
            <w:r>
              <w:rPr/>
              <w:t> </w:t>
            </w:r>
          </w:p>
        </w:tc>
      </w:tr>
      <w:tr>
        <w:trPr/>
        <w:tc>
          <w:tcPr>
            <w:tcW w:w="283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39,087</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17,268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56,355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(56,355</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(35,141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400"/>
              <w:jc w:val="right"/>
              <w:rPr/>
            </w:pPr>
            <w:r>
              <w:rPr/>
              <w:t> </w:t>
            </w:r>
          </w:p>
        </w:tc>
      </w:tr>
      <w:tr>
        <w:trPr/>
        <w:tc>
          <w:tcPr>
            <w:tcW w:w="283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5,345</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-2088</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(51,146</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months ended September 30, 2023, our total research and development expenses increased $12.2 million, or 45%, to $39.1 million from $26.9 million for the comparable period in the prior year. The increase in research and development expenses was due to increased employee-related expenses of $7.2 million, professional fees of $1.1 million, other expenses of $1.0 million, and clinical and manufacturing expenses of $2.9 million. Increased employee-related activities were due to increased salary and related expense of $5.2 million and increased stock compensation of $2.0 million. Increased clinical and manufacturing expenses were due to increased axatilimab development costs of $2.2 million, increased revumenib manufacturing activities of $1.7 million and increased revumenib clinical activities of $0.9 million, partially offset by decreased axatilimab manufacturing activities of $1.9 million. We expect research and development expenses to continue to fluctuate from quarter to quarter depending on the timing of clinical trial activities, clinical manufacturing and other development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Research and development expenses consisted of the following:</w:t>
      </w:r>
      <w:r>
        <w:rPr>
          <w:rFonts w:ascii="Times New Roman" w:hAnsi="Times New Roman"/>
          <w:color w:val="000000"/>
          <w:sz w:val="20"/>
        </w:rPr>
        <w:t xml:space="preserve"> </w:t>
      </w:r>
    </w:p>
    <w:p>
      <w:pPr>
        <w:pStyle w:val="TextBody"/>
        <w:bidi w:val="0"/>
        <w:jc w:val="left"/>
        <w:rPr/>
      </w:pPr>
      <w:r>
        <w:rPr/>
        <w:t> </w:t>
      </w:r>
    </w:p>
    <w:tbl>
      <w:tblPr>
        <w:tblW w:w="8828" w:type="dxa"/>
        <w:jc w:val="left"/>
        <w:tblInd w:w="0" w:type="dxa"/>
        <w:tblLayout w:type="fixed"/>
        <w:tblCellMar>
          <w:top w:w="28" w:type="dxa"/>
          <w:left w:w="28" w:type="dxa"/>
          <w:bottom w:w="28" w:type="dxa"/>
          <w:right w:w="28" w:type="dxa"/>
        </w:tblCellMar>
      </w:tblPr>
      <w:tblGrid>
        <w:gridCol w:w="3751"/>
        <w:gridCol w:w="146"/>
        <w:gridCol w:w="274"/>
        <w:gridCol w:w="878"/>
        <w:gridCol w:w="189"/>
        <w:gridCol w:w="189"/>
        <w:gridCol w:w="274"/>
        <w:gridCol w:w="878"/>
        <w:gridCol w:w="146"/>
        <w:gridCol w:w="146"/>
        <w:gridCol w:w="211"/>
        <w:gridCol w:w="676"/>
        <w:gridCol w:w="146"/>
        <w:gridCol w:w="146"/>
        <w:gridCol w:w="146"/>
        <w:gridCol w:w="316"/>
        <w:gridCol w:w="316"/>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15"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6" w:type="dxa"/>
            <w:tcBorders/>
            <w:shd w:fill="FFFFFF" w:val="cle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23,522</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39,087</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2023, our total general and administrative expenses increased $9.0 million, or 110%, to $17.3 million from $8.2 million for the comparable period in the prior year. The increase in general and administrative expenses was due to increased employee-related expenses of $4.8 million, increased professional fees of $2.9 million and other expenses of $1.3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 and 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2023, interest income increased $3.6 million to $5.3 million from $1.8 million for the comparable period in the prior year primarily due to increased interest rates and an increased average balance on cash equivalents and short and long-term investments.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2023, interest expense decreased $1.7 million to $0.1 million from $1.7 million for the comparable period in the prior year primarily due to the interest expense related to the amended loan agreement, by and between the Company and Hercules Capital, Inc., or Hercules, which was terminated in September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months ended September 30, 2023, total other income (expense), net decreased from the comparable period in the prior year primarily due to an increase in foreign currency losses on short and long-term investments.</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spacing w:before="120" w:after="283"/>
        <w:jc w:val="left"/>
        <w:rPr/>
      </w:pPr>
      <w:r>
        <w:rPr/>
        <w:t> </w:t>
      </w:r>
    </w:p>
    <w:tbl>
      <w:tblPr>
        <w:tblW w:w="8533" w:type="dxa"/>
        <w:jc w:val="left"/>
        <w:tblInd w:w="0" w:type="dxa"/>
        <w:tblLayout w:type="fixed"/>
        <w:tblCellMar>
          <w:top w:w="28" w:type="dxa"/>
          <w:left w:w="28" w:type="dxa"/>
          <w:bottom w:w="28" w:type="dxa"/>
          <w:right w:w="28" w:type="dxa"/>
        </w:tblCellMar>
      </w:tblPr>
      <w:tblGrid>
        <w:gridCol w:w="2836"/>
        <w:gridCol w:w="146"/>
        <w:gridCol w:w="226"/>
        <w:gridCol w:w="903"/>
        <w:gridCol w:w="178"/>
        <w:gridCol w:w="156"/>
        <w:gridCol w:w="226"/>
        <w:gridCol w:w="903"/>
        <w:gridCol w:w="166"/>
        <w:gridCol w:w="146"/>
        <w:gridCol w:w="211"/>
        <w:gridCol w:w="676"/>
        <w:gridCol w:w="166"/>
        <w:gridCol w:w="146"/>
        <w:gridCol w:w="146"/>
        <w:gridCol w:w="586"/>
        <w:gridCol w:w="71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835"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716" w:type="dxa"/>
            <w:tcBorders/>
            <w:shd w:fill="FFFFFF" w:val="clear"/>
            <w:vAlign w:val="center"/>
          </w:tcPr>
          <w:p>
            <w:pPr>
              <w:pStyle w:val="TableContents"/>
              <w:bidi w:val="0"/>
              <w:spacing w:before="0" w:after="283"/>
              <w:jc w:val="center"/>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716" w:type="dxa"/>
            <w:tcBorders/>
            <w:shd w:fill="FFFFFF" w:val="clear"/>
            <w:vAlign w:val="center"/>
          </w:tcPr>
          <w:p>
            <w:pPr>
              <w:pStyle w:val="TableContents"/>
              <w:bidi w:val="0"/>
              <w:spacing w:before="0" w:after="283"/>
              <w:ind w:left="0" w:right="0" w:firstLine="400"/>
              <w:jc w:val="right"/>
              <w:rPr/>
            </w:pPr>
            <w:r>
              <w:rPr/>
              <w:t> </w:t>
            </w:r>
          </w:p>
        </w:tc>
      </w:tr>
      <w:tr>
        <w:trPr/>
        <w:tc>
          <w:tcPr>
            <w:tcW w:w="283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107,906</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44,143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152,049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(152,049</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(109,724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7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78"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112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2" w:type="dxa"/>
            <w:gridSpan w:val="2"/>
            <w:tcBorders/>
            <w:shd w:fill="CFF0FC" w:val="clear"/>
            <w:vAlign w:val="center"/>
          </w:tcPr>
          <w:p>
            <w:pPr>
              <w:pStyle w:val="TableContents"/>
              <w:bidi w:val="0"/>
              <w:spacing w:before="0" w:after="283"/>
              <w:jc w:val="right"/>
              <w:rPr/>
            </w:pPr>
            <w:r>
              <w:rPr/>
              <w:t> </w:t>
            </w:r>
          </w:p>
        </w:tc>
        <w:tc>
          <w:tcPr>
            <w:tcW w:w="716" w:type="dxa"/>
            <w:tcBorders/>
            <w:shd w:fill="CFF0FC" w:val="clear"/>
            <w:vAlign w:val="center"/>
          </w:tcPr>
          <w:p>
            <w:pPr>
              <w:pStyle w:val="TableContents"/>
              <w:bidi w:val="0"/>
              <w:spacing w:before="0" w:after="283"/>
              <w:ind w:left="0" w:right="0" w:firstLine="400"/>
              <w:jc w:val="right"/>
              <w:rPr/>
            </w:pPr>
            <w:r>
              <w:rPr/>
              <w:t> </w:t>
            </w:r>
          </w:p>
        </w:tc>
      </w:tr>
      <w:tr>
        <w:trPr/>
        <w:tc>
          <w:tcPr>
            <w:tcW w:w="283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(3,094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15,613</w:t>
            </w:r>
          </w:p>
        </w:tc>
        <w:tc>
          <w:tcPr>
            <w:tcW w:w="178"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15,162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-3710</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(136,887</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2023, our total research and development expenses increased $21.2 million, or 25%, to $107.9 million from $86.7 million for the comparable period in the prior year. The increase in research and development expenses was due to increased employee-related expenses of $19.1 million, professional fees of $3.0 million and other expenses of $1.5 million, partially offset by decreased clinical and manufacturing expenses of $2.4 million. Increased employee-related activities were due to increased salary and related expense of $13.3 million and increased stock compensation of $5.8 million. Decreased clinical and manufacturing expenses were due to decreased axatilimab manufacturing activities of $6.4 million, and decreased revumenib manufacturing activities of $1.6 million, partially offset by increased axatilimab development costs of $3.3 million and increased revumenib clinical activities of $2.3 million. We expect research and development expenses to continue to fluctuate from quarter to quarter depending on the timing of clinical trial activities, clinical manufacturing and other development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Research and development expenses consisted of the following:</w:t>
      </w:r>
      <w:r>
        <w:rPr>
          <w:rFonts w:ascii="Times New Roman" w:hAnsi="Times New Roman"/>
          <w:color w:val="000000"/>
          <w:sz w:val="20"/>
        </w:rPr>
        <w:t xml:space="preserve"> </w:t>
      </w:r>
    </w:p>
    <w:tbl>
      <w:tblPr>
        <w:tblW w:w="8739" w:type="dxa"/>
        <w:jc w:val="left"/>
        <w:tblInd w:w="0" w:type="dxa"/>
        <w:tblLayout w:type="fixed"/>
        <w:tblCellMar>
          <w:top w:w="28" w:type="dxa"/>
          <w:left w:w="28" w:type="dxa"/>
          <w:bottom w:w="28" w:type="dxa"/>
          <w:right w:w="28" w:type="dxa"/>
        </w:tblCellMar>
      </w:tblPr>
      <w:tblGrid>
        <w:gridCol w:w="3751"/>
        <w:gridCol w:w="146"/>
        <w:gridCol w:w="252"/>
        <w:gridCol w:w="933"/>
        <w:gridCol w:w="174"/>
        <w:gridCol w:w="174"/>
        <w:gridCol w:w="252"/>
        <w:gridCol w:w="808"/>
        <w:gridCol w:w="146"/>
        <w:gridCol w:w="146"/>
        <w:gridCol w:w="211"/>
        <w:gridCol w:w="676"/>
        <w:gridCol w:w="146"/>
        <w:gridCol w:w="146"/>
        <w:gridCol w:w="146"/>
        <w:gridCol w:w="316"/>
        <w:gridCol w:w="316"/>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526"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6" w:type="dxa"/>
            <w:tcBorders/>
            <w:shd w:fill="FFFFFF" w:val="cle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67,627</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40,279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107,906</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our total general and administrative expenses increased $21.1 million, or 91%, to $44.1 million from $23.1 million for the comparable period in the prior year. The increase in general and administrative expenses was due to increased employee-related expenses of $12.4 million, professional fees of $5.6 million and other expenses of $3.1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 and 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interest income increased $12.7 million to $15.6 million from $2.9 million for the comparable period in the prior year due to increased interest rates and an increased average balance on cash equivalents and short and long-term investments.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interest expense decreased $2.9 million to $0.1 million from $3.1 million for the comparable period in the prior year primarily due to the interest expense related to the amended loan agreement, by and between the Company and Hercules, which was terminated in September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total other income (expense), net decreased from the comparable period in the prior year primarily due to an increase in foreign currency losses on short and long-term investments.</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had cash, cash equivalents and short- and long-term investments totaling $379.3 million. Our operations to-date have been primarily financed by net proceeds from public stock offerings, and revenue from our license agreements. We believe that our present cash, cash equivalents and short and long-term investments as of September 30, 2023, will fund our projected operating expenses and capital expenditure requirements for at least the next 12 months. In addition to our existing cash, cash equivalents and short- and long-term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 Program</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March 2021, we entered into a sales agreement with Cowen and Company, LLC, or TD Cowen, under which we could, from time to time, issue and sell shares of its common stock having aggregate sales proceeds of up to $75.0 million, in a series of one or more At-the-Market, or ATM, equity offerings, or the 2021 ATM Program. On May 26, 2023, we terminated the 2021 ATM Program. Prior to termination, we sold shares for aggregate proceeds of approximately $25.0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May 2023, we entered into a new sales agreement with TD Cowen under which we could, from time to time, issue and sell shares of our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to the shelf registration statement on Form S-3ASR (Registration No. 333-254661), which became automatically effective upon the filing on March 24, 2021. The Company’s common stock will be sold at prevailing market prices at the time of the sale, and as a result, prices may vary. For the three months ended September 30, 2023, we did not sell any shares of common stock under the 2023 ATM Program. As of October 27, 2023, the Company had $200.0 million available under the 2023 ATM Program.</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our available cash, cash equivalents and short and long-term investments are sufficient to fund existing and planned cash requirements for the next 12 months.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initiation, progress, timing, costs and results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outcome, timing and cost of seeking and obtaining regulatory approvals from the FDA and comparable foreign regulatory authorities, including the potential for such authorities to require that we perform more trials than we currently expect;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market acceptance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and timing of selecting, auditing and developing manufacturing capabilities, and potentially validating manufacturing sites for commercial-scale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and timing for obtaining pricing, and coverage and reimbursement by third-party payors, which may require additional trials to address pharmacoeconomic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 of establishing sales, marketing and distribution capabilities for our product candidates if either candidate receives regulatory approval and we determine, in the case of revumenib to commercialize it ourselves, or in the case of axatilimab to co-commercialize it with Incyte;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costs of acquiring, licensing or investing in additional businesses, products,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interruption of key clinical trial activities, such as clinical trial site monitoring;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of disruptions to our supply chain and operations, and associated delays in the manufacturing and supply of our products, which would adversely impact our ability to continue our clinical trial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effect of competing technological and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need to acquire and implement additional internal systems and infrastructure, including compliance and financial and reporting systems, as we grow our company.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Our material contractual obligations and commitments as of September 30, 2023, primarily relate to our maturities of operating leases for office space and equipment and capital leases for office equipment. As of September 30, 2023, we have $1.2 million payable within 12 months.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Except as disclosed above, we have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have incurred losses and cumulative negative cash flows from operations since our inception, excluding the year ended December 31, 2021. As of September 30, 2023, we had an accumulated deficit of $829.9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is a summary of cash flows:</w:t>
      </w:r>
      <w:r>
        <w:rPr>
          <w:rFonts w:ascii="Times New Roman" w:hAnsi="Times New Roman"/>
          <w:color w:val="000000"/>
          <w:sz w:val="20"/>
        </w:rPr>
        <w:t xml:space="preserve"> </w:t>
      </w:r>
    </w:p>
    <w:tbl>
      <w:tblPr>
        <w:tblW w:w="8515" w:type="dxa"/>
        <w:jc w:val="left"/>
        <w:tblInd w:w="0" w:type="dxa"/>
        <w:tblLayout w:type="fixed"/>
        <w:tblCellMar>
          <w:top w:w="28" w:type="dxa"/>
          <w:left w:w="28" w:type="dxa"/>
          <w:bottom w:w="28" w:type="dxa"/>
          <w:right w:w="28" w:type="dxa"/>
        </w:tblCellMar>
      </w:tblPr>
      <w:tblGrid>
        <w:gridCol w:w="5566"/>
        <w:gridCol w:w="146"/>
        <w:gridCol w:w="226"/>
        <w:gridCol w:w="903"/>
        <w:gridCol w:w="178"/>
        <w:gridCol w:w="156"/>
        <w:gridCol w:w="226"/>
        <w:gridCol w:w="903"/>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(119,252</w:t>
            </w:r>
          </w:p>
        </w:tc>
        <w:tc>
          <w:tcPr>
            <w:tcW w:w="1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(110,781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133,899</w:t>
            </w:r>
          </w:p>
        </w:tc>
        <w:tc>
          <w:tcPr>
            <w:tcW w:w="178"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(48,559</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20,296</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 for the nine months ended September 30, 2023, was $119.3 million and consisted of our net loss of $136.9 million adjusted for non-cash items, including stock-based compensation of $22.6 million, an investment accretion of $11.3 million, a net increase in operating assets and liabilities of $5.9 million and an increase in operating lease and depreciation expenses of $0.5 million. The increase in net loss was primarily due to increased clinical trial activities and manufacturing expenses. The net increase in operating assets and liabilities primarily consisted of increased accrued expenses and other liabilities of $7.4 million, collaboration receivables of $0.1 million and accounts payable of $1.7 million, partially offset by decreased prepaids and deposits of $3.3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 for the nine months ended September 30, 2022, was $110.8 million and consisted of our net loss of $110.1 million adjusted for non-cash items, including stock-based compensation of $11.8 million, a net decrease in operating assets and liabilities of $12.3 million, an investment accretion of $1.4 million, non-cash interest expense associated with the term loan of $1.1 million and a non-cash operating lease expense of $0.3 million. The increase in net loss was primarily due to increased clinical trial activities and CMC expenses. The net decrease in operating assets and liabilities primarily consisted of increased prepayments and deposits of $7.7 million, increased collaboration receivables of $4.5 million, and increased accounts payable of $1.4 million, partially offset by decreased accrued expenses and other liabilities of $1.5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 for the nine months ended September 30, 2023, was $133.9 million and was due to $359.2 million of proceeds from the maturities of available-for-sale securities, offset by the purchase of $225.3 million of available for sale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 for the nine months ended September 30, 2022, was $48.6 million and was primarily due to the purchase of $244.5 million of available-for-sale securities partially offset by the $195.7 million of proceeds from the maturities of available-for-sale securities and by $0.2 million of proceeds from sale of equipment.</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 for the nine months ended September 30, 2023, was $5.6 million and was due to proceeds from the exercise of stock options of $5.0 million and employee participation in our Employee Stock Purchase Plan of $0.6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 for the nine months ended September 30, 2022, was $8.8 million and was primarily due to proceeds from sales under the 2021 ATM Program, net of discounts and commissions of $19.4 million, proceeds from the exercise of stock of $10.1 million and employee participation in our Employee Stock Purchase Plan of $0.3 million, partially offset by payment on term loan of $21.0 million.</w:t>
      </w:r>
    </w:p>
    <w:p>
      <w:pPr>
        <w:pStyle w:val="TextBody"/>
        <w:bidi w:val="0"/>
        <w:jc w:val="left"/>
        <w:rPr/>
      </w:pPr>
      <w:r>
        <w:rPr/>
        <w:t> </w:t>
      </w:r>
    </w:p>
    <w:p>
      <w:pPr>
        <w:pStyle w:val="TextBody"/>
        <w:bidi w:val="0"/>
        <w:jc w:val="left"/>
        <w:rPr>
          <w:rFonts w:ascii="Times New Roman" w:hAnsi="Times New Roman"/>
          <w:sz w:val="20"/>
        </w:rPr>
      </w:pPr>
      <w:bookmarkStart w:id="9" w:name="quantitative_and_qualitative_disclosures"/>
      <w:bookmarkEnd w:id="9"/>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market risk inherent in our financial instruments and in our financial position represents the potential loss arising from adverse changes in interest rates. As of September 30, 2023, we had cash and cash equivalents of $94.6 million, consisting of overnight investments, interest-bearing money market funds and commercial paper, and short and long-term investments of $284.7 million, consisting of commercial paper, treasury and federal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have the ability to hold our investments until maturity, and therefore, we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would not expect our operating results or cash flows to be affected to any significant degree by the effect of a change in market interest rates on our investment portfolio.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We do not believe that inflation and changing prices had a significant impact on our results of operations for any periods presented herein.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0" w:name="item_4_controls_procedures"/>
      <w:bookmarkEnd w:id="1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 and Internal Control over Financial Reporting</w:t>
      </w:r>
    </w:p>
    <w:p>
      <w:pPr>
        <w:pStyle w:val="TextBody"/>
        <w:bidi w:val="0"/>
        <w:spacing w:before="120" w:after="283"/>
        <w:jc w:val="left"/>
        <w:rPr>
          <w:rFonts w:ascii="Times New Roman" w:hAnsi="Times New Roman"/>
          <w:sz w:val="20"/>
        </w:rPr>
      </w:pPr>
      <w:r>
        <w:rPr>
          <w:rFonts w:ascii="Times New Roman" w:hAnsi="Times New Roman"/>
          <w:b/>
          <w:i/>
          <w:color w:val="000000"/>
          <w:sz w:val="20"/>
        </w:rPr>
        <w:t>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September 30, 2023. Based upon that evaluation, our principal executive officer and principal financial officer concluded that, as of the end of the period covered by this report, our disclosure controls and procedures are effective in ensuring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information required to be disclosed by us in the reports we file or submit under the Securities Exchange Act is recorded, processed, summarized and reported within the time periods specified in the U.S. Securities and Exchange Commission’s rules and forms;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information is accumulated and communicated to our management, including our principal executive officer and principal financial officer as appropriate to allow timely decisions regarding required disclosure.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was no change in our internal control over financial reporting during the quarter ended September 30, 2023, that has materially affected, or is reasonably likely to materially affect, our internal control over financial reporting.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_or_information"/>
      <w:bookmarkEnd w:id="11"/>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item_1_legal_proceedings"/>
      <w:bookmarkEnd w:id="12"/>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2023, we were not party to any material legal or arbitration proceedings. No governmental proceedings are pending or, to our knowledge, contemplated against us.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3" w:name="item_1a_risk_factors"/>
      <w:bookmarkEnd w:id="1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An investment in shares of our common stock involves a high degree of risk. You should carefully consider the following information about these risks, together with the other information appearing elsewhere in this Quarterly Report on Form 10-Q, including our unaudited condensed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of Selected Risks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Our business is subject to numerous risks and uncertainties, of which you should be aware before making a decision to invest in our securities. These risks and uncertainties include, among others,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currently developing several product candidates. If we are unable to successfully complete clinical development of, obtain regulatory approval for and commercialize our product candidates, our business prospects will be significantly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Revumenib has undergone limited clinical testing and we may fail to show that it is well tolerated and provides sufficient clinical benefit for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Axatilimab has undergone limited clinical testing and we may fail to show that it is well tolerated and provides a clinical benefit for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incur additional costs or experience delays in completing, or ultimately be unable to complete, the development and commercialization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Incyte may fail to perform its obligations as expected under the collaboration or may deprioritize its investment to further develop and commercialize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or our collaborators are unable to enroll patients in clinical trials, these clinical trials may not be completed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regulatory approval processes of the FDA and foreign regulatory authorities are lengthy, time-consuming and inherently unpredictable. Our inability to obtain regulatory approval for our product candidates would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may not achieve adequate market acceptance among physicians, patients, healthcare payors and others in the medical community to be commercially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rely on third-party suppliers as well as Incyte to manufacture and distribute our clinical drug supplies for our product candidates, we intend to rely on these parties for commercial manufacturing and distribution of our product candidates and we expect to rely on third parties for manufacturing and distribution of preclinical, clinical and commercial supplies of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our product candidates receive regulatory approval, they may still face future development and regulatory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incurred net losses since our inception, except 2021, and anticipate that we will continue to incur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currently have no source of product revenue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unable to obtain or protect intellectual property rights,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be able to protect our intellectual property rights throughout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market price of our stock may be volatile and stockholders could lose all or part of their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sell additional equity or debt securities or enter into other arrangements to fund our operations, which may result in dilution to our stockholders and impose restrictions or limitations on our business.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developing several product candidates. If we are unable to successfully complete clinical development of, obtain regulatory approval for and commercialize our product candidates, our business prospects will be significantly harmed.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initiation, cost, timing, progress and results of our research and development activities,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timely completion of any future clinical trials of revumenib and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interruption of key clinical trial activities, in connection with public health threats or any future geopolitical tensions, such as the ongoing war between Russia and Ukraine and the war in Israel;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whether we are required by the FDA or foreign regulatory authorities to conduct additional clinical trials prior to receiving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prevalence and severity of adverse drug reactions in any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to demonstrate safety and efficacy of our product candidates for their proposed indications and the timely receipt of necessary marketing approvals from the FDA and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successfully meeting the endpoints in the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achieving and maintaining compliance with all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use of our product candidates to treat various cancer indications and fibrotic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perceived advantages, relative cost, relative safety and relative efficacy of alternative and competing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effectiveness of our own or our potential strategic collaborators’ marketing, sales and distribution strategy and operations in the United States and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of our collaboration partner and of third-party contract manufacturers to produce trial supplies and to develop, validate and maintain a commercially viable manufacturing process that is compliant with cGMP;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successfully commercialize our product candidates in the United States and abroad, whether alone or in collaboration with others;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enforce our intellectual property rights with respect to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fail to obtain regulatory approval for our product candidates, we will not be able to generate product sales, which will have a material adverse effect on our business and our prospects.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Revumenib has undergone limited clinical testing and we may fail to show that it is well tolerated and provides sufficient clinical benefit for patients</w:t>
      </w:r>
      <w:r>
        <w:rPr>
          <w:rFonts w:ascii="Times New Roman" w:hAnsi="Times New Roman"/>
          <w:b w:val="false"/>
          <w:i/>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suggests that certain acute leukemias, such as lysine methyltransferase 2A rearranged, or KMT2Ar, acute myeloid or lymphoid leukemia, AML or ALL, and nucleophosmin 1, or NPM1, mutant AML, are driven by the interaction of menin, a nuclear protein involved in transcription, with the N-terminus of KMT2A protein. In NPM1 mutant AML the interaction with menin occurs via the wild type KMT2A protein, and in KMT2Ar acute leukemia, the interaction occurs via a mutant form of KMT2A, a fusion protein known as KMT2Ar. KMT2Ar results from a rare, spontaneous fusion between the N-terminus of the KMT2A gene and a host of signaling molecules and nuclear transcription factors. This fusion produces an aberrant transcription program that drives leukemic transformation. In pre-clinical animal models, small molecule inhibitors of the menin-KMT2Ar interaction, such as revumenib, which bind to, and block the interaction of menin with either KMT2A rearranged or wildtype, have demonstrated deep and durable single agent treatment effects in multiple leukemic xenograft models harboring KMT2A fusions or NPM1 mutations. Our strategy for developing revumenib is to conduct a Phase 1/2 clinical trial in r/r patients with KMT2Ar and NPM1 mutant acute leukemias and determine if the observed clinical efficacy supports further development. The Phase 1 portion of the trial is assessing the safety, tolerability and 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R/R patients with KMT2Ar ALL, KMT2Ar AML, and NPM1 mutant AML. In October 2023, we announced positive topline data in patients with R/R KMT2Ar acute leukemia and that we have initiated a NDA under the FDA’s RTOR program. Neither breakthrough therapy designation nor RTOR review change the standards for approval and may not ultimately expedite the approval process or lead to approval. While we believe that we have established sufficient efficacy to warrant a NDA submission and continued development in these indications, we may not yet have sufficiently demonstrated a favorable risk-benefit of revumenib in patients.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Axatilimab has undergone limited clinical testing and we may fail to show that it is well tolerated and provides a clinical benefit for patients.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In 2018, we commenced a Phase 1/2 clinical trial with axatilimab in subjects with active cGVHD who had failed at least two prior lines of therapy. Following our end of Phase 1 meeting with the FDA, we aligned on a regulatory path for axatilimab for the treatment of cGVHD and commenced a pivotal Phase 2 clinical trial, AGAVE-201, to assess the safety and efficacy of different doses and schedules of axatilimab for the treatment of patients with cGVHD. In July 2023, we announced that AGAVE-201 met its primary endpoint across all cohorts and that, along with Incyte, we intend to submit a BLA by year-end 2023. While we believe that we have established sufficient efficacy to warrant a BLA submission and continued development in this indication, we may not yet have sufficiently demonstrated a favorable risk-benefit of axatilimab in patients.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publish interim top-line or preliminary data from our clinical trials. For example, in each of November 2022 and 2023, we announced interim data from our Phase 1/2 clinical trial of revumenib.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incur additional costs or experience delays in completing, or ultimately be unable to complete, the development and commercialization of any of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failure of one or more trials can occur at any stage of testing. The outcome of preclinical studies and early clinical trials may not accurately predict the success of later trials, and interim results of a trial do not necessarily predict final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subject to numerous risks related to the Incyte Collaboration Agreement to collaborate on the development and commercialization of axatilimab.</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Incyte may terminate the agreement for convenience upon 90 or 180 days’ notice depending on whether or not the parties have commercialized axatilimab in an indication in the respective territory;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Incyte may change the focus of its development and commercialization efforts or prioritize other programs more highly and, accordingly, reduce the efforts and resources allocated to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Incyte may, within its commercially reasonable discretion, choose not to develop and commercialize axatilimab in all relevant markets or for one or more indications, if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Incyte is acquired during the term of our collaboration, the acquirer may have competing programs or different strategic priorities that could cause it to reduce its commitment to our collaboration or to terminate the collaboration.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cannot ensure that the potential strategic benefits and opportunities expected from this collaboration with be realized on our anticipated timeline or at all.</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our collaborators are unable to enroll patients in clinical trials, these clinical trials may not be completed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timely completion of clinical trials largely depends on patient enrollment. Many factors affect patient enrollment,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public health crises, or geopolitical tensions, such as the ongoing war between Russia and Ukraine and the war in Israel, where we have approximately 16% of our enrolling sites in the ongoing AUGMENT-101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perception about the relative efficacy of our product candidates versus other compounds in clinical development or commercially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evolving standard of care in treating cancer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size and nature of the patient population, especially in the case of an orphan indication, we are pursuing;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and location of clinical trial sites enrolled;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competition with other organizations or our own clinical trials for clinical trial sites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eligibility and exclusion criteria for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design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ability to obtain and maintain patient consent;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risk that enrolled subjects will drop out before completion.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a result of the above factors, there is a risk that our or our collaborators’ clinical trials may not be completed on a timely basis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required to relinquish important rights to and control over the development and commercialization of our product candidates to our current or future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collaborations, including any future strategic collaborations we enter into, could subject us to a number of risks, including: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required to undertake the expenditure of substantial operational, financial and management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required to issue equity securities that would dilute our existing stockholders’ percentage of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required to assume substantial actual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be able to control the amount and timing of resources that our strategic collaborators devote to the development or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strategic collaborators may delay clinical trials, provide insufficient funding, terminate a clinical trial or abandon a product candidate, repeat or conduct new clinical trials or require a new version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strategic collaborators may not pursue further development and commercialization of products resulting from the strategic collaboration arrangement or may elect to discontinue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strategic collaborators may not commit adequate resources to the marketing, sales and distribution of our product candidates, limiting our potential revenues from these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strategic collaborators may experience financial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strategic collaborators may not properly maintain or defend our intellectual property rights or may use our proprietary information in a manner that could jeopardize or invalidate our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business combinations or significant changes in a strategic collaborator’s business strategy may also adversely affect a strategic collaborator’s willingness or ability to complete its obligations under any arrangement;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strategic collaborators could decide to move forward with a competing product candidate developed either independently or in collaboration with others, including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strategic collaborators could terminate the arrangement or allow it to expire, which would delay the development and may increase the cost of developing,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explore strategic collaborations that may never materialize or may fail.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and foreign regulatory authorities are lengthy, time-consuming and inherently unpredictable. Our inability to obtain regulatory approval for our product candidates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current Good Manufacturing Practices, or cGMP, current Good Laboratory Practices and current Good Clinical Practices,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our product candidates could fail to receive regulatory approval from the FDA or foreign regulatory authorities for other reasons,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to demonstrate that our product candidates are effective for their proposed indication and have an acceptable safety profile;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of clinical trials to meet the primary endpoints or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to demonstrate that the clinical and other benefits of a product candidate outweigh any of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disagreement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disagreement with the design, size, conduct or implementation of our or our collaborators’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insufficiency of data collected from trials of our product candidates to support the submission and filing of an NDA, BLA or other submission or to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to obtain approval of the manufacturing and testing processes or facilities of third-party manufacturers with whom we contract for clinical and commercial product supplies or preclinical 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receipt of a negative opinion from an advisory committee due to a change in the standard of care regardless of the outcome of the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the approval policies or regulations that render our preclinical and clinical data insufficient for approval.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 Moreover, if adopted in the form proposed, the recent European Commission proposals to revise the existing EU laws governing authorization of medicinal products may result in a decrease in data and market exclusivity for our product candidates in the EU.</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not achieve adequate market acceptance among physicians, patients, healthcare payors and others in the medical community to be commercially successful</w:t>
      </w:r>
      <w:r>
        <w:rPr>
          <w:rFonts w:ascii="Times New Roman" w:hAnsi="Times New Roman"/>
          <w:b w:val="false"/>
          <w:i/>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efficacy and safety profile as demonstrated in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of market introduction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clinical indications for which the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acceptance of the product candidate as a safe and effective treatment by physicians, clinics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and perceived advantages of our product candidates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pricing and 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frequency and severity of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effectiveness of sales and marketing;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unfavorable publicity relating to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our product candidates are approved but do not achieve an adequate level of acceptance by physicians, hospitals, healthcare payors and patients, we may not generate sufficient revenue to become or remain profitable.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third-party suppliers as well as Incyte to manufacture and distribute our clinical drug supplies for our product candidates, we intend to rely on these parties for commercial manufacturing and distribution of our product candidates and we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expect to rely on third parties for manufacturing and distribution of preclinical, clinical and commercial supplies of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 these parties to maintain adequate manufacturing capacity and capabilities to serve our needs, including quality control, quality assurance and qualified personnel. In addition, public health crises, may impact the ability of our existing or future manufacturers to perform their obligations to us.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our product candidates receive regulatory approval, they may still face future development and regulatory difficulties.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mandate modifications to promotional materials or require us to provide corrective information to healthcare practitioners;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suspend or withdraw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suspend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seize or detain products or refuse to permit the import or export of products.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occurrence of any event or penalty described above may inhibit our ability to commercialize and generate revenue from the sale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Advertising and promotion of any product candidate that obtains approval in the United States is heavily scrutinized by the FDA’s Office of Prescription Drug Promotion, the Department of Justice, the Department of Health and Human Services’ Office of Inspector General, state attorneys general, members of Congress, other government agencies and the public. While physicians may</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if our product candidates receive marketing approval, and we or others later identify undesirable side effects,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suspend marketing of, or withdraw or recall,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may withdraw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may require additional warnings on the product labels;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other regulatory authorities may issue safety alerts, Dear Healthcare Provider letters, press releases or other communications containing warnings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may require that we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could be sued and held liable for harm caused to subjects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reputation may suffer.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failure to obtain regulatory approval in international jurisdictions would prevent us from marketing our product candidates outside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several years, the FDA has approved three drugs, ibrutinib (</w:t>
      </w:r>
      <w:r>
        <w:rPr>
          <w:rFonts w:ascii="Times New Roman" w:hAnsi="Times New Roman"/>
          <w:b w:val="false"/>
          <w:i/>
          <w:color w:val="000000"/>
          <w:sz w:val="20"/>
        </w:rPr>
        <w:t>Imbruvica</w:t>
      </w:r>
      <w:r>
        <w:rPr>
          <w:rFonts w:ascii="Times New Roman" w:hAnsi="Times New Roman"/>
          <w:b w:val="false"/>
          <w:i/>
          <w:color w:val="000000"/>
          <w:sz w:val="13"/>
        </w:rPr>
        <w:t>®</w:t>
      </w:r>
      <w:r>
        <w:rPr>
          <w:rFonts w:ascii="Times New Roman" w:hAnsi="Times New Roman"/>
          <w:b w:val="false"/>
          <w:color w:val="000000"/>
          <w:sz w:val="20"/>
        </w:rPr>
        <w:t>), belomosidil (</w:t>
      </w:r>
      <w:r>
        <w:rPr>
          <w:rFonts w:ascii="Times New Roman" w:hAnsi="Times New Roman"/>
          <w:b w:val="false"/>
          <w:i/>
          <w:color w:val="000000"/>
          <w:sz w:val="20"/>
        </w:rPr>
        <w:t>Rezurock</w:t>
      </w:r>
      <w:r>
        <w:rPr>
          <w:rFonts w:ascii="Times New Roman" w:hAnsi="Times New Roman"/>
          <w:b w:val="false"/>
          <w:color w:val="000000"/>
          <w:sz w:val="13"/>
        </w:rPr>
        <w:t>®</w:t>
      </w:r>
      <w:r>
        <w:rPr>
          <w:rFonts w:ascii="Times New Roman" w:hAnsi="Times New Roman"/>
          <w:b w:val="false"/>
          <w:color w:val="000000"/>
          <w:sz w:val="20"/>
        </w:rPr>
        <w:t>) and ruxolitinib (</w:t>
      </w:r>
      <w:r>
        <w:rPr>
          <w:rFonts w:ascii="Times New Roman" w:hAnsi="Times New Roman"/>
          <w:b w:val="false"/>
          <w:i/>
          <w:color w:val="000000"/>
          <w:sz w:val="20"/>
        </w:rPr>
        <w:t>Jakafi</w:t>
      </w:r>
      <w:r>
        <w:rPr>
          <w:rFonts w:ascii="Times New Roman" w:hAnsi="Times New Roman"/>
          <w:b w:val="false"/>
          <w:color w:val="000000"/>
          <w:sz w:val="13"/>
        </w:rPr>
        <w:t>®</w:t>
      </w:r>
      <w:r>
        <w:rPr>
          <w:rFonts w:ascii="Times New Roman" w:hAnsi="Times New Roman"/>
          <w:b w:val="false"/>
          <w:color w:val="000000"/>
          <w:sz w:val="20"/>
        </w:rPr>
        <w:t>), for use in patients with cGVHD after failure of one or more lines of systemic therapy. All three of these drugs may compete with axatilimab in patients diagnosed with cGVHD.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Revumenib is being developed for the treatment of R/R adult and pediatric patients with KMT2Ar ALL, KMT2Ar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KMT2Ar ALL, KMT2Ar AML and/or NPM1 mutant AML.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our ability to successfully compete will depend on,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efficacy and safety profile of our product candidates relative to marketed products and product candidates in development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time it takes for our product candidates to complete clinical development and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commercialize our product candidates if they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price of our product candidates, including in comparison to branded or generic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whether coverage and adequate levels of reimbursement are available under private and governmental health insurance plans, including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manufacture commercial quantities of our product candidates if they receive regulatory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negotiate preferential formulary status for our product candidates.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we obtain regulatory approval of our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existing methods of treatment, or if physicians switch to other new drug or biologic products or choose to reserve our drugs for use in limited circumstances.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Certain of our investigational products may require companion diagnostics in certain indications. Failure to successfully develop, validate and obtain regulatory clearance or approval for such tests could harm our product development strategy or prevent us from realizing the full commercial potential of our investigational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Companion diagnostics are subject to regulation by the FDA and comparable foreign regulatory authorities as a medical device and may require separate regulatory authorization prior to commercialization. Certain of our revumenib clinical trials include the use of an investigational or laboratory developed diagnostic test to help identify eligible patients. We currently do not have any plans to develop diagnostic tests internally. We are therefore dependent on the sustained cooperation and effort of third-party collaborators in developing and, if our investigational products are approved for use only with an approved companion diagnostic test, obtaining approval and commercializing these tests. If these parties are unable to successfully develop companion diagnostics for our investigational products, or experience delays in doing so, the development of our investigational products may be adversely affected and we may not be able to obtain marketing authorization for these investigational products. Furthermore, our ability to market and sell, as well as the commercial success, of any of our investigational products that require a companion diagnostic will be tied to, and dependent upon, the receipt of required regulatory authorization and the continued ability of such third parties to make the companion diagnostic commercially available on reasonable terms in the relevant geographies. Any failure to develop, validate, obtain and maintain marketing authorization and supply for a companion diagnostic we need may harm our business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dependent on UCB Biopharma Sprl, or UCB, to comply with the terms of our license agreement for axatilimab.</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consultants and collaborators may engage in misconduct or other improper activities, including insider trading and non-compliance with regulatory standards and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bidi w:val="0"/>
        <w:spacing w:before="240" w:after="283"/>
        <w:jc w:val="left"/>
        <w:rPr>
          <w:rFonts w:ascii="Times New Roman" w:hAnsi="Times New Roman"/>
          <w:sz w:val="20"/>
        </w:rPr>
      </w:pPr>
      <w:r>
        <w:rPr>
          <w:rFonts w:ascii="Times New Roman" w:hAnsi="Times New Roman"/>
          <w:b/>
          <w:i/>
          <w:color w:val="000000"/>
          <w:sz w:val="20"/>
        </w:rPr>
        <w:t>We must attract and retain additional highly skilled employees in order to succeed.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succeed, 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intense and as a result, we may be unable to continue to attract and retain qualified personnel necessary for the development of our business or to recruit suitable replacement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commercialize our product candidates, they or any other product candidates that we develop, may become subject to unfavorable pricing regulations or third-party coverage or reimbursement practices,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pharmacy benefit managers,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rebates and discounts from list prices and are challenging the prices charged for medical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may be significant delays in obtaining adequate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marketing,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Private payors often follow decisions by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commercialize our product candidates and affect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executive, judicial and Congressional challenges to certain aspects of the Affordable Care Act.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costs through a newly established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legislative changes have been proposed and adopted since the Affordable Care Act was enacted. These changes include aggregate reductions to Medicare payments to providers of up to 2% per fiscal year, which began in 2013, and due to subsequent legislative amendments to the statute, will remain in effect through 2031 unless additional Congressional action is taken. Under current legislation, the actual reduction in Medicare payments will vary from 1% in 2022 to up to 4% in the final fiscal year of this sequester.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 changes that may affect our business include the expansion of new programs such as Medicare payment for performance initiatives for physicians under the Medicare Access and CHIP Reauthorization Act of 2015, or MACRA, which ended the use of the statutory formula and established a quality payment program, also referred to as the Quality Payment Program. In November 2019, CMS issued a final rule finalizing the changes to the Quality Payment Program. At this time, the full impact to overall physician reimbursement as a result of the introduction of the Quality Payment Program remains unclear.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Also, there has been heightened governmental scrutiny recently over the manner in which drug manufacturers set prices for their marketed products, which have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President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the Secretary of HHS to negotiate the price of certain high-expenditure, single-source drugs and biologics covered under Medicare Part B and Medicare Part D,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These provisions will take effect progressively starting in fiscal year 2023, although they may be subject to legal challenges. Further, the Biden administration released an additional executive order on October 14, 2022, directing HHS to report on how the Center for Medicare and Medicaid Innovation can be further leveraged to test new models for lowering drug costs for Medicare and Medicaid beneficiaries. At the state level, legislatures have increasingly passed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these and other healthcare reform measures that may be adopted in the future, may result in more rigorous coverage criteria and in additional downward pressure on the price that we receive for any approved drug. For example, based on a recent executive order, the Biden administration expressed its intent to pursue certain policy initiatives to reduce drug prices.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in the process of building our sales, marketing and distribution infrastructure.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order to market any approved product candidate in the future, we must build our sales, marketing, distribution, managerial and other non-technical capabilities or make arrangements with third parties to perform these services, as we do not presently have all</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be able to attract and build an effective marketing or sales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of establishing, training and providing regulatory oversight for a marketing or sales force may not be justifiable in light of the revenues generated by any particular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direct or indirect sales and marketing efforts may not be successful;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decreased demand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termination of clinical trial sites or entire trial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withdrawal of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significant 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substantial monetary awards to trial subjects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diversion of management and scientific resources from our business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inability to commercialize any products that we may develop.</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disruptions of our information technology systems or data security incidents could result in significant financial, legal, regulatory, business and reputational harm to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we currently offer a hybrid-work environment,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Social media platforms and artificial intelligence-based platforms present new risks and challenges to our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artificial intelligence, or AI, 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net losses since our inception, except 2021, and anticipate that we will continue to incur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quarter ended September 30, 2023, we reported a net loss attributable to stockholders of $51.1 million. As of September 30, 2023, we had an accumulated deficit of $829.9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growth of our expenses and our ability to generate revenues, if any. Our prior losses and expected future losses have had and will continue to have an adverse effect on our stockholders’ equity and working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have no source of product revenue and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successfully complete the research and clinical development of, and receive regulatory approval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launch, commercialize and achieve market acceptance of our product candidates, and if launched independently, successfully establish a sales, marketing and distribution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continue to build a portfolio of product candidates through the acquisition or in-license of products,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initiate preclinical and clinical trials for any additional product candidates that we may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 and maintain supplier and manufacturing relationships with third parties, and ensure adequate and legally compliant manufacturing of bulk drug substances and drug products to maintain that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 coverage and adequate product reimbursement from third-party payors, including government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 maintain, expand and protect our intellectual property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attract, hire and retain additional qualified personnel.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While the long-term economic impacts associated with public health crises and global geopolitical tensions, like the ongoing war between Russia and Ukraine and the war in Israel, are difficult to assess or predict, each of these events has caused significant disruptions to the global financial markets and contributed to a general global economic slowdown. Furthermore, inflation rates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delay, scale back or discontinue the development or commercialization of our product candidates or cease operations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strategic alliances for our existing product candidates on terms less favorable than might otherwise be available;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relinquish, or license on unfavorable terms, our rights to technologies or any future product candidates that we otherwise would seek to develop or commercialize ourselves.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future funding requirements, both short-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initiation, progress, timing, costs and results of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outcome, timing and cost of seeking and obtaining regulatory approvals from the FDA and comparable foreign regulatory authorities, including the potential for such authorities to require that we perform more trials than we currently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and timing of selecting, auditing and developing manufacturing capabilities, and potentially validating manufacturing sites for commercial-scale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and timing for obtaining pricing, and coverage and reimbursement by third-party payors, which may require additional trials to address pharmacoeconomic benefit;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of establishing sales, marketing and distribution capabilities for our product candidates if any candidate receives regulatory approval and we determine, in the case of revumenib to commercialize it ourselves, or in the case of axatilimab to co-commercialize it with Incyte;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acquiring, licensing or investing in additional businesses, products,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 of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need to acquire and implement additional internal systems and infrastructure, including compliance and financial and reporting systems, as we grow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business interruptions resulting from geo-political actions, including war or the perception that hostilities may be imminent (such as the ongoing war between Russia and Ukraine and the war in Israel), terrorism, natural disasters, including earthquakes, typhoons, floods and fires, or public health crises.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cannot expand our operations or otherwise capitalize on our business opportunities because we cannot secure sufficient capital,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regulations could materially adversely affect our company.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Most recently,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from January 1, 2021 through December 31, 2022 and determined that no ownership changes had occurred in that period. Prior analyses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obtain or protect intellectual property rights, we may not be able to compete effectively in our market.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expire in 2036. The actual term of any patents granted based on the pending applications we licensed from UCB can only be determined after such patents are granted.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portfolio that we licensed from Vitae Pharmaceuticals,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granted.</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the UCB license agreement related to axatilimab or if the UCB license agreement is otherwise terminated, we could lose the ability to continue the development and commercialization of axatilimab.</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UCB license agreement. If the UCB license agreement is terminated, Incyte may terminate our collaboration and our business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breach the license agreement related to revumenib or if the license agreement is otherwise terminated, we could lose the ability to continue the development and commercialization of revumenib.</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commercial success depends upon our ability to develop, manufacture, market and sell revumenib. Subject to the achievement of certain milestone events, we may be required to pay Vitae, which is now a subsidiary of AbbVie, up to $99.0 million in one-time development and regulatory milestone payments over the term of the AbbVie license agreement. In the event that we or any of our affiliates or sublicensees commercializes revumenib, we will also be obligated to pay AbbVie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AbbVie.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revumenib have occurred and the last-to-expire relevant patent covering revumenib in a given country may change in the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the license agreement is terminated, we would not be able to develop, manufacture, market or sell revumenib and would need to negotiate a new or reinstated agreement, which may not be available to us on equally favorable terms, or at all.</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intellectual property, which could be expensive, time-consuming and unsuccessful and have an adverse effect on the success of our business and on our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Third-party pre-issuance submission of prior art to the USPTO, or opposition, derivation, reexamination,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Times New Roman" w:hAnsi="Times New Roman"/>
          <w:b w:val="false"/>
          <w:i/>
          <w:color w:val="000000"/>
          <w:sz w:val="20"/>
        </w:rPr>
        <w:t>inter partes</w:t>
      </w:r>
      <w:r>
        <w:rPr>
          <w:rFonts w:ascii="Times New Roman" w:hAnsi="Times New Roman"/>
          <w:color w:val="000000"/>
          <w:sz w:val="20"/>
        </w:rPr>
        <w:t xml:space="preserve"> </w:t>
      </w:r>
      <w:r>
        <w:rPr>
          <w:rFonts w:ascii="Times New Roman" w:hAnsi="Times New Roman"/>
          <w:b w:val="false"/>
          <w:color w:val="000000"/>
          <w:sz w:val="20"/>
        </w:rPr>
        <w:t>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 unfavorable outcome could require us or our licensors or collaborators to cease using the related technology or developing or commercializing our product candidates, or to attempt to license rights to it from the prevailing party. Our business could be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misappropriated their intellectual property,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inability to protect our confidential information and trade secrets would harm our business and competitive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Ownership of Our Common Stock and Other General Matters</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stock may be volatile and you could lose all or part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actions with respect to our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actual or anticipated changes in our growth rate relative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announcements by us or our competitors of significant acquisitions, strategic collaborations,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results of trials of our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recruitment or departure of key personnel;</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level of expenses related to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market conditions in the pharmaceutical and biotechnology sectors;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economic, industry, political and market conditions, including, but not limited to new or ongoing public health crises and the war between Russia and Ukraine and the war in Israel.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share price.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global capital markets. Similarly, the current Russia-Ukraine war exacerbated volatility in the global capital markets and continues to disrupt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 in interest rates could have a material adverse effect on our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sell additional equity or debt securities or enter into other arrangements to fund our operations, which may result in dilution to our stockholders and impose restrictions or limitations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in December 2022, we sold a total of 7,840,909 shares of our common stock in a public offering. The issuance of these shares of our common stock resulted, and any future issuance pursuant to sales under the 2023 ATM Program will result, in dilution to our stockholders.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influence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our executive officers, directors, and holders of 5% or more of our capital stock and their respective affiliates beneficially owned approximately 40.4%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bookmarkStart w:id="14" w:name="item5_10b51_disclosures"/>
      <w:bookmarkEnd w:id="14"/>
      <w:r>
        <w:rPr>
          <w:rFonts w:ascii="Times New Roman" w:hAnsi="Times New Roman"/>
          <w:b/>
          <w:color w:val="000000"/>
          <w:sz w:val="20"/>
        </w:rPr>
        <w:t>Item 5. Other Information</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Trading Arrangements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our last fiscal quarter, none of our directors and officers (as defined in Rule 16a-1(f) under the Exchange Act) adopted or terminated contracts, instructions or written plans for the purchase or sale of our securities.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5" w:name="item_6_exhibits"/>
      <w:bookmarkEnd w:id="15"/>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77"/>
        <w:gridCol w:w="254"/>
        <w:gridCol w:w="9174"/>
      </w:tblGrid>
      <w:tr>
        <w:trPr/>
        <w:tc>
          <w:tcPr>
            <w:tcW w:w="77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174" w:type="dxa"/>
            <w:tcBorders/>
            <w:vAlign w:val="center"/>
          </w:tcPr>
          <w:p>
            <w:pPr>
              <w:pStyle w:val="TableContents"/>
              <w:bidi w:val="0"/>
              <w:spacing w:before="0" w:after="283"/>
              <w:jc w:val="left"/>
              <w:rPr>
                <w:sz w:val="4"/>
                <w:szCs w:val="4"/>
              </w:rPr>
            </w:pPr>
            <w:r>
              <w:rPr>
                <w:sz w:val="4"/>
                <w:szCs w:val="4"/>
              </w:rPr>
            </w:r>
          </w:p>
        </w:tc>
      </w:tr>
      <w:tr>
        <w:trPr/>
        <w:tc>
          <w:tcPr>
            <w:tcW w:w="777"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254"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174"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7"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3.1</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Amended and Restated Certificate of Incorporation of the Company (incorporated herein by reference to Exhibit 3.1 to the Company’s Current Report on Form 8-K (File No. 001-37708), as filed with the SEC on March 8, 2016).</w:t>
              </w:r>
            </w:hyperlink>
            <w:r>
              <w:rPr>
                <w:rFonts w:ascii="Times New Roman" w:hAnsi="Times New Roman"/>
                <w:color w:val="000000"/>
                <w:sz w:val="20"/>
              </w:rPr>
              <w:t xml:space="preserve"> </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3.2</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Certificate of Amendment to the Amended and Restated Certificate of Incorporation of the Company (incorporated herein by reference to Exhibit 3.1 to the Company’s Current Report on Form 8-K (File No. 001-37708), as filed with the SEC on May 18, 2023).</w:t>
              </w:r>
            </w:hyperlink>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3.3</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Amended and Restated Bylaws of the Company (incorporated herein by reference to Exhibit 3.2 to the Company’s Current Report on Form 8-K (File No. 001-37708), as filed with the SEC on March 8, 2016).</w:t>
              </w:r>
            </w:hyperlink>
            <w:r>
              <w:rPr>
                <w:rFonts w:ascii="Times New Roman" w:hAnsi="Times New Roman"/>
                <w:color w:val="000000"/>
                <w:sz w:val="20"/>
              </w:rPr>
              <w:t xml:space="preserve"> </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31.1</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hyperlink w:anchor="sndx-ex31_1.htm">
              <w:r>
                <w:rPr>
                  <w:rStyle w:val="InternetLink"/>
                  <w:rFonts w:ascii="Times New Roman" w:hAnsi="Times New Roman"/>
                  <w:b w:val="false"/>
                  <w:color w:val="0000FF"/>
                  <w:sz w:val="20"/>
                  <w:u w:val="single"/>
                </w:rPr>
                <w:t>Certification of Principal Executive Officer pursuant to Rules 13a-14(a) and 15d-14(a) promulgated under the Securities Exchange Act of 1934, as amended.</w:t>
              </w:r>
            </w:hyperlink>
            <w:r>
              <w:rPr>
                <w:rFonts w:ascii="Times New Roman" w:hAnsi="Times New Roman"/>
                <w:color w:val="000000"/>
                <w:sz w:val="20"/>
              </w:rPr>
              <w:t xml:space="preserve"> </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31.2</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hyperlink w:anchor="sndx-ex31_2.htm">
              <w:r>
                <w:rPr>
                  <w:rStyle w:val="InternetLink"/>
                  <w:rFonts w:ascii="Times New Roman" w:hAnsi="Times New Roman"/>
                  <w:b w:val="false"/>
                  <w:color w:val="0000FF"/>
                  <w:sz w:val="20"/>
                  <w:u w:val="single"/>
                </w:rPr>
                <w:t>Certification of Principal Financial Officer pursuant to Rules 13a-14(a) and 15d-14(a) promulgated under the Securities Exchange Act of 1934, as amended.</w:t>
              </w:r>
            </w:hyperlink>
            <w:r>
              <w:rPr>
                <w:rFonts w:ascii="Times New Roman" w:hAnsi="Times New Roman"/>
                <w:color w:val="000000"/>
                <w:sz w:val="20"/>
              </w:rPr>
              <w:t xml:space="preserve"> </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32.1*</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hyperlink w:anchor="sndx-ex32_1.htm">
              <w:r>
                <w:rPr>
                  <w:rStyle w:val="InternetLink"/>
                  <w:rFonts w:ascii="Times New Roman" w:hAnsi="Times New Roman"/>
                  <w:b w:val="false"/>
                  <w:color w:val="0000FF"/>
                  <w:sz w:val="20"/>
                  <w:u w:val="single"/>
                </w:rPr>
                <w:t>Certifications of Chief Executive Officer and Chief Financial Officer pursuant to 18 U.S.C. Section 1350, as adopted pursuant to Section 906 of the Sarbanes-Oxley Act of 2002.</w:t>
              </w:r>
            </w:hyperlink>
            <w:r>
              <w:rPr>
                <w:rFonts w:ascii="Times New Roman" w:hAnsi="Times New Roman"/>
                <w:color w:val="000000"/>
                <w:sz w:val="20"/>
              </w:rPr>
              <w:t xml:space="preserve"> </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101.INS</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101.SCH</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101.CAL</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101.DEF</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101.LAB</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Labels Linkbase Document</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101.PRE</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77" w:type="dxa"/>
            <w:tcBorders/>
            <w:vAlign w:val="center"/>
          </w:tcPr>
          <w:p>
            <w:pPr>
              <w:pStyle w:val="TableContents"/>
              <w:bidi w:val="0"/>
              <w:spacing w:before="0" w:after="283"/>
              <w:ind w:left="0" w:right="0" w:firstLine="108"/>
              <w:jc w:val="left"/>
              <w:rPr/>
            </w:pPr>
            <w:r>
              <w:rPr/>
              <w:t> </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ind w:left="0" w:right="0" w:firstLine="108"/>
              <w:jc w:val="left"/>
              <w:rPr>
                <w:rFonts w:ascii="Times New Roman" w:hAnsi="Times New Roman"/>
                <w:b w:val="false"/>
                <w:color w:val="000000"/>
                <w:sz w:val="20"/>
              </w:rPr>
            </w:pPr>
            <w:r>
              <w:rPr>
                <w:rFonts w:ascii="Times New Roman" w:hAnsi="Times New Roman"/>
                <w:b w:val="false"/>
                <w:color w:val="000000"/>
                <w:sz w:val="20"/>
              </w:rPr>
              <w:t>104</w:t>
            </w:r>
          </w:p>
        </w:tc>
        <w:tc>
          <w:tcPr>
            <w:tcW w:w="254" w:type="dxa"/>
            <w:tcBorders/>
            <w:vAlign w:val="center"/>
          </w:tcPr>
          <w:p>
            <w:pPr>
              <w:pStyle w:val="TableContents"/>
              <w:bidi w:val="0"/>
              <w:spacing w:before="0" w:after="283"/>
              <w:ind w:left="108" w:right="0" w:firstLine="108"/>
              <w:jc w:val="left"/>
              <w:rPr/>
            </w:pPr>
            <w:r>
              <w:rPr/>
              <w:t> </w:t>
            </w:r>
          </w:p>
        </w:tc>
        <w:tc>
          <w:tcPr>
            <w:tcW w:w="917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rFonts w:ascii="Times New Roman" w:hAnsi="Times New Roman"/>
          <w:sz w:val="20"/>
        </w:rPr>
      </w:pPr>
      <w:r>
        <w:rPr>
          <w:rFonts w:ascii="Times New Roman" w:hAnsi="Times New Roman"/>
          <w:b w:val="false"/>
          <w:color w:val="000000"/>
          <w:sz w:val="20"/>
        </w:rPr>
        <w:t>* Furnished herewith and not deemed to be “filed” for purposes of Section 18 of the Securities Exchange Act of 1934, as amended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6" w:name="signatures"/>
      <w:bookmarkEnd w:id="16"/>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Date: November 2, 2023</w:t>
      </w:r>
      <w:r>
        <w:rPr>
          <w:rFonts w:ascii="Times New Roman" w:hAnsi="Times New Roman"/>
          <w:color w:val="000000"/>
          <w:sz w:val="20"/>
        </w:rPr>
        <w:t xml:space="preserve"> </w:t>
      </w:r>
    </w:p>
    <w:p>
      <w:pPr>
        <w:pStyle w:val="TextBody"/>
        <w:bidi w:val="0"/>
        <w:jc w:val="left"/>
        <w:rPr/>
      </w:pPr>
      <w:r>
        <w:rPr/>
        <w:t> </w:t>
      </w:r>
    </w:p>
    <w:tbl>
      <w:tblPr>
        <w:tblW w:w="3043" w:type="dxa"/>
        <w:jc w:val="left"/>
        <w:tblInd w:w="0" w:type="dxa"/>
        <w:tblLayout w:type="fixed"/>
        <w:tblCellMar>
          <w:top w:w="28" w:type="dxa"/>
          <w:left w:w="28" w:type="dxa"/>
          <w:bottom w:w="28" w:type="dxa"/>
          <w:right w:w="28" w:type="dxa"/>
        </w:tblCellMar>
      </w:tblPr>
      <w:tblGrid>
        <w:gridCol w:w="421"/>
        <w:gridCol w:w="146"/>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Michael A. Metzger</w:t>
            </w:r>
          </w:p>
        </w:tc>
      </w:tr>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47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Michael A. Metzger</w:t>
            </w:r>
          </w:p>
        </w:tc>
      </w:tr>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tbl>
      <w:tblPr>
        <w:tblW w:w="5713" w:type="dxa"/>
        <w:jc w:val="left"/>
        <w:tblInd w:w="0" w:type="dxa"/>
        <w:tblLayout w:type="fixed"/>
        <w:tblCellMar>
          <w:top w:w="28" w:type="dxa"/>
          <w:left w:w="28" w:type="dxa"/>
          <w:bottom w:w="28" w:type="dxa"/>
          <w:right w:w="28" w:type="dxa"/>
        </w:tblCellMar>
      </w:tblPr>
      <w:tblGrid>
        <w:gridCol w:w="421"/>
        <w:gridCol w:w="146"/>
        <w:gridCol w:w="514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51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Keith A. Goldan</w:t>
            </w:r>
          </w:p>
        </w:tc>
      </w:tr>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14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Keith A. Goldan</w:t>
            </w:r>
          </w:p>
        </w:tc>
      </w:tr>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1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 and Treasurer</w:t>
            </w:r>
          </w:p>
        </w:tc>
      </w:tr>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1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bookmarkStart w:id="17" w:name="sndx-ex31_1.htm"/>
      <w:bookmarkStart w:id="18" w:name="kssndxex31_1"/>
      <w:bookmarkEnd w:id="17"/>
      <w:bookmarkEnd w:id="1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Michael A. Metzger, certify that: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1. I have reviewed this Quarterly Report on Form 10-Q of Syndax Pharmaceuticals, Inc.;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5238" w:type="dxa"/>
        <w:jc w:val="left"/>
        <w:tblInd w:w="0" w:type="dxa"/>
        <w:tblLayout w:type="fixed"/>
        <w:tblCellMar>
          <w:top w:w="28" w:type="dxa"/>
          <w:left w:w="28" w:type="dxa"/>
          <w:bottom w:w="28" w:type="dxa"/>
          <w:right w:w="28" w:type="dxa"/>
        </w:tblCellMar>
      </w:tblPr>
      <w:tblGrid>
        <w:gridCol w:w="2101"/>
        <w:gridCol w:w="109"/>
        <w:gridCol w:w="406"/>
        <w:gridCol w:w="146"/>
        <w:gridCol w:w="247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Michael A. Metzger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Michael A. Metzger</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Executive Officer</w:t>
            </w:r>
          </w:p>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sndx-ex31_2.htm"/>
      <w:bookmarkStart w:id="20" w:name="kssndxex31_2"/>
      <w:bookmarkEnd w:id="19"/>
      <w:bookmarkEnd w:id="2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Keith A. Goldan, certify that: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1. I have reviewed this Quarterly Report on Form 10-Q of Syndax Pharmaceuticals, Inc.;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7908" w:type="dxa"/>
        <w:jc w:val="left"/>
        <w:tblInd w:w="0" w:type="dxa"/>
        <w:tblLayout w:type="fixed"/>
        <w:tblCellMar>
          <w:top w:w="28" w:type="dxa"/>
          <w:left w:w="28" w:type="dxa"/>
          <w:bottom w:w="28" w:type="dxa"/>
          <w:right w:w="28" w:type="dxa"/>
        </w:tblCellMar>
      </w:tblPr>
      <w:tblGrid>
        <w:gridCol w:w="2101"/>
        <w:gridCol w:w="109"/>
        <w:gridCol w:w="406"/>
        <w:gridCol w:w="146"/>
        <w:gridCol w:w="514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Keith A. Goldan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146"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Keith A. Goldan</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Financial Officer and Treasurer</w:t>
            </w:r>
          </w:p>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sndx-ex32_1.htm"/>
      <w:bookmarkStart w:id="22" w:name="kssndxex32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In connection with the Quarterly Report on Form 10-Q of Syndax Pharmaceuticals, Inc. (the “Company”) for the period ended September 30, 2023, as filed with the Securities and Exchange Commission on the date hereof (the “Report”), each of the undersigned officers of the Company hereby certifies, pursuant to 18 U.S.C. Section 1350, that to his or her knowledge: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tbl>
      <w:tblPr>
        <w:tblW w:w="5890" w:type="dxa"/>
        <w:jc w:val="left"/>
        <w:tblInd w:w="0" w:type="dxa"/>
        <w:tblLayout w:type="fixed"/>
        <w:tblCellMar>
          <w:top w:w="28" w:type="dxa"/>
          <w:left w:w="28" w:type="dxa"/>
          <w:bottom w:w="28" w:type="dxa"/>
          <w:right w:w="28" w:type="dxa"/>
        </w:tblCellMar>
      </w:tblPr>
      <w:tblGrid>
        <w:gridCol w:w="2101"/>
        <w:gridCol w:w="146"/>
        <w:gridCol w:w="346"/>
        <w:gridCol w:w="146"/>
        <w:gridCol w:w="315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Michael A. Metzger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Michael A. Metzger</w:t>
            </w:r>
          </w:p>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Keith A. Goldan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151"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Keith A. Goldan</w:t>
            </w:r>
          </w:p>
          <w:p>
            <w:pPr>
              <w:pStyle w:val="TableContents"/>
              <w:bidi w:val="0"/>
              <w:spacing w:before="0" w:after="20"/>
              <w:jc w:val="left"/>
              <w:rPr>
                <w:rFonts w:ascii="Times New Roman" w:hAnsi="Times New Roman"/>
                <w:b w:val="false"/>
                <w:color w:val="000000"/>
                <w:sz w:val="20"/>
              </w:rPr>
            </w:pPr>
            <w:r>
              <w:rPr>
                <w:rFonts w:ascii="Times New Roman" w:hAnsi="Times New Roman"/>
                <w:b w:val="false"/>
                <w:color w:val="000000"/>
                <w:sz w:val="20"/>
              </w:rPr>
              <w:t>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5937/000119312516496764/d119516dex31.htm" TargetMode="External"/><Relationship Id="rId3" Type="http://schemas.openxmlformats.org/officeDocument/2006/relationships/hyperlink" Target="https://www.sec.gov/Archives/edgar/data/1395937/000095017023022802/sndx-ex3_1.htm" TargetMode="External"/><Relationship Id="rId4" Type="http://schemas.openxmlformats.org/officeDocument/2006/relationships/hyperlink" Target="https://www.sec.gov/Archives/edgar/data/1395937/000119312516496764/d119516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36923</Words>
  <Characters>206593</Characters>
  <CharactersWithSpaces>244318</CharactersWithSpaces>
  <Paragraphs>5116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