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-215265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-116840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600" w:hanging="592"/>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w:t>
      </w:r>
    </w:p>
    <w:p>
      <w:pPr>
        <w:ind w:left="600"/>
        <w:spacing w:after="0" w:line="232" w:lineRule="auto"/>
        <w:rPr>
          <w:sz w:val="20"/>
          <w:szCs w:val="20"/>
          <w:color w:val="auto"/>
        </w:rPr>
      </w:pPr>
      <w:r>
        <w:rPr>
          <w:rFonts w:ascii="Arial" w:cs="Arial" w:eastAsia="Arial" w:hAnsi="Arial"/>
          <w:sz w:val="22"/>
          <w:szCs w:val="22"/>
          <w:b w:val="1"/>
          <w:bCs w:val="1"/>
          <w:color w:val="auto"/>
        </w:rPr>
        <w:t>EXCHANGE ACT OF 1934</w:t>
      </w:r>
    </w:p>
    <w:p>
      <w:pPr>
        <w:jc w:val="center"/>
        <w:ind w:right="-19"/>
        <w:spacing w:after="0" w:line="226" w:lineRule="auto"/>
        <w:rPr>
          <w:sz w:val="20"/>
          <w:szCs w:val="20"/>
          <w:color w:val="auto"/>
        </w:rPr>
      </w:pPr>
      <w:r>
        <w:rPr>
          <w:rFonts w:ascii="Arial" w:cs="Arial" w:eastAsia="Arial" w:hAnsi="Arial"/>
          <w:sz w:val="15"/>
          <w:szCs w:val="15"/>
          <w:b w:val="1"/>
          <w:bCs w:val="1"/>
          <w:color w:val="auto"/>
        </w:rPr>
        <w:t>For the Fiscal Year Ended December 31, 2017</w:t>
      </w:r>
    </w:p>
    <w:p>
      <w:pPr>
        <w:jc w:val="center"/>
        <w:ind w:right="-19"/>
        <w:spacing w:after="0" w:line="222" w:lineRule="auto"/>
        <w:rPr>
          <w:sz w:val="20"/>
          <w:szCs w:val="20"/>
          <w:color w:val="auto"/>
        </w:rPr>
      </w:pPr>
      <w:r>
        <w:rPr>
          <w:rFonts w:ascii="Arial" w:cs="Arial" w:eastAsia="Arial" w:hAnsi="Arial"/>
          <w:sz w:val="15"/>
          <w:szCs w:val="15"/>
          <w:b w:val="1"/>
          <w:bCs w:val="1"/>
          <w:color w:val="auto"/>
        </w:rPr>
        <w:t>OR</w:t>
      </w:r>
    </w:p>
    <w:p>
      <w:pPr>
        <w:ind w:left="600" w:hanging="592"/>
        <w:spacing w:after="0" w:line="231" w:lineRule="auto"/>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600"/>
        <w:spacing w:after="0" w:line="233" w:lineRule="auto"/>
        <w:rPr>
          <w:sz w:val="20"/>
          <w:szCs w:val="20"/>
          <w:color w:val="auto"/>
        </w:rPr>
      </w:pPr>
      <w:r>
        <w:rPr>
          <w:rFonts w:ascii="Arial" w:cs="Arial" w:eastAsia="Arial" w:hAnsi="Arial"/>
          <w:sz w:val="22"/>
          <w:szCs w:val="22"/>
          <w:b w:val="1"/>
          <w:bCs w:val="1"/>
          <w:color w:val="auto"/>
        </w:rPr>
        <w:t>1934</w:t>
      </w:r>
    </w:p>
    <w:tbl>
      <w:tblPr>
        <w:tblLayout w:type="fixed"/>
        <w:tblInd w:w="440" w:type="dxa"/>
        <w:tblCellMar>
          <w:top w:w="0" w:type="dxa"/>
          <w:left w:w="0" w:type="dxa"/>
          <w:bottom w:w="0" w:type="dxa"/>
          <w:right w:w="0" w:type="dxa"/>
        </w:tblCellMar>
      </w:tblPr>
      <w:tr>
        <w:trPr>
          <w:trHeight w:val="146"/>
        </w:trPr>
        <w:tc>
          <w:tcPr>
            <w:tcW w:w="1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720" w:type="dxa"/>
            <w:vAlign w:val="bottom"/>
            <w:gridSpan w:val="3"/>
          </w:tcPr>
          <w:p>
            <w:pPr>
              <w:ind w:left="800"/>
              <w:spacing w:after="0" w:line="146" w:lineRule="exact"/>
              <w:rPr>
                <w:sz w:val="20"/>
                <w:szCs w:val="20"/>
                <w:color w:val="auto"/>
              </w:rPr>
            </w:pPr>
            <w:r>
              <w:rPr>
                <w:rFonts w:ascii="Arial" w:cs="Arial" w:eastAsia="Arial" w:hAnsi="Arial"/>
                <w:sz w:val="15"/>
                <w:szCs w:val="15"/>
                <w:b w:val="1"/>
                <w:bCs w:val="1"/>
                <w:color w:val="auto"/>
              </w:rPr>
              <w:t>For the Transition Period from</w:t>
            </w:r>
          </w:p>
        </w:tc>
        <w:tc>
          <w:tcPr>
            <w:tcW w:w="520" w:type="dxa"/>
            <w:vAlign w:val="bottom"/>
            <w:gridSpan w:val="3"/>
          </w:tcPr>
          <w:p>
            <w:pPr>
              <w:ind w:left="60"/>
              <w:spacing w:after="0" w:line="146" w:lineRule="exact"/>
              <w:rPr>
                <w:sz w:val="20"/>
                <w:szCs w:val="20"/>
                <w:color w:val="auto"/>
              </w:rPr>
            </w:pPr>
            <w:r>
              <w:rPr>
                <w:rFonts w:ascii="Arial" w:cs="Arial" w:eastAsia="Arial" w:hAnsi="Arial"/>
                <w:sz w:val="15"/>
                <w:szCs w:val="15"/>
                <w:b w:val="1"/>
                <w:bCs w:val="1"/>
                <w:color w:val="auto"/>
              </w:rPr>
              <w:t>to</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gridSpan w:val="4"/>
          </w:tcPr>
          <w:p>
            <w:pPr>
              <w:jc w:val="center"/>
              <w:spacing w:after="0"/>
              <w:rPr>
                <w:sz w:val="20"/>
                <w:szCs w:val="20"/>
                <w:color w:val="auto"/>
              </w:rPr>
            </w:pPr>
            <w:r>
              <w:rPr>
                <w:rFonts w:ascii="Arial" w:cs="Arial" w:eastAsia="Arial" w:hAnsi="Arial"/>
                <w:sz w:val="15"/>
                <w:szCs w:val="15"/>
                <w:b w:val="1"/>
                <w:bCs w:val="1"/>
                <w:color w:val="auto"/>
                <w:w w:val="92"/>
              </w:rPr>
              <w:t>Commission File Number: 001-37708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1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500" w:type="dxa"/>
            <w:vAlign w:val="bottom"/>
            <w:vMerge w:val="restart"/>
          </w:tcPr>
          <w:p>
            <w:pPr>
              <w:ind w:left="80"/>
              <w:spacing w:after="0"/>
              <w:rPr>
                <w:sz w:val="20"/>
                <w:szCs w:val="20"/>
                <w:color w:val="auto"/>
              </w:rPr>
            </w:pPr>
            <w:r>
              <w:rPr>
                <w:rFonts w:ascii="Arial" w:cs="Arial" w:eastAsia="Arial" w:hAnsi="Arial"/>
                <w:sz w:val="43"/>
                <w:szCs w:val="43"/>
                <w:b w:val="1"/>
                <w:bCs w:val="1"/>
                <w:color w:val="auto"/>
                <w:w w:val="91"/>
              </w:rPr>
              <w:t>Syndax</w:t>
            </w:r>
          </w:p>
        </w:tc>
        <w:tc>
          <w:tcPr>
            <w:tcW w:w="8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820" w:type="dxa"/>
            <w:vAlign w:val="bottom"/>
            <w:gridSpan w:val="4"/>
            <w:vMerge w:val="restart"/>
          </w:tcPr>
          <w:p>
            <w:pPr>
              <w:ind w:left="700"/>
              <w:spacing w:after="0"/>
              <w:rPr>
                <w:sz w:val="20"/>
                <w:szCs w:val="20"/>
                <w:color w:val="auto"/>
              </w:rPr>
            </w:pPr>
            <w:r>
              <w:rPr>
                <w:rFonts w:ascii="Arial" w:cs="Arial" w:eastAsia="Arial" w:hAnsi="Arial"/>
                <w:sz w:val="43"/>
                <w:szCs w:val="43"/>
                <w:b w:val="1"/>
                <w:bCs w:val="1"/>
                <w:color w:val="auto"/>
              </w:rPr>
              <w:t>Inc.</w:t>
            </w:r>
          </w:p>
        </w:tc>
        <w:tc>
          <w:tcPr>
            <w:tcW w:w="0" w:type="dxa"/>
            <w:vAlign w:val="bottom"/>
          </w:tcPr>
          <w:p>
            <w:pPr>
              <w:spacing w:after="0"/>
              <w:rPr>
                <w:sz w:val="1"/>
                <w:szCs w:val="1"/>
                <w:color w:val="auto"/>
              </w:rPr>
            </w:pPr>
          </w:p>
        </w:tc>
      </w:tr>
      <w:tr>
        <w:trPr>
          <w:trHeight w:val="479"/>
        </w:trPr>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640" w:type="dxa"/>
            <w:vAlign w:val="bottom"/>
            <w:gridSpan w:val="4"/>
          </w:tcPr>
          <w:p>
            <w:pPr>
              <w:jc w:val="right"/>
              <w:spacing w:after="0" w:line="478" w:lineRule="exact"/>
              <w:rPr>
                <w:sz w:val="20"/>
                <w:szCs w:val="20"/>
                <w:color w:val="auto"/>
              </w:rPr>
            </w:pPr>
            <w:r>
              <w:rPr>
                <w:rFonts w:ascii="Arial" w:cs="Arial" w:eastAsia="Arial" w:hAnsi="Arial"/>
                <w:sz w:val="43"/>
                <w:szCs w:val="43"/>
                <w:b w:val="1"/>
                <w:bCs w:val="1"/>
                <w:color w:val="auto"/>
                <w:w w:val="74"/>
              </w:rPr>
              <w:t>Pharmaceuticals,</w:t>
            </w:r>
          </w:p>
        </w:tc>
        <w:tc>
          <w:tcPr>
            <w:tcW w:w="382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740" w:type="dxa"/>
            <w:vAlign w:val="bottom"/>
            <w:gridSpan w:val="8"/>
          </w:tcPr>
          <w:p>
            <w:pPr>
              <w:jc w:val="center"/>
              <w:ind w:left="782"/>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460" w:type="dxa"/>
            <w:vAlign w:val="bottom"/>
            <w:gridSpan w:val="2"/>
          </w:tcPr>
          <w:p>
            <w:pPr>
              <w:jc w:val="center"/>
              <w:ind w:left="409"/>
              <w:spacing w:after="0"/>
              <w:rPr>
                <w:sz w:val="20"/>
                <w:szCs w:val="20"/>
                <w:color w:val="auto"/>
              </w:rPr>
            </w:pPr>
            <w:r>
              <w:rPr>
                <w:rFonts w:ascii="Arial" w:cs="Arial" w:eastAsia="Arial" w:hAnsi="Arial"/>
                <w:sz w:val="15"/>
                <w:szCs w:val="15"/>
                <w:b w:val="1"/>
                <w:bCs w:val="1"/>
                <w:color w:val="auto"/>
                <w:w w:val="94"/>
              </w:rPr>
              <w:t>Delaware</w:t>
            </w:r>
          </w:p>
        </w:tc>
        <w:tc>
          <w:tcPr>
            <w:tcW w:w="3720" w:type="dxa"/>
            <w:vAlign w:val="bottom"/>
            <w:gridSpan w:val="3"/>
          </w:tcPr>
          <w:p>
            <w:pPr>
              <w:jc w:val="center"/>
              <w:ind w:left="1802"/>
              <w:spacing w:after="0"/>
              <w:rPr>
                <w:sz w:val="20"/>
                <w:szCs w:val="20"/>
                <w:color w:val="auto"/>
              </w:rPr>
            </w:pPr>
            <w:r>
              <w:rPr>
                <w:rFonts w:ascii="Arial" w:cs="Arial" w:eastAsia="Arial" w:hAnsi="Arial"/>
                <w:sz w:val="15"/>
                <w:szCs w:val="15"/>
                <w:b w:val="1"/>
                <w:bCs w:val="1"/>
                <w:color w:val="auto"/>
                <w:w w:val="89"/>
              </w:rPr>
              <w:t>2834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20" w:type="dxa"/>
            <w:vAlign w:val="bottom"/>
          </w:tcPr>
          <w:p>
            <w:pPr>
              <w:jc w:val="center"/>
              <w:ind w:left="451"/>
              <w:spacing w:after="0"/>
              <w:rPr>
                <w:sz w:val="20"/>
                <w:szCs w:val="20"/>
                <w:color w:val="auto"/>
              </w:rPr>
            </w:pPr>
            <w:r>
              <w:rPr>
                <w:rFonts w:ascii="Arial" w:cs="Arial" w:eastAsia="Arial" w:hAnsi="Arial"/>
                <w:sz w:val="15"/>
                <w:szCs w:val="15"/>
                <w:b w:val="1"/>
                <w:bCs w:val="1"/>
                <w:color w:val="auto"/>
                <w:w w:val="92"/>
              </w:rPr>
              <w:t>32-0162505</w:t>
            </w:r>
          </w:p>
        </w:tc>
        <w:tc>
          <w:tcPr>
            <w:tcW w:w="0" w:type="dxa"/>
            <w:vAlign w:val="bottom"/>
          </w:tcPr>
          <w:p>
            <w:pPr>
              <w:spacing w:after="0"/>
              <w:rPr>
                <w:sz w:val="1"/>
                <w:szCs w:val="1"/>
                <w:color w:val="auto"/>
              </w:rPr>
            </w:pPr>
          </w:p>
        </w:tc>
      </w:tr>
      <w:tr>
        <w:trPr>
          <w:trHeight w:val="149"/>
        </w:trPr>
        <w:tc>
          <w:tcPr>
            <w:tcW w:w="2460" w:type="dxa"/>
            <w:vAlign w:val="bottom"/>
            <w:gridSpan w:val="2"/>
          </w:tcPr>
          <w:p>
            <w:pPr>
              <w:jc w:val="center"/>
              <w:ind w:left="409"/>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20" w:type="dxa"/>
            <w:vAlign w:val="bottom"/>
          </w:tcPr>
          <w:p>
            <w:pPr>
              <w:jc w:val="center"/>
              <w:ind w:left="451"/>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1"/>
        </w:trPr>
        <w:tc>
          <w:tcPr>
            <w:tcW w:w="2460" w:type="dxa"/>
            <w:vAlign w:val="bottom"/>
            <w:gridSpan w:val="2"/>
          </w:tcPr>
          <w:p>
            <w:pPr>
              <w:jc w:val="center"/>
              <w:ind w:left="409"/>
              <w:spacing w:after="0"/>
              <w:rPr>
                <w:sz w:val="20"/>
                <w:szCs w:val="20"/>
                <w:color w:val="auto"/>
              </w:rPr>
            </w:pPr>
            <w:r>
              <w:rPr>
                <w:rFonts w:ascii="Arial" w:cs="Arial" w:eastAsia="Arial" w:hAnsi="Arial"/>
                <w:sz w:val="14"/>
                <w:szCs w:val="14"/>
                <w:b w:val="1"/>
                <w:bCs w:val="1"/>
                <w:color w:val="auto"/>
                <w:w w:val="89"/>
              </w:rPr>
              <w:t>Incorporation or Organization)</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jc w:val="center"/>
              <w:ind w:left="248"/>
              <w:spacing w:after="0"/>
              <w:rPr>
                <w:sz w:val="20"/>
                <w:szCs w:val="20"/>
                <w:color w:val="auto"/>
              </w:rPr>
            </w:pPr>
            <w:r>
              <w:rPr>
                <w:rFonts w:ascii="Arial" w:cs="Arial" w:eastAsia="Arial" w:hAnsi="Arial"/>
                <w:sz w:val="14"/>
                <w:szCs w:val="14"/>
                <w:b w:val="1"/>
                <w:bCs w:val="1"/>
                <w:color w:val="auto"/>
                <w:w w:val="86"/>
              </w:rPr>
              <w:t>Classification Code Number)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20" w:type="dxa"/>
            <w:vAlign w:val="bottom"/>
          </w:tcPr>
          <w:p>
            <w:pPr>
              <w:jc w:val="center"/>
              <w:ind w:left="451"/>
              <w:spacing w:after="0"/>
              <w:rPr>
                <w:sz w:val="20"/>
                <w:szCs w:val="20"/>
                <w:color w:val="auto"/>
              </w:rPr>
            </w:pPr>
            <w:r>
              <w:rPr>
                <w:rFonts w:ascii="Arial" w:cs="Arial" w:eastAsia="Arial" w:hAnsi="Arial"/>
                <w:sz w:val="14"/>
                <w:szCs w:val="14"/>
                <w:b w:val="1"/>
                <w:bCs w:val="1"/>
                <w:color w:val="auto"/>
                <w:w w:val="90"/>
              </w:rPr>
              <w:t>Identification Number)</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740" w:type="dxa"/>
            <w:vAlign w:val="bottom"/>
            <w:gridSpan w:val="5"/>
          </w:tcPr>
          <w:p>
            <w:pPr>
              <w:jc w:val="center"/>
              <w:spacing w:after="0"/>
              <w:rPr>
                <w:sz w:val="20"/>
                <w:szCs w:val="20"/>
                <w:color w:val="auto"/>
              </w:rPr>
            </w:pPr>
            <w:r>
              <w:rPr>
                <w:rFonts w:ascii="Arial" w:cs="Arial" w:eastAsia="Arial" w:hAnsi="Arial"/>
                <w:sz w:val="15"/>
                <w:szCs w:val="15"/>
                <w:b w:val="1"/>
                <w:bCs w:val="1"/>
                <w:color w:val="auto"/>
                <w:w w:val="92"/>
              </w:rPr>
              <w:t>35 Gatehouse Drive, Building D, Floor 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4"/>
          </w:tcPr>
          <w:p>
            <w:pPr>
              <w:jc w:val="center"/>
              <w:spacing w:after="0"/>
              <w:rPr>
                <w:sz w:val="20"/>
                <w:szCs w:val="20"/>
                <w:color w:val="auto"/>
              </w:rPr>
            </w:pPr>
            <w:r>
              <w:rPr>
                <w:rFonts w:ascii="Arial" w:cs="Arial" w:eastAsia="Arial" w:hAnsi="Arial"/>
                <w:sz w:val="15"/>
                <w:szCs w:val="15"/>
                <w:b w:val="1"/>
                <w:bCs w:val="1"/>
                <w:color w:val="auto"/>
                <w:w w:val="90"/>
              </w:rPr>
              <w:t>Waltham, Massachusetts 02451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20" w:type="dxa"/>
            <w:vAlign w:val="bottom"/>
            <w:gridSpan w:val="3"/>
          </w:tcPr>
          <w:p>
            <w:pPr>
              <w:jc w:val="center"/>
              <w:ind w:left="1822"/>
              <w:spacing w:after="0"/>
              <w:rPr>
                <w:sz w:val="20"/>
                <w:szCs w:val="20"/>
                <w:color w:val="auto"/>
              </w:rPr>
            </w:pPr>
            <w:r>
              <w:rPr>
                <w:rFonts w:ascii="Arial" w:cs="Arial" w:eastAsia="Arial" w:hAnsi="Arial"/>
                <w:sz w:val="15"/>
                <w:szCs w:val="15"/>
                <w:b w:val="1"/>
                <w:bCs w:val="1"/>
                <w:color w:val="auto"/>
                <w:w w:val="93"/>
              </w:rPr>
              <w:t>(781) 419-1400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9020" w:type="dxa"/>
            <w:vAlign w:val="bottom"/>
            <w:gridSpan w:val="10"/>
          </w:tcPr>
          <w:p>
            <w:pPr>
              <w:jc w:val="center"/>
              <w:ind w:right="1211"/>
              <w:spacing w:after="0"/>
              <w:rPr>
                <w:sz w:val="20"/>
                <w:szCs w:val="20"/>
                <w:color w:val="auto"/>
              </w:rPr>
            </w:pPr>
            <w:r>
              <w:rPr>
                <w:rFonts w:ascii="Arial" w:cs="Arial" w:eastAsia="Arial" w:hAnsi="Arial"/>
                <w:sz w:val="14"/>
                <w:szCs w:val="14"/>
                <w:b w:val="1"/>
                <w:bCs w:val="1"/>
                <w:color w:val="auto"/>
                <w:w w:val="87"/>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740" w:type="dxa"/>
            <w:vAlign w:val="bottom"/>
            <w:gridSpan w:val="8"/>
          </w:tcPr>
          <w:p>
            <w:pPr>
              <w:jc w:val="center"/>
              <w:ind w:left="782"/>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00" w:type="dxa"/>
            <w:vAlign w:val="bottom"/>
          </w:tcPr>
          <w:p>
            <w:pPr>
              <w:spacing w:after="0"/>
              <w:rPr>
                <w:sz w:val="18"/>
                <w:szCs w:val="18"/>
                <w:color w:val="auto"/>
              </w:rPr>
            </w:pPr>
          </w:p>
        </w:tc>
        <w:tc>
          <w:tcPr>
            <w:tcW w:w="2640" w:type="dxa"/>
            <w:vAlign w:val="bottom"/>
            <w:tcBorders>
              <w:bottom w:val="single" w:sz="8" w:color="auto"/>
            </w:tcBorders>
            <w:gridSpan w:val="3"/>
          </w:tcPr>
          <w:p>
            <w:pPr>
              <w:jc w:val="center"/>
              <w:ind w:right="454"/>
              <w:spacing w:after="0"/>
              <w:rPr>
                <w:sz w:val="20"/>
                <w:szCs w:val="20"/>
                <w:color w:val="auto"/>
              </w:rPr>
            </w:pPr>
            <w:r>
              <w:rPr>
                <w:rFonts w:ascii="Arial" w:cs="Arial" w:eastAsia="Arial" w:hAnsi="Arial"/>
                <w:sz w:val="14"/>
                <w:szCs w:val="14"/>
                <w:b w:val="1"/>
                <w:bCs w:val="1"/>
                <w:color w:val="auto"/>
                <w:w w:val="93"/>
              </w:rPr>
              <w:t>Title of Each Class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66"/>
        </w:trPr>
        <w:tc>
          <w:tcPr>
            <w:tcW w:w="6180" w:type="dxa"/>
            <w:vAlign w:val="bottom"/>
            <w:gridSpan w:val="5"/>
          </w:tcPr>
          <w:p>
            <w:pPr>
              <w:jc w:val="center"/>
              <w:ind w:right="1248"/>
              <w:spacing w:after="0"/>
              <w:rPr>
                <w:sz w:val="20"/>
                <w:szCs w:val="20"/>
                <w:color w:val="auto"/>
              </w:rPr>
            </w:pPr>
            <w:r>
              <w:rPr>
                <w:rFonts w:ascii="Arial" w:cs="Arial" w:eastAsia="Arial" w:hAnsi="Arial"/>
                <w:sz w:val="16"/>
                <w:szCs w:val="16"/>
                <w:b w:val="1"/>
                <w:bCs w:val="1"/>
                <w:color w:val="auto"/>
                <w:w w:val="91"/>
              </w:rPr>
              <w:t>Common Stock, par value $0.0001 per share</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gridSpan w:val="2"/>
          </w:tcPr>
          <w:p>
            <w:pPr>
              <w:ind w:left="160"/>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60" w:type="dxa"/>
            <w:vAlign w:val="bottom"/>
            <w:gridSpan w:val="9"/>
          </w:tcPr>
          <w:p>
            <w:pPr>
              <w:jc w:val="center"/>
              <w:ind w:right="2251"/>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0" w:type="dxa"/>
            <w:vAlign w:val="bottom"/>
          </w:tcPr>
          <w:p>
            <w:pPr>
              <w:spacing w:after="0"/>
              <w:rPr>
                <w:sz w:val="1"/>
                <w:szCs w:val="1"/>
                <w:color w:val="auto"/>
              </w:rPr>
            </w:pPr>
          </w:p>
        </w:tc>
      </w:tr>
      <w:tr>
        <w:trPr>
          <w:trHeight w:val="114"/>
        </w:trPr>
        <w:tc>
          <w:tcPr>
            <w:tcW w:w="3960" w:type="dxa"/>
            <w:vAlign w:val="bottom"/>
            <w:gridSpan w:val="3"/>
          </w:tcPr>
          <w:p>
            <w:pPr>
              <w:spacing w:after="0"/>
              <w:rPr>
                <w:sz w:val="9"/>
                <w:szCs w:val="9"/>
                <w:color w:val="auto"/>
              </w:rPr>
            </w:pPr>
          </w:p>
        </w:tc>
        <w:tc>
          <w:tcPr>
            <w:tcW w:w="2640" w:type="dxa"/>
            <w:vAlign w:val="bottom"/>
            <w:tcBorders>
              <w:bottom w:val="single" w:sz="8" w:color="auto"/>
            </w:tcBorders>
            <w:gridSpan w:val="4"/>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spacing w:after="0"/>
              <w:rPr>
                <w:sz w:val="9"/>
                <w:szCs w:val="9"/>
                <w:color w:val="auto"/>
              </w:rPr>
            </w:pPr>
          </w:p>
        </w:tc>
        <w:tc>
          <w:tcPr>
            <w:tcW w:w="322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4"/>
        </w:trPr>
        <w:tc>
          <w:tcPr>
            <w:tcW w:w="6700" w:type="dxa"/>
            <w:vAlign w:val="bottom"/>
            <w:gridSpan w:val="8"/>
          </w:tcPr>
          <w:p>
            <w:pPr>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  Yes</w:t>
            </w:r>
          </w:p>
        </w:tc>
        <w:tc>
          <w:tcPr>
            <w:tcW w:w="260" w:type="dxa"/>
            <w:vAlign w:val="bottom"/>
            <w:vMerge w:val="continue"/>
          </w:tcPr>
          <w:p>
            <w:pPr>
              <w:spacing w:after="0"/>
              <w:rPr>
                <w:sz w:val="15"/>
                <w:szCs w:val="15"/>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No</w:t>
            </w:r>
          </w:p>
        </w:tc>
        <w:tc>
          <w:tcPr>
            <w:tcW w:w="3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700" w:type="dxa"/>
            <w:vAlign w:val="bottom"/>
            <w:gridSpan w:val="8"/>
          </w:tcPr>
          <w:p>
            <w:pPr>
              <w:jc w:val="right"/>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15(d) of the Securities Act.</w:t>
            </w:r>
          </w:p>
        </w:tc>
        <w:tc>
          <w:tcPr>
            <w:tcW w:w="260" w:type="dxa"/>
            <w:vAlign w:val="bottom"/>
          </w:tcPr>
          <w:p>
            <w:pPr>
              <w:ind w:left="20"/>
              <w:spacing w:after="0"/>
              <w:rPr>
                <w:sz w:val="20"/>
                <w:szCs w:val="20"/>
                <w:color w:val="auto"/>
              </w:rPr>
            </w:pPr>
            <w:r>
              <w:rPr>
                <w:rFonts w:ascii="Arial" w:cs="Arial" w:eastAsia="Arial" w:hAnsi="Arial"/>
                <w:sz w:val="14"/>
                <w:szCs w:val="14"/>
                <w:color w:val="auto"/>
                <w:w w:val="90"/>
              </w:rPr>
              <w:t>Yes</w:t>
            </w:r>
          </w:p>
        </w:tc>
        <w:tc>
          <w:tcPr>
            <w:tcW w:w="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2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ind w:right="320" w:firstLine="439"/>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439"/>
        <w:spacing w:after="0" w:line="162"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 w:lineRule="exact"/>
        <w:rPr>
          <w:sz w:val="24"/>
          <w:szCs w:val="24"/>
          <w:color w:val="auto"/>
        </w:rPr>
      </w:pPr>
    </w:p>
    <w:p>
      <w:pPr>
        <w:ind w:firstLine="439"/>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 w:lineRule="exact"/>
        <w:rPr>
          <w:sz w:val="24"/>
          <w:szCs w:val="24"/>
          <w:color w:val="auto"/>
        </w:rPr>
      </w:pPr>
    </w:p>
    <w:p>
      <w:pPr>
        <w:ind w:right="60" w:firstLine="439"/>
        <w:spacing w:after="0" w:line="27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0" w:type="dxa"/>
        <w:tblCellMar>
          <w:top w:w="0" w:type="dxa"/>
          <w:left w:w="0" w:type="dxa"/>
          <w:bottom w:w="0" w:type="dxa"/>
          <w:right w:w="0" w:type="dxa"/>
        </w:tblCellMar>
      </w:tblPr>
      <w:tr>
        <w:trPr>
          <w:trHeight w:val="194"/>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18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5060" w:type="dxa"/>
            <w:vAlign w:val="bottom"/>
          </w:tcPr>
          <w:p>
            <w:pPr>
              <w:ind w:left="4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760" w:type="dxa"/>
            <w:vAlign w:val="bottom"/>
          </w:tcPr>
          <w:p>
            <w:pPr>
              <w:ind w:left="18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9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5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ind w:right="400" w:firstLine="439"/>
        <w:spacing w:after="0" w:line="16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40"/>
        <w:spacing w:after="0" w:line="161" w:lineRule="exact"/>
        <w:tabs>
          <w:tab w:leader="none" w:pos="6700" w:val="left"/>
          <w:tab w:leader="none" w:pos="722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28" w:lineRule="exact"/>
        <w:rPr>
          <w:sz w:val="24"/>
          <w:szCs w:val="24"/>
          <w:color w:val="auto"/>
        </w:rPr>
      </w:pPr>
    </w:p>
    <w:p>
      <w:pPr>
        <w:ind w:firstLine="439"/>
        <w:spacing w:after="0" w:line="226" w:lineRule="auto"/>
        <w:rPr>
          <w:sz w:val="20"/>
          <w:szCs w:val="20"/>
          <w:color w:val="auto"/>
        </w:rPr>
      </w:pPr>
      <w:r>
        <w:rPr>
          <w:rFonts w:ascii="Arial" w:cs="Arial" w:eastAsia="Arial" w:hAnsi="Arial"/>
          <w:sz w:val="14"/>
          <w:szCs w:val="14"/>
          <w:color w:val="auto"/>
        </w:rPr>
        <w:t>As of June 30, 2017, the last day of the registrant’s most recently completed second fiscal quarter, the aggregate market value of the Common Stock held by non-affiliates of the registrant was approximately $117.1 million, based on the closing price of the registrant’s common stock on June 30, 2017.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18" w:lineRule="exact"/>
        <w:rPr>
          <w:sz w:val="24"/>
          <w:szCs w:val="24"/>
          <w:color w:val="auto"/>
        </w:rPr>
      </w:pPr>
    </w:p>
    <w:p>
      <w:pPr>
        <w:ind w:left="440"/>
        <w:spacing w:after="0"/>
        <w:rPr>
          <w:sz w:val="20"/>
          <w:szCs w:val="20"/>
          <w:color w:val="auto"/>
        </w:rPr>
      </w:pPr>
      <w:r>
        <w:rPr>
          <w:rFonts w:ascii="Arial" w:cs="Arial" w:eastAsia="Arial" w:hAnsi="Arial"/>
          <w:sz w:val="14"/>
          <w:szCs w:val="14"/>
          <w:color w:val="auto"/>
        </w:rPr>
        <w:t>As of March 5, 2018, there were 24,697,944 shares of common stock outstanding.</w:t>
      </w:r>
    </w:p>
    <w:p>
      <w:pPr>
        <w:spacing w:after="0" w:line="26"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right="320" w:firstLine="447"/>
        <w:spacing w:after="0" w:line="318" w:lineRule="auto"/>
        <w:rPr>
          <w:sz w:val="20"/>
          <w:szCs w:val="20"/>
          <w:color w:val="auto"/>
        </w:rPr>
      </w:pPr>
      <w:r>
        <w:rPr>
          <w:rFonts w:ascii="Arial" w:cs="Arial" w:eastAsia="Arial" w:hAnsi="Arial"/>
          <w:sz w:val="12"/>
          <w:szCs w:val="12"/>
          <w:color w:val="auto"/>
        </w:rPr>
        <w:t>Portions of the registrant’s definitive proxy statement for its 2018 Annual Meeting of Stockholders, which the registrant intends to file pursuant to Regulation 14A with the Securities and Exchange Commission not later than 120 days after the registrant’s fiscal year ended December 31, 2017,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121920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16"/>
          </w:tcPr>
          <w:p>
            <w:pPr>
              <w:ind w:left="46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r>
      <w:tr>
        <w:trPr>
          <w:trHeight w:val="675"/>
        </w:trPr>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183"/>
        </w:trPr>
        <w:tc>
          <w:tcPr>
            <w:tcW w:w="10900" w:type="dxa"/>
            <w:vAlign w:val="bottom"/>
            <w:gridSpan w:val="30"/>
          </w:tcPr>
          <w:p>
            <w:pPr>
              <w:spacing w:after="0" w:line="18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SPECIAL NOTE REGARDING FORWARD-LOOKING STATEMENTS</w:t>
              </w:r>
            </w:hyperlink>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r>
      <w:tr>
        <w:trPr>
          <w:trHeight w:val="20"/>
        </w:trPr>
        <w:tc>
          <w:tcPr>
            <w:tcW w:w="9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39"/>
        </w:trPr>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gridSpan w:val="13"/>
          </w:tcPr>
          <w:p>
            <w:pPr>
              <w:jc w:val="center"/>
              <w:ind w:right="512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41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18"/>
                <w:szCs w:val="18"/>
                <w:color w:val="auto"/>
              </w:rPr>
            </w:pPr>
          </w:p>
        </w:tc>
        <w:tc>
          <w:tcPr>
            <w:tcW w:w="5160" w:type="dxa"/>
            <w:vAlign w:val="bottom"/>
            <w:gridSpan w:val="9"/>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9920" w:type="dxa"/>
            <w:vAlign w:val="bottom"/>
            <w:gridSpan w:val="2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9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1B.</w:t>
            </w:r>
          </w:p>
        </w:tc>
        <w:tc>
          <w:tcPr>
            <w:tcW w:w="9920" w:type="dxa"/>
            <w:vAlign w:val="bottom"/>
            <w:gridSpan w:val="2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Unresolved Staff Comments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70">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8"/>
                <w:szCs w:val="18"/>
                <w:color w:val="auto"/>
              </w:rPr>
            </w:pPr>
          </w:p>
        </w:tc>
        <w:tc>
          <w:tcPr>
            <w:tcW w:w="7880" w:type="dxa"/>
            <w:vAlign w:val="bottom"/>
            <w:gridSpan w:val="19"/>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Legal Proceedings</w:t>
              </w:r>
            </w:hyperlink>
          </w:p>
        </w:tc>
        <w:tc>
          <w:tcPr>
            <w:tcW w:w="8580" w:type="dxa"/>
            <w:vAlign w:val="bottom"/>
            <w:gridSpan w:val="24"/>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2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9"/>
        </w:trPr>
        <w:tc>
          <w:tcPr>
            <w:tcW w:w="9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w:t>
              </w:r>
            </w:hyperlink>
          </w:p>
        </w:tc>
        <w:tc>
          <w:tcPr>
            <w:tcW w:w="51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9920" w:type="dxa"/>
            <w:vAlign w:val="bottom"/>
            <w:gridSpan w:val="2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Market for Registrant’s Common Equity, Related Stockholder Matters and Issuers Purchases of Equity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8140" w:type="dxa"/>
            <w:vAlign w:val="bottom"/>
            <w:tcBorders>
              <w:top w:val="single" w:sz="8" w:color="0000EE"/>
            </w:tcBorders>
            <w:gridSpan w:val="2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Selected Financial Data</w:t>
              </w:r>
            </w:hyperlink>
          </w:p>
        </w:tc>
        <w:tc>
          <w:tcPr>
            <w:tcW w:w="1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9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Management’s Discussion and Analysis of Financial Condition and Results of Operations</w:t>
              </w:r>
            </w:hyperlink>
          </w:p>
        </w:tc>
        <w:tc>
          <w:tcPr>
            <w:tcW w:w="3460" w:type="dxa"/>
            <w:vAlign w:val="bottom"/>
            <w:gridSpan w:val="4"/>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7A.</w:t>
            </w:r>
          </w:p>
        </w:tc>
        <w:tc>
          <w:tcPr>
            <w:tcW w:w="992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Financial Statements and Supplementary Data</w:t>
              </w:r>
            </w:hyperlink>
          </w:p>
        </w:tc>
        <w:tc>
          <w:tcPr>
            <w:tcW w:w="5620" w:type="dxa"/>
            <w:vAlign w:val="bottom"/>
            <w:gridSpan w:val="11"/>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9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Changes in and Disagreements with Accountants on Accounting and Financial Disclosure</w:t>
              </w:r>
            </w:hyperlink>
          </w:p>
        </w:tc>
        <w:tc>
          <w:tcPr>
            <w:tcW w:w="3440" w:type="dxa"/>
            <w:vAlign w:val="bottom"/>
            <w:gridSpan w:val="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Controls and Procedures</w:t>
              </w:r>
            </w:hyperlink>
          </w:p>
        </w:tc>
        <w:tc>
          <w:tcPr>
            <w:tcW w:w="8140" w:type="dxa"/>
            <w:vAlign w:val="bottom"/>
            <w:gridSpan w:val="21"/>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9B.</w:t>
            </w:r>
          </w:p>
        </w:tc>
        <w:tc>
          <w:tcPr>
            <w:tcW w:w="9920" w:type="dxa"/>
            <w:vAlign w:val="bottom"/>
            <w:gridSpan w:val="29"/>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9"/>
        </w:trPr>
        <w:tc>
          <w:tcPr>
            <w:tcW w:w="9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III</w:t>
              </w:r>
            </w:hyperlink>
          </w:p>
        </w:tc>
        <w:tc>
          <w:tcPr>
            <w:tcW w:w="508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Directors, Executive Officers and Corporate Governance</w:t>
              </w:r>
            </w:hyperlink>
          </w:p>
        </w:tc>
        <w:tc>
          <w:tcPr>
            <w:tcW w:w="5820" w:type="dxa"/>
            <w:vAlign w:val="bottom"/>
            <w:gridSpan w:val="15"/>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11.</w:t>
            </w:r>
          </w:p>
        </w:tc>
        <w:tc>
          <w:tcPr>
            <w:tcW w:w="9920" w:type="dxa"/>
            <w:vAlign w:val="bottom"/>
            <w:gridSpan w:val="2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Executive Compensation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98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Security Ownership of Certain Beneficial Owners and Management and Related Stockholder Matters</w:t>
              </w:r>
            </w:hyperlink>
          </w:p>
        </w:tc>
        <w:tc>
          <w:tcPr>
            <w:tcW w:w="262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Certain Relationships and Related Transactions, and Director Independence</w:t>
              </w:r>
            </w:hyperlink>
          </w:p>
        </w:tc>
        <w:tc>
          <w:tcPr>
            <w:tcW w:w="4460" w:type="dxa"/>
            <w:vAlign w:val="bottom"/>
            <w:gridSpan w:val="5"/>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14.</w:t>
            </w:r>
          </w:p>
        </w:tc>
        <w:tc>
          <w:tcPr>
            <w:tcW w:w="9920" w:type="dxa"/>
            <w:vAlign w:val="bottom"/>
            <w:gridSpan w:val="2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Principal Accountant Fees and Services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9"/>
        </w:trPr>
        <w:tc>
          <w:tcPr>
            <w:tcW w:w="9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14"/>
          </w:tcPr>
          <w:p>
            <w:pPr>
              <w:jc w:val="center"/>
              <w:ind w:right="5100"/>
              <w:spacing w:after="0"/>
              <w:rPr>
                <w:rFonts w:ascii="Arial" w:cs="Arial" w:eastAsia="Arial" w:hAnsi="Arial"/>
                <w:sz w:val="18"/>
                <w:szCs w:val="18"/>
                <w:b w:val="1"/>
                <w:bCs w:val="1"/>
                <w:color w:val="0000EE"/>
                <w:w w:val="98"/>
              </w:rPr>
            </w:pPr>
            <w:hyperlink w:anchor="page91">
              <w:r>
                <w:rPr>
                  <w:rFonts w:ascii="Arial" w:cs="Arial" w:eastAsia="Arial" w:hAnsi="Arial"/>
                  <w:sz w:val="18"/>
                  <w:szCs w:val="18"/>
                  <w:b w:val="1"/>
                  <w:bCs w:val="1"/>
                  <w:color w:val="0000EE"/>
                  <w:w w:val="98"/>
                </w:rPr>
                <w:t>PART IV</w:t>
              </w:r>
            </w:hyperlink>
          </w:p>
        </w:tc>
        <w:tc>
          <w:tcPr>
            <w:tcW w:w="520" w:type="dxa"/>
            <w:vAlign w:val="bottom"/>
          </w:tcPr>
          <w:p>
            <w:pPr>
              <w:spacing w:after="0"/>
              <w:rPr>
                <w:sz w:val="24"/>
                <w:szCs w:val="24"/>
                <w:color w:val="auto"/>
              </w:rPr>
            </w:pP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Exhibits and Financial Statement Schedules</w:t>
              </w:r>
            </w:hyperlink>
          </w:p>
        </w:tc>
        <w:tc>
          <w:tcPr>
            <w:tcW w:w="960" w:type="dxa"/>
            <w:vAlign w:val="bottom"/>
            <w:gridSpan w:val="3"/>
          </w:tcPr>
          <w:p>
            <w:pPr>
              <w:spacing w:after="0"/>
              <w:rPr>
                <w:sz w:val="18"/>
                <w:szCs w:val="18"/>
                <w:color w:val="auto"/>
              </w:rPr>
            </w:pPr>
          </w:p>
        </w:tc>
        <w:tc>
          <w:tcPr>
            <w:tcW w:w="700" w:type="dxa"/>
            <w:vAlign w:val="bottom"/>
            <w:tcBorders>
              <w:top w:val="single" w:sz="8" w:color="0000EE"/>
            </w:tcBorders>
            <w:gridSpan w:val="7"/>
          </w:tcPr>
          <w:p>
            <w:pPr>
              <w:spacing w:after="0"/>
              <w:rPr>
                <w:sz w:val="18"/>
                <w:szCs w:val="18"/>
                <w:color w:val="auto"/>
              </w:rPr>
            </w:pPr>
          </w:p>
        </w:tc>
        <w:tc>
          <w:tcPr>
            <w:tcW w:w="5100" w:type="dxa"/>
            <w:vAlign w:val="bottom"/>
            <w:gridSpan w:val="7"/>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0"/>
        </w:trPr>
        <w:tc>
          <w:tcPr>
            <w:tcW w:w="98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Form 10-K Summary</w:t>
              </w:r>
            </w:hyperlink>
          </w:p>
        </w:tc>
        <w:tc>
          <w:tcPr>
            <w:tcW w:w="8360" w:type="dxa"/>
            <w:vAlign w:val="bottom"/>
            <w:gridSpan w:val="23"/>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1b/2 clinical trials of entinostat in lung cancer, melanoma, microsatellite stable colorectal cancer, ovarian cancer and triple negative breast cancer;</w:t>
      </w:r>
    </w:p>
    <w:p>
      <w:pPr>
        <w:spacing w:after="0" w:line="62"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3 clinical trial of entinostat in advanced hormone receptor positive, or HR+, human epidermal growth factor receptor 2 negative, or HER2-, breast cancer;</w:t>
      </w:r>
    </w:p>
    <w:p>
      <w:pPr>
        <w:spacing w:after="0" w:line="62" w:lineRule="exact"/>
        <w:rPr>
          <w:rFonts w:ascii="Arial" w:cs="Arial" w:eastAsia="Arial" w:hAnsi="Arial"/>
          <w:sz w:val="18"/>
          <w:szCs w:val="18"/>
          <w:color w:val="auto"/>
        </w:rPr>
      </w:pPr>
    </w:p>
    <w:p>
      <w:pPr>
        <w:ind w:left="1200" w:right="44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Phase 1 clinical trial of SNDX-6352 and the potential use of SNDX-6352 to treat various cancer indications;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timing of the commencement, progress and receipt of data from any other clinical trials that we and our collaborators may conduct;</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w:t>
      </w:r>
    </w:p>
    <w:p>
      <w:pPr>
        <w:spacing w:after="0" w:line="117" w:lineRule="exact"/>
        <w:rPr>
          <w:rFonts w:ascii="Arial" w:cs="Arial" w:eastAsia="Arial" w:hAnsi="Arial"/>
          <w:sz w:val="18"/>
          <w:szCs w:val="18"/>
          <w:color w:val="auto"/>
        </w:rPr>
      </w:pPr>
    </w:p>
    <w:p>
      <w:pPr>
        <w:ind w:left="1200" w:right="58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use of entinostat to treat additional tumor types, including head and neck, bladder and renal cells;</w:t>
      </w:r>
    </w:p>
    <w:p>
      <w:pPr>
        <w:spacing w:after="0" w:line="117"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Kyowa Hakko Kirin Co., Ltd., UCB Biopharma Sprl and Vitae Pharmaceuticals, Inc.;</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Factors that may cause actual results to differ materially from current expectations include, among other things, those set forth in Part I, Item 1A, “Risk Factors,” below and for the reasons described elsewhere in this Annual Report on Form 10-K. Any forward-looking statement in this Annual Report on Form 10-K reflects our current view with respect to future events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firstLine="598"/>
        <w:spacing w:after="0" w:line="272"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w:t>
      </w:r>
    </w:p>
    <w:p>
      <w:pPr>
        <w:spacing w:after="0" w:line="178"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In this Annual Report on Form 10-K, unless otherwise stated or as the context otherwise requires, references to “Syndax,” “the Company,” “we,” “us,” “our” and similar references refer to Syndax Pharmaceuticals, Inc. and its wholly owned subsidiaries. This Annual Report on Form 10-K also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 xml:space="preserve">We are a clinical stage biopharmaceutical company developing an innovative pipeline of cancer therapies. Our lead product candidate, entinostat is a once-weekly, oral, small molecule, Class I HDAC inhibitor currently being evaluated in a Phase 3 clinical trial in combination with exemestane for advanced hormone receptor positive, or HR+, human epidermal growth factor receptor 2 negative, or HER2-, breast cancer, an indication for which it has been granted Breakthrough Therapy Designation by the FDA. Entinostat has been shown to block the function of immune suppressive cells in the tumor microenvironment, and is being evaluated in combination with several approved PD-1/PD-L1 antagonists, including in ongoing Phase 1b/2 clinical trials combining entinostat with </w:t>
      </w:r>
      <w:r>
        <w:rPr>
          <w:rFonts w:ascii="Arial" w:cs="Arial" w:eastAsia="Arial" w:hAnsi="Arial"/>
          <w:sz w:val="17"/>
          <w:szCs w:val="17"/>
          <w:i w:val="1"/>
          <w:iCs w:val="1"/>
          <w:color w:val="auto"/>
        </w:rPr>
        <w:t>Keytruda</w:t>
      </w:r>
      <w:r>
        <w:rPr>
          <w:rFonts w:ascii="Arial" w:cs="Arial" w:eastAsia="Arial" w:hAnsi="Arial"/>
          <w:sz w:val="14"/>
          <w:szCs w:val="14"/>
          <w:color w:val="auto"/>
        </w:rPr>
        <w:t>®</w:t>
      </w:r>
      <w:r>
        <w:rPr>
          <w:rFonts w:ascii="Arial" w:cs="Arial" w:eastAsia="Arial" w:hAnsi="Arial"/>
          <w:sz w:val="17"/>
          <w:szCs w:val="17"/>
          <w:color w:val="auto"/>
        </w:rPr>
        <w:t xml:space="preserve"> from Merck &amp; Co., Inc. for non-small cell lung cancer, melanoma and colorectal cancer; with </w:t>
      </w:r>
      <w:r>
        <w:rPr>
          <w:rFonts w:ascii="Arial" w:cs="Arial" w:eastAsia="Arial" w:hAnsi="Arial"/>
          <w:sz w:val="17"/>
          <w:szCs w:val="17"/>
          <w:i w:val="1"/>
          <w:iCs w:val="1"/>
          <w:color w:val="auto"/>
        </w:rPr>
        <w:t>Tecentriq</w:t>
      </w:r>
      <w:r>
        <w:rPr>
          <w:rFonts w:ascii="Arial" w:cs="Arial" w:eastAsia="Arial" w:hAnsi="Arial"/>
          <w:sz w:val="14"/>
          <w:szCs w:val="14"/>
          <w:color w:val="auto"/>
        </w:rPr>
        <w:t>®</w:t>
      </w:r>
      <w:r>
        <w:rPr>
          <w:rFonts w:ascii="Arial" w:cs="Arial" w:eastAsia="Arial" w:hAnsi="Arial"/>
          <w:sz w:val="17"/>
          <w:szCs w:val="17"/>
          <w:color w:val="auto"/>
        </w:rPr>
        <w:t xml:space="preserve"> from Genentech, Inc. for triple negative breast cancer as well as advanced hormone receptor positive, human epidermal growth factor receptor 2 negative breast cancer; and with </w:t>
      </w:r>
      <w:r>
        <w:rPr>
          <w:rFonts w:ascii="Arial" w:cs="Arial" w:eastAsia="Arial" w:hAnsi="Arial"/>
          <w:sz w:val="17"/>
          <w:szCs w:val="17"/>
          <w:i w:val="1"/>
          <w:iCs w:val="1"/>
          <w:color w:val="auto"/>
        </w:rPr>
        <w:t>Bavencio</w:t>
      </w:r>
      <w:r>
        <w:rPr>
          <w:rFonts w:ascii="Arial" w:cs="Arial" w:eastAsia="Arial" w:hAnsi="Arial"/>
          <w:sz w:val="14"/>
          <w:szCs w:val="14"/>
          <w:color w:val="auto"/>
        </w:rPr>
        <w:t>®</w:t>
      </w:r>
      <w:r>
        <w:rPr>
          <w:rFonts w:ascii="Arial" w:cs="Arial" w:eastAsia="Arial" w:hAnsi="Arial"/>
          <w:sz w:val="17"/>
          <w:szCs w:val="17"/>
          <w:color w:val="auto"/>
        </w:rPr>
        <w:t xml:space="preserve"> from Pfizer Inc. and Merck KGaA, Darmstadt, Germany, for ovarian cancer.</w:t>
      </w:r>
    </w:p>
    <w:p>
      <w:pPr>
        <w:spacing w:after="0" w:line="179"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Our second clinical stage product candidate, SNDX-6352, is a monoclonal antibody that targets the colony stimulating factor-1 receptor, or CSF-1R, a cell surface protein thought to control the survival and function of monocytes and macrophages. In many cancers, inhibition of CSF-1R will reduce the number of immunosuppressive TAMs and enable an immune response against tumors. We believe SNDX-6352 can provide meaningful clinical benefit to patients in one or more tumor types given its ability to enhance the body’s immune response against tumors that have shown sensitivity to immunotherapy. We commenced a Phase 1 clinical trial in cancer patients during the third quarter of 2017.</w:t>
      </w:r>
    </w:p>
    <w:p>
      <w:pPr>
        <w:spacing w:after="0" w:line="173"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We are also developing a portfolio of preclinical, orally-available, small molecule inhibitors of the interaction of Menin with the Mixed Lineage Leukemia, or MLL, protein, which we refer to as the Menin Assets, to potentially treat a genetically-defined subset of acute leukemias with chromosomal rearrangements in the MLL gene, or MLL-r.</w:t>
      </w:r>
    </w:p>
    <w:p>
      <w:pPr>
        <w:spacing w:after="0" w:line="181"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We plan to continue to leverage the technical and business expertise of our management team and scientific collaborators to license, acquire and develop additional cancer therapies to expand our pipeline.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We are developing entinostat, SNDX-6352 and the Menin Assets for use in multiple cancer and potentially other indications in combination with complementary therapeutic drugs and potentially as single agents. Key elements of our strategy include:</w:t>
      </w:r>
    </w:p>
    <w:p>
      <w:pPr>
        <w:spacing w:after="0" w:line="62" w:lineRule="exact"/>
        <w:rPr>
          <w:sz w:val="20"/>
          <w:szCs w:val="20"/>
          <w:color w:val="auto"/>
        </w:rPr>
      </w:pPr>
    </w:p>
    <w:p>
      <w:pPr>
        <w:ind w:left="1200" w:right="140" w:hanging="598"/>
        <w:spacing w:after="0" w:line="259"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 and obtain regulatory approval for entinostat in combination with hormone therapy in advanced HR+, HER2- breast cancer. Based on the positive results from our Phase 2b clinical trial, we received breakthrough therapy designation from the FDA for entinostat in combination with exemestane in advanced HR+ breast cancer. We believe that the submission of the results of the Phase 3 clinical trial, if successful, would be sufficient for regulatory approval of entinostat in the United States.</w:t>
      </w:r>
    </w:p>
    <w:p>
      <w:pPr>
        <w:spacing w:after="0" w:line="78" w:lineRule="exact"/>
        <w:rPr>
          <w:rFonts w:ascii="Arial" w:cs="Arial" w:eastAsia="Arial" w:hAnsi="Arial"/>
          <w:sz w:val="18"/>
          <w:szCs w:val="18"/>
          <w:color w:val="auto"/>
        </w:rPr>
      </w:pPr>
    </w:p>
    <w:p>
      <w:pPr>
        <w:ind w:left="1200" w:hanging="598"/>
        <w:spacing w:after="0" w:line="25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entinostat as the combination therapy of choice with immune checkpoint inhibitors, initially PD-1 and PD-L1 inhibitors, by conducting clinical trials in patients where we believe the response to PD-1 or PD-L1 inhibitors can be improved. To that end, we have entered into non-exclusive collaborations with Merck, Genentech, and Merck KGaA and Pfizer. We intend to expand the existing collaborations or enter into additional collaborations through additional non-exclusive, clinical development agreements to assess entinostat’s impact across multiple tumor types while maintaining our ownership rights.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 w:name="page6"/>
    <w:bookmarkEnd w:id="5"/>
    <w:p>
      <w:pPr>
        <w:jc w:val="both"/>
        <w:ind w:left="1200" w:right="200" w:hanging="598"/>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SNDX-6352 as monotherapy and in combination in one or more tumor types. We intend to conduct clinical trials in patients with tumor types where we believe that the inhibition of TAMs via CSF-1R inhibition will synergize with the current standard of care, inducing tumor regressions.</w:t>
      </w:r>
    </w:p>
    <w:p>
      <w:pPr>
        <w:spacing w:after="0" w:line="73" w:lineRule="exact"/>
        <w:rPr>
          <w:rFonts w:ascii="Arial" w:cs="Arial" w:eastAsia="Arial" w:hAnsi="Arial"/>
          <w:sz w:val="18"/>
          <w:szCs w:val="18"/>
          <w:color w:val="auto"/>
        </w:rPr>
      </w:pPr>
    </w:p>
    <w:p>
      <w:pPr>
        <w:ind w:left="1200" w:right="80" w:hanging="598"/>
        <w:spacing w:after="0" w:line="264"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 the Menin Assets for the treatment of MLL-r driven malignancies. We believe that the Menin Assets have the potential to treat a genetically-defined subset of acute leukemias with chromosomal rearrangements in the MLL gene, or MLL-r. We are conducting preclinical studies in 2018 and plan to file an IND in the first half of 2019.</w:t>
      </w:r>
    </w:p>
    <w:p>
      <w:pPr>
        <w:spacing w:after="0" w:line="73" w:lineRule="exact"/>
        <w:rPr>
          <w:rFonts w:ascii="Arial" w:cs="Arial" w:eastAsia="Arial" w:hAnsi="Arial"/>
          <w:sz w:val="18"/>
          <w:szCs w:val="18"/>
          <w:color w:val="auto"/>
        </w:rPr>
      </w:pPr>
    </w:p>
    <w:p>
      <w:pPr>
        <w:jc w:val="both"/>
        <w:ind w:left="1200" w:hanging="598"/>
        <w:spacing w:after="0" w:line="259"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the technical and business expertise of our management team and scientific collaborators to license, acquire and develop additional cancer therapies to expand our pipeline. We acquired the exclusive rights to SNDX-6352 in 2016 and to the Menin Assets in 2017. We intend to continue leveraging the collective talent within our organization and network of advisors to guide our pipeline expansion and development plans.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85725</wp:posOffset>
            </wp:positionV>
            <wp:extent cx="5342890" cy="4356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2890" cy="435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Entinostat</w:t>
      </w:r>
    </w:p>
    <w:p>
      <w:pPr>
        <w:spacing w:after="0" w:line="121"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Entinostat is our oral, small molecule product candidate that has direct effects on both cancer cells and immune regulatory cells, potentially enhancing the body’s immune response to tumors. The favorable safety profile of entinostat has been demonstrated in clinical trials in more than 1,200 cancer patients. Based on entinostat’s ability to reverse hormone resistance, alter cancer stem cells, and modulate immunosensitivity, we believe entinostat may have broad applications in tumor types which have become resistant to hormone and/or immunotherapy.</w:t>
      </w:r>
    </w:p>
    <w:p>
      <w:pPr>
        <w:spacing w:after="0" w:line="171"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Entinostat is being evaluated in an ongoing Phase 3 clinical trial testing exemestane in combination with entinostat versus exemestane in combination with a placebo in patients with advanced HR+, HER2- breast cancer. ECOG-ACRIN Cancer Research Group, or ECOG-ACRIN, is conducting this clinical trial under sponsorship and funding support from the National Cancer Institute, or NCI. We are providing financial and operational support for this Phase 3 clinical trial under separate agreements with the NCI and ECOG-ACRIN. The protocol for the Phase 3 clinical trial was reviewed and agreed upon by the FDA under a Special Protocol Assessment, or SPA, agreement with the NCI. The Phase 3 clinical trial is designed to determine whether the addition of entinostat to exemestane improves progression-free survival, or PFS, overall survival, or OS, or both in patients who have previously progressed after treatment with standard-of-care hormonal agents. We believe that the submission of the results of the Phase 3 clinical trial, if successful, would be sufficient for regulatory approval of entinostat in the United States.</w:t>
      </w:r>
    </w:p>
    <w:p>
      <w:pPr>
        <w:spacing w:after="0" w:line="192"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Entinostat has also been shown to enhance the immune system’s ability to identify and target tumor cells. It is now widely accepted that many tumors have the ability to evade the immune system either through direct cellular interactions and recruitment of immuno-suppressive cells to the area surrounding the tumor, or through parallel evasion-mechanisms focused on the interaction between the T cell with other immune cells found within the surrounding tumor microenvironment. Entinostat has been observed to decrease the population of immuno-suppressive cells known as myeloid-derived suppressor cells, or MDSCs, and regulatory T cells, or Tregs, which localize in the area surrounding the tumor and block T cells from killing cancer cells.</w:t>
      </w:r>
    </w:p>
    <w:p>
      <w:pPr>
        <w:spacing w:after="0" w:line="158"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believe entinostat, a Class I-specific histone deacetylase, or HDAC, inhibitor, can directly reduce both the number and activity of MDSCs and Tregs while sparing the cytotoxic T cells. Through blocking the immuno-suppressive effects of MDSCs and Tregs, we believe entinostat has the potential to be used synergistically with therapies such as immune checkpoint inhibitors, resulting in the increased ability of the T cells to attack the tumor. The long half-life of entinostat allows for continuous exposure to therapy potentially resulting in positive immuno-modulatory effects without corresponding cytotoxic effects. Another benefit of entinostat’s long half-life is the potential to minimize the frequency of dosing and reduce the severity and frequency of adverse events.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SNDX-6352</w:t>
      </w:r>
    </w:p>
    <w:p>
      <w:pPr>
        <w:spacing w:after="0" w:line="12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SNDX-6352 is a humanized monoclonal antibody that binds with high affinity to CSF-1R. CSF-1R is expressed on the surface of specific immuno-suppressive cells (e.g., tumor-associated macrophages or TAMs) known to play a role in the growth, survival, and metastases of cancer. Inhibition of CSF-1R is thought to disrupt the activity of TAMs, resulting in a decrease in the immunosuppressive environment immediately surrounding the tumor, or tumor micro-environment. This mode of action is thought to make CSF-1R inhibitors well suited for use in combination with checkpoint inhibitors, particularly in cancers where there may be limited activity of immune checkpoint inhibitors as monotherapy. We believe that SNDX-6352 has the potential to be used to treat a variety of cancers in combination with entinostat and with other oncology agents, including immune checkpoint inhibitors, radiation, and chemotherapy.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Entinostat</w:t>
      </w:r>
    </w:p>
    <w:p>
      <w:pPr>
        <w:spacing w:after="0" w:line="121"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Cancer is a complex, often fatal, disease arising from uncontrolled cell growth and the ability of cancer cells to avoid the immune system, the body’s primary defense mechanism for finding and destroying such cells. Entinostat is an oral, small molecule HDAC inhibitor. HDACs are enzymes that are subdivided into four classes and are known to play a role in controlling cell survival, proliferation, angiogenesis and immunity. While most HDAC inhibitors broadly inhibit multiple classes of HDACs, preclinical studies have shown that entinostat’s inhibitory activity is selective to Class I HDACs, which have been shown to impact the number and activity of MDSCs and Tregs. We believe that entinostat’s Class I selectivity enhances immune responses against cancer and is likely to be better tolerated by patients.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Entinostat in Advanced HR+ Breast Cancer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Current Treatment</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Patients in the United States with advanced HR+ breast cancer are treated with hormone therapies with the goal to prolong overall survival and to delay treatment with more toxic chemotherapies. Hormone therapies are designed to inhibit estrogen stimulation of advanced HR+ breast cancers. Due to limited efficacy of hormone therapies in the advanced HR+ breast cancer setting, multiple lines of treatment are typically used, with each additional line of hormone therapy resulting in a shorter progression free survival, or PFS, and lower overall survival. The cause of resistance is multi-factorial and results in tumor progression independent of estrogen stimulation. In 2016, approximately 34,000 patients with HR+ breast cancer were treated with a hormone therapy as second-line or later treatment in the United States. The median overall survival for advanced HR+ breast cancer in the second-line setting is approximately two years.</w:t>
      </w:r>
    </w:p>
    <w:p>
      <w:pPr>
        <w:spacing w:after="0" w:line="189"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 xml:space="preserve">The FDA has approved the use of </w:t>
      </w:r>
      <w:r>
        <w:rPr>
          <w:rFonts w:ascii="Arial" w:cs="Arial" w:eastAsia="Arial" w:hAnsi="Arial"/>
          <w:sz w:val="18"/>
          <w:szCs w:val="18"/>
          <w:i w:val="1"/>
          <w:iCs w:val="1"/>
          <w:color w:val="auto"/>
        </w:rPr>
        <w:t>Afinitor</w:t>
      </w:r>
      <w:r>
        <w:rPr>
          <w:rFonts w:ascii="Arial" w:cs="Arial" w:eastAsia="Arial" w:hAnsi="Arial"/>
          <w:sz w:val="15"/>
          <w:szCs w:val="15"/>
          <w:color w:val="auto"/>
        </w:rPr>
        <w:t>®</w:t>
      </w:r>
      <w:r>
        <w:rPr>
          <w:rFonts w:ascii="Arial" w:cs="Arial" w:eastAsia="Arial" w:hAnsi="Arial"/>
          <w:sz w:val="18"/>
          <w:szCs w:val="18"/>
          <w:color w:val="auto"/>
        </w:rPr>
        <w:t xml:space="preserve"> (everolimus), an inhibitor of mammalian target of rapamycin, for use in combination with exemestane, based on a randomized Phase 3 clinical trial which resulted in a median PFS benefit of 7.8 months for patients receiving </w:t>
      </w:r>
      <w:r>
        <w:rPr>
          <w:rFonts w:ascii="Arial" w:cs="Arial" w:eastAsia="Arial" w:hAnsi="Arial"/>
          <w:sz w:val="18"/>
          <w:szCs w:val="18"/>
          <w:i w:val="1"/>
          <w:iCs w:val="1"/>
          <w:color w:val="auto"/>
        </w:rPr>
        <w:t>Afinitor</w:t>
      </w:r>
      <w:r>
        <w:rPr>
          <w:rFonts w:ascii="Arial" w:cs="Arial" w:eastAsia="Arial" w:hAnsi="Arial"/>
          <w:sz w:val="18"/>
          <w:szCs w:val="18"/>
          <w:color w:val="auto"/>
        </w:rPr>
        <w:t>-exemestane and 3.2 months for patients receiving exemestane alone, but no statistically significant improvement in overall survival.</w:t>
      </w:r>
    </w:p>
    <w:p>
      <w:pPr>
        <w:spacing w:after="0" w:line="18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 xml:space="preserve">More recently, the FDA granted approval to three cyclin-dependent kinase 4 and 6, or CDK4/6, inhibitors, </w:t>
      </w:r>
      <w:r>
        <w:rPr>
          <w:rFonts w:ascii="Arial" w:cs="Arial" w:eastAsia="Arial" w:hAnsi="Arial"/>
          <w:sz w:val="18"/>
          <w:szCs w:val="18"/>
          <w:i w:val="1"/>
          <w:iCs w:val="1"/>
          <w:color w:val="auto"/>
        </w:rPr>
        <w:t>Ibrance</w:t>
      </w:r>
      <w:r>
        <w:rPr>
          <w:rFonts w:ascii="Arial" w:cs="Arial" w:eastAsia="Arial" w:hAnsi="Arial"/>
          <w:sz w:val="15"/>
          <w:szCs w:val="15"/>
          <w:color w:val="auto"/>
        </w:rPr>
        <w:t>®</w:t>
      </w:r>
      <w:r>
        <w:rPr>
          <w:rFonts w:ascii="Arial" w:cs="Arial" w:eastAsia="Arial" w:hAnsi="Arial"/>
          <w:sz w:val="18"/>
          <w:szCs w:val="18"/>
          <w:color w:val="auto"/>
        </w:rPr>
        <w:t xml:space="preserve"> (palbociclib), </w:t>
      </w:r>
      <w:r>
        <w:rPr>
          <w:rFonts w:ascii="Arial" w:cs="Arial" w:eastAsia="Arial" w:hAnsi="Arial"/>
          <w:sz w:val="18"/>
          <w:szCs w:val="18"/>
          <w:i w:val="1"/>
          <w:iCs w:val="1"/>
          <w:color w:val="auto"/>
        </w:rPr>
        <w:t>Kisqali</w:t>
      </w:r>
      <w:r>
        <w:rPr>
          <w:rFonts w:ascii="Arial" w:cs="Arial" w:eastAsia="Arial" w:hAnsi="Arial"/>
          <w:sz w:val="15"/>
          <w:szCs w:val="15"/>
          <w:color w:val="auto"/>
        </w:rPr>
        <w:t>®</w:t>
      </w:r>
      <w:r>
        <w:rPr>
          <w:rFonts w:ascii="Arial" w:cs="Arial" w:eastAsia="Arial" w:hAnsi="Arial"/>
          <w:sz w:val="18"/>
          <w:szCs w:val="18"/>
          <w:color w:val="auto"/>
        </w:rPr>
        <w:t xml:space="preserve"> (ribociclib) and </w:t>
      </w:r>
      <w:r>
        <w:rPr>
          <w:rFonts w:ascii="Arial" w:cs="Arial" w:eastAsia="Arial" w:hAnsi="Arial"/>
          <w:sz w:val="18"/>
          <w:szCs w:val="18"/>
          <w:i w:val="1"/>
          <w:iCs w:val="1"/>
          <w:color w:val="auto"/>
        </w:rPr>
        <w:t>Verzenio</w:t>
      </w:r>
      <w:r>
        <w:rPr>
          <w:rFonts w:ascii="Arial" w:cs="Arial" w:eastAsia="Arial" w:hAnsi="Arial"/>
          <w:sz w:val="15"/>
          <w:szCs w:val="15"/>
          <w:i w:val="1"/>
          <w:iCs w:val="1"/>
          <w:color w:val="auto"/>
        </w:rPr>
        <w:t>®</w:t>
      </w:r>
      <w:r>
        <w:rPr>
          <w:rFonts w:ascii="Arial" w:cs="Arial" w:eastAsia="Arial" w:hAnsi="Arial"/>
          <w:sz w:val="18"/>
          <w:szCs w:val="18"/>
          <w:color w:val="auto"/>
        </w:rPr>
        <w:t xml:space="preserve"> (abemaciclib) in combination with endocrine therapy for the treatment of breast cancer in postmenopausal women with metastatic disease. Based on the significant PFS benefit observed in combination with endocrine therapy, these agents have been adopted as standard of care treatment, with patients increasingly receiving a CDK4/6 therapy in the front-line setting.</w:t>
      </w:r>
    </w:p>
    <w:p>
      <w:pPr>
        <w:spacing w:after="0" w:line="18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While the treatment of advanced HR+ breast cancer is evolving given the introduction of multiple combination therapies</w:t>
      </w:r>
      <w:r>
        <w:rPr>
          <w:rFonts w:ascii="Arial" w:cs="Arial" w:eastAsia="Arial" w:hAnsi="Arial"/>
          <w:sz w:val="18"/>
          <w:szCs w:val="18"/>
          <w:i w:val="1"/>
          <w:iCs w:val="1"/>
          <w:color w:val="auto"/>
        </w:rPr>
        <w:t>,</w:t>
      </w:r>
      <w:r>
        <w:rPr>
          <w:rFonts w:ascii="Arial" w:cs="Arial" w:eastAsia="Arial" w:hAnsi="Arial"/>
          <w:sz w:val="18"/>
          <w:szCs w:val="18"/>
          <w:color w:val="auto"/>
        </w:rPr>
        <w:t xml:space="preserve"> we believe physicians will welcome the introduction of a well-tolerated therapy that improves overall survival, which has not been demonstrated to date for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or the CDK 4/6 inhibitors in combination with hormone therapy. We believe current data suggests that entinostat could demonstrate a favorable benefit-risk profile and an improvement in overall survival, and thus may become a preferred treatment option for patients with advanced HR+ breast cancer who have stopped responding to their first line endocrine-based regimen.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Entinostat in Advanced HR+ Breast Cancer</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Estrogen drives the growth of breast cancer cells that express estrogen receptor and are dependent on estrogen receptor signaling. Blocking estrogen from binding to the estrogen receptor with selective estrogen receptor modulators or selective estrogen receptor degraders or reducing the level of available estrogen with aromatase inhibitors is an effective approach to slowing the growth of estrogen dependent breast cancer cells. These approaches become less effective over time as the breast cancer adapts ways to grow without the need for estrogen due in part to the use of alternate, estrogen independent growth signaling pathways and loss of estrogen receptor expression. Researchers using a preclinical mouse model of aromatase inhibitor resistance demonstrated that entinostat can restore sensitivity to aromatase inhibitors by inhibiting the estrogen independent growth factor signaling pathways and increasing estrogen receptor expression.</w:t>
      </w:r>
    </w:p>
    <w:p>
      <w:pPr>
        <w:spacing w:after="0" w:line="189"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We completed a Phase 2b clinical trial, ENCORE 301, of entinostat in advanced HR+ breast cancer in 130 postmenopausal patients. The trial was a randomized, placebo-controlled clinical trial in which treatment with entinostat was observed to result in a significant advantage to patients when given in addition to exemestane therapy. Postmenopausal patients with advanced HR+ breast cancer progressing on a non-steroidal aromatase inhibitor were randomly assigned to the combination of exemestane (25 mg daily) and entinostat (5 mg once per week) or to the combination of exemestane (25 mg daily) and a placebo. The primary endpoint was PFS, with overall survival as an exploratory endpoint.</w:t>
      </w:r>
    </w:p>
    <w:p>
      <w:pPr>
        <w:spacing w:after="0" w:line="173"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A Kaplan-Meier plot is a graphical statistical method commonly used to describe survival characteristics. The following are explanations of the meanings of the various efficacy endpoints that we have used in describing the results of our Phase 2b clinical trial. Each is determined in accordance with Response Criteria in Solid Tumors measurement guidelines.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8" w:name="page9"/>
    <w:bookmarkEnd w:id="8"/>
    <w:p>
      <w:pPr>
        <w:ind w:left="1200" w:right="60" w:hanging="598"/>
        <w:spacing w:after="0" w:line="25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P-value</w:t>
      </w:r>
      <w:r>
        <w:rPr>
          <w:rFonts w:ascii="Arial" w:cs="Arial" w:eastAsia="Arial" w:hAnsi="Arial"/>
          <w:sz w:val="18"/>
          <w:szCs w:val="18"/>
          <w:color w:val="auto"/>
        </w:rPr>
        <w:t>: a statistical measure that represents the probability that the difference that is observed between two treatment arms is due to random</w:t>
      </w:r>
      <w:r>
        <w:rPr>
          <w:rFonts w:ascii="Arial" w:cs="Arial" w:eastAsia="Arial" w:hAnsi="Arial"/>
          <w:sz w:val="18"/>
          <w:szCs w:val="18"/>
          <w:b w:val="1"/>
          <w:bCs w:val="1"/>
          <w:color w:val="auto"/>
        </w:rPr>
        <w:t xml:space="preserve"> </w:t>
      </w:r>
      <w:r>
        <w:rPr>
          <w:rFonts w:ascii="Arial" w:cs="Arial" w:eastAsia="Arial" w:hAnsi="Arial"/>
          <w:sz w:val="18"/>
          <w:szCs w:val="18"/>
          <w:color w:val="auto"/>
        </w:rPr>
        <w:t>chance and is not actually related to the treatments being compared. For example, p-value of 0.1 indicates there is a 10% chance the difference that is observed between the treatment arms is due to random chance.</w:t>
      </w:r>
    </w:p>
    <w:p>
      <w:pPr>
        <w:spacing w:after="0" w:line="1" w:lineRule="exact"/>
        <w:rPr>
          <w:rFonts w:ascii="Arial" w:cs="Arial" w:eastAsia="Arial" w:hAnsi="Arial"/>
          <w:sz w:val="18"/>
          <w:szCs w:val="18"/>
          <w:color w:val="auto"/>
        </w:rPr>
      </w:pPr>
    </w:p>
    <w:p>
      <w:pPr>
        <w:ind w:left="1200" w:right="20" w:hanging="598"/>
        <w:spacing w:after="0" w:line="250"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Confidence interval</w:t>
      </w:r>
      <w:r>
        <w:rPr>
          <w:rFonts w:ascii="Arial" w:cs="Arial" w:eastAsia="Arial" w:hAnsi="Arial"/>
          <w:sz w:val="18"/>
          <w:szCs w:val="18"/>
          <w:color w:val="auto"/>
        </w:rPr>
        <w:t>: a statistical measure that indicates a range, which is believed to include the true effect parameter with some level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For example, a 95% CI is the range at which one is 95% sure, with a 5% chance of being wrong, that the range given includes the true effect parameter.</w:t>
      </w:r>
    </w:p>
    <w:p>
      <w:pPr>
        <w:spacing w:after="0" w:line="1" w:lineRule="exact"/>
        <w:rPr>
          <w:rFonts w:ascii="Arial" w:cs="Arial" w:eastAsia="Arial" w:hAnsi="Arial"/>
          <w:sz w:val="18"/>
          <w:szCs w:val="18"/>
          <w:color w:val="auto"/>
        </w:rPr>
      </w:pPr>
    </w:p>
    <w:p>
      <w:pPr>
        <w:ind w:left="1200" w:right="100" w:hanging="598"/>
        <w:spacing w:after="0" w:line="255"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Hazard ratio</w:t>
      </w:r>
      <w:r>
        <w:rPr>
          <w:rFonts w:ascii="Arial" w:cs="Arial" w:eastAsia="Arial" w:hAnsi="Arial"/>
          <w:sz w:val="18"/>
          <w:szCs w:val="18"/>
          <w:color w:val="auto"/>
        </w:rPr>
        <w:t>: represents the chance of events occurring in the treatment arm relative to the chance of events occurring in the control arm. A</w:t>
      </w:r>
      <w:r>
        <w:rPr>
          <w:rFonts w:ascii="Arial" w:cs="Arial" w:eastAsia="Arial" w:hAnsi="Arial"/>
          <w:sz w:val="18"/>
          <w:szCs w:val="18"/>
          <w:b w:val="1"/>
          <w:bCs w:val="1"/>
          <w:color w:val="auto"/>
        </w:rPr>
        <w:t xml:space="preserve"> </w:t>
      </w:r>
      <w:r>
        <w:rPr>
          <w:rFonts w:ascii="Arial" w:cs="Arial" w:eastAsia="Arial" w:hAnsi="Arial"/>
          <w:sz w:val="18"/>
          <w:szCs w:val="18"/>
          <w:color w:val="auto"/>
        </w:rPr>
        <w:t>hazard ratio of one means that there is no difference in survival between the two groups. A hazard ratio of greater than one or less than one means that survival was better in one of the groups.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trial met the statistical criteria for a positive PFS endpoint using a pre-specified p-value of 0.10 from a one-sided test for statistical significance.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overall survival benefit observed in the entinostat/exemestane (EE) group was also statistically significant versus the exemestane/placebo (EP) group.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results are summarized below along with the Kaplan-Meier plot for PFS and overall survival.</w:t>
      </w:r>
    </w:p>
    <w:p>
      <w:pPr>
        <w:spacing w:after="0" w:line="103" w:lineRule="exact"/>
        <w:rPr>
          <w:sz w:val="20"/>
          <w:szCs w:val="20"/>
          <w:color w:val="auto"/>
        </w:rPr>
      </w:pPr>
    </w:p>
    <w:p>
      <w:pPr>
        <w:ind w:left="1200" w:right="600" w:hanging="598"/>
        <w:spacing w:after="0" w:line="258"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Median PFS approximately doubled to 4.3 months in the EE group versus 2.3 months in the EP group, corresponding to a statistically significant hazard ratio of 0.73; 95% CI, 0.50 to 1.07; P2-sided=0.11; P1-sided=0.055.</w:t>
      </w:r>
    </w:p>
    <w:p>
      <w:pPr>
        <w:spacing w:after="0" w:line="1" w:lineRule="exact"/>
        <w:rPr>
          <w:rFonts w:ascii="Arial" w:cs="Arial" w:eastAsia="Arial" w:hAnsi="Arial"/>
          <w:sz w:val="18"/>
          <w:szCs w:val="18"/>
          <w:color w:val="auto"/>
        </w:rPr>
      </w:pPr>
    </w:p>
    <w:p>
      <w:pPr>
        <w:ind w:left="1200" w:right="560" w:hanging="598"/>
        <w:spacing w:after="0" w:line="250"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Median overall survival improved to 28.1 months in the EE group versus 19.8 months in the EP group, corresponding to a statistically significant hazard ratio of 0.59; 95% CI, 0.36 to 0.97; P2-sided=0.036; P1-sided=0.018.</w:t>
      </w: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Fatigue and neutropenia were the most frequent Grade 3 and Grade 4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348615</wp:posOffset>
            </wp:positionV>
            <wp:extent cx="5831840" cy="2143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3184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Safety was assessed by utilizing the NCI’s Common Terminology Criteria for Adverse Events—Version 3. When entinostat was added to exemestane, the adverse event, or AE, profile was consistent with previous clinical experience with entinostat treatment. Overall, the EE group had a higher rate of AEs versus the EP group at 95% and 85%, respectively, with the most common AEs in the EE group being fatigue, gastrointestinal disturbances, such as nausea, vomiting and diarrhea, and hematologic toxicities, such as uncomplicated neutropenia, thrombocytopenia and anemia. The EE group had more AEs leading to dose modification (35% versus 6%), and more AEs leading to study discontinuation (11% versus 2%), irrespective of study drug relationship.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 w:name="page10"/>
    <w:bookmarkEnd w:id="9"/>
    <w:p>
      <w:pPr>
        <w:ind w:right="20" w:firstLine="598"/>
        <w:spacing w:after="0" w:line="279" w:lineRule="auto"/>
        <w:rPr>
          <w:sz w:val="20"/>
          <w:szCs w:val="20"/>
          <w:color w:val="auto"/>
        </w:rPr>
      </w:pPr>
      <w:r>
        <w:rPr>
          <w:rFonts w:ascii="Arial" w:cs="Arial" w:eastAsia="Arial" w:hAnsi="Arial"/>
          <w:sz w:val="17"/>
          <w:szCs w:val="17"/>
          <w:color w:val="auto"/>
        </w:rPr>
        <w:t>For hematological toxicities, thrombocytopenia was managed by dose modification during entinostat treatment, with all cases being non-severe and none requiring drug discontinuation. In approximately half of the patients who experienced Grade 3 neutropenia, it was managed by dose modification, with only one case leading to entinostat discontinuation. Additional reasons leading to EE discontinuation included two patients owing to nausea and vomiting and one patient each owing to weakness in extremities, hypoxia/radiation pneumonitis, fatigue and mucositis.</w:t>
      </w:r>
    </w:p>
    <w:p>
      <w:pPr>
        <w:spacing w:after="0" w:line="171"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The incidence of serious AEs was similar between the EE and EP groups at 16% and 12%, respectively, with four EE patients each experiencing a Grade 4 AE, including fatigue, leucopenia, neutropenia and hypercalcemia. One fatal AE occurred in each treatment arm with the EE event considered related to disease progression. We did not observe significant cardiovascular effects in this trial, which have been reported with other HDAC inhibitors.</w:t>
      </w:r>
    </w:p>
    <w:p>
      <w:pPr>
        <w:spacing w:after="0" w:line="147" w:lineRule="exact"/>
        <w:rPr>
          <w:sz w:val="20"/>
          <w:szCs w:val="20"/>
          <w:color w:val="auto"/>
        </w:rPr>
      </w:pPr>
    </w:p>
    <w:p>
      <w:pPr>
        <w:ind w:right="100" w:firstLine="598"/>
        <w:spacing w:after="0" w:line="342" w:lineRule="auto"/>
        <w:rPr>
          <w:sz w:val="20"/>
          <w:szCs w:val="20"/>
          <w:color w:val="auto"/>
        </w:rPr>
      </w:pPr>
      <w:r>
        <w:rPr>
          <w:rFonts w:ascii="Arial" w:cs="Arial" w:eastAsia="Arial" w:hAnsi="Arial"/>
          <w:sz w:val="16"/>
          <w:szCs w:val="16"/>
          <w:color w:val="auto"/>
        </w:rPr>
        <w:t>Following positive results from our Phase 2b clinical trial, entinostat in combination with exemestane was granted breakthrough therapy designation by the FDA in advanced HR+ breast cancer and is currently being evaluated in a Phase 3 clinical trial for advanced HR+, HER2- breast cancer.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E2112: Ongoing Pivotal Phase 3 Clinical Trial</w:t>
      </w:r>
    </w:p>
    <w:p>
      <w:pPr>
        <w:spacing w:after="0" w:line="117" w:lineRule="exact"/>
        <w:rPr>
          <w:sz w:val="20"/>
          <w:szCs w:val="20"/>
          <w:color w:val="auto"/>
        </w:rPr>
      </w:pPr>
    </w:p>
    <w:p>
      <w:pPr>
        <w:ind w:right="60" w:firstLine="598"/>
        <w:spacing w:after="0" w:line="253" w:lineRule="auto"/>
        <w:rPr>
          <w:sz w:val="20"/>
          <w:szCs w:val="20"/>
          <w:color w:val="auto"/>
        </w:rPr>
      </w:pPr>
      <w:r>
        <w:rPr>
          <w:rFonts w:ascii="Arial" w:cs="Arial" w:eastAsia="Arial" w:hAnsi="Arial"/>
          <w:sz w:val="18"/>
          <w:szCs w:val="18"/>
          <w:color w:val="auto"/>
        </w:rPr>
        <w:t>To confirm the PFS and overall survival benefits observed in the Phase 2b clinical trial, we have collaborated with ECOG-ACRIN to develop and conduct the Phase 3 clinical trial. ECOG-ACRIN is conducting the trial under sponsorship and funding support from the NCI. We are providing financial and operational support for the Phase 3 clinical trial under a Cooperative Research and Development Agreement, or CRADA, with the NCI and a separate agreement with ECOG-ACRIN. The trial is a randomized, double-blind, placebo-controlled trial of entinostat in combination with exemestane compared to exemestane and a placebo. The protocol for the Phase 3 clinical trial was reviewed and agreed upon by the FDA under a Special Protocol Assessment, or SPA, agreement with the NCI in January 2014. The trial initiated enrollment of 600 patients in the second quarter of 2014. Based on information received from ECOG-ACRIN to date, and our interpretation of enrollment trends, we expect that the trial will fully enroll patients in the third quarter of 2018. We cannot provide assurance that the E2112 clinical trial will be completed or that data will be received on the timeline indicated because we are not responsible for the conduct of this trial.</w:t>
      </w:r>
    </w:p>
    <w:p>
      <w:pPr>
        <w:spacing w:after="0" w:line="197" w:lineRule="exact"/>
        <w:rPr>
          <w:sz w:val="20"/>
          <w:szCs w:val="20"/>
          <w:color w:val="auto"/>
        </w:rPr>
      </w:pPr>
    </w:p>
    <w:p>
      <w:pPr>
        <w:ind w:right="80" w:firstLine="598"/>
        <w:spacing w:after="0" w:line="290" w:lineRule="auto"/>
        <w:rPr>
          <w:sz w:val="20"/>
          <w:szCs w:val="20"/>
          <w:color w:val="auto"/>
        </w:rPr>
      </w:pPr>
      <w:r>
        <w:rPr>
          <w:rFonts w:ascii="Arial" w:cs="Arial" w:eastAsia="Arial" w:hAnsi="Arial"/>
          <w:sz w:val="16"/>
          <w:szCs w:val="16"/>
          <w:color w:val="auto"/>
        </w:rPr>
        <w:t xml:space="preserve">The primary objective of the trial is to evaluate whether the addition of entinostat to exemestane improves PFS, overall survival or both PFS and overall survival in patients with advanced HR+, HER2- breast cancer who have previously progressed after treatment with standard of care hormonal agents such as NSAIs or </w:t>
      </w:r>
      <w:r>
        <w:rPr>
          <w:rFonts w:ascii="Arial" w:cs="Arial" w:eastAsia="Arial" w:hAnsi="Arial"/>
          <w:sz w:val="16"/>
          <w:szCs w:val="16"/>
          <w:i w:val="1"/>
          <w:iCs w:val="1"/>
          <w:color w:val="auto"/>
        </w:rPr>
        <w:t>Faslodex</w:t>
      </w:r>
      <w:r>
        <w:rPr>
          <w:rFonts w:ascii="Arial" w:cs="Arial" w:eastAsia="Arial" w:hAnsi="Arial"/>
          <w:sz w:val="16"/>
          <w:szCs w:val="16"/>
          <w:color w:val="auto"/>
        </w:rPr>
        <w:t>. The NCI and ECOG-ACRIN, in collaboration with us, have designed the trial to have two primary endpoints of PFS and overall survival. If data are positive, we expect that either endpoint may serve as the basis for submitting a new drug application, or NDA. The Phase 3 clinical trial also contains secondary patient-reported outcomes, or PRO, endpoints to evaluate differences between arms in treatment toxicities, reduced symptom burden as an indicator of treatment response, and overall health-related quality of life. PRO measures are common in ECOG-ACRIN therapeutic trials due to the scientific aims of its Cancer Control &amp; Outcomes Program, which seeks to increase understanding, from the patient perspective, about how novel therapies impact quality of life. Secondary objectives of the trial include assessments of safety, response rate and biomarker analysis.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 w:name="page11"/>
    <w:bookmarkEnd w:id="10"/>
    <w:p>
      <w:pPr>
        <w:ind w:left="600"/>
        <w:spacing w:after="0"/>
        <w:rPr>
          <w:sz w:val="20"/>
          <w:szCs w:val="20"/>
          <w:color w:val="auto"/>
        </w:rPr>
      </w:pPr>
      <w:r>
        <w:rPr>
          <w:rFonts w:ascii="Arial" w:cs="Arial" w:eastAsia="Arial" w:hAnsi="Arial"/>
          <w:sz w:val="18"/>
          <w:szCs w:val="18"/>
          <w:color w:val="auto"/>
        </w:rPr>
        <w:t>Details of the trial design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152400</wp:posOffset>
            </wp:positionV>
            <wp:extent cx="4845050" cy="2075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4505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enrollment size of 600 patients in the trial is adequate for achieving a statistically significant difference in median PFS with a p-value less than 0.002 and in median overall survival with a p-value less than 0.048 based on the trial supporting a hypothesized hazard ratio of 0.58 for PFS and 0.75 for overall survival. If the hypothesized hazard ratio for PFS is true, the PFS endpoint has an 88.5% chance of success. Similarly, if the hypothesized hazard ratio of overall survival is true, the overall survival endpoint has an 80% chance of success.</w:t>
      </w:r>
    </w:p>
    <w:p>
      <w:pPr>
        <w:spacing w:after="0" w:line="187"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In November 2017, ECOG-ACRIN notified us that the Data Safety Monitoring Committee, or DSMC, completed the final PFS analysis and the first interim analysis for overall survival. The results of this analysis are held confidentially by the ECOG-ACRIN study statistician and the DSMC. The primary analysis of PFS was conducted after 247 PFS events occurred out of the initial 360 patients enrolled. Stopping rules based upon the interim analyses of overall survival have been outlined such that enrollment may terminate early if the statistical boundary for overall survival is met.</w:t>
      </w:r>
    </w:p>
    <w:p>
      <w:pPr>
        <w:spacing w:after="0" w:line="17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In the absence of early stopping, the results of the primary analysis of PFS will be made available to us when all 600 patients have entered the trial, which is anticipated to be in the third quarter of 2018. If the PFS endpoint is met, interim overall survival results will be released to us at that time as well. If the primary analysis of PFS has failed to achieve statistical significance, and any of the interim analyses of OS do not demonstrate a statistically significant overall survival benefit, ECOG-ACRIN will not release the results of such interim analyses to us.</w:t>
      </w:r>
    </w:p>
    <w:p>
      <w:pPr>
        <w:spacing w:after="0" w:line="17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If the primary analysis of PFS has achieved statistical significance, and the overall survival data demonstrate a positive trend, we expect to use that data in a new drug application, or NDA, submission based on meeting the primary PFS endpoint and agreement with the FDA that the PFS data are statistically significant and clinically meaningful.</w:t>
      </w:r>
    </w:p>
    <w:p>
      <w:pPr>
        <w:spacing w:after="0" w:line="181"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The primary analysis of overall survival data represents another opportunity for submission of an NDA to the FDA for potential approval. The primary analysis of overall survival will occur when 410 deaths from among the 600 patients enrolled have occurred. Based on information received from ECOG-ACRIN to date, we expect this primary analysis to occur no sooner than 2019.</w:t>
      </w:r>
    </w:p>
    <w:p>
      <w:pPr>
        <w:spacing w:after="0" w:line="18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If the primary analysis of PFS fails to achieve statistical significance, a positive OS outcome at any interim analysis during the conduct of the trial will also be a potential NDA submission and approval pathway. ECOG-ACRIN will perform up to seven interim analyses of overall survival, approximately every six months, to assess the potential superiority of the combination of entinostat and exemestane relative to the combination of exemestane and a placebo. The 410 deaths required for the primary analysis of overall survival takes into consideration any statistical impact of the various interim analyses on the analysis of the overall survival endpoint.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Immuno-Oncology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 xml:space="preserve">Entinostat is currently being studied in clinical trials across a broad range of solid tumors, including breast, non-small cell lung cancer, or NSCLC, melanoma, ovarian and microsatellite stable colorectal carcinoma, or MSS-CRC. We are working in collaboration with Merck to study the combination of entinostat with Merck’s immune checkpoint inhibitor, </w:t>
      </w:r>
      <w:r>
        <w:rPr>
          <w:rFonts w:ascii="Arial" w:cs="Arial" w:eastAsia="Arial" w:hAnsi="Arial"/>
          <w:sz w:val="17"/>
          <w:szCs w:val="17"/>
          <w:i w:val="1"/>
          <w:iCs w:val="1"/>
          <w:color w:val="auto"/>
        </w:rPr>
        <w:t>Keytruda</w:t>
      </w:r>
      <w:r>
        <w:rPr>
          <w:rFonts w:ascii="Arial" w:cs="Arial" w:eastAsia="Arial" w:hAnsi="Arial"/>
          <w:sz w:val="14"/>
          <w:szCs w:val="14"/>
          <w:i w:val="1"/>
          <w:iCs w:val="1"/>
          <w:color w:val="auto"/>
        </w:rPr>
        <w:t>®</w:t>
      </w:r>
      <w:r>
        <w:rPr>
          <w:rFonts w:ascii="Arial" w:cs="Arial" w:eastAsia="Arial" w:hAnsi="Arial"/>
          <w:sz w:val="17"/>
          <w:szCs w:val="17"/>
          <w:color w:val="auto"/>
        </w:rPr>
        <w:t xml:space="preserve"> (pembrolizumab), in a Phase 1b/2 clinical trial (ENCORE 601) of up to approximately 202 patients with NSCLC, melanoma or MSS-CRC. The Phase 1b portion of the clinical trial evaluated the safety and tolerability of the combination of entinostat and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and has progressed to the Phase 2 portion of the clinical trial, which is assessing the safety and efficacy of entinostat combined with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in patients with either advanced metastatic or recurrent NSCLC, melanoma or MSS-CRC.</w:t>
      </w:r>
    </w:p>
    <w:p>
      <w:pPr>
        <w:spacing w:after="0" w:line="17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 xml:space="preserve">We have also entered into a collaboration with Genentech, Inc., or Genentech, to evaluate the safety, tolerability and preliminary efficacy of entinostat in combination with Genentech’s immune checkpoint inhibitor, </w:t>
      </w:r>
      <w:r>
        <w:rPr>
          <w:rFonts w:ascii="Arial" w:cs="Arial" w:eastAsia="Arial" w:hAnsi="Arial"/>
          <w:sz w:val="18"/>
          <w:szCs w:val="18"/>
          <w:i w:val="1"/>
          <w:iCs w:val="1"/>
          <w:color w:val="auto"/>
        </w:rPr>
        <w:t>Tecentriq</w:t>
      </w:r>
      <w:r>
        <w:rPr>
          <w:rFonts w:ascii="Arial" w:cs="Arial" w:eastAsia="Arial" w:hAnsi="Arial"/>
          <w:sz w:val="15"/>
          <w:szCs w:val="15"/>
          <w:color w:val="auto"/>
        </w:rPr>
        <w:t>®</w:t>
      </w:r>
      <w:r>
        <w:rPr>
          <w:rFonts w:ascii="Arial" w:cs="Arial" w:eastAsia="Arial" w:hAnsi="Arial"/>
          <w:sz w:val="18"/>
          <w:szCs w:val="18"/>
          <w:color w:val="auto"/>
        </w:rPr>
        <w:t xml:space="preserve"> (atezolizumab), in a Phase 1b/2 clinical trial (ENCORE 602) of patients with triple-negative breast cancer, or TNBC. In January 2018 we entered into a second clinical collaboration with Genentech to evaluate the combination of entinostat with </w:t>
      </w:r>
      <w:r>
        <w:rPr>
          <w:rFonts w:ascii="Arial" w:cs="Arial" w:eastAsia="Arial" w:hAnsi="Arial"/>
          <w:sz w:val="18"/>
          <w:szCs w:val="18"/>
          <w:i w:val="1"/>
          <w:iCs w:val="1"/>
          <w:color w:val="auto"/>
        </w:rPr>
        <w:t>Tecentriq</w:t>
      </w:r>
      <w:r>
        <w:rPr>
          <w:rFonts w:ascii="Arial" w:cs="Arial" w:eastAsia="Arial" w:hAnsi="Arial"/>
          <w:sz w:val="15"/>
          <w:szCs w:val="15"/>
          <w:color w:val="auto"/>
        </w:rPr>
        <w:t>®</w:t>
      </w:r>
      <w:r>
        <w:rPr>
          <w:rFonts w:ascii="Arial" w:cs="Arial" w:eastAsia="Arial" w:hAnsi="Arial"/>
          <w:sz w:val="18"/>
          <w:szCs w:val="18"/>
          <w:color w:val="auto"/>
        </w:rPr>
        <w:t xml:space="preserve"> (atezolizumab) in patients with HR+, HER2- metastatic breast cancer in a Phase 1b/2, open-label, multicenter, randomized trial that will enroll patients with metastatic HR+, HER2- breast cancer who have experienced disease progression during or following treatment with a CDK4/6 inhibitor. Genentech will be responsible for conducting the trial.</w:t>
      </w:r>
    </w:p>
    <w:p>
      <w:pPr>
        <w:spacing w:after="0" w:line="193"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We have also entered into a collaboration with Ares Trading, S.A., a subsidiary of Merck KGaA, Pfizer to evaluate the safety, tolerability and preliminary efficacy of entinostat in combination with </w:t>
      </w:r>
      <w:r>
        <w:rPr>
          <w:rFonts w:ascii="Arial" w:cs="Arial" w:eastAsia="Arial" w:hAnsi="Arial"/>
          <w:sz w:val="18"/>
          <w:szCs w:val="18"/>
          <w:i w:val="1"/>
          <w:iCs w:val="1"/>
          <w:color w:val="auto"/>
        </w:rPr>
        <w:t>Bavencio</w:t>
      </w:r>
      <w:r>
        <w:rPr>
          <w:rFonts w:ascii="Arial" w:cs="Arial" w:eastAsia="Arial" w:hAnsi="Arial"/>
          <w:sz w:val="18"/>
          <w:szCs w:val="18"/>
          <w:color w:val="auto"/>
        </w:rPr>
        <w:t>, Pfizer’s monoclonal antibody targeting PD-L1, in a Phase 1b/2 clinical trial, ENCORE 603, of patients with ovarian cancer. Additionally, entinostat is being evaluated in over 10 ongoing and additional planned investigator-sponsored clinical trials that are designed to provide further validation of entinostat’s immuno-modulatory activity in various other immuno-responsive tumors. We believe that there may be further opportunities through these and additional collaborations to expand the indications in which entinostat may target immunologic mechanisms of resistance to cancer therapies.</w:t>
      </w:r>
    </w:p>
    <w:p>
      <w:pPr>
        <w:spacing w:after="0" w:line="301" w:lineRule="exact"/>
        <w:rPr>
          <w:sz w:val="20"/>
          <w:szCs w:val="20"/>
          <w:color w:val="auto"/>
        </w:rPr>
      </w:pPr>
    </w:p>
    <w:p>
      <w:pPr>
        <w:ind w:left="600" w:right="4460"/>
        <w:spacing w:after="0" w:line="375" w:lineRule="auto"/>
        <w:rPr>
          <w:sz w:val="20"/>
          <w:szCs w:val="20"/>
          <w:color w:val="auto"/>
        </w:rPr>
      </w:pPr>
      <w:r>
        <w:rPr>
          <w:rFonts w:ascii="Arial" w:cs="Arial" w:eastAsia="Arial" w:hAnsi="Arial"/>
          <w:sz w:val="18"/>
          <w:szCs w:val="18"/>
          <w:b w:val="1"/>
          <w:bCs w:val="1"/>
          <w:i w:val="1"/>
          <w:iCs w:val="1"/>
          <w:color w:val="auto"/>
        </w:rPr>
        <w:t xml:space="preserve">Entinostat with Immune Checkpoint Inhibitors in NSCLC, Melanoma and MSS-CRC </w:t>
      </w:r>
      <w:r>
        <w:rPr>
          <w:rFonts w:ascii="Arial" w:cs="Arial" w:eastAsia="Arial" w:hAnsi="Arial"/>
          <w:sz w:val="18"/>
          <w:szCs w:val="18"/>
          <w:b w:val="1"/>
          <w:bCs w:val="1"/>
          <w:color w:val="auto"/>
        </w:rPr>
        <w:t>Market Overview and Current Treatment—NSCLC</w:t>
      </w:r>
    </w:p>
    <w:p>
      <w:pPr>
        <w:spacing w:after="0" w:line="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Lung cancer is the leading cause of cancer death among men and women, with more people dying of lung cancer each year than of colon, breast, and prostate cancers combined. According to the American Cancer Society, approximately 80% to 85% of lung cancers are NSCLC; and in 2017, an estimated 222,500 new cases of lung cancer were diagnosed, and an estimated 155,870 people died from lung cancer in the United States. The five-year survival rate for patients with lung cancer generally is 18% and for patients with Stage IV is approximately 5%, indicating a significant need for new therapies that can prolong overall survival.</w:t>
      </w:r>
    </w:p>
    <w:p>
      <w:pPr>
        <w:spacing w:after="0" w:line="18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Advanced/metastatic NSCLC is a severe disease with a poor prognosis in the majority of patients. Treatment typically included a first-line combination chemotherapy followed by a choice of a second-line therapeutic approach. Most patients receiving first-line chemotherapy will progress within one year of treatment with a median PFS of approximately six to seven months and median overall survival of approximately 12 to 14 months. In the second-line setting, the median PFS for standard chemotherapy is approximately three to four months and median overall survival is approximately six to nine months.</w:t>
      </w:r>
    </w:p>
    <w:p>
      <w:pPr>
        <w:spacing w:after="0" w:line="18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However, the treatment paradigm of NSCLC has been changing since early 2015 when the FDA approved Opdivo, an anti-PD-1 monoclonal antibody as the first immune-targeted drug to treat people with squamous NSCLC in patients who have relapsed after platinum-based chemotherapy. Since the approval of Opdivo (nivolumab), two additional check point inhibitors, Tecentriq a PD-L1 antibody from Roche/Genentech and Keytruda, a PD-1 antibody from Merck, have been approved as a treatment for both squamous and non-squamous NSCLC patients after use of platinum-based chemotherapy. A third agent, Imfinzi, a PD-L1 antibody from AstraZeneca, is currently under priority review by the FDA or the treatment of patients with locally advanced, unresectable NSCLC after platinum-based chemoradiation therapy and is expected to be approved in early 2018. The efficacy data observed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18"/>
          <w:szCs w:val="18"/>
          <w:color w:val="auto"/>
        </w:rPr>
        <w:t>with these agents represents a significant increase from what has traditionally been expected of drugs approved to treat advanced NSCLC, and we believe that immune checkpoint inhibitors have made their way forward to become the standard of care for this patient population. Keytruda has also demonstrated an improvement over standard platinum-based chemotherapy in patients with advanced NSCLC, with greater than 50% PD-L1 expression in their tumors that had not received prior systemic treatment for advanced NSCLC, as well as in combination with standard platinum-based chemotherapy in patients with advanced NSCLC regardless of PD-L1 expression status.</w:t>
      </w:r>
    </w:p>
    <w:p>
      <w:pPr>
        <w:spacing w:after="0" w:line="188"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 xml:space="preserve">There are other PD-L1 inhibitors being developed to treat NSCLC, such as Merck KGaA/Pfizer’s </w:t>
      </w:r>
      <w:r>
        <w:rPr>
          <w:rFonts w:ascii="Arial" w:cs="Arial" w:eastAsia="Arial" w:hAnsi="Arial"/>
          <w:sz w:val="17"/>
          <w:szCs w:val="17"/>
          <w:i w:val="1"/>
          <w:iCs w:val="1"/>
          <w:color w:val="auto"/>
        </w:rPr>
        <w:t>Bavencio,</w:t>
      </w:r>
      <w:r>
        <w:rPr>
          <w:rFonts w:ascii="Arial" w:cs="Arial" w:eastAsia="Arial" w:hAnsi="Arial"/>
          <w:sz w:val="17"/>
          <w:szCs w:val="17"/>
          <w:color w:val="auto"/>
        </w:rPr>
        <w:t xml:space="preserve"> BeiGene, Ltd.’s BGB-A317, and Sanofi/Regeneron’s cemiplimab which are in Phase 3 trials. The clinical development programs for these PD-L1 inhibitors have been designed to understand the broad impact they could have across NSCLC, including chemotherapy-naive and previously treated patients, as well as earlier stage patients. We anticipate the immune checkpoint inhibitors will be available for use across the spectrum of advanced NSCLC patients.</w:t>
      </w:r>
    </w:p>
    <w:p>
      <w:pPr>
        <w:spacing w:after="0" w:line="171"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However, even as the development of these immune checkpoint inhibitors represent a significant advance for NSCLC patients, most patients may still see their disease progress and the proportion of treated patients with low PD-L1 expression who respond to approved regimens is quite low (~10%). We believe with these disease-progressing patients and low response rates, there is significant room to improve upon the benefit of PD-L1 inhibitors through combinations with drugs, like entinostat, that target immune modulation through complementary mechanisms.</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Market Overview and Current Treatment—Melanoma</w:t>
      </w:r>
    </w:p>
    <w:p>
      <w:pPr>
        <w:spacing w:after="0" w:line="12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 xml:space="preserve">The incidence of malignant melanoma in most developed countries has risen faster than any other cancer type since the mid-1950s. In 2011, the average survival duration for patients with Stage IV melanoma, in which the melanoma has metastasized, was only six to ten months; and the five-year survival rate for such patients was 16%. Although this rate had not changed in some time, a recent major advance for melanoma came with the development and approval of drugs such as </w:t>
      </w:r>
      <w:r>
        <w:rPr>
          <w:rFonts w:ascii="Arial" w:cs="Arial" w:eastAsia="Arial" w:hAnsi="Arial"/>
          <w:sz w:val="18"/>
          <w:szCs w:val="18"/>
          <w:i w:val="1"/>
          <w:iCs w:val="1"/>
          <w:color w:val="auto"/>
        </w:rPr>
        <w:t>Zelboraf</w:t>
      </w:r>
      <w:r>
        <w:rPr>
          <w:rFonts w:ascii="Arial" w:cs="Arial" w:eastAsia="Arial" w:hAnsi="Arial"/>
          <w:sz w:val="15"/>
          <w:szCs w:val="15"/>
          <w:i w:val="1"/>
          <w:iCs w:val="1"/>
          <w:color w:val="auto"/>
        </w:rPr>
        <w:t>®</w:t>
      </w:r>
      <w:r>
        <w:rPr>
          <w:rFonts w:ascii="Arial" w:cs="Arial" w:eastAsia="Arial" w:hAnsi="Arial"/>
          <w:sz w:val="18"/>
          <w:szCs w:val="18"/>
          <w:color w:val="auto"/>
        </w:rPr>
        <w:t xml:space="preserve"> (vemurafenib), </w:t>
      </w:r>
      <w:r>
        <w:rPr>
          <w:rFonts w:ascii="Arial" w:cs="Arial" w:eastAsia="Arial" w:hAnsi="Arial"/>
          <w:sz w:val="18"/>
          <w:szCs w:val="18"/>
          <w:i w:val="1"/>
          <w:iCs w:val="1"/>
          <w:color w:val="auto"/>
        </w:rPr>
        <w:t>Tafinlar</w:t>
      </w:r>
      <w:r>
        <w:rPr>
          <w:rFonts w:ascii="Arial" w:cs="Arial" w:eastAsia="Arial" w:hAnsi="Arial"/>
          <w:sz w:val="15"/>
          <w:szCs w:val="15"/>
          <w:i w:val="1"/>
          <w:iCs w:val="1"/>
          <w:color w:val="auto"/>
        </w:rPr>
        <w:t>®</w:t>
      </w:r>
      <w:r>
        <w:rPr>
          <w:rFonts w:ascii="Arial" w:cs="Arial" w:eastAsia="Arial" w:hAnsi="Arial"/>
          <w:sz w:val="18"/>
          <w:szCs w:val="18"/>
          <w:color w:val="auto"/>
        </w:rPr>
        <w:t xml:space="preserve"> (dabrafenib) and </w:t>
      </w:r>
      <w:r>
        <w:rPr>
          <w:rFonts w:ascii="Arial" w:cs="Arial" w:eastAsia="Arial" w:hAnsi="Arial"/>
          <w:sz w:val="18"/>
          <w:szCs w:val="18"/>
          <w:i w:val="1"/>
          <w:iCs w:val="1"/>
          <w:color w:val="auto"/>
        </w:rPr>
        <w:t>Mekinist</w:t>
      </w:r>
      <w:r>
        <w:rPr>
          <w:rFonts w:ascii="Arial" w:cs="Arial" w:eastAsia="Arial" w:hAnsi="Arial"/>
          <w:sz w:val="15"/>
          <w:szCs w:val="15"/>
          <w:i w:val="1"/>
          <w:iCs w:val="1"/>
          <w:color w:val="auto"/>
        </w:rPr>
        <w:t>®</w:t>
      </w:r>
      <w:r>
        <w:rPr>
          <w:rFonts w:ascii="Arial" w:cs="Arial" w:eastAsia="Arial" w:hAnsi="Arial"/>
          <w:sz w:val="18"/>
          <w:szCs w:val="18"/>
          <w:color w:val="auto"/>
        </w:rPr>
        <w:t xml:space="preserve"> (trametinib), for patients with a mutated BRAF gene, which is a human gene that encodes a protein called B Raf.</w:t>
      </w:r>
    </w:p>
    <w:p>
      <w:pPr>
        <w:spacing w:after="0" w:line="188"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 xml:space="preserve">Melanoma is a particularly immune-responsive tumor, and thus, immunotherapy of melanoma has developed as a dynamic field for clinical research. To date, immunotherapies such as </w:t>
      </w:r>
      <w:r>
        <w:rPr>
          <w:rFonts w:ascii="Arial" w:cs="Arial" w:eastAsia="Arial" w:hAnsi="Arial"/>
          <w:sz w:val="18"/>
          <w:szCs w:val="18"/>
          <w:i w:val="1"/>
          <w:iCs w:val="1"/>
          <w:color w:val="auto"/>
        </w:rPr>
        <w:t>Yervoy</w:t>
      </w:r>
      <w:r>
        <w:rPr>
          <w:rFonts w:ascii="Arial" w:cs="Arial" w:eastAsia="Arial" w:hAnsi="Arial"/>
          <w:sz w:val="15"/>
          <w:szCs w:val="15"/>
          <w:color w:val="auto"/>
        </w:rPr>
        <w:t>®</w:t>
      </w:r>
      <w:r>
        <w:rPr>
          <w:rFonts w:ascii="Arial" w:cs="Arial" w:eastAsia="Arial" w:hAnsi="Arial"/>
          <w:sz w:val="18"/>
          <w:szCs w:val="18"/>
          <w:color w:val="auto"/>
        </w:rPr>
        <w:t xml:space="preserve"> (ipilmumab),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and </w:t>
      </w:r>
      <w:r>
        <w:rPr>
          <w:rFonts w:ascii="Arial" w:cs="Arial" w:eastAsia="Arial" w:hAnsi="Arial"/>
          <w:sz w:val="18"/>
          <w:szCs w:val="18"/>
          <w:i w:val="1"/>
          <w:iCs w:val="1"/>
          <w:color w:val="auto"/>
        </w:rPr>
        <w:t>Opdivo</w:t>
      </w:r>
      <w:r>
        <w:rPr>
          <w:rFonts w:ascii="Arial" w:cs="Arial" w:eastAsia="Arial" w:hAnsi="Arial"/>
          <w:sz w:val="18"/>
          <w:szCs w:val="18"/>
          <w:color w:val="auto"/>
        </w:rPr>
        <w:t>, have been approved for the treatment of malignant melanoma patients with unresectable or metastatic disease. However, in this tumor type as well, the immunotherapies represent a significant advance for only a small proportion of patients, leaving significant room to improve upon the benefit of immune checkpoint inhibitors through combinations with drugs, like entinostat, that target immune modulation through complementary mechanisms.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Market Overview and Current Treatment—MSS-CRC</w:t>
      </w:r>
    </w:p>
    <w:p>
      <w:pPr>
        <w:spacing w:after="0" w:line="12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 xml:space="preserve">Colorectal cancer is the 4th most common cancer diagnosed in the United States each year. Currently, the average survival duration for patients with Stage IV CRC, in which the cancer has metastasized, was only two to two and a half years; and the five-year survival rate for such patients was 14%. This rate has improved incrementally over time, with approval of drugs like </w:t>
      </w:r>
      <w:r>
        <w:rPr>
          <w:rFonts w:ascii="Arial" w:cs="Arial" w:eastAsia="Arial" w:hAnsi="Arial"/>
          <w:sz w:val="18"/>
          <w:szCs w:val="18"/>
          <w:i w:val="1"/>
          <w:iCs w:val="1"/>
          <w:color w:val="auto"/>
        </w:rPr>
        <w:t>Avastin, Erbitux, Stivarga</w:t>
      </w:r>
      <w:r>
        <w:rPr>
          <w:rFonts w:ascii="Arial" w:cs="Arial" w:eastAsia="Arial" w:hAnsi="Arial"/>
          <w:sz w:val="18"/>
          <w:szCs w:val="18"/>
          <w:color w:val="auto"/>
        </w:rPr>
        <w:t xml:space="preserve"> and </w:t>
      </w:r>
      <w:r>
        <w:rPr>
          <w:rFonts w:ascii="Arial" w:cs="Arial" w:eastAsia="Arial" w:hAnsi="Arial"/>
          <w:sz w:val="18"/>
          <w:szCs w:val="18"/>
          <w:i w:val="1"/>
          <w:iCs w:val="1"/>
          <w:color w:val="auto"/>
        </w:rPr>
        <w:t>Lonsurf</w:t>
      </w:r>
      <w:r>
        <w:rPr>
          <w:rFonts w:ascii="Arial" w:cs="Arial" w:eastAsia="Arial" w:hAnsi="Arial"/>
          <w:sz w:val="18"/>
          <w:szCs w:val="18"/>
          <w:color w:val="auto"/>
        </w:rPr>
        <w:t>.</w:t>
      </w:r>
    </w:p>
    <w:p>
      <w:pPr>
        <w:spacing w:after="0" w:line="18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 xml:space="preserve">Most CRC patients have microsatellite stable disease which, unlike microsatellite instable CRC, has been shown to be more resistant to checkpoint inhibition therapy. Recent pre-clinical evidence suggests that combining alternate mechanisms with a PD-(L)1 inhibitor could increase response rates and lead to lasting benefit for patients. Roche Genentech recently reported an 8% response rate with a combination of its PD-L1 inhibitor,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Cotellic</w:t>
      </w:r>
      <w:r>
        <w:rPr>
          <w:rFonts w:ascii="Arial" w:cs="Arial" w:eastAsia="Arial" w:hAnsi="Arial"/>
          <w:sz w:val="18"/>
          <w:szCs w:val="18"/>
          <w:color w:val="auto"/>
        </w:rPr>
        <w:t>® (cobimetinib), a MEK inhibitor. It has taken the combination into a phase III clinical trial and expects data in 2018. However, in this tumor type as well, there is still significant room to improve upon the benefit of immune checkpoint inhibitors through combinations with drugs, like entinostat, that target immune modulation through complementary mechanisms.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 w:name="page14"/>
    <w:bookmarkEnd w:id="13"/>
    <w:p>
      <w:pPr>
        <w:ind w:left="600"/>
        <w:spacing w:after="0"/>
        <w:rPr>
          <w:sz w:val="20"/>
          <w:szCs w:val="20"/>
          <w:color w:val="auto"/>
        </w:rPr>
      </w:pPr>
      <w:r>
        <w:rPr>
          <w:rFonts w:ascii="Arial" w:cs="Arial" w:eastAsia="Arial" w:hAnsi="Arial"/>
          <w:sz w:val="18"/>
          <w:szCs w:val="18"/>
          <w:b w:val="1"/>
          <w:bCs w:val="1"/>
          <w:color w:val="auto"/>
        </w:rPr>
        <w:t>Our Development of Entinostat in NSCLC, Melanoma and MSS-CRC</w:t>
      </w:r>
    </w:p>
    <w:p>
      <w:pPr>
        <w:spacing w:after="0" w:line="121"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 xml:space="preserve">We have a clinical collaboration underway with Merck to study the safety and efficacy of entinostat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malignant melanoma and MSS-CRC. The ENCORE 601 clinical trial is a Phase 1b/2 clinical trial. The Phase 1b portion evaluated the safety, tolerability and biomarker correlates of the combination of entinostat and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The Phase 2 portion is assessing both the safety and efficacy of entinostat combined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melanoma and MSS-CRC. The trial is an open label, dose escalation study with cohort expansions at the recommended Phase 2 dose, or RP2D, in NSCLC, melanoma and MSS-CRC patients. We are conducting the trial in the United States and have enrolled approximately 175 patients with 22 of those having been enrolled in the Phase 1b portion and approximately 153 of those to be enrolled in the Phase 2 portion. We announced safety data and recommended Phase 2 dose, or RP2D, data from the Phase 1b portion in the first half of 2016 and in the second half of 2016, respectively. We initiated patient enrollment in the Phase 2 portion in October 2016, and we expect final efficacy data in 2018.</w:t>
      </w:r>
    </w:p>
    <w:p>
      <w:pPr>
        <w:spacing w:after="0" w:line="166"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 xml:space="preserve">The primary objective of the Phase 1b portion of the trial was to determine the dose-limiting toxicities, or DLT, maximum tolerated dose, or MTD, or the RP2D of entinostat given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The initial three patients in Cohort 1 received weekly oral entinostat at a starting dose of 3 mg along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200 mg via intravenous infusion. Enrollment in Cohort 1 was increased to six patients after one of the initial three patients developed a serious immune-mediated adverse event. The patient in question developed Grade 3 elevations in alkaline phosphatase and serum bilirubin, which were considered to be manifestations of immune-mediated hepatitis. Immune-mediated hepatitis is included in the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U.S. Prescribing Information as a potential adverse drug reaction. The adverse event was successfully managed by withholding study drugs and administering systemic corticosteroids, leading to a rapid normalization of the abnormal laboratory values and resolution of symptoms. Based on a thorough safety review of all six patients, which demonstrated no similar events or any other dose-limiting toxicities, the 3 mg dosing was deemed tolerable; and in December 2015, dosing was escalated to entinostat weekly oral doses of 5 mg, which enrolled seven patients. The prospective RP2D was confirmed in nine additional patients. The Phase 1b portion of the clinical trial also characterized the effect of the combination therapy on numerous biomarkers, including expression of PD-1 and PD-L1, the number and function of different types of T cells and the number of MDSCs. We are assessing these biomarkers both in peripheral blood and in serial tumor biopsies.</w:t>
      </w:r>
    </w:p>
    <w:p>
      <w:pPr>
        <w:spacing w:after="0" w:line="173"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 xml:space="preserve">In the Phase 2 portion of the clinical trial, we are evaluating entinostat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using the RP2D identified in the Phase 1b portion with the primary objective of evaluating the efficacy of the combination in three expansion cohorts. In each cohort we are using a two-stage design in which a defined minimum number of responders must be seen in the first stage for the cohort to advance to full enrollment in the second stage. We have recently completed enrollment of the three cohorts in the first stage of the Phase 2 portion in patients with NSCLC and melanoma and therefore have closed enrollment for these cohorts. The first stage of the Phase 2 portion of the trial was designed to evaluate the results from these first cohorts and make an informed decision around expanding and progressing any, all or none of the cohorts into the next stage of the trial only after attaining a certain pre-specified and meaningful level of objective response in each cohort. We have completed enrollment of the first stage of the Phase 2 portion for all four cohorts. In the first half of 2017, both the PD-L-1 pretreated melanoma and NSCLC cohort of ENCORE 601 met the pre-specified objective response threshold; and both progressed to the second stage of the trial. Initially, the melanoma cohort enrolled an additional 21 patients and to increase statistical power and decrease type I error, we subsequently enrolled an additional 18 patients. Enrollment of the full 52 patients is nearing completion. We expect to share data on the first 34 patients in the second quarter of 2018. Similarly, the cohort enrolling PD-L-1 pretreated NSCLC initially enrolled an additional 25 patients in stage 2, but we subsequently enrolled an additional 14 patients to increase statistical power and decrease type I error. Enrollment of the full 70 patients in this arm is complete and we expect data to be available in the second quarter of 2018. In the second half of 2017, we announced that the cohort enrolling PD-L-1 naïve NSCLC patients also met the established criteria to advance to stage 2, however due to the changing landscape in this patient population, we have decided to not progress this cohort into the second stage of the Phase 2 portion. The first stage of the Phase 2 portion of the MSS-CRC cohort completed enrollment in the third quarter of 2017, and patients continue to be treated with the entinostat-</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combination. We require at least two confirmed objective responses to proceed to the second stage, and anticipate having enough data to determine whether to progress to stage 2 in the first half of 2018.</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4" w:name="page15"/>
    <w:bookmarkEnd w:id="14"/>
    <w:p>
      <w:pPr>
        <w:jc w:val="both"/>
        <w:ind w:right="80" w:firstLine="598"/>
        <w:spacing w:after="0" w:line="264" w:lineRule="auto"/>
        <w:rPr>
          <w:sz w:val="20"/>
          <w:szCs w:val="20"/>
          <w:color w:val="auto"/>
        </w:rPr>
      </w:pPr>
      <w:r>
        <w:rPr>
          <w:rFonts w:ascii="Arial" w:cs="Arial" w:eastAsia="Arial" w:hAnsi="Arial"/>
          <w:sz w:val="18"/>
          <w:szCs w:val="18"/>
          <w:color w:val="auto"/>
        </w:rPr>
        <w:t>Secondary objectives of the trial include assessments of safety, efficacy as measured by clinical benefit rate at six months, PFS at six months, overall PFS, overall survival, duration of response and time to response. Additional exploratory objectives include evaluation of changes in biomarkers in blood and tissue samples collected from patients that may reflect entinostat activity on immune cells.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Details of the trial design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152400</wp:posOffset>
            </wp:positionV>
            <wp:extent cx="3035935" cy="2143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3593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Entinostat with Immune Checkpoint Inhibitors in TNBC</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Market Overview and Current Treatment</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Breast cancer is the leading cause of cancer death in women worldwide and the second leading cause of cancer death in women in the United States after lung cancer. According to the American Cancer Society, in 2017 approximately 253,000 new cases of invasive breast cancer will be diagnosed in the United States and an estimated 41,000 people will die from breast cancer in the United States. Although the five-year survival rate for women diagnosed with non-metastatic breast cancer is over 85%, the five-year survival rate for women diagnosed with metastatic breast cancer is only 24%, indicating the need for new therapies that can prolong overall survival.</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Breast cancers can be divided into three subsets based on the presence or absence in the tumor of the following protein receptors:</w:t>
      </w:r>
    </w:p>
    <w:p>
      <w:pPr>
        <w:spacing w:after="0" w:line="117" w:lineRule="exact"/>
        <w:rPr>
          <w:sz w:val="20"/>
          <w:szCs w:val="20"/>
          <w:color w:val="auto"/>
        </w:rPr>
      </w:pPr>
    </w:p>
    <w:p>
      <w:pPr>
        <w:ind w:left="1200" w:hanging="598"/>
        <w:spacing w:after="0"/>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HR+, which means expressing the estrogen receptor, or ER, or progesterone receptor, or PR, alone or in combination with each other;</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HER2+, which means expressing the human epidermal growth factor receptor 2, or HER2 receptor;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Triple negative, which means not expressing ER, PR or HER2.</w:t>
      </w:r>
    </w:p>
    <w:p>
      <w:pPr>
        <w:spacing w:after="0" w:line="225"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 xml:space="preserve">TNBC represents 15-20% of newly diagnosed breast cancer cases, and is associated with a younger age at diagnosis, advanced stage at diagnosis, increased risk of visceral metastasis and poorer outcome. The five-year survival rate for women diagnosed with Stage IV TNBC is only 22% with limited treatment options. Preliminary data has indicated that treatment with PD-L1 inhibitors results in approximately a 20% response rate in women with TNBC, and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are currently being studied in Phase 3 clinical trials.</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Development Plan of Entinostat in TNBC</w:t>
      </w:r>
    </w:p>
    <w:p>
      <w:pPr>
        <w:spacing w:after="0" w:line="121"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 xml:space="preserve">We established a clinical collaboration with Genentech to study the safety and efficacy of entinostat in combination with atezolizumab, an anti-PD-L1 antibody, in patients with TNBC. The ENCORE 602 clinical trial is a Phase 1b/2 clinical trial, and the Phase 1b portion is initially evaluating the safety of weekly oral entinostat at a dose of 5 mg administered in combination with 1,200 mg of </w:t>
      </w:r>
      <w:r>
        <w:rPr>
          <w:rFonts w:ascii="Arial" w:cs="Arial" w:eastAsia="Arial" w:hAnsi="Arial"/>
          <w:sz w:val="17"/>
          <w:szCs w:val="17"/>
          <w:i w:val="1"/>
          <w:iCs w:val="1"/>
          <w:color w:val="auto"/>
        </w:rPr>
        <w:t>Tecentriq</w:t>
      </w:r>
      <w:r>
        <w:rPr>
          <w:rFonts w:ascii="Arial" w:cs="Arial" w:eastAsia="Arial" w:hAnsi="Arial"/>
          <w:sz w:val="17"/>
          <w:szCs w:val="17"/>
          <w:color w:val="auto"/>
        </w:rPr>
        <w:t xml:space="preserve"> given intravenously every three weeks.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ind w:right="140"/>
        <w:spacing w:after="0" w:line="276" w:lineRule="auto"/>
        <w:rPr>
          <w:sz w:val="20"/>
          <w:szCs w:val="20"/>
          <w:color w:val="auto"/>
        </w:rPr>
      </w:pPr>
      <w:r>
        <w:rPr>
          <w:rFonts w:ascii="Arial" w:cs="Arial" w:eastAsia="Arial" w:hAnsi="Arial"/>
          <w:sz w:val="17"/>
          <w:szCs w:val="17"/>
          <w:color w:val="auto"/>
        </w:rPr>
        <w:t>Enrollment in the Phase 1b trial was completed in November 2016. The RP2D of entinostat was established as 5 mg weekly. The Phase 2 portion of the trial was opened in December 2016. The Phase 2 portion of the clinical trial is a randomized, double-blind, placebo-controlled trial. The primary endpoint of the Phase 2 clinical trial is PFS, with response rate, duration of response, time to response and overall survival as secondary end points. Additional exploratory objectives include evaluation of changes in biomarkers in blood and tissue samples collected from patients that may reflect entinostat activity on immune cells. We anticipate efficacy and safety data from the Phase 2 portion in the fourth quarter of 2018.</w:t>
      </w:r>
    </w:p>
    <w:p>
      <w:pPr>
        <w:spacing w:after="0" w:line="173"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 xml:space="preserve">In January 2018 we entered into a second clinical collaboration with Genentech to evaluate the combination of entinostat with </w:t>
      </w:r>
      <w:r>
        <w:rPr>
          <w:rFonts w:ascii="Arial" w:cs="Arial" w:eastAsia="Arial" w:hAnsi="Arial"/>
          <w:sz w:val="18"/>
          <w:szCs w:val="18"/>
          <w:i w:val="1"/>
          <w:iCs w:val="1"/>
          <w:color w:val="auto"/>
        </w:rPr>
        <w:t>Tecentriq</w:t>
      </w:r>
      <w:r>
        <w:rPr>
          <w:rFonts w:ascii="Arial" w:cs="Arial" w:eastAsia="Arial" w:hAnsi="Arial"/>
          <w:sz w:val="15"/>
          <w:szCs w:val="15"/>
          <w:color w:val="auto"/>
        </w:rPr>
        <w:t>®</w:t>
      </w:r>
      <w:r>
        <w:rPr>
          <w:rFonts w:ascii="Arial" w:cs="Arial" w:eastAsia="Arial" w:hAnsi="Arial"/>
          <w:sz w:val="18"/>
          <w:szCs w:val="18"/>
          <w:color w:val="auto"/>
        </w:rPr>
        <w:t xml:space="preserve"> (atezolizumab) in patients with HR+, HER2- metastatic breast cancer. The planned Phase 1b/2, open-label, multicenter, randomized trial will enroll patients with metastatic HR+, HER2- breast cancer who have experienced disease progression during or following treatment with a CDK4/6 inhibitor. Genentech will be responsible for conducting the trial.</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Entinostat with Immune Checkpoint Inhibitors in Ovarian Cancer</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Market Overview and Current Treatment—Ovarian Cancer</w:t>
      </w:r>
    </w:p>
    <w:p>
      <w:pPr>
        <w:spacing w:after="0" w:line="121"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The National Cancer Institute estimates that approximately 22,000 women were diagnosed and just over 14,000 died from ovarian cancer in the United States in 2017. The past few decades have seen some improvement in median five-year survival for women diagnosed with ovarian cancer, but the trend has been modest, increasing from 36% in 1977 to 47% in 2017.</w:t>
      </w:r>
    </w:p>
    <w:p>
      <w:pPr>
        <w:spacing w:after="0" w:line="181"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 xml:space="preserve">Currently, more than 60% of women are diagnosed with advanced disease and therapeutic options for these patients are still dominated by traditional chemotherapeutics, such as platinums, taxanes and anthracyclines. Since 2014, four targeted agents have been approved for second line or later treatment: </w:t>
      </w:r>
      <w:r>
        <w:rPr>
          <w:rFonts w:ascii="Arial" w:cs="Arial" w:eastAsia="Arial" w:hAnsi="Arial"/>
          <w:sz w:val="18"/>
          <w:szCs w:val="18"/>
          <w:i w:val="1"/>
          <w:iCs w:val="1"/>
          <w:color w:val="auto"/>
        </w:rPr>
        <w:t>Avastin</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(bevacizumab), a vascular endothelial growth factor specific angiogenesis inhibitor, and three poly ADP-ribose polymerase, or PARP, inhibitors,</w:t>
      </w:r>
      <w:r>
        <w:rPr>
          <w:rFonts w:ascii="Arial" w:cs="Arial" w:eastAsia="Arial" w:hAnsi="Arial"/>
          <w:sz w:val="18"/>
          <w:szCs w:val="18"/>
          <w:i w:val="1"/>
          <w:iCs w:val="1"/>
          <w:color w:val="auto"/>
        </w:rPr>
        <w:t xml:space="preserve"> Lynparza</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(olaparib),</w:t>
      </w:r>
      <w:r>
        <w:rPr>
          <w:rFonts w:ascii="Arial" w:cs="Arial" w:eastAsia="Arial" w:hAnsi="Arial"/>
          <w:sz w:val="18"/>
          <w:szCs w:val="18"/>
          <w:i w:val="1"/>
          <w:iCs w:val="1"/>
          <w:color w:val="auto"/>
        </w:rPr>
        <w:t xml:space="preserve"> Rubraca</w:t>
      </w:r>
      <w:r>
        <w:rPr>
          <w:rFonts w:ascii="Arial" w:cs="Arial" w:eastAsia="Arial" w:hAnsi="Arial"/>
          <w:sz w:val="15"/>
          <w:szCs w:val="15"/>
          <w:color w:val="auto"/>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(rucaparib), and</w:t>
      </w:r>
      <w:r>
        <w:rPr>
          <w:rFonts w:ascii="Arial" w:cs="Arial" w:eastAsia="Arial" w:hAnsi="Arial"/>
          <w:sz w:val="18"/>
          <w:szCs w:val="18"/>
          <w:i w:val="1"/>
          <w:iCs w:val="1"/>
          <w:color w:val="auto"/>
        </w:rPr>
        <w:t xml:space="preserve"> Zejula</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(niraparib). However, the progression free survival for PARPs is 9 months or less in unselected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patients, with much longer durability seen in the ~10% of patients with germline BRCA mutations, highlighting the need to further improve upon patient care for most patients. The safety and the efficacy of immune-targeted therapy in ovarian cancer has not yet been demonstrated, but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Bavencio</w:t>
      </w:r>
      <w:r>
        <w:rPr>
          <w:rFonts w:ascii="Arial" w:cs="Arial" w:eastAsia="Arial" w:hAnsi="Arial"/>
          <w:sz w:val="18"/>
          <w:szCs w:val="18"/>
          <w:color w:val="auto"/>
        </w:rPr>
        <w:t xml:space="preserve"> are in Phase 3 development.</w:t>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Our Development Plan of Entinostat in Ovarian Cancer</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 xml:space="preserve">We have a clinical trial collaboration with Merck KGaA and Pfizer to study the safety and efficacy of entinostat in combination with avelumab, an investigational anti-PD-L1 antibody, in patients with ovarian cancer. The ENCORE 603 clinical trial is a Phase 1b/2 clinical trial, where the Phase 1b portion will initially evaluate the safety of weekly, oral entinostat with </w:t>
      </w:r>
      <w:r>
        <w:rPr>
          <w:rFonts w:ascii="Arial" w:cs="Arial" w:eastAsia="Arial" w:hAnsi="Arial"/>
          <w:sz w:val="17"/>
          <w:szCs w:val="17"/>
          <w:i w:val="1"/>
          <w:iCs w:val="1"/>
          <w:color w:val="auto"/>
        </w:rPr>
        <w:t>Bavencio</w:t>
      </w:r>
      <w:r>
        <w:rPr>
          <w:rFonts w:ascii="Arial" w:cs="Arial" w:eastAsia="Arial" w:hAnsi="Arial"/>
          <w:sz w:val="17"/>
          <w:szCs w:val="17"/>
          <w:color w:val="auto"/>
        </w:rPr>
        <w:t>. The Phase 2 portion of the randomized, double-blind, placebo-controlled trial was opened in the third quarter of 2017. The primary endpoint is PFS, with response rate, duration of response, time to response and overall survival as secondary end points. We continue to enroll patients into the Phase 2 portion of ENCORE 603 and anticipate enrollment completion in the first half of 2018, with efficacy and safety data available in the first half of 2019. Additional exploratory objectives include evaluation of changes in biomarkers in blood and tissue samples collected from patients that may reflect the effect of entinostat on immune cells.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Additional Development Activities of Entinostat</w:t>
      </w:r>
    </w:p>
    <w:p>
      <w:pPr>
        <w:spacing w:after="0" w:line="117" w:lineRule="exact"/>
        <w:rPr>
          <w:sz w:val="20"/>
          <w:szCs w:val="20"/>
          <w:color w:val="auto"/>
        </w:rPr>
      </w:pPr>
    </w:p>
    <w:p>
      <w:pPr>
        <w:ind w:right="160" w:firstLine="598"/>
        <w:spacing w:after="0" w:line="291" w:lineRule="auto"/>
        <w:rPr>
          <w:sz w:val="20"/>
          <w:szCs w:val="20"/>
          <w:color w:val="auto"/>
        </w:rPr>
      </w:pPr>
      <w:r>
        <w:rPr>
          <w:rFonts w:ascii="Arial" w:cs="Arial" w:eastAsia="Arial" w:hAnsi="Arial"/>
          <w:sz w:val="16"/>
          <w:szCs w:val="16"/>
          <w:color w:val="auto"/>
        </w:rPr>
        <w:t>To complement our ongoing company-sponsored trials of entinostat, we are currently collaborating with the NCI and independent investigators to explore additional opportunities of entinostat across multiple tumor types. Most of these clinical studies are Phase 1 or 2 trials assessing entinostat in combination with immuno-oncology agents in which we hope to further validate the preclinical observations that entinostat can enhance the clinical activity of these agents. The remaining studies are assessing the combination of entinostat with a variety of other oncology therapeutic agents where there is strong preclinical rationale for the combination and a strong unmet need. The NCI or the investigators’ academic institutions are sponsors of the studies, thus Syndax is not responsible for the oversight or conduct of these clinical trials. We cannot provide assurance that they will be completed or that data will be received on the timeline indicated, but we are hopeful that data from selected studies will become available starting in 2018.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SNDX-6352</w:t>
      </w:r>
    </w:p>
    <w:p>
      <w:pPr>
        <w:spacing w:after="0" w:line="117" w:lineRule="exact"/>
        <w:rPr>
          <w:sz w:val="20"/>
          <w:szCs w:val="20"/>
          <w:color w:val="auto"/>
        </w:rPr>
      </w:pPr>
    </w:p>
    <w:p>
      <w:pPr>
        <w:ind w:right="160" w:firstLine="598"/>
        <w:spacing w:after="0" w:line="253" w:lineRule="auto"/>
        <w:rPr>
          <w:sz w:val="20"/>
          <w:szCs w:val="20"/>
          <w:color w:val="auto"/>
        </w:rPr>
      </w:pPr>
      <w:r>
        <w:rPr>
          <w:rFonts w:ascii="Arial" w:cs="Arial" w:eastAsia="Arial" w:hAnsi="Arial"/>
          <w:sz w:val="18"/>
          <w:szCs w:val="18"/>
          <w:color w:val="auto"/>
        </w:rPr>
        <w:t>We are also developing SNDX-6352, which we believe may enhance the body’s immune response on tumors that have shown sensitivity to immunotherapy. With our entinostat program we have identified that many tumors have the ability to evade both the innate and adaptive immune system through direct cellular interactions and recruitment of immuno-suppressive cells such as MDSCs and Tregs to the area surrounding the tumor. Research has identified a third type of immuno-suppressive cell, known as a TAM, that is also recruited to the area surrounding the tumor and, together with MDSCs and Tregs, plays a significant role in helping a tumor evade detection and elimination by the immune system. TAMs are believed to play at least two key roles in promoting tumor cell growth. The first is to block the activity of those T cells that mediate the ability of the immune response to kill the tumor cell. The second is to secrete certain growth factors that induce the tumor cells to divide. Similar to MDSCs and Tregs, high levels of TAMs have been shown to correlate with poor prognosis for certain cancers and preclinical studies have demonstrated that inhibition of TAMs can enhance anti-tumor immune responses.</w:t>
      </w:r>
    </w:p>
    <w:p>
      <w:pPr>
        <w:spacing w:after="0" w:line="19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Investigation into how TAMs are formed and recruited to the area surrounding the tumor has discovered that TAMs express on their cell surface a receptor known as CSF-1R that controls their growth. CSF-1R activity is regulated by two molecules, CSF-1 and IL-34, that have been shown by researchers to bind directly to CSF-1R. Studies show that blocking both CSF-1 and IL-34 may be required to fully block signaling through CSF-1R and reduce the number and function of TAMs. SNDX-6352 is an IgG4 isotype that binds to the ligand binding domain of CSF-1R, blocking the binding and consequent activation by both IL-34 and CSF-1 and disrupting TAM activity.</w:t>
      </w:r>
    </w:p>
    <w:p>
      <w:pPr>
        <w:spacing w:after="0" w:line="188" w:lineRule="exact"/>
        <w:rPr>
          <w:sz w:val="20"/>
          <w:szCs w:val="20"/>
          <w:color w:val="auto"/>
        </w:rPr>
      </w:pPr>
    </w:p>
    <w:p>
      <w:pPr>
        <w:ind w:right="300" w:firstLine="598"/>
        <w:spacing w:after="0" w:line="279" w:lineRule="auto"/>
        <w:rPr>
          <w:sz w:val="20"/>
          <w:szCs w:val="20"/>
          <w:color w:val="auto"/>
        </w:rPr>
      </w:pPr>
      <w:r>
        <w:rPr>
          <w:rFonts w:ascii="Arial" w:cs="Arial" w:eastAsia="Arial" w:hAnsi="Arial"/>
          <w:sz w:val="17"/>
          <w:szCs w:val="17"/>
          <w:color w:val="auto"/>
        </w:rPr>
        <w:t>We and our collaborators are developing SNDX-6352 to bind to CSF-1R and block the ability of CSF-1 and IL-34 to bind to and activate CSF-1R signaling. UCB Biopharma Sprl, or UCB, has demonstrated in preclinical studies that were designed to measure the amount of SNDX-6352 bound to the CSF-1R, that SNDX-6352 binds to human CSF-1R with high affinity as indicated by a dissociation constant value, or KD, of 4-8 picomolar (pM). These studies also showed that SNDX-6352 can bind to human and cynomolgus monkey CSF-1R but not rodent CSF-1R.</w:t>
      </w:r>
    </w:p>
    <w:p>
      <w:pPr>
        <w:spacing w:after="0" w:line="17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One way in which investigators show that CSF-1 and IL-34 bind to and activate CSF-1R is to measure the amount of a secreted factor known as monocyte chemotactic protein 1, or MCP-1, that is released by cells when CSF-1R signaling is activated. A lower amount of MCP-1 can mean that the binding of CSF-1 and IL-34 have been blocked. Preliminary research shows that SNDX-6352 potently inhibits both CSF-1 and IL-34 induced MCP-1 release from human monocytes (IC50, 270pM and 100pM, respectively).</w:t>
      </w:r>
    </w:p>
    <w:p>
      <w:pPr>
        <w:spacing w:after="0" w:line="18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A second way in which investigators measure the activity of CSF-1R blockade is to count the number of circulating cells known as non-classical monocytes. The cells can be identified by expression of cell surface markers called CD14 and CD16. Researchers have shown that blocking CSF-1R signaling results in a decrease in the number of non-classical monocytes, and SNDX-6352 has been shown to reduce the number of non-classical monocytes in a preclinical trial.</w:t>
      </w:r>
    </w:p>
    <w:p>
      <w:pPr>
        <w:spacing w:after="0" w:line="18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A third way to demonstrate that SNDX-6352 can bind to CSF-1R and block binding of CSF-1 is to measure the level of circulating CSF-1 in the blood. Researchers have shown that blocking CSF-1R results in increased levels of CSF-1. The amount of circulating CSF-1 can therefore be used as measurement of the amount of SNDX-6352 bound to CSF-1R. To understand the expected clinical activity of SNDX-6352 in human subjects, we and our collaborators have conducted studies with SNDX-6352 across a range of doses in cynomolgus monkeys. Our preclinical data indicate that SNDX-6352 causes sustained increases in CSF-1 levels for at least 14 days at doses greater than 5 mg per kilogram of bodyweight.</w:t>
      </w:r>
    </w:p>
    <w:p>
      <w:pPr>
        <w:spacing w:after="0" w:line="173"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We believe that the results of UCB’s preclinical studies combined demonstrate that SNDX-6352 is a potent CSF-1R binding antibody that can block the activation of CSF-1R signaling through both IL-34 and CSF-1 and reduce the number of CSF-1R expressing target cells.</w:t>
      </w:r>
    </w:p>
    <w:p>
      <w:pPr>
        <w:spacing w:after="0" w:line="170"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Our near-term focus is to rapidly establish proof of concept that SNDX-6352 can provide meaningful clinical benefit to patients in one or more tumor types when combined with standard of care therapies for a given indication. We intend to conduct clinical trials in patients with tumor types having clear unmet needs (e.g., NSCLC, TNBC, prostate, melanoma, pancreatic, ovarian, bladder) and where we believe that the inhibition of TAMs via CSF-1R inhibition will synergize with the current standard of care, inducing tumor regressions.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right="120" w:firstLine="598"/>
        <w:spacing w:after="0" w:line="255" w:lineRule="auto"/>
        <w:rPr>
          <w:sz w:val="20"/>
          <w:szCs w:val="20"/>
          <w:color w:val="auto"/>
        </w:rPr>
      </w:pPr>
      <w:r>
        <w:rPr>
          <w:rFonts w:ascii="Arial" w:cs="Arial" w:eastAsia="Arial" w:hAnsi="Arial"/>
          <w:sz w:val="18"/>
          <w:szCs w:val="18"/>
          <w:color w:val="auto"/>
        </w:rPr>
        <w:t>To determine the safety profile of SNDX-6352 in patients with solid tumors, we commenced SNDX-6352-502, a multiple ascending dose Phase 1 clinical trial in the third quarter of 2017. In addition to assessing safety assessment at increasing doses of SNDX-6352, we will collect information on the concentration of SNDX-6352 and levels of CSF-1, IL-34 and non-classical monocytes in the blood. We are conducting the trial at multiple centers in the United States and at this time we anticipate enrolling 48 patients in the study. We expect to complete enrollment in this Phase 1 trial by the end of third quarter of 2018. We expect to utilize the safety assessment of SNDX-6352 to determine the starting dose for subsequent clinical trials testing multiple doses of SNDX-6352 as a single agent and in combinations.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Menin Assets</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are developing a series of potent and selective inhibitors, which we refer to as the Menin Assets, targeting the binding interaction of Menin with MLLr. Rearrangements involving the MLL (mixed lineage leukemia, KMT2A) gene (MLLr) occur broadly in acute leukemia and are associated with poor patient outcomes. Menin is a ubiquitously expressed nuclear protein and the MLLr-menin interaction is the key impetus for transformation of MLLr-expressing cells. Inhibition of the Menin and MLL1 interaction has been shown to reverse leukemic gene expression driven by MLL-fusion proteins and is a potential targeted therapeutic strategy in MLL-rearranged AML. We expect to select a lead investigational therapeutic from the portfolio of Menin Assets and file an IND in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Collaborations in Immuno-Oncology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Merck—MSD International GmbH</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 xml:space="preserve">In March 2015, we entered into a clinical trial collaboration and supply agreement with MSD International GmbH, an affiliate of Merck, under which we will conduct a clinical trial evaluating entinostat in combination with Merck’s drug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in patients with NSCLC and melanoma. We are the sponsor of the clinical trial. Merck will supply </w:t>
      </w:r>
      <w:r>
        <w:rPr>
          <w:rFonts w:ascii="Arial" w:cs="Arial" w:eastAsia="Arial" w:hAnsi="Arial"/>
          <w:sz w:val="17"/>
          <w:szCs w:val="17"/>
          <w:i w:val="1"/>
          <w:iCs w:val="1"/>
          <w:color w:val="auto"/>
        </w:rPr>
        <w:t>Keytruda</w:t>
      </w:r>
      <w:r>
        <w:rPr>
          <w:rFonts w:ascii="Arial" w:cs="Arial" w:eastAsia="Arial" w:hAnsi="Arial"/>
          <w:sz w:val="17"/>
          <w:szCs w:val="17"/>
          <w:color w:val="auto"/>
        </w:rPr>
        <w:t xml:space="preserve"> for use in the clinical trial. Neither party will have any obligation to reimburse any costs incurred by the other party, except that a party may be required to reimburse the manufacturing costs of the other party upon certain early termination events.</w:t>
      </w:r>
    </w:p>
    <w:p>
      <w:pPr>
        <w:spacing w:after="0" w:line="171" w:lineRule="exact"/>
        <w:rPr>
          <w:sz w:val="20"/>
          <w:szCs w:val="20"/>
          <w:color w:val="auto"/>
        </w:rPr>
      </w:pPr>
    </w:p>
    <w:p>
      <w:pPr>
        <w:jc w:val="both"/>
        <w:ind w:right="240" w:firstLine="598"/>
        <w:spacing w:after="0" w:line="312" w:lineRule="auto"/>
        <w:rPr>
          <w:sz w:val="20"/>
          <w:szCs w:val="20"/>
          <w:color w:val="auto"/>
        </w:rPr>
      </w:pPr>
      <w:r>
        <w:rPr>
          <w:rFonts w:ascii="Arial" w:cs="Arial" w:eastAsia="Arial" w:hAnsi="Arial"/>
          <w:sz w:val="16"/>
          <w:szCs w:val="16"/>
          <w:color w:val="auto"/>
        </w:rPr>
        <w:t>To the extent any inventions arise from the clinical trial, each party will solely own inventions relating to its drug alone, and the parties will jointly own any inventions relating to the combination of the two drugs. In most cases, clinical data from the trial will be jointly owned. However, each party will separately analyze clinical samples obtained from trial participants, and each party will solely own the sample analysis data that it generates.</w:t>
      </w:r>
    </w:p>
    <w:p>
      <w:pPr>
        <w:spacing w:after="0" w:line="147"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color w:val="auto"/>
        </w:rPr>
        <w:t xml:space="preserve">Either party may terminate the agreement for the other party’s uncured material breach. In addition, either party may terminate the agreement if it believes that there is imminent danger to patients in the clinical trial, or if a regulatory authority takes an action that prevent such party from supplying its drug, or if such party decides to discontinue development of its drug. Merck may terminate the agreement if we fail to make any changes to the clinical trial protocol that are reasonably requested by Merck to address a perceived safety issue or if we undergo a change of control with a company that is clinically developing or marketing a drug having the same mechanism of action as </w:t>
      </w:r>
      <w:r>
        <w:rPr>
          <w:rFonts w:ascii="Arial" w:cs="Arial" w:eastAsia="Arial" w:hAnsi="Arial"/>
          <w:sz w:val="17"/>
          <w:szCs w:val="17"/>
          <w:i w:val="1"/>
          <w:iCs w:val="1"/>
          <w:color w:val="auto"/>
        </w:rPr>
        <w:t>Keytruda</w:t>
      </w:r>
      <w:r>
        <w:rPr>
          <w:rFonts w:ascii="Arial" w:cs="Arial" w:eastAsia="Arial" w:hAnsi="Arial"/>
          <w:sz w:val="17"/>
          <w:szCs w:val="17"/>
          <w:color w:val="auto"/>
        </w:rPr>
        <w:t>.</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In August 2015, we entered into a combination study collaboration agreement with Genentech under which we will conduct a clinical trial evaluating entinostat in combination with Genentech’s drug atezolizumab in patients with TNBC. We will be the sponsor of the clinical trial. Genentech will supply atezolizumab for use in the clinical trial. Each party will perform its obligations under the agreement at its own expense, including its internal costs.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ind w:right="240" w:firstLine="598"/>
        <w:spacing w:after="0" w:line="259" w:lineRule="auto"/>
        <w:rPr>
          <w:sz w:val="20"/>
          <w:szCs w:val="20"/>
          <w:color w:val="auto"/>
        </w:rPr>
      </w:pPr>
      <w:r>
        <w:rPr>
          <w:rFonts w:ascii="Arial" w:cs="Arial" w:eastAsia="Arial" w:hAnsi="Arial"/>
          <w:sz w:val="18"/>
          <w:szCs w:val="18"/>
          <w:color w:val="auto"/>
        </w:rPr>
        <w:t>In January 2018, we entered into a combination study collaboration agreement with Genentech under which Genentech will conduct a clinical trial evaluating entinostat in combination with Genentech’s drug atezolizumab in patients with HR+, HER2-, metastatic breast cancer. Genentech will be the sponsor of the clinical trial. We will supply entinostat for use in the clinical trial. Each party will perform its obligations under the agreement at its own expense, including its internal costs.</w:t>
      </w:r>
    </w:p>
    <w:p>
      <w:pPr>
        <w:spacing w:after="0" w:line="18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To the extent any inventions arise from any of the clinical trials, each party will solely own inventions relating to its drug alone, and the parties will jointly own any inventions relating to the combination of the two drugs. In most cases, data from a trial will be jointly owned. However, each party will solely own certain sample analysis data generated from clinical samples obtained from trial participants.</w:t>
      </w:r>
    </w:p>
    <w:p>
      <w:pPr>
        <w:spacing w:after="0" w:line="181" w:lineRule="exact"/>
        <w:rPr>
          <w:sz w:val="20"/>
          <w:szCs w:val="20"/>
          <w:color w:val="auto"/>
        </w:rPr>
      </w:pPr>
    </w:p>
    <w:p>
      <w:pPr>
        <w:jc w:val="both"/>
        <w:ind w:right="60" w:firstLine="598"/>
        <w:spacing w:after="0" w:line="259" w:lineRule="auto"/>
        <w:rPr>
          <w:sz w:val="20"/>
          <w:szCs w:val="20"/>
          <w:color w:val="auto"/>
        </w:rPr>
      </w:pPr>
      <w:r>
        <w:rPr>
          <w:rFonts w:ascii="Arial" w:cs="Arial" w:eastAsia="Arial" w:hAnsi="Arial"/>
          <w:sz w:val="18"/>
          <w:szCs w:val="18"/>
          <w:color w:val="auto"/>
        </w:rPr>
        <w:t>Either party may terminate either agreement for the other party’s uncured material breach. In addition, either party may terminate either agreement if it determines that the trial may unreasonably affect patient safety, or if a regulatory authority withdraws the approval to conduct a trial or takes an action that prevent such party from supplying its drug, or if the other party or its employees are sanctioned under certain healthcare-related laws, or if such party decides to discontinue development of its drug.</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Merck KGaA and Pfizer</w:t>
      </w:r>
    </w:p>
    <w:p>
      <w:pPr>
        <w:spacing w:after="0" w:line="117"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In December 2015, we entered into a clinical trial collaboration and supply agreement with Merck KGaA and Pfizer under which we will conduct a clinical trial evaluating entinostat in combination with an investigational monoclonal antibody, avelumab, in patients with ovarian cancer. Avelumab is being developed collaboratively by Merck KGaA and Pfizer, which are together treated as a single party for purposes of this agreement. We will be the sponsor of the clinical trial. Merck KGaA and Pfizer will supply avelumab for use in the clinical trial. During the term of the trial or the term of the agreement, whichever is shorter, each party has agreed not to initiate any clinical trial in combination with such party’s drug and a third party drug for the treatment of ovarian cancer if the third party drug has the same target and mechanism of action as the other party’s drug, subject to certain exceptions.</w:t>
      </w:r>
    </w:p>
    <w:p>
      <w:pPr>
        <w:spacing w:after="0" w:line="165"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To the extent any inventions arise from the clinical trial, each party will solely own inventions relating to its drug alone, and the parties will jointly own any inventions relating to the combination of the two drugs. In most cases, data from the trial will be jointly owned. However, each party will solely own certain sample analysis data generated from clinical samples obtained from trial participants.</w:t>
      </w:r>
    </w:p>
    <w:p>
      <w:pPr>
        <w:spacing w:after="0" w:line="18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Either party may terminate the agreement for the other party’s uncured material breach. In addition, either party may terminate the agreement if it determines that the trial may unreasonably affect patient safety, or if a regulatory authority takes an action that prevent such party from supplying its drug, or if such party decides to discontinue development of its drug. Merck KGaA and Pfizer may also terminate the agreement if we fail to make any changes to the clinical trial protocol that are reasonably requested by them to address a perceived safety issue.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 and Investigator Collaborations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 related to Entinostat</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Our collaboration with the NCI is governed by a cooperative research and development agreement, or CRADA, between us and the NCI. The CRADA was originally signed by Mitsui Pharmaceuticals, Inc., or Mitsui, and was then assigned to Schering AG following Schering AG’s acquisition of Mitsui. In 2007, Schering AG (then known as Bayer Schering Pharma AG) agreed to assign the CRADA to us in connection with the execution of a license, development and commercialization agreement, or the Bayer license agreement, with Bayer.</w:t>
      </w:r>
    </w:p>
    <w:p>
      <w:pPr>
        <w:spacing w:after="0" w:line="187"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Under the CRADA, as amended, the NCI sponsors clinical studies on entinostat using researchers at the NCI as well as NCI-funded researchers at other institutions, including ECOG-ACRIN and JHU. In return, we receive access to the data generated in these clinical studies, and we are obligated to supply the clinical trial sites with sufficient quantities of entinostat. Additionally, we are required to make an annual payment to a particular NCI laboratory to help support certain research studies related to this and other clinical trial. We have no other payment obligations under the CRADA.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9" w:name="page20"/>
    <w:bookmarkEnd w:id="19"/>
    <w:p>
      <w:pPr>
        <w:ind w:right="80" w:firstLine="598"/>
        <w:spacing w:after="0" w:line="257" w:lineRule="auto"/>
        <w:rPr>
          <w:sz w:val="20"/>
          <w:szCs w:val="20"/>
          <w:color w:val="auto"/>
        </w:rPr>
      </w:pPr>
      <w:r>
        <w:rPr>
          <w:rFonts w:ascii="Arial" w:cs="Arial" w:eastAsia="Arial" w:hAnsi="Arial"/>
          <w:sz w:val="18"/>
          <w:szCs w:val="18"/>
          <w:color w:val="auto"/>
        </w:rPr>
        <w:t>We own any intellectual property generated in the course of the collaboration with the NCI, or Collaboration IP, to the extent that Collaboration IP is generated by our employees. We also have an exclusive option to obtain an exclusive or non-exclusive commercialization license under Collaboration IP generated by the NCI. With respect to any Collaboration IP that is owned by or licensed to us, we have agreed to grant the United States government a non-exclusive license to practice or have practiced this Collaboration IP throughout the world by or on behalf of the government for research or other government purposes.</w:t>
      </w:r>
    </w:p>
    <w:p>
      <w:pPr>
        <w:spacing w:after="0" w:line="188" w:lineRule="exact"/>
        <w:rPr>
          <w:sz w:val="20"/>
          <w:szCs w:val="20"/>
          <w:color w:val="auto"/>
        </w:rPr>
      </w:pPr>
    </w:p>
    <w:p>
      <w:pPr>
        <w:ind w:right="340" w:firstLine="598"/>
        <w:spacing w:after="0" w:line="308" w:lineRule="auto"/>
        <w:rPr>
          <w:sz w:val="20"/>
          <w:szCs w:val="20"/>
          <w:color w:val="auto"/>
        </w:rPr>
      </w:pPr>
      <w:r>
        <w:rPr>
          <w:rFonts w:ascii="Arial" w:cs="Arial" w:eastAsia="Arial" w:hAnsi="Arial"/>
          <w:sz w:val="17"/>
          <w:szCs w:val="17"/>
          <w:color w:val="auto"/>
        </w:rPr>
        <w:t>Either party may terminate the CRADA either by mutual consent or unilaterally upon advance written notice to the other party. Absent such early termination, the CRADA will expire on May 21, 2018. As we have in the past, we expect to renew the CRADA at that time.</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Trial Agreement with Eastern Cooperative Oncology Group</w:t>
      </w:r>
    </w:p>
    <w:p>
      <w:pPr>
        <w:spacing w:after="0" w:line="117" w:lineRule="exact"/>
        <w:rPr>
          <w:sz w:val="20"/>
          <w:szCs w:val="20"/>
          <w:color w:val="auto"/>
        </w:rPr>
      </w:pPr>
    </w:p>
    <w:p>
      <w:pPr>
        <w:ind w:right="80" w:firstLine="598"/>
        <w:spacing w:after="0" w:line="269" w:lineRule="auto"/>
        <w:rPr>
          <w:sz w:val="20"/>
          <w:szCs w:val="20"/>
          <w:color w:val="auto"/>
        </w:rPr>
      </w:pPr>
      <w:r>
        <w:rPr>
          <w:rFonts w:ascii="Arial" w:cs="Arial" w:eastAsia="Arial" w:hAnsi="Arial"/>
          <w:sz w:val="17"/>
          <w:szCs w:val="17"/>
          <w:color w:val="auto"/>
        </w:rPr>
        <w:t>In March 2014, we entered into a clinical trial agreement with Eastern Cooperative Oncology Group, a contracting entity for ECOG-ACRIN, which describes the parties’ obligations with respect to the NCI-sponsored pivotal Phase 3 clinical trial of entinostat. Under the terms of the clinical trial agreement, ECOG-ACRIN will perform this clinical trial in accordance with the clinical trial protocol and a mutually agreed scope of work. In January 2015, we amended the agreement to provide for additional patient site reimbursement funds, which will be paid based on milestone-based payments. We will provide a fixed level of financial support for the clinical trial through an upfront payment of $695,000 and a series of time- and milestone-based payments of up to $970,000, and we are obligated to supply entinostat and placebo to ECOG-ACRIN for use in the clinical trial. During the second quarter of 2016, the agreement was amended to provide additional study activities and the contractual obligation increased by $0.8 million. We have agreed to provide this additional financial support to fund the additional activities required to ensure that the E2112 clinical trial will satisfy FDA registration requirements. As of December 31, 2017, our aggregate payment obligations under this agreement are approximately $24.3 million; and our remaining obligations under this agreement were $13.0 million over an estimated period of approximately four years. During the first quarter of 2017, the agreement was amended to expand the study to include enrollments from Korean sites, and the contractual obligation increased by $0.5 million.</w:t>
      </w:r>
    </w:p>
    <w:p>
      <w:pPr>
        <w:spacing w:after="0" w:line="183"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Data and inventions from the Phase 3 clinical trial are owned by ECOG-ACRIN. We have access to the data generated in the clinical trial, both directly from ECOG-ACRIN under the clinical trial agreement, as well as from the NCI through our agreement with it. Additionally, ECOG-ACRIN has granted us a non-exclusive license to any inventions or discoveries that are derived from entinostat as a result of its use during the clinical trial, along with a first right to negotiate an exclusive license to any of these inventions or discoveries.</w:t>
      </w:r>
    </w:p>
    <w:p>
      <w:pPr>
        <w:spacing w:after="0" w:line="187"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Either party may terminate the clinical trial agreement in the event of an uncured material breach by the other party or if the FDA or NCI withdraws the authorization to perform the clinical trial in the United States. The parties may jointly terminate the clinical trial agreement if the parties agree that safety-related issues support termination.</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 related to Entinostat and SNDX-6352</w:t>
      </w:r>
    </w:p>
    <w:p>
      <w:pPr>
        <w:spacing w:after="0" w:line="117"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In September 2016, we entered into a collaboration with the NCI related to both entinostat and SNDX-6352 is governed by a CRADA between us and the NCI. Under the CRADA, the NCI sponsors clinical studies on entinostat and SNDX-6352 using researchers at the NCI as well as NCI-funded researchers at other institutions. In return, we receive access to the data generated in these clinical studies, and we are obligated to supply the clinical trial sites with sufficient quantities of entinostat and SNDX-6352. Additionally, we are required to make an annual payment to a particular NCI laboratory to help support certain research studies related to this and other clinical trial. We have no other payment obligations under the CRADA.</w:t>
      </w:r>
    </w:p>
    <w:p>
      <w:pPr>
        <w:spacing w:after="0" w:line="173"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own all intellectual property generated during the collaboration with the NCI, or 6352 Collaboration IP, to the extent that 6352 Collaboration IP is generated by our employees. We also have an exclusive option to obtain an exclusive or non-exclusive commercialization license under 6352 Collaboration IP generated by the NCI. With respect to any 6352 Collaboration IP that is owned by or licensed to us, we have agreed to grant the United States government a non-exclusive license to practice or have practiced this 6352 Collaboration IP throughout the world by or on behalf of the government for research or other government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left="600"/>
        <w:spacing w:after="0"/>
        <w:rPr>
          <w:sz w:val="20"/>
          <w:szCs w:val="20"/>
          <w:color w:val="auto"/>
        </w:rPr>
      </w:pPr>
      <w:r>
        <w:rPr>
          <w:rFonts w:ascii="Arial" w:cs="Arial" w:eastAsia="Arial" w:hAnsi="Arial"/>
          <w:sz w:val="18"/>
          <w:szCs w:val="18"/>
          <w:b w:val="1"/>
          <w:bCs w:val="1"/>
          <w:i w:val="1"/>
          <w:iCs w:val="1"/>
          <w:color w:val="auto"/>
        </w:rPr>
        <w:t>Investigator Collaborations</w:t>
      </w:r>
    </w:p>
    <w:p>
      <w:pPr>
        <w:spacing w:after="0" w:line="117" w:lineRule="exact"/>
        <w:rPr>
          <w:sz w:val="20"/>
          <w:szCs w:val="20"/>
          <w:color w:val="auto"/>
        </w:rPr>
      </w:pPr>
    </w:p>
    <w:p>
      <w:pPr>
        <w:ind w:right="180" w:firstLine="598"/>
        <w:spacing w:after="0" w:line="302" w:lineRule="auto"/>
        <w:rPr>
          <w:sz w:val="20"/>
          <w:szCs w:val="20"/>
          <w:color w:val="auto"/>
        </w:rPr>
      </w:pPr>
      <w:r>
        <w:rPr>
          <w:rFonts w:ascii="Arial" w:cs="Arial" w:eastAsia="Arial" w:hAnsi="Arial"/>
          <w:sz w:val="16"/>
          <w:szCs w:val="16"/>
          <w:color w:val="auto"/>
        </w:rPr>
        <w:t>We have collaborated with a limited number of third parties on the clinical development of entinostat and SNDX-6352. For example, we have supplied entinostat for use in investigator-sponsored clinical trials conducted at JHU and we plan to enter into similar arrangements with other hospitals and medical centers in the future. Investigator-sponsored clinical trials are generally performed under an IND application filed by the investigator or his or her institution. To date, our sole obligation with respect to these investigator-sponsored clinical trials has been to supply entinostat for use in the trials.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Hakko Kirin</w:t>
      </w:r>
    </w:p>
    <w:p>
      <w:pPr>
        <w:spacing w:after="0" w:line="117"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In December 2014, we entered into a license, development and commercialization agreement with Kyowa Hakko Kirin Co., Ltd., or KHK, under which KHK received an exclusive license under our intellectual property rights to develop and commercialize entinostat in Japan and Korea. This license includes a sublicense under the rights we received under the Bayer license agreement. If we acquire or develop any other anti-cancer drug that, like entinostat, is a selective inhibitor of Class I HDAC, such drug will be included in this license as well. We will manufacture and supply entinostat to KHK during the term of the agreement, and such obligation may continue for a longer period if KHK continues to sell entinostat following expiration of the agreement or termination of the agreement for our breach. During the term of the agreement, subject to certain exceptions, each party is prohibited from commercializing in the Japan and Korea any other selective inhibitor of Class I HDACs for the same indication as entinostat, with all forms of cancer being treated as the same indication.</w:t>
      </w:r>
    </w:p>
    <w:p>
      <w:pPr>
        <w:spacing w:after="0" w:line="192"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We received an upfront license fee of $17.5 million, and KHK purchased 536,049 shares of our Series B-1 Preferred Stock for an aggregate price of approximately $7.5 million. We are eligible to receive up to $50.0 million in development and regulatory milestone payments and up to $25.0 million in sales milestone payments. In October 2017, we announced that KHK dosed the first patient in a randomized, double-blind, placebo-controlled, pivotal Phase 2 trial of entinostat (designated KHK2375 by KHK), in combination with exemestane versus exemestane plus placebo in Japanese patients with advanced or recurrent HR+, HER2- breast cancer. Enrollment of the first patient in this trial triggered a $5 million milestone payment to us from KHK.</w:t>
      </w:r>
    </w:p>
    <w:p>
      <w:pPr>
        <w:spacing w:after="0" w:line="158" w:lineRule="exact"/>
        <w:rPr>
          <w:sz w:val="20"/>
          <w:szCs w:val="20"/>
          <w:color w:val="auto"/>
        </w:rPr>
      </w:pPr>
    </w:p>
    <w:p>
      <w:pPr>
        <w:ind w:right="200" w:firstLine="598"/>
        <w:spacing w:after="0" w:line="276" w:lineRule="auto"/>
        <w:rPr>
          <w:sz w:val="20"/>
          <w:szCs w:val="20"/>
          <w:color w:val="auto"/>
        </w:rPr>
      </w:pPr>
      <w:r>
        <w:rPr>
          <w:rFonts w:ascii="Arial" w:cs="Arial" w:eastAsia="Arial" w:hAnsi="Arial"/>
          <w:sz w:val="17"/>
          <w:szCs w:val="17"/>
          <w:color w:val="auto"/>
        </w:rPr>
        <w:t>KHK will pay us a transfer price for the supply of entinostat as well as royalties on net sales of entinostat above a specified threshold each calendar year by KHK, its affiliates and sublicensees in the low single digits. Royalty payment obligations will be payable in each country in the KHK territory until the later to occur of (i) the date that all valid claims of the last effective license patent in such country expires or is abandoned, withheld or otherwise invalidated and (ii) 15 years from the date of first commercial sale of entinostat in such country. Any payments owed to Bayer as a result of KHK’s development and commercialization of entinostat in the KHK territory will be made by us out of the payments we receive from KHK.</w:t>
      </w:r>
    </w:p>
    <w:p>
      <w:pPr>
        <w:spacing w:after="0" w:line="173"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The agreement with KHK will expire with respect to each country in the KHK territory upon the expiration of all royalty payment obligations in such country. In addition, we may terminate the agreement in its entirety upon written notice to KHK if KHK or any affiliate commences any action or proceeding that challenges the validity, enforceability or scope of any licensed patent in the KHK territory. KHK may terminate the agreement in its entirety for convenience at any time upon advance notice to us. Either party may terminate the agreement for the other party’s uncured material breach, or bankruptcy or related actions or proceedings. If we commit an uncured material breach of certain provisions of the agreement, KHK may, instead of terminating the agreement, elect to continue the agreement in full force and effect except certain payments to us will be reduced.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intend to create a commercial infrastructure to support sales of our product candidates in the United States. Our targeted sales force will focus on a well-defined group of medical oncologists, primarily in the non-hospital and academic settings, who are responsible for the care and treatment of cancer patients. We expect to manage sales, marketing and distribution through internal resources and third-party relationships. While we may commit significant financial and management resources to commercial activities, we would also consider collaborating with one or more pharmaceutical companies to enhance our commercial capabilities. Outside the United States, we plan to rely on our current partners and may seek additional pharmaceutical partners for sales and marketing activities.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firstLine="598"/>
        <w:spacing w:after="0" w:line="291" w:lineRule="auto"/>
        <w:rPr>
          <w:sz w:val="20"/>
          <w:szCs w:val="20"/>
          <w:color w:val="auto"/>
        </w:rPr>
      </w:pPr>
      <w:r>
        <w:rPr>
          <w:rFonts w:ascii="Arial" w:cs="Arial" w:eastAsia="Arial" w:hAnsi="Arial"/>
          <w:sz w:val="16"/>
          <w:szCs w:val="16"/>
          <w:color w:val="auto"/>
        </w:rPr>
        <w:t>We do not own or operate manufacturing facilities for the production of entinostat or SNDX-6352, and we do not have plans to develop our own manufacturing operations in the foreseeable future. We currently rely on third-party contract manufacturers for all of our required raw materials, active pharmaceutical ingredients and finished product for our preclinical research and clinical trials. We do not have long-term agreements with any of these third parties. We also do not have any current contractual relationship for the manufacture of commercial supplies. If entinostat or SNDX-6352 is approved by any regulatory agency, we intend to enter into agreements with a third-party contract manufacturer and one or more backup manufacturers for the commercial production of such product.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 xml:space="preserve">The pharmacologic treatment of NSCLC, melanoma, MSS-CRC, ovarian cancer and TNBC patients includes chemotherapies and therapies targeting specific gene mutations. More recently, immune checkpoint inhibitors have been approved for NSCLC and melanoma and are under investigation for ovarian cancer and TNBC. Since 2014, five PD-L-1 inhibitors have received FDA approvals for multiple indications including, Melanoma, NSCLC, RCC, Hodgkin’s lymphoma, urothelial, gastric, and merkel cell carcinoma. There continues to be active clinical investigation across multiple indications with numerous drugs being developed alone or in combination with the immunotherapeutic agents. We believe that if entinostat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w:t>
      </w:r>
      <w:r>
        <w:rPr>
          <w:rFonts w:ascii="Arial" w:cs="Arial" w:eastAsia="Arial" w:hAnsi="Arial"/>
          <w:sz w:val="16"/>
          <w:szCs w:val="16"/>
          <w:i w:val="1"/>
          <w:iCs w:val="1"/>
          <w:color w:val="auto"/>
        </w:rPr>
        <w:t>Tecentriq</w:t>
      </w:r>
      <w:r>
        <w:rPr>
          <w:rFonts w:ascii="Arial" w:cs="Arial" w:eastAsia="Arial" w:hAnsi="Arial"/>
          <w:sz w:val="16"/>
          <w:szCs w:val="16"/>
          <w:color w:val="auto"/>
        </w:rPr>
        <w:t xml:space="preserve"> or </w:t>
      </w:r>
      <w:r>
        <w:rPr>
          <w:rFonts w:ascii="Arial" w:cs="Arial" w:eastAsia="Arial" w:hAnsi="Arial"/>
          <w:sz w:val="16"/>
          <w:szCs w:val="16"/>
          <w:i w:val="1"/>
          <w:iCs w:val="1"/>
          <w:color w:val="auto"/>
        </w:rPr>
        <w:t xml:space="preserve">Bavencio </w:t>
      </w:r>
      <w:r>
        <w:rPr>
          <w:rFonts w:ascii="Arial" w:cs="Arial" w:eastAsia="Arial" w:hAnsi="Arial"/>
          <w:sz w:val="16"/>
          <w:szCs w:val="16"/>
          <w:color w:val="auto"/>
        </w:rPr>
        <w:t>were approved for the treatment of NSCLC, melanoma, MSS-CRC, TNBC or ovarian cancer, it would face competition from these standard-of-care</w:t>
      </w:r>
      <w:r>
        <w:rPr>
          <w:rFonts w:ascii="Arial" w:cs="Arial" w:eastAsia="Arial" w:hAnsi="Arial"/>
          <w:sz w:val="16"/>
          <w:szCs w:val="16"/>
          <w:i w:val="1"/>
          <w:iCs w:val="1"/>
          <w:color w:val="auto"/>
        </w:rPr>
        <w:t xml:space="preserve"> </w:t>
      </w:r>
      <w:r>
        <w:rPr>
          <w:rFonts w:ascii="Arial" w:cs="Arial" w:eastAsia="Arial" w:hAnsi="Arial"/>
          <w:sz w:val="16"/>
          <w:szCs w:val="16"/>
          <w:color w:val="auto"/>
        </w:rPr>
        <w:t>approaches and other investigational drugs being tested in combination with any of these approaches.</w:t>
      </w:r>
    </w:p>
    <w:p>
      <w:pPr>
        <w:spacing w:after="0" w:line="16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 xml:space="preserve">If entinostat in combination with exemestane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developed by Pfizer,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and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developed by Novartis, </w:t>
      </w:r>
      <w:r>
        <w:rPr>
          <w:rFonts w:ascii="Arial" w:cs="Arial" w:eastAsia="Arial" w:hAnsi="Arial"/>
          <w:sz w:val="18"/>
          <w:szCs w:val="18"/>
          <w:i w:val="1"/>
          <w:iCs w:val="1"/>
          <w:color w:val="auto"/>
        </w:rPr>
        <w:t>Verzenio</w:t>
      </w:r>
      <w:r>
        <w:rPr>
          <w:rFonts w:ascii="Arial" w:cs="Arial" w:eastAsia="Arial" w:hAnsi="Arial"/>
          <w:sz w:val="18"/>
          <w:szCs w:val="18"/>
          <w:color w:val="auto"/>
        </w:rPr>
        <w:t xml:space="preserve"> developed by Eli Lilly and Company and other therapies currently in Phase 3 clinical development such as taselisib being developed by Roche Genentech or alpelisib being developed by Novartis.</w:t>
      </w:r>
    </w:p>
    <w:p>
      <w:pPr>
        <w:spacing w:after="0" w:line="187"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we may be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67"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color w:val="auto"/>
        </w:rPr>
        <w:t>We expect any treatments that we develop and commercialize to compete on the basis of, among other things, efficacy, safety, convenience of administration and delivery, price and the availability of reimbursement from government and other third-party payors.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Property Rights</w:t>
      </w:r>
    </w:p>
    <w:p>
      <w:pPr>
        <w:spacing w:after="0" w:line="117" w:lineRule="exact"/>
        <w:rPr>
          <w:sz w:val="20"/>
          <w:szCs w:val="20"/>
          <w:color w:val="auto"/>
        </w:rPr>
      </w:pPr>
    </w:p>
    <w:p>
      <w:pPr>
        <w:ind w:right="140" w:firstLine="598"/>
        <w:spacing w:after="0" w:line="257" w:lineRule="auto"/>
        <w:rPr>
          <w:sz w:val="20"/>
          <w:szCs w:val="20"/>
          <w:color w:val="auto"/>
        </w:rPr>
      </w:pPr>
      <w:r>
        <w:rPr>
          <w:rFonts w:ascii="Arial" w:cs="Arial" w:eastAsia="Arial" w:hAnsi="Arial"/>
          <w:sz w:val="18"/>
          <w:szCs w:val="18"/>
          <w:color w:val="auto"/>
        </w:rPr>
        <w:t>Through licensed intellectual property and our owned intellectual property, we seek patent protection in the United States and internationally for our product candidates, their methods of use and processes for their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pacing w:after="0" w:line="188"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Patent Portfolio</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6"/>
          <w:szCs w:val="16"/>
          <w:color w:val="auto"/>
        </w:rPr>
        <w:t>We strive to protect entinostat with multiple layers of patents. As of December 31, 2017, our portfolio included one owned U.S. provisional patent applications jointly owned with The Regents of the University of Colorado, four owned pending U.S. non-provisional patent applications, two granted non-U.S. patents (including one Canadian patent jointly owned with The Regents of the University of Colorado) and 46 non-U.S. pending patent applications (including two pending international patent applications under the Patent Cooperation Treaty, or PCT). Also, we have filed national phase applications in the Eurasia Regional Patent Office, Ukraine and Georgia based on our owned PCT application directed to treatment of selected breast cancer patients with a combination of entinostat and exemestane. We have assigned our rights to the application we filed in the Eurasia Regional Patent Office to Domain Russia Investments Limited, or DRI. We have also assigned our rights to the applications we filed in Ukraine and Georgia to NovaMedica LLC, or NovaMedica. We have also filed national phase applications based on our owned PCT application directed to treatment of selected breast cancer patients with the combination of entinostat and exemestane in the U.S. Patent and Trademark Office, or USPTO, the European Patent Office, or EPO, China, India, Australia, Canada, Japan, South Korea, South Africa, Brazil and Mexico. Our owned entinostat patent portfolio includes pending U.S. and ex-U.S. patent applications directed to methods of treating cancer patients by administration of entinostat according to selected dosing regimens, methods of treating cancer patients by administration of entinostat in combination with an HER2 inhibitor, methods of treating lung cancer patients by administration of entinostat in combination with an EGFR inhibitor, and treatments with entinostat combined with anti PD-1 or anti PD-L1 antibodies. Our owned pending U.S. provisional and PCT applications relate to entinostat and CSF-1 or CSF-1R combination therapies and patient selection for combination therapy comprising entinostat and a second therapeutic agent, respectively. If issued, patents based on our owned pending U.S. applications and non-U.S. filings based on our owned PCT applications would expire between April 2029 and May 2038.</w:t>
      </w:r>
    </w:p>
    <w:p>
      <w:pPr>
        <w:spacing w:after="0" w:line="38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patent portfolio we licensed from Bayer contains a number of issued U.S. and foreign patents as well as patent applications pending outside the United States. A number of the patents and patent applications we licensed from Bayer are directed to entinostat while other patents and patent applications are directed to compounds other than entinostat. As of December 31, 2017, the portfolio we licensed from Bayer included seven issued U.S. patents, 62 granted non-U.S. patents and 17 patent applications pending in non-U.S. patent offices. For example, the portfolio we licensed from Bayer includes reissue U.S. Patent RE39,754, which covers a genus of benzamide compounds including entinostat or SNDX-275. RE39,754 is a composition of matter patent having an initial term which expired in September 2017.</w:t>
      </w:r>
    </w:p>
    <w:p>
      <w:pPr>
        <w:spacing w:after="0" w:line="193"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t>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expired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w:t>
      </w:r>
    </w:p>
    <w:p>
      <w:pPr>
        <w:spacing w:after="0" w:line="193"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Of the 62 foreign-granted patents we licensed from Bayer, 26 are foreign counterparts of the ‘166 patent (now RE45,499) that cover crystalline polymorph B, the granted European patent comprises 37 national countries that all been validated, and the granted Eurasian patent comprises nine countries that have all been validated. Likewise, 15 of the 17 pending foreign applications are counterparts of the ‘166 crystalline polymorph B patent. Other patents and patent applications in the licensed Bayer portfolio cover methods of treatment by administration of entinostat. For example, U.S. Patent 7,317,028, which expired in October 2017, covers methods of treating selected cancers by administration of entinostat; U.S. Patent 7,687,525, which also expired in September 2017, covers methods of treating autoimmune disease by administration of entinostat; U.S. Patent 6,320,078, which expires in July 2019, covers methods of manufacturing entinostat; U.S. Patent No. 8,026,239, which expired in September 2017, covers methods of treating certain malignant tumors by administration of a compound within a subgenus of benzamide compounds including entinostat; U.S. Patent RE40,703, which expired in September 2017, covers a subgenus of benzamide compounds that does not include entinostat; and U.S. Patent 6,794,392, which expired in September 2017, covers a subgenus of benzamide compounds that does not include entinostat.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SNDX-6352 Patent Portfolio</w:t>
      </w:r>
    </w:p>
    <w:p>
      <w:pPr>
        <w:spacing w:after="0" w:line="117"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We have also in-licensed from UCB a patent portfolio directed to SNDX-6352, an IND-ready anti-CSF-1R monoclonal antibody. As of December 31, 2017, the SNDX-6352 composition-of-matter patent portfolio included one allowed U.S. non-provisional patent application, three granted non-U.S. patent and 36 non-U.S. pending patent applications. If issued, patents based on the in-licensed pending U.S. application and non-U.S. applications covering SNDX-6352 would expire in August 2034. Our in-licensed patent portfolio also includes pending U.S. and non-U.S.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If issued, patents based on these pending applications would expire between November 2024 and February 2036. Further, the in-licensed portfolio includes three non-U.S. patents directed to methods of treating solid tumors by administration of an inhibitor of CSF-1R activity. The three patents will expire in October 2024.</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Menin Asset Patent Portfolio</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have in-licensed from Vitae Pharmaceuticals, Inc., a subsidiary of Allergan, a patent portfolio directed to a series of selective preclinical inhibitors targeting the binding interaction of Menin with MLL-r. As of December 31, 2017, the in-licensed portfolio included five non-U.S. pending patent applications (including three pending PCT applications) covering composition of matter and methods of treating, e.g., MLL. If issued, patents based on the in-licensed applications would expire between December 2036 and September 2037.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1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date of filing the earliest non-provisional application or PCT application.</w:t>
      </w:r>
    </w:p>
    <w:p>
      <w:pPr>
        <w:spacing w:after="0" w:line="170"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In the United States, a patent’s term may be lengthened by patent term adjustment, which compensates a patentee for administrative delays by the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60"/>
        <w:spacing w:after="0" w:line="272" w:lineRule="auto"/>
        <w:rPr>
          <w:sz w:val="20"/>
          <w:szCs w:val="20"/>
          <w:color w:val="auto"/>
        </w:rPr>
      </w:pPr>
      <w:r>
        <w:rPr>
          <w:rFonts w:ascii="Arial" w:cs="Arial" w:eastAsia="Arial" w:hAnsi="Arial"/>
          <w:sz w:val="17"/>
          <w:szCs w:val="17"/>
          <w:color w:val="auto"/>
        </w:rPr>
        <w:t>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In-Licensed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Development and Commercialization Agreement with Bayer</w:t>
      </w:r>
    </w:p>
    <w:p>
      <w:pPr>
        <w:spacing w:after="0" w:line="11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In March 2007, we entered into the Bayer license agreement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w:t>
      </w:r>
    </w:p>
    <w:p>
      <w:pPr>
        <w:spacing w:after="0" w:line="158"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In connection with the execution of the Bayer license agreement, we were obligated to pay Bayer an upfront license fee of $2.0 million. We are also obligated to pay up to approximately $50.0 million in the aggregate upon obtaining certain milestones in the development and marketing approval of entinostat, assuming that we pursue at least two different indications for entinostat or any other licensed product. In June 2014, we achieved a research and development milestone, and in accordance with the terms of the Bayer license agreement, we paid $2.0 million to Bayer.</w:t>
      </w:r>
    </w:p>
    <w:p>
      <w:pPr>
        <w:spacing w:after="0" w:line="17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We are also obligated to pay Bayer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58"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UCB</w:t>
      </w:r>
    </w:p>
    <w:p>
      <w:pPr>
        <w:spacing w:after="0" w:line="117" w:lineRule="exact"/>
        <w:rPr>
          <w:sz w:val="20"/>
          <w:szCs w:val="20"/>
          <w:color w:val="auto"/>
        </w:rPr>
      </w:pPr>
    </w:p>
    <w:p>
      <w:pPr>
        <w:ind w:right="360" w:firstLine="598"/>
        <w:spacing w:after="0" w:line="257" w:lineRule="auto"/>
        <w:rPr>
          <w:sz w:val="20"/>
          <w:szCs w:val="20"/>
          <w:color w:val="auto"/>
        </w:rPr>
      </w:pPr>
      <w:r>
        <w:rPr>
          <w:rFonts w:ascii="Arial" w:cs="Arial" w:eastAsia="Arial" w:hAnsi="Arial"/>
          <w:sz w:val="18"/>
          <w:szCs w:val="18"/>
          <w:color w:val="auto"/>
        </w:rPr>
        <w:t>In July 2016, we entered into a license agreement with UCB, or the UCB license agreement, under which UCB granted us a worldwide, sublicenseable, exclusive license to UCB6352, which the Company refers to as SNDX-6352, an IND-ready anti-CSF-1R monoclonal antibody. The UCB license agreement permits us to use SNDX-6352 or other licensed products for all human uses, including treatment, prevention and diagnostic uses, in all indications, diseases, conditions or disorders, and we are obligated to use commercially reasonable efforts to develop, obtain regulatory approval and commercialize a certain licensed product.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firstLine="598"/>
        <w:spacing w:after="0" w:line="254" w:lineRule="auto"/>
        <w:rPr>
          <w:sz w:val="20"/>
          <w:szCs w:val="20"/>
          <w:color w:val="auto"/>
        </w:rPr>
      </w:pPr>
      <w:r>
        <w:rPr>
          <w:rFonts w:ascii="Arial" w:cs="Arial" w:eastAsia="Arial" w:hAnsi="Arial"/>
          <w:sz w:val="18"/>
          <w:szCs w:val="18"/>
          <w:color w:val="auto"/>
        </w:rPr>
        <w:t>In consideration for the license grant, we made a nonrefundable upfront payment of $5.0 million to UCB in the third quarter of 2016. Additionally, subject to the achievement of certain milestone events, we may be required to pay UCB up to $119.5 million in one-time development and regulatory milestone payments over the term of the UCB license agreement. In the event that we or any of our affiliates or sublicensees commercializes SNDX-6352,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 We are solely responsible for the development and commercialization of SNDX-6352, except that UCB is performing a limited set of transitional chemistry, manufacturing and control tasks related to SNDX-6352.</w:t>
      </w:r>
    </w:p>
    <w:p>
      <w:pPr>
        <w:spacing w:after="0" w:line="192"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Each party may terminate the UCB license agreement for the other party’s uncured material breach or insolvency; and we may terminate the UCB license agreement at will at any time upon advance written notice to UCB. UCB may terminate the UCB license agreement if we or any of our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Vitae Pharmaceuticals, Inc.</w:t>
      </w:r>
    </w:p>
    <w:p>
      <w:pPr>
        <w:spacing w:after="0" w:line="117" w:lineRule="exact"/>
        <w:rPr>
          <w:sz w:val="20"/>
          <w:szCs w:val="20"/>
          <w:color w:val="auto"/>
        </w:rPr>
      </w:pPr>
    </w:p>
    <w:p>
      <w:pPr>
        <w:ind w:right="80" w:firstLine="598"/>
        <w:spacing w:after="0" w:line="291" w:lineRule="auto"/>
        <w:rPr>
          <w:sz w:val="20"/>
          <w:szCs w:val="20"/>
          <w:color w:val="auto"/>
        </w:rPr>
      </w:pPr>
      <w:r>
        <w:rPr>
          <w:rFonts w:ascii="Arial" w:cs="Arial" w:eastAsia="Arial" w:hAnsi="Arial"/>
          <w:sz w:val="16"/>
          <w:szCs w:val="16"/>
          <w:color w:val="auto"/>
        </w:rPr>
        <w:t>In October 2017, we entered into a license agreement with Vitae Pharmaceuticals, Inc., a subsidiary of Allergan, or the Allergan License Agreement, under which Allergan granted us an exclusive, sublicenseable, worldwide license to, the Menin Assets. We made a nonrefundable upfront payment of</w:t>
      </w:r>
    </w:p>
    <w:p>
      <w:pPr>
        <w:ind w:right="40"/>
        <w:spacing w:after="0" w:line="252" w:lineRule="auto"/>
        <w:rPr>
          <w:sz w:val="20"/>
          <w:szCs w:val="20"/>
          <w:color w:val="auto"/>
        </w:rPr>
      </w:pPr>
      <w:r>
        <w:rPr>
          <w:rFonts w:ascii="Arial" w:cs="Arial" w:eastAsia="Arial" w:hAnsi="Arial"/>
          <w:sz w:val="18"/>
          <w:szCs w:val="18"/>
          <w:color w:val="auto"/>
        </w:rPr>
        <w:t>$5.0 million to Allergan in the fourth quarter of 2017. Additionally, subject to the achievement of certain milestone events, we may be required to pay Allergan up to an aggregate of $99 million in one-time development and regulatory milestone payments over the term of the Allergan License Agreement. In the event that we or any of its affiliates or sublicensees commercializes the Menin Assets, we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Allergan. We are solely responsible for the development and commercialization of the Menin Assets.</w:t>
      </w:r>
    </w:p>
    <w:p>
      <w:pPr>
        <w:spacing w:after="0" w:line="193" w:lineRule="exact"/>
        <w:rPr>
          <w:sz w:val="20"/>
          <w:szCs w:val="20"/>
          <w:color w:val="auto"/>
        </w:rPr>
      </w:pPr>
    </w:p>
    <w:p>
      <w:pPr>
        <w:jc w:val="both"/>
        <w:ind w:right="240" w:firstLine="598"/>
        <w:spacing w:after="0" w:line="286" w:lineRule="auto"/>
        <w:rPr>
          <w:sz w:val="20"/>
          <w:szCs w:val="20"/>
          <w:color w:val="auto"/>
        </w:rPr>
      </w:pPr>
      <w:r>
        <w:rPr>
          <w:rFonts w:ascii="Arial" w:cs="Arial" w:eastAsia="Arial" w:hAnsi="Arial"/>
          <w:sz w:val="16"/>
          <w:szCs w:val="16"/>
          <w:color w:val="auto"/>
        </w:rPr>
        <w:t>Each party may terminate the Allergan License Agreement for the other party’s uncured material breach or insolvency; and we may terminate the Allergan License Agreement at will at any time upon advance written notice to Allergan. Allergan may terminate the Allergan License Agreement if we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w:t>
      </w:r>
    </w:p>
    <w:p>
      <w:pPr>
        <w:spacing w:after="0" w:line="2" w:lineRule="exact"/>
        <w:rPr>
          <w:sz w:val="20"/>
          <w:szCs w:val="20"/>
          <w:color w:val="auto"/>
        </w:rPr>
      </w:pPr>
    </w:p>
    <w:p>
      <w:pPr>
        <w:ind w:right="140" w:firstLine="8"/>
        <w:spacing w:after="0" w:line="261"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and Inventions Assignment Agreements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w:t>
      </w:r>
    </w:p>
    <w:p>
      <w:pPr>
        <w:spacing w:after="0" w:line="181" w:lineRule="exact"/>
        <w:rPr>
          <w:sz w:val="20"/>
          <w:szCs w:val="20"/>
          <w:color w:val="auto"/>
        </w:rPr>
      </w:pPr>
    </w:p>
    <w:p>
      <w:pPr>
        <w:ind w:right="280" w:firstLine="598"/>
        <w:spacing w:after="0" w:line="312" w:lineRule="auto"/>
        <w:rPr>
          <w:sz w:val="20"/>
          <w:szCs w:val="20"/>
          <w:color w:val="auto"/>
        </w:rPr>
      </w:pPr>
      <w:r>
        <w:rPr>
          <w:rFonts w:ascii="Arial" w:cs="Arial" w:eastAsia="Arial" w:hAnsi="Arial"/>
          <w:sz w:val="16"/>
          <w:szCs w:val="16"/>
          <w:color w:val="auto"/>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17" w:lineRule="exact"/>
        <w:rPr>
          <w:sz w:val="20"/>
          <w:szCs w:val="20"/>
          <w:color w:val="auto"/>
        </w:rPr>
      </w:pPr>
    </w:p>
    <w:p>
      <w:pPr>
        <w:ind w:right="360" w:firstLine="598"/>
        <w:spacing w:after="0" w:line="302"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w:t>
      </w:r>
    </w:p>
    <w:p>
      <w:pPr>
        <w:spacing w:after="0" w:line="154"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or delay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spacing w:after="0" w:line="18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Failure to comply with the applicable United States regulatory requirements at any time during the product development process, approval process or after approval may subject an applicant to administrative or judicial enforcement actions. These actions could include the suspension or termination of clinical trials by the FDA, the FDA’s refusal to approve pending applications or supplemental applications, withdrawal of an approval, warning or untitled letters, product recalls, product seizures, total or partial suspension of production or distribution, import detention, injunctions, fines, civil penalties or criminal prosecution. Any such administrative or judicial action could have a material adverse effect on us.</w:t>
      </w:r>
    </w:p>
    <w:p>
      <w:pPr>
        <w:spacing w:after="0" w:line="173"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Although this discussion focuses on regulation in the United States, we anticipate seeking approval for and marketing of our product candidates in other countries. Generally, our product candidates will be subject to regulation in other countries that is similar in nature and scope as those imposed in the United States, although there can be important differences. In Europe, for example, some significant aspects of regulation are addressed in a centralized way through the European Medicines Agency, but country-specific regulation remains essential in many respects.</w:t>
      </w:r>
    </w:p>
    <w:p>
      <w:pPr>
        <w:spacing w:after="0" w:line="28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Drug Development Process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117" w:lineRule="exact"/>
        <w:rPr>
          <w:sz w:val="20"/>
          <w:szCs w:val="20"/>
          <w:color w:val="auto"/>
        </w:rPr>
      </w:pPr>
    </w:p>
    <w:p>
      <w:pPr>
        <w:ind w:left="1200" w:right="180" w:hanging="598"/>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in accordance with applicable regulations, including the FDA’s good laboratory practice, or GLP regulations;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117" w:lineRule="exact"/>
        <w:rPr>
          <w:rFonts w:ascii="Arial" w:cs="Arial" w:eastAsia="Arial" w:hAnsi="Arial"/>
          <w:sz w:val="18"/>
          <w:szCs w:val="18"/>
          <w:color w:val="auto"/>
        </w:rPr>
      </w:pPr>
    </w:p>
    <w:p>
      <w:pPr>
        <w:ind w:left="1200" w:right="340" w:hanging="598"/>
        <w:spacing w:after="0" w:line="342" w:lineRule="auto"/>
        <w:tabs>
          <w:tab w:leader="none" w:pos="12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pacing w:after="0" w:line="15" w:lineRule="exact"/>
        <w:rPr>
          <w:rFonts w:ascii="Arial" w:cs="Arial" w:eastAsia="Arial" w:hAnsi="Arial"/>
          <w:sz w:val="16"/>
          <w:szCs w:val="16"/>
          <w:color w:val="auto"/>
        </w:rPr>
      </w:pPr>
    </w:p>
    <w:p>
      <w:pPr>
        <w:ind w:left="1200" w:hanging="598"/>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submission to the FDA of an NDA for a new drug product or a Biologics License Application, or BLA, for biologics such as SNDX-6352;</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accept the application for filing and review;</w:t>
      </w:r>
    </w:p>
    <w:p>
      <w:pPr>
        <w:spacing w:after="0" w:line="117"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drug or biologic is produced to assess compliance with the FDA’s current Good Manufacturing Practices, or cGMP, regulations to assure that the facilities, methods and controls are adequate to preserve the product’s identity, strength, quality and purity;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an NDA or BLA;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review and approval of an NDA or BLA prior to any commercial marketing or sale of the drug in the United States.</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Preclinical Testing</w:t>
      </w:r>
    </w:p>
    <w:p>
      <w:pPr>
        <w:spacing w:after="0" w:line="117"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Before testing any compounds with potential therapeutic value in humans, the drug candidate enters the preclinical testing stage. Preclinical tests include laboratory evaluations of product chemistry and formulation, as well as animal studies to assess the potential safety, toxicity profile and activity of the drug candidate. The conduct of the preclinical tests must comply with federal regulations and requirements including GLPs.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IND Application</w:t>
      </w:r>
    </w:p>
    <w:p>
      <w:pPr>
        <w:spacing w:after="0" w:line="117"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Human clinical trials are typically conducted in three sequential phases that may overlap:</w:t>
      </w:r>
    </w:p>
    <w:p>
      <w:pPr>
        <w:spacing w:after="0" w:line="117" w:lineRule="exact"/>
        <w:rPr>
          <w:sz w:val="20"/>
          <w:szCs w:val="20"/>
          <w:color w:val="auto"/>
        </w:rPr>
      </w:pPr>
    </w:p>
    <w:p>
      <w:pPr>
        <w:ind w:left="1200" w:right="260" w:hanging="598"/>
        <w:spacing w:after="0" w:line="342" w:lineRule="auto"/>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spacing w:after="0" w:line="15" w:lineRule="exact"/>
        <w:rPr>
          <w:rFonts w:ascii="Arial" w:cs="Arial" w:eastAsia="Arial" w:hAnsi="Arial"/>
          <w:sz w:val="16"/>
          <w:szCs w:val="16"/>
          <w:color w:val="auto"/>
        </w:rPr>
      </w:pPr>
    </w:p>
    <w:p>
      <w:pPr>
        <w:ind w:left="1200" w:right="120" w:hanging="598"/>
        <w:spacing w:after="0" w:line="264"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73" w:lineRule="exact"/>
        <w:rPr>
          <w:rFonts w:ascii="Arial" w:cs="Arial" w:eastAsia="Arial" w:hAnsi="Arial"/>
          <w:sz w:val="18"/>
          <w:szCs w:val="18"/>
          <w:color w:val="auto"/>
        </w:rPr>
      </w:pPr>
    </w:p>
    <w:p>
      <w:pPr>
        <w:ind w:left="1200" w:right="100" w:hanging="598"/>
        <w:spacing w:after="0" w:line="264"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8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8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FDCA permits the FDA and an IND sponsor to agree in writing on the design and size of clinical studies intended to form the primary basis of a claim of effectiveness in an NDA or BLA. An SPA agreement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8" w:name="page29"/>
    <w:bookmarkEnd w:id="28"/>
    <w:p>
      <w:pPr>
        <w:ind w:right="60"/>
        <w:spacing w:after="0" w:line="259" w:lineRule="auto"/>
        <w:rPr>
          <w:sz w:val="20"/>
          <w:szCs w:val="20"/>
          <w:color w:val="auto"/>
        </w:rPr>
      </w:pPr>
      <w:r>
        <w:rPr>
          <w:rFonts w:ascii="Arial" w:cs="Arial" w:eastAsia="Arial" w:hAnsi="Arial"/>
          <w:sz w:val="18"/>
          <w:szCs w:val="18"/>
          <w:color w:val="auto"/>
        </w:rPr>
        <w:t>assumptions, or information provided by the IND sponsor when requesting an SPA agreement change, are found to be false statements or misstatements, or are found to omit relevant facts. An SPA agreement may not be changed by the sponsor or the FDA after the trial begins except with the written agreement of the sponsor and the FDA, or if the FDA determines that a substantial scientific issue essential to determining the safety or effectiveness of the drug was identified after the testing began.</w:t>
      </w:r>
    </w:p>
    <w:p>
      <w:pPr>
        <w:spacing w:after="0" w:line="18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fail to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monitoring board or committee. This group provides authorization for whether or not a trial may move forward at designated checkpoints based on access to certain data from the study. A sponsor may also suspend or terminate a clinical trial based on evolving business objectives and/or competitive climate.</w:t>
      </w:r>
    </w:p>
    <w:p>
      <w:pPr>
        <w:spacing w:after="0" w:line="16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drug product. Additionally, appropriate packaging must be selected and tested and stability studies must be conducted to demonstrate that the drug candidate does not undergo unacceptable deterioration over its shelf life.</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FDA Review and Approval Processes</w:t>
      </w:r>
    </w:p>
    <w:p>
      <w:pPr>
        <w:spacing w:after="0" w:line="117" w:lineRule="exact"/>
        <w:rPr>
          <w:sz w:val="20"/>
          <w:szCs w:val="20"/>
          <w:color w:val="auto"/>
        </w:rPr>
      </w:pPr>
    </w:p>
    <w:p>
      <w:pPr>
        <w:ind w:right="240" w:firstLine="598"/>
        <w:spacing w:after="0" w:line="293"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or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5"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The FDA will initially review an NDA or BLA for completeness before it accepts it for filing. The FDA has 60 days from its receipt of an application to determine whether the application will be accepted for filing based on the agency’s threshold determination that the application is sufficiently complete to permit substantive review. If it is not, the FDA may refuse to file the application and request additional information, in which case the application must be resubmitted with the supplemental information, and review of the application is delayed. After an NDA or BLA submission is accepted for filing, the FDA reviews the application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9" w:name="page30"/>
    <w:bookmarkEnd w:id="29"/>
    <w:p>
      <w:pPr>
        <w:ind w:right="100" w:firstLine="598"/>
        <w:spacing w:after="0" w:line="257" w:lineRule="auto"/>
        <w:rPr>
          <w:sz w:val="20"/>
          <w:szCs w:val="20"/>
          <w:color w:val="auto"/>
        </w:rPr>
      </w:pPr>
      <w:r>
        <w:rPr>
          <w:rFonts w:ascii="Arial" w:cs="Arial" w:eastAsia="Arial" w:hAnsi="Arial"/>
          <w:sz w:val="18"/>
          <w:szCs w:val="18"/>
          <w:color w:val="auto"/>
        </w:rPr>
        <w:t>Upon the filing of an NDA or BLA,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 Whether priority or standard review applies, an additional 60 days is added to the target date for FDA action for new molecular entities.</w:t>
      </w:r>
    </w:p>
    <w:p>
      <w:pPr>
        <w:spacing w:after="0" w:line="188"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an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8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an NDA or BLA. Additionally,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 Depending on the FDA’s evaluation of a drug’s risks, a REMS may include medication guides, physician communication plans, or elements to assure safe use, such as restricted distribution requirements, patient registries and other risk minimization tools. Following approval of an NDA with a REMS, the sponsor is responsible for marketing the drug in compliance with the REMS and must submit periodic REMS assessments to the FDA.</w:t>
      </w:r>
    </w:p>
    <w:p>
      <w:pPr>
        <w:spacing w:after="0" w:line="167"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color w:val="auto"/>
        </w:rPr>
        <w:t>Further, even after regulatory approval is obtained, later discovery of previously unknown problems with a product may result in restrictions on the product or even complete withdrawal of the product from the market. In addition, we cannot predict what adverse governmental regulations may arise from future U.S. or foreign governmental action.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Programs</w:t>
      </w:r>
    </w:p>
    <w:p>
      <w:pPr>
        <w:spacing w:after="0" w:line="117"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For a Fast Track product, the FDA may consider for review sections of an NDA or BLA on a rolling basis before the complete application is submitted, if the sponsor provides a schedule for the submission of the sections of the application, the FDA agrees to accept sections and determines that the schedule is acceptable, and the sponsor pays any required user fees upon submission of the first section of an application.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right="20" w:firstLine="598"/>
        <w:spacing w:after="0" w:line="290"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Drug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product receiving accelerated approval perform adequate and well-controlled post-marketing clinical studies. In addition, the FDA requires as a condition for accelerated approval pre-approval of promotional materials, which could adversely impact the timing of the commercial launch of the product.</w:t>
      </w:r>
    </w:p>
    <w:p>
      <w:pPr>
        <w:spacing w:after="0" w:line="166"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The FDA may also expedite the review of a drug designated as a breakthrough therapy, which is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The designation of a drug as a breakthrough therapy provides the same benefits as are available under the Fast Track program, as well as intensive FDA guidance on the product’s development program. If the FDA designates a drug as a breakthrough therapy, it must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185"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review process.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Act</w:t>
      </w:r>
    </w:p>
    <w:p>
      <w:pPr>
        <w:spacing w:after="0" w:line="117" w:lineRule="exact"/>
        <w:rPr>
          <w:sz w:val="20"/>
          <w:szCs w:val="20"/>
          <w:color w:val="auto"/>
        </w:rPr>
      </w:pPr>
    </w:p>
    <w:p>
      <w:pPr>
        <w:ind w:right="100" w:firstLine="598"/>
        <w:spacing w:after="0" w:line="291" w:lineRule="auto"/>
        <w:rPr>
          <w:sz w:val="20"/>
          <w:szCs w:val="20"/>
          <w:color w:val="auto"/>
        </w:rPr>
      </w:pPr>
      <w:r>
        <w:rPr>
          <w:rFonts w:ascii="Arial" w:cs="Arial" w:eastAsia="Arial" w:hAnsi="Arial"/>
          <w:sz w:val="16"/>
          <w:szCs w:val="16"/>
          <w:color w:val="auto"/>
        </w:rPr>
        <w:t>Under the Drug Price Competition and Patent Term Restoration Act of 1984, known as the “Hatch-Waxman Act,” Congress created an abbreviated FDA review process for generic versions of approved pioneer (brand name) NDA products. In considering whether to approve such a generic drug product submitted under an Abbreviated New Drug Application, or ANDA, the FDA generally requires that an ANDA applicant demonstrate that the proposed generic drug product’s active ingredient, strength, dosage form, and route of administration are the same as that of the reference product, that the two drugs are bioequivalent, that any impurities in the proposed product do not affect the product’s safety or effectiveness, and that its manufacturing processes and methods ensure the consistent potency and purity of its proposed product. Similarly, section 505(b)(2) of the Federal Food, Drug, and Cosmetic Act provides a reduced burden of demonstrating safety and effectiveness for an NDA for a product that is similar, but not identical, to the pioneer product.</w:t>
      </w:r>
    </w:p>
    <w:p>
      <w:pPr>
        <w:spacing w:after="0" w:line="16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The Hatch Waxman Act requires NDA applicants and NDA holders to provide certain information about patents related to the drug for listing in its publication Approved Drug Products with Therapeutic Equivalence Evaluations, referred to as the Orange Book. ANDA and 505(b)(2) applicants who seek to reference a pioneer drug must then certify regarding each of the patents listed with the FDA for the reference product. A certification that a listed patent is invalid or will not be infringed by the marketing of the applicant’s product is called a “Paragraph IV certification.”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ind w:right="160" w:firstLine="598"/>
        <w:spacing w:after="0" w:line="302" w:lineRule="auto"/>
        <w:rPr>
          <w:sz w:val="20"/>
          <w:szCs w:val="20"/>
          <w:color w:val="auto"/>
        </w:rPr>
      </w:pPr>
      <w:r>
        <w:rPr>
          <w:rFonts w:ascii="Arial" w:cs="Arial" w:eastAsia="Arial" w:hAnsi="Arial"/>
          <w:sz w:val="16"/>
          <w:szCs w:val="16"/>
          <w:color w:val="auto"/>
        </w:rPr>
        <w:t>The Hatch Waxman Act also provides periods of regulatory exclusivity for certain pioneer products during which FDA review or approval of an ANDA or 505(b)(2) application is precluded. If the pioneer product is a New Chemical Entity, or NCE, the FDA is precluded for a period of five years from accepting for review an ANDA or 505(b)(2) application for the same chemical entity. Under NCE exclusivity, the FDA may accept an ANDA or 505(b)(2) application for review after four years, however, if that application contains a Paragraph IV certification challenging one of the pioneer’s listed patents.</w:t>
      </w:r>
    </w:p>
    <w:p>
      <w:pPr>
        <w:spacing w:after="0" w:line="15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Hatch Waxman Act also provides three years of exclusivity for applications containing the results of new clinical investigations (other than bioavailability studies) essential to the FDA’s approval of new uses of approved products, such as new indications, dosage forms, strengths, or conditions of use. During this three-year exclusivity period, the FDA may review but not approve an ANDA or 505(b)(2) application for a product with the same conditions of use as supported by those new clinical investigations. This exclusivity will not necessarily prohibit the FDA from accepting or approving ANDAs or 505(b)(2) applications for other products containing the same active ingredient.</w:t>
      </w:r>
    </w:p>
    <w:p>
      <w:pPr>
        <w:spacing w:after="0" w:line="188"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If an ANDA or 505(b)(2) application containing a Paragraph IV certification is accepted for filing by the FDA, the applicant must within 20 days provide notice to an NDA holder and patent owner that the application has been submitted and provide the factual and legal basis for the applicant’s opinion that the patent is invalid or not infringed. An NDA holder or patent owner may then file suit against the ANDA or 505(b)(2) applicant for patent infringement. If a suit is filed within 45 days of receiving notice of the Paragraph IV certification, the FDA is precluded from approving the ANDA or 505(b)(2) application for a period of 30 months. The 30-month stay generally begins on the date of the receipt of notice by an NDA holder or patent owner. If the pioneer product has NCE exclusivity and the pioneer files suit against the ANDA or 505(b)(2) application during the fifth year of exclusivity, however, the 30-month stay will not be triggered until five years from the date of the reference drug’s approval. The FDA may approve the proposed product before the expiration of the 30-month stay if a court finds the patent invalid or not infringed or if the court shortens the period because the parties have failed to cooperate in expediting the litigation.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 Manufacturing Practices</w:t>
      </w:r>
    </w:p>
    <w:p>
      <w:pPr>
        <w:spacing w:after="0" w:line="117"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application, shut down manufacturing operations or withdraw approval of an application, or we may recall the product from distribution. Noncompliance with cGMP or other requirements can result in issuance of warning letters, civil and criminal penalties, seizures and injunctive action.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117" w:lineRule="exact"/>
        <w:rPr>
          <w:sz w:val="20"/>
          <w:szCs w:val="20"/>
          <w:color w:val="auto"/>
        </w:rPr>
      </w:pPr>
    </w:p>
    <w:p>
      <w:pPr>
        <w:jc w:val="both"/>
        <w:ind w:right="220" w:firstLine="598"/>
        <w:spacing w:after="0" w:line="312" w:lineRule="auto"/>
        <w:rPr>
          <w:sz w:val="20"/>
          <w:szCs w:val="20"/>
          <w:color w:val="auto"/>
        </w:rPr>
      </w:pPr>
      <w:r>
        <w:rPr>
          <w:rFonts w:ascii="Arial" w:cs="Arial" w:eastAsia="Arial" w:hAnsi="Arial"/>
          <w:sz w:val="16"/>
          <w:szCs w:val="16"/>
          <w:color w:val="auto"/>
        </w:rPr>
        <w:t>The FDA closely regulates the labeling, marketing and promotion of drugs and biologics. While doctors are free to prescribe any drug approved by the FDA for any use, a company can only make claims relating to safety and efficacy of a drug that are consistent with FDA approval, and the company is allowed to actively market a drug only for the particular use and treatment approved by the FDA. In addition, any claims we make for our products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right="20"/>
        <w:spacing w:after="0" w:line="264" w:lineRule="auto"/>
        <w:rPr>
          <w:sz w:val="20"/>
          <w:szCs w:val="20"/>
          <w:color w:val="auto"/>
        </w:rPr>
      </w:pPr>
      <w:r>
        <w:rPr>
          <w:rFonts w:ascii="Arial" w:cs="Arial" w:eastAsia="Arial" w:hAnsi="Arial"/>
          <w:sz w:val="18"/>
          <w:szCs w:val="18"/>
          <w:color w:val="auto"/>
        </w:rPr>
        <w:t>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organizations,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169"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 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165"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and Data Privacy and Security Laws and Regulations</w:t>
      </w:r>
    </w:p>
    <w:p>
      <w:pPr>
        <w:spacing w:after="0" w:line="117" w:lineRule="exact"/>
        <w:rPr>
          <w:sz w:val="20"/>
          <w:szCs w:val="20"/>
          <w:color w:val="auto"/>
        </w:rPr>
      </w:pPr>
    </w:p>
    <w:p>
      <w:pPr>
        <w:ind w:right="140" w:firstLine="598"/>
        <w:spacing w:after="0" w:line="279" w:lineRule="auto"/>
        <w:rPr>
          <w:sz w:val="20"/>
          <w:szCs w:val="20"/>
          <w:color w:val="auto"/>
        </w:rPr>
      </w:pPr>
      <w:r>
        <w:rPr>
          <w:rFonts w:ascii="Arial" w:cs="Arial" w:eastAsia="Arial" w:hAnsi="Arial"/>
          <w:sz w:val="17"/>
          <w:szCs w:val="17"/>
          <w:color w:val="auto"/>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federal Anti-Kickback Statute prohibits persons and entities from, among other things, knowingly and willfully offering, paying, soliciting or receiving remuneration to induce or in return for purchasing, leasing, ordering or arranging for or recommending the purchase,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3" w:name="page34"/>
    <w:bookmarkEnd w:id="33"/>
    <w:p>
      <w:pPr>
        <w:spacing w:after="0" w:line="272" w:lineRule="auto"/>
        <w:rPr>
          <w:sz w:val="20"/>
          <w:szCs w:val="20"/>
          <w:color w:val="auto"/>
        </w:rPr>
      </w:pPr>
      <w:r>
        <w:rPr>
          <w:rFonts w:ascii="Arial" w:cs="Arial" w:eastAsia="Arial" w:hAnsi="Arial"/>
          <w:sz w:val="17"/>
          <w:szCs w:val="17"/>
          <w:color w:val="auto"/>
        </w:rPr>
        <w:t>lease or order of any item or service reimbursable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some common activities from prosecution, the exemptions and safe harbors are drawn narrowly. Practices that involve remuneration that may be alleged to be intended to induce, among other things, prescribing, purchases or recommendations may be subject to scrutiny if they do not qualify for an exemption or safe harbor. Several courts have interpreted the statute’s intent requirement to mean that if any one purpose of an arrangement involving remuneration is to induce referrals of federal healthcare covered business, the statute has been violated.</w:t>
      </w:r>
    </w:p>
    <w:p>
      <w:pPr>
        <w:spacing w:after="0" w:line="178"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The reach of the Anti-Kickback Statute was also broadened by the Patient Protection and Affordable Care Act, as amended by the Health Care and Education Reconciliation Act of 2010, or collectively the Affordable Care Act, which, among other things, amended the intent requirement of the federal Anti-Kickback Statute such that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w:t>
      </w:r>
    </w:p>
    <w:p>
      <w:pPr>
        <w:spacing w:after="0" w:line="173"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The federal False Claims Act prohibits any person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federal Health Insurance Portability and Accountability Act of 1996, and its implementing regulations, or HIPAA, created federal criminal laws that prohibit knowingly and willfully executing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jc w:val="both"/>
        <w:ind w:right="40" w:firstLine="598"/>
        <w:spacing w:after="0" w:line="279" w:lineRule="auto"/>
        <w:rPr>
          <w:sz w:val="20"/>
          <w:szCs w:val="20"/>
          <w:color w:val="auto"/>
        </w:rPr>
      </w:pPr>
      <w:r>
        <w:rPr>
          <w:rFonts w:ascii="Arial" w:cs="Arial" w:eastAsia="Arial" w:hAnsi="Arial"/>
          <w:sz w:val="17"/>
          <w:szCs w:val="17"/>
          <w:color w:val="auto"/>
        </w:rPr>
        <w:t>Many states have similar fraud and abuse statutes or regulations, including, without limitation, laws analogous to the federal Anti-Kickback Statute and the federal False Claims Act, that apply to items and services reimbursed under Medicaid and other state programs, or, in several states, apply regardless of the payor. Some of these state laws apply to a broader range of conduct and may not have the same exceptions as analogous federal laws. Accordingly, our business will be subject to these provisions as well in the states in which we do business.</w:t>
      </w:r>
    </w:p>
    <w:p>
      <w:pPr>
        <w:spacing w:after="0" w:line="17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federal Physician Payments Sunshine Act, enacted as part of the Affordable Care Act requires applicable manufacturers of drugs, devices, biologics and medical supplies for which payment is available under Medicare, Medicaid, or the Children’s Health Insurance Program, with specific exceptions, to track and annually report to the Centers for Medicare and Medicaid Service, or CMS, payments and other transfers of value provided to physicians and teaching hospitals and certain ownership and investment interests held by physicians or their immediate family members. If our operations are found to be in violation of any of such laws we may be subject to penalties, which could adversely affect our ability to operate our business and our financial results.</w:t>
      </w:r>
    </w:p>
    <w:p>
      <w:pPr>
        <w:spacing w:after="0" w:line="193" w:lineRule="exact"/>
        <w:rPr>
          <w:sz w:val="20"/>
          <w:szCs w:val="20"/>
          <w:color w:val="auto"/>
        </w:rPr>
      </w:pPr>
    </w:p>
    <w:p>
      <w:pPr>
        <w:jc w:val="both"/>
        <w:ind w:right="260" w:firstLine="598"/>
        <w:spacing w:after="0" w:line="312" w:lineRule="auto"/>
        <w:rPr>
          <w:sz w:val="20"/>
          <w:szCs w:val="20"/>
          <w:color w:val="auto"/>
        </w:rPr>
      </w:pPr>
      <w:r>
        <w:rPr>
          <w:rFonts w:ascii="Arial" w:cs="Arial" w:eastAsia="Arial" w:hAnsi="Arial"/>
          <w:sz w:val="16"/>
          <w:szCs w:val="16"/>
          <w:color w:val="auto"/>
        </w:rPr>
        <w:t>In addition, we may be subject to data privacy and data security regulation by both the federal government and the states in which we conduct our business. HIPAA, as amended by the Health Information Technology for Economic and Clinical Health Act, and their implementing regulations, imposes specified requirements relating to the privacy, security and transmission of certain individually identifiable health information. HIPAA applies to</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4" w:name="page35"/>
    <w:bookmarkEnd w:id="34"/>
    <w:p>
      <w:pPr>
        <w:ind w:right="60"/>
        <w:spacing w:after="0" w:line="270" w:lineRule="auto"/>
        <w:rPr>
          <w:sz w:val="20"/>
          <w:szCs w:val="20"/>
          <w:color w:val="auto"/>
        </w:rPr>
      </w:pPr>
      <w:r>
        <w:rPr>
          <w:rFonts w:ascii="Arial" w:cs="Arial" w:eastAsia="Arial" w:hAnsi="Arial"/>
          <w:sz w:val="17"/>
          <w:szCs w:val="17"/>
          <w:color w:val="auto"/>
        </w:rPr>
        <w:t>certain covered entity health care providers, health plans and health care clearinghouses as well as their business associates, which are entities that create, receive, maintain or transmit protected health information in connection with providing a service to or performing an activity for or on behalf of a covered entity. Violations of HIPAA may result in civil and/or criminal penalties and state attorneys’ general have authority to file civil actions for damages or injunctions in federal courts to enforce HIPAA and seek attorney’s fees and costs associated with pursuing federal civil actions. Even if we are not directly subject to HIPAA, we could be subject to criminal penalties if we knowingly obtain or disclose individually identifiable health information maintained by a HIPAA covered entity in a manner not authorized or permitted by HIPAA. In addition, state laws govern the privacy and security of health information in certain circumstances, many of which differ from each other in significant ways and often are not preempted by HIPAA, thus complicating compliance efforts. 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78" w:lineRule="exact"/>
        <w:rPr>
          <w:sz w:val="20"/>
          <w:szCs w:val="20"/>
          <w:color w:val="auto"/>
        </w:rPr>
      </w:pPr>
    </w:p>
    <w:p>
      <w:pPr>
        <w:ind w:right="20" w:firstLine="598"/>
        <w:spacing w:after="0" w:line="287" w:lineRule="auto"/>
        <w:rPr>
          <w:sz w:val="20"/>
          <w:szCs w:val="20"/>
          <w:color w:val="auto"/>
        </w:rPr>
      </w:pPr>
      <w:r>
        <w:rPr>
          <w:rFonts w:ascii="Arial" w:cs="Arial" w:eastAsia="Arial" w:hAnsi="Arial"/>
          <w:sz w:val="16"/>
          <w:szCs w:val="16"/>
          <w:color w:val="auto"/>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individual imprisonment,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EU Directive 95/46/EC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In March 2010, then President Obama signed into law the Affordable Care Act, which substantially changes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w:t>
      </w:r>
    </w:p>
    <w:p>
      <w:pPr>
        <w:spacing w:after="0" w:line="74" w:lineRule="exact"/>
        <w:rPr>
          <w:sz w:val="20"/>
          <w:szCs w:val="20"/>
          <w:color w:val="auto"/>
        </w:rPr>
      </w:pPr>
    </w:p>
    <w:p>
      <w:pPr>
        <w:ind w:left="1200" w:right="120" w:hanging="598"/>
        <w:spacing w:after="0" w:line="264"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branded prescription drugs and biologic agents, apportioned among these entities according to their sales of branded prescription drugs under certain government healthcare programs, such as Medicare and Medicaid;</w:t>
      </w:r>
    </w:p>
    <w:p>
      <w:pPr>
        <w:spacing w:after="0" w:line="73" w:lineRule="exact"/>
        <w:rPr>
          <w:rFonts w:ascii="Arial" w:cs="Arial" w:eastAsia="Arial" w:hAnsi="Arial"/>
          <w:sz w:val="18"/>
          <w:szCs w:val="18"/>
          <w:color w:val="auto"/>
        </w:rPr>
      </w:pPr>
    </w:p>
    <w:p>
      <w:pPr>
        <w:ind w:left="1200" w:right="140" w:hanging="598"/>
        <w:spacing w:after="0" w:line="342" w:lineRule="auto"/>
        <w:tabs>
          <w:tab w:leader="none" w:pos="1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increases in the statutory minimum rebates a manufacturer must pay as a condition to having covered drugs available for payment under the Medicaid Drug Rebate program to 23.1% and 13% of the average manufacturer price for branded and generic drugs, respectively;</w:t>
      </w:r>
    </w:p>
    <w:p>
      <w:pPr>
        <w:spacing w:after="0" w:line="15" w:lineRule="exact"/>
        <w:rPr>
          <w:rFonts w:ascii="Arial" w:cs="Arial" w:eastAsia="Arial" w:hAnsi="Arial"/>
          <w:sz w:val="16"/>
          <w:szCs w:val="16"/>
          <w:color w:val="auto"/>
        </w:rPr>
      </w:pPr>
    </w:p>
    <w:p>
      <w:pPr>
        <w:ind w:left="1200" w:right="4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and the addition of new government investigative powers and enhanced penalties for non-compliance;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ind w:left="1200" w:right="2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200" w:right="80" w:hanging="598"/>
        <w:spacing w:after="0" w:line="286" w:lineRule="auto"/>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under which a participating manufacturer must agree to offer 50% (and 70% commencing on January 1, 2019) point-of-sale discounts off negotiated prices of applicable brand drugs to eligible beneficiaries during their coverage gap period, as a condition for the manufacturer’s outpatient drugs to be covered under Medicare Part D;</w:t>
      </w:r>
    </w:p>
    <w:p>
      <w:pPr>
        <w:spacing w:after="0" w:line="57" w:lineRule="exact"/>
        <w:rPr>
          <w:rFonts w:ascii="Arial" w:cs="Arial" w:eastAsia="Arial" w:hAnsi="Arial"/>
          <w:sz w:val="17"/>
          <w:szCs w:val="17"/>
          <w:color w:val="auto"/>
        </w:rPr>
      </w:pPr>
    </w:p>
    <w:p>
      <w:pPr>
        <w:ind w:left="1200" w:right="480" w:hanging="598"/>
        <w:spacing w:after="0" w:line="342"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and by adding new eligibility categories for certain individuals with income at or below 133% of the federal poverty level;</w:t>
      </w:r>
    </w:p>
    <w:p>
      <w:pPr>
        <w:spacing w:after="0" w:line="15" w:lineRule="exact"/>
        <w:rPr>
          <w:rFonts w:ascii="Arial" w:cs="Arial" w:eastAsia="Arial" w:hAnsi="Arial"/>
          <w:sz w:val="16"/>
          <w:szCs w:val="16"/>
          <w:color w:val="auto"/>
        </w:rPr>
      </w:pPr>
    </w:p>
    <w:p>
      <w:pPr>
        <w:ind w:left="1200" w:right="34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known as the 340B drug pricing program;</w:t>
      </w:r>
    </w:p>
    <w:p>
      <w:pPr>
        <w:spacing w:after="0" w:line="62" w:lineRule="exact"/>
        <w:rPr>
          <w:rFonts w:ascii="Arial" w:cs="Arial" w:eastAsia="Arial" w:hAnsi="Arial"/>
          <w:sz w:val="18"/>
          <w:szCs w:val="18"/>
          <w:color w:val="auto"/>
        </w:rPr>
      </w:pPr>
    </w:p>
    <w:p>
      <w:pPr>
        <w:ind w:left="1200" w:right="40" w:hanging="598"/>
        <w:spacing w:after="0" w:line="291"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new requirements under the federal Open Payments program created as part of the Physician Payments Sunshine Act under Section 6002 of the Affordable Care Act and its implementing regulations, which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Applicable manufacturers and applicable group purchasing organizations must also report annually to the U.S. Department of Health and Human Services ownership and investment interests held by physicians (as defined above) and their immediate family members;</w:t>
      </w:r>
    </w:p>
    <w:p>
      <w:pPr>
        <w:spacing w:after="0" w:line="59" w:lineRule="exact"/>
        <w:rPr>
          <w:rFonts w:ascii="Arial" w:cs="Arial" w:eastAsia="Arial" w:hAnsi="Arial"/>
          <w:sz w:val="16"/>
          <w:szCs w:val="16"/>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17" w:lineRule="exact"/>
        <w:rPr>
          <w:rFonts w:ascii="Arial" w:cs="Arial" w:eastAsia="Arial" w:hAnsi="Arial"/>
          <w:sz w:val="18"/>
          <w:szCs w:val="18"/>
          <w:color w:val="auto"/>
        </w:rPr>
      </w:pPr>
    </w:p>
    <w:p>
      <w:pPr>
        <w:ind w:left="1200" w:right="64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There have been judicial and Congressional challenges to certain aspects of the Affordable Care Act, as well as recent efforts by the Trump administration to repeal and replace certain aspects of the Affordable Care Act, and we expect such challenges to continue. Since January 2017, President Trump has signed two Executive Orders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fees mandated by the Affordable Care Act,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Affordable Care Act, effective January 1, 2019, to close the coverage gap in most Medicare drug plans, commonly referred to as the “donut hole.” Congress also could consider subsequent legislation to repeal or repeal and replace other elements of the Affordable Care Act.</w:t>
      </w:r>
    </w:p>
    <w:p>
      <w:pPr>
        <w:spacing w:after="0" w:line="175"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 aggregate reductions to Medicare payments to providers of up to 2% per fiscal year, on average, through 2027, which went into effect in April 2013.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6" w:name="page37"/>
    <w:bookmarkEnd w:id="36"/>
    <w:p>
      <w:pPr>
        <w:ind w:right="40" w:firstLine="598"/>
        <w:spacing w:after="0" w:line="269"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2019 contains additional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products once commercialized.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Outside of the United States</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For example, based on scientific advice from the European Medicines Agency, or the EMA, we believe our current clinical development plan is likely to be insufficient to receive regulatory approval in Europe. During the next year, we plan to work with the EMA to formulate a development plan that may be more acceptable, but may be unsuccessful in doing so or such plan may not be feasible.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20" w:firstLine="598"/>
        <w:spacing w:after="0" w:line="264" w:lineRule="auto"/>
        <w:rPr>
          <w:sz w:val="20"/>
          <w:szCs w:val="20"/>
          <w:color w:val="auto"/>
        </w:rPr>
      </w:pPr>
      <w:r>
        <w:rPr>
          <w:rFonts w:ascii="Arial" w:cs="Arial" w:eastAsia="Arial" w:hAnsi="Arial"/>
          <w:sz w:val="18"/>
          <w:szCs w:val="18"/>
          <w:color w:val="auto"/>
        </w:rPr>
        <w:t>As of March 7, 2018, we had 44 full-time employees and one part-time employee. Of the full-time employees, 28 were primarily engaged in research and development activities and ten have an M.D. or Ph.D. degree. None of our employees are represented by labor unions or covered by collective bargaining agreements. We consider our relationship with our employees to be good.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340" w:firstLine="598"/>
        <w:spacing w:after="0" w:line="259" w:lineRule="auto"/>
        <w:rPr>
          <w:sz w:val="20"/>
          <w:szCs w:val="20"/>
          <w:color w:val="auto"/>
        </w:rPr>
      </w:pPr>
      <w:r>
        <w:rPr>
          <w:rFonts w:ascii="Arial" w:cs="Arial" w:eastAsia="Arial" w:hAnsi="Arial"/>
          <w:sz w:val="18"/>
          <w:szCs w:val="18"/>
          <w:color w:val="auto"/>
        </w:rPr>
        <w:t>We have dedicated a significant portion of our resources to our efforts to develop our product candidates. We incurred research and development expenses of $48.2 million, $31.7 million and $9.5 million during the years ended December 31, 2017, 2016 and 2015, respectively. We anticipate that a significant portion of our operating expenses will continue to be related to research and development in 2018, as we continue to advance our product candidates through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121" w:lineRule="exact"/>
        <w:rPr>
          <w:sz w:val="20"/>
          <w:szCs w:val="20"/>
          <w:color w:val="auto"/>
        </w:rPr>
      </w:pPr>
    </w:p>
    <w:p>
      <w:pPr>
        <w:ind w:right="60" w:firstLine="598"/>
        <w:spacing w:after="0" w:line="308" w:lineRule="auto"/>
        <w:rPr>
          <w:sz w:val="20"/>
          <w:szCs w:val="20"/>
          <w:color w:val="auto"/>
        </w:rPr>
      </w:pPr>
      <w:r>
        <w:rPr>
          <w:rFonts w:ascii="Arial" w:cs="Arial" w:eastAsia="Arial" w:hAnsi="Arial"/>
          <w:sz w:val="17"/>
          <w:szCs w:val="17"/>
          <w:color w:val="auto"/>
        </w:rPr>
        <w:t>We were incorporated in Delaware in 2005. In 2011, we established a wholly owned subsidiary in the United Kingdom and in 2014 we established a wholly owned U.S. subsidiary. There have been no material activities for these entities to date. We currently operate in one segment.</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principal executive offices are located at 35 Gatehouse Drive, Building D, Floor 3, Waltham, Massachusetts 02451 and our telephone number is</w:t>
      </w:r>
    </w:p>
    <w:p>
      <w:pPr>
        <w:spacing w:after="0" w:line="46" w:lineRule="exact"/>
        <w:rPr>
          <w:sz w:val="20"/>
          <w:szCs w:val="20"/>
          <w:color w:val="auto"/>
        </w:rPr>
      </w:pPr>
    </w:p>
    <w:p>
      <w:pPr>
        <w:ind w:right="120" w:firstLine="8"/>
        <w:spacing w:after="0" w:line="261" w:lineRule="auto"/>
        <w:tabs>
          <w:tab w:leader="none" w:pos="4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419-1400. Our corporate website address is www.syndax.com. Information contained on or accessible through our website is not a part of this Annual Report, and the inclusion of our website address in this Annual Report is an inactive textual reference only.</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file electronically with the SEC, our annual reports on Form 10-K, quarterly reports on Form 10-Q, current reports on Form 8-K,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amendments to those reports filed or furnished pursuant to Section 13(a) or 15(d) of the Exchange Act. We make available on our website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www.syndax.com</w:t>
      </w:r>
      <w:r>
        <w:rPr>
          <w:rFonts w:ascii="Arial" w:cs="Arial" w:eastAsia="Arial" w:hAnsi="Arial"/>
          <w:sz w:val="16"/>
          <w:szCs w:val="16"/>
          <w:color w:val="auto"/>
        </w:rPr>
        <w:t>, under “Investors,” free of charge, copies of these reports as soon as reasonably practicable after filing or furnishing these reports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i w:val="1"/>
          <w:iCs w:val="1"/>
          <w:color w:val="auto"/>
        </w:rPr>
        <w:t>This Annual Report on Form 10-K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on Form 10-K as well as our other publicly available filings with the Securities and Exchange Commission.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For the year ended December 31, 2017, we reported a net loss of $60.8 million; and as of December 31, 2017, we had an accumulated deficit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$366.1 million, which included non-cash charges for stock-based compensation, preferred stock accretion and extinguishment charges. We expect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incur significant losses for the foreseeable future, and we expect these losses to increase as we continue our research and development of, and seek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approvals for, our product candidates. We may also encounter unforeseen expenses, difficulties, complications, delays and other unknown factors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may adversely affect our business. The size of our future net losses will depend, in part, on the rate of future growth of our expenses and our ability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generate revenues, if any. Our prior losses and expected future losses have had and will continue to have an adverse effect on our stockholders’ equity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3"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17" w:lineRule="exact"/>
        <w:rPr>
          <w:rFonts w:ascii="Arial" w:cs="Arial" w:eastAsia="Arial" w:hAnsi="Arial"/>
          <w:sz w:val="18"/>
          <w:szCs w:val="18"/>
          <w:color w:val="auto"/>
        </w:rPr>
      </w:pPr>
    </w:p>
    <w:p>
      <w:pPr>
        <w:ind w:left="1200" w:right="40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17"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225"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188"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29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3"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For example, we may discover that we need to conduct additional activities which exceed our current budget to achieve appropriate rates of patient enrollment, which would increase our development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9" w:name="page40"/>
    <w:bookmarkEnd w:id="39"/>
    <w:p>
      <w:pPr>
        <w:ind w:right="40" w:firstLine="598"/>
        <w:spacing w:after="0" w:line="257"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80" w:lineRule="exact"/>
        <w:rPr>
          <w:sz w:val="20"/>
          <w:szCs w:val="20"/>
          <w:color w:val="auto"/>
        </w:rPr>
      </w:pPr>
    </w:p>
    <w:p>
      <w:pPr>
        <w:ind w:left="1200" w:hanging="598"/>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17" w:lineRule="exact"/>
        <w:rPr>
          <w:rFonts w:ascii="Arial" w:cs="Arial" w:eastAsia="Arial" w:hAnsi="Arial"/>
          <w:sz w:val="18"/>
          <w:szCs w:val="18"/>
          <w:color w:val="auto"/>
        </w:rPr>
      </w:pPr>
    </w:p>
    <w:p>
      <w:pPr>
        <w:ind w:left="1200" w:right="40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70"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harm our business, operating results and prospects.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200" w:right="260" w:hanging="598"/>
        <w:spacing w:after="0" w:line="308" w:lineRule="auto"/>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200" w:right="200" w:hanging="598"/>
        <w:spacing w:after="0" w:line="264"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200" w:hanging="598"/>
        <w:spacing w:after="0" w:line="277"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w:t>
      </w:r>
    </w:p>
    <w:p>
      <w:pPr>
        <w:spacing w:after="0" w:line="248"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540" w:firstLine="598"/>
        <w:spacing w:after="0" w:line="264" w:lineRule="auto"/>
        <w:rPr>
          <w:sz w:val="20"/>
          <w:szCs w:val="20"/>
          <w:color w:val="auto"/>
        </w:rPr>
      </w:pPr>
      <w:r>
        <w:rPr>
          <w:rFonts w:ascii="Arial" w:cs="Arial" w:eastAsia="Arial" w:hAnsi="Arial"/>
          <w:sz w:val="18"/>
          <w:szCs w:val="18"/>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0" w:name="page41"/>
    <w:bookmarkEnd w:id="40"/>
    <w:p>
      <w:pPr>
        <w:spacing w:after="0" w:line="271" w:lineRule="auto"/>
        <w:rPr>
          <w:sz w:val="20"/>
          <w:szCs w:val="20"/>
          <w:color w:val="auto"/>
        </w:rPr>
      </w:pPr>
      <w:r>
        <w:rPr>
          <w:rFonts w:ascii="Arial" w:cs="Arial" w:eastAsia="Arial" w:hAnsi="Arial"/>
          <w:sz w:val="17"/>
          <w:szCs w:val="17"/>
          <w:color w:val="auto"/>
        </w:rPr>
        <w:t>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April 30, 2016 and determined that on March 30, 2007 and August 21, 2015 ownership changes had occurred. We may have experienced an ownership change subsequent to April 30, 2016; and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right="120" w:firstLine="598"/>
        <w:spacing w:after="0" w:line="290" w:lineRule="auto"/>
        <w:rPr>
          <w:sz w:val="20"/>
          <w:szCs w:val="20"/>
          <w:color w:val="auto"/>
        </w:rPr>
      </w:pPr>
      <w:r>
        <w:rPr>
          <w:rFonts w:ascii="Arial" w:cs="Arial" w:eastAsia="Arial" w:hAnsi="Arial"/>
          <w:sz w:val="16"/>
          <w:szCs w:val="16"/>
          <w:color w:val="auto"/>
        </w:rPr>
        <w:t>On December 22, 2017, the Tax Cuts and Jobs Act of 2017, or the Tax Act, was signed into law. The Tax Act, among other things, contains significant changes to corporate taxation, including (i) reduction of the corporate tax rate from a top marginal rate of 35% to a flat rate of 21%, (ii) limitation of the tax deduction for interest expense to 30% of adjusted earnings (except for certain small businesses), (iii) limitation of the deduction for net operating losses to 80% of current year taxable income in respect of net operating losses generated during or after 2018 and elimination of net operating loss carrybacks, (iv) one-time taxation of offshore earnings at reduced rates regardless of whether they are repatriated, (v) immediate deductions for certain new investments instead of deductions for depreciation expense over time, and (vi) modifying or repealing many business deductions and credits. Any federal net operating loss incurred in 2018 and in future years may now be carried forward indefinitely pursuant to the Tax Act. It is uncertain if and to what extent various states will conform to the newly enacted federal tax law. We will continue to examine the impact the Tax Act may have on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Entinostat, SNDX-6352 and the Menin Assets are currently our only product candidates. 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79" w:lineRule="exact"/>
        <w:rPr>
          <w:sz w:val="20"/>
          <w:szCs w:val="20"/>
          <w:color w:val="auto"/>
        </w:rPr>
      </w:pPr>
    </w:p>
    <w:p>
      <w:pPr>
        <w:ind w:left="1200" w:right="32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timely commencement and completion of the planned Phase 1b/2 clinical trials of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Bavencio</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(avelumab) and the Phase 1 clinical trial of SNDX-6352;</w:t>
      </w:r>
    </w:p>
    <w:p>
      <w:pPr>
        <w:spacing w:after="0" w:line="62" w:lineRule="exact"/>
        <w:rPr>
          <w:rFonts w:ascii="Arial" w:cs="Arial" w:eastAsia="Arial" w:hAnsi="Arial"/>
          <w:sz w:val="18"/>
          <w:szCs w:val="18"/>
          <w:color w:val="auto"/>
        </w:rPr>
      </w:pPr>
    </w:p>
    <w:p>
      <w:pPr>
        <w:ind w:left="1200" w:right="200" w:hanging="598"/>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patient enrollment and completion of the Phase 3 clinical trial in advanced HR+, HER2- breast cancer, which may be significantly slower than we currently anticipate and will depend substantially upon the satisfactory performance of the ECOG-ACRIN and the NCI and other third-party contractors for entinostat;</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in any of our clinical trials;</w:t>
      </w:r>
    </w:p>
    <w:p>
      <w:pPr>
        <w:spacing w:after="0" w:line="117"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entinostat and SNDX-6352 for their proposed indications and the timely receipt of necessary marketing approvals from the FDA and foreign regulatory authorities;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17"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2" w:lineRule="exact"/>
        <w:rPr>
          <w:rFonts w:ascii="Arial" w:cs="Arial" w:eastAsia="Arial" w:hAnsi="Arial"/>
          <w:sz w:val="18"/>
          <w:szCs w:val="18"/>
          <w:color w:val="auto"/>
        </w:rPr>
      </w:pPr>
    </w:p>
    <w:p>
      <w:pPr>
        <w:ind w:left="1200" w:right="320" w:hanging="598"/>
        <w:spacing w:after="0" w:line="308" w:lineRule="auto"/>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third-party contract manufacturers to produce trial supplies and to develop, validate and maintain a commercially viable manufacturing process that is compliant with current Good Manufacturing Practices regulations, or cGMP;</w:t>
      </w:r>
    </w:p>
    <w:p>
      <w:pPr>
        <w:spacing w:after="0" w:line="38" w:lineRule="exact"/>
        <w:rPr>
          <w:rFonts w:ascii="Arial" w:cs="Arial" w:eastAsia="Arial" w:hAnsi="Arial"/>
          <w:sz w:val="17"/>
          <w:szCs w:val="17"/>
          <w:color w:val="auto"/>
        </w:rPr>
      </w:pPr>
    </w:p>
    <w:p>
      <w:pPr>
        <w:ind w:left="1200" w:right="80" w:hanging="598"/>
        <w:spacing w:after="0" w:line="26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availability of commercial supplies of therapeutics, including exemestane,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and </w:t>
      </w:r>
      <w:r>
        <w:rPr>
          <w:rFonts w:ascii="Arial" w:cs="Arial" w:eastAsia="Arial" w:hAnsi="Arial"/>
          <w:sz w:val="18"/>
          <w:szCs w:val="18"/>
          <w:i w:val="1"/>
          <w:iCs w:val="1"/>
          <w:color w:val="auto"/>
        </w:rPr>
        <w:t>Bavencio</w:t>
      </w:r>
      <w:r>
        <w:rPr>
          <w:rFonts w:ascii="Arial" w:cs="Arial" w:eastAsia="Arial" w:hAnsi="Arial"/>
          <w:sz w:val="18"/>
          <w:szCs w:val="18"/>
          <w:color w:val="auto"/>
        </w:rPr>
        <w:t>, and clinical supplies of investigational drugs, to support the development and marketing of the entinostat therapy as a component of a combination drug regimen for entinostat;</w:t>
      </w:r>
    </w:p>
    <w:p>
      <w:pPr>
        <w:spacing w:after="0" w:line="73" w:lineRule="exact"/>
        <w:rPr>
          <w:rFonts w:ascii="Arial" w:cs="Arial" w:eastAsia="Arial" w:hAnsi="Arial"/>
          <w:sz w:val="18"/>
          <w:szCs w:val="18"/>
          <w:color w:val="auto"/>
        </w:rPr>
      </w:pPr>
    </w:p>
    <w:p>
      <w:pPr>
        <w:ind w:left="1200" w:right="420" w:hanging="598"/>
        <w:spacing w:after="0" w:line="27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225"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62"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of the combination of entinostat plus a checkpoint inhibitor. However, we have not yet demonstrated the safety or the benefit of this combination in humans and we may be unable to establish a clinically meaningful benefit for patient without added toxicity.</w:t>
      </w:r>
    </w:p>
    <w:p>
      <w:pPr>
        <w:spacing w:after="0" w:line="29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Although the NCI has entered into a SPA, agreement with the FDA relating to the pivotal Phase 3 clinical trial of entinostat for advanced HR+, HER2- breast cancer, this agreement does not guarantee any particular outcome with respect to regulatory review of the trial or any associated NDA for entinostat.</w:t>
      </w:r>
    </w:p>
    <w:p>
      <w:pPr>
        <w:spacing w:after="0" w:line="73"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The protocol for the pivotal Phase 3 trial of entinostat in combination with exemestane in advanced HR+, HER2- breast cancer was reviewed and agreed upon by the FDA under an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2" w:name="page43"/>
    <w:bookmarkEnd w:id="42"/>
    <w:p>
      <w:pPr>
        <w:ind w:right="20"/>
        <w:spacing w:after="0" w:line="312"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exemestane in advanced HR+, HER2-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39"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exemestane in advanced HR+, HER2- breast cancer patients. The trial will measure two primary endpoints of progression free survival, or PFS, and overall survival. Based on information received from ECOG-ACRIN to date, PFS data is expected in the third quarter of 2018 and overall survival data no sooner than the second half of 2019. If the Phase 3 clinical trial meets the PFS endpoint and the interim analysis of overall survival demonstrates a favorable trend, we expect to submit an NDA based on this data in 2018. However, if the trial does not meet the PFS endpoint, we will not be able to submit an NDA unless and until we receive data demonstrating that the primary endpoint for overall survival has been achieved. In addition, based on scientific advice that we received from the European Medicines Agency in March 2014, the current Phase 3 clinical trial is not likely to be sufficient to receive regulatory approval in Europe for entinostat to treat advanced HR+, HER2- breast cancer, and it is unclear whether we would be able to complete an alternate clinical trial that would be sufficient.</w:t>
      </w:r>
    </w:p>
    <w:p>
      <w:pPr>
        <w:spacing w:after="0" w:line="178"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Despite the results reported in our Phase 2b clinical trial for entinostat in advanced estrogen receptor positive, or ER+, breast cancer, we do not know whether the Phase 3 clinical trial in advanced HR+, HER2- breast cancer will demonstrate adequate efficacy and safety to result in regulatory approval to market entinostat in any particular cancer indications or jurisdiction. Additionally, while we do not expect that there will be overlapping toxicities between entinostat and exemestane, we cannot be certain that we will not observe these toxicities or unexpected side effects in the Phase 3 clinical trial.</w:t>
      </w:r>
    </w:p>
    <w:p>
      <w:pPr>
        <w:spacing w:after="0" w:line="154"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8"/>
          <w:szCs w:val="18"/>
          <w:i w:val="1"/>
          <w:iCs w:val="1"/>
          <w:color w:val="auto"/>
        </w:rPr>
        <w:t xml:space="preserve">Kisqali </w:t>
      </w:r>
      <w:r>
        <w:rPr>
          <w:rFonts w:ascii="Arial" w:cs="Arial" w:eastAsia="Arial" w:hAnsi="Arial"/>
          <w:sz w:val="18"/>
          <w:szCs w:val="18"/>
          <w:color w:val="auto"/>
        </w:rPr>
        <w:t>and</w:t>
      </w:r>
      <w:r>
        <w:rPr>
          <w:rFonts w:ascii="Arial" w:cs="Arial" w:eastAsia="Arial" w:hAnsi="Arial"/>
          <w:sz w:val="18"/>
          <w:szCs w:val="18"/>
          <w:i w:val="1"/>
          <w:iCs w:val="1"/>
          <w:color w:val="auto"/>
        </w:rPr>
        <w:t xml:space="preserve"> Ibrance</w:t>
      </w:r>
      <w:r>
        <w:rPr>
          <w:rFonts w:ascii="Arial" w:cs="Arial" w:eastAsia="Arial" w:hAnsi="Arial"/>
          <w:sz w:val="18"/>
          <w:szCs w:val="18"/>
          <w:color w:val="auto"/>
        </w:rPr>
        <w:t>, patients enrolled in the Phase 3 clinical trial may be different than those enrolled in our previous Phase 2b clinical trial in that they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received </w:t>
      </w:r>
      <w:r>
        <w:rPr>
          <w:rFonts w:ascii="Arial" w:cs="Arial" w:eastAsia="Arial" w:hAnsi="Arial"/>
          <w:sz w:val="18"/>
          <w:szCs w:val="18"/>
          <w:i w:val="1"/>
          <w:iCs w:val="1"/>
          <w:color w:val="auto"/>
        </w:rPr>
        <w:t>Kisqali</w:t>
      </w:r>
      <w:r>
        <w:rPr>
          <w:rFonts w:ascii="Arial" w:cs="Arial" w:eastAsia="Arial" w:hAnsi="Arial"/>
          <w:sz w:val="18"/>
          <w:szCs w:val="18"/>
          <w:color w:val="auto"/>
        </w:rPr>
        <w:t xml:space="preserve"> and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297"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The failure of ECOG-ACRIN or the NCI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1" w:lineRule="exact"/>
        <w:rPr>
          <w:sz w:val="20"/>
          <w:szCs w:val="20"/>
          <w:color w:val="auto"/>
        </w:rPr>
      </w:pPr>
    </w:p>
    <w:p>
      <w:pPr>
        <w:ind w:right="40" w:firstLine="598"/>
        <w:spacing w:after="0" w:line="253" w:lineRule="auto"/>
        <w:rPr>
          <w:sz w:val="20"/>
          <w:szCs w:val="20"/>
          <w:color w:val="auto"/>
        </w:rPr>
      </w:pPr>
      <w:r>
        <w:rPr>
          <w:rFonts w:ascii="Arial" w:cs="Arial" w:eastAsia="Arial" w:hAnsi="Arial"/>
          <w:sz w:val="18"/>
          <w:szCs w:val="18"/>
          <w:color w:val="auto"/>
        </w:rPr>
        <w:t>We have entered into an arrangement with ECOG-ACRIN, pursuant to which it, with sponsorship and funding support by the NCI, is conducting the Phase 3 clinical trial of entinostat in combination with exemestane in advanced HR+, HER2- breast cancer patients. While we provide operational and logistical support for the trial, we have limited control of their activities. We cannot control whether ECOG-ACRIN will devote sufficient time and resources to the trial, including as a result of any reduction or delay in government funding or sponsorship of the activities of ECOG-ACRIN or the NCI. If ECOG-ACRIN or the NCI does not successfully carry out its obligations and responsibilities or meet expected deadlines or if the quality or accuracy of the clinical data that ECOG-ACRIN obtains is compromised due to the failure to adhere to cGMPs,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97"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43" w:name="page44"/>
    <w:bookmarkEnd w:id="43"/>
    <w:p>
      <w:pPr>
        <w:ind w:right="280"/>
        <w:spacing w:after="0" w:line="273" w:lineRule="auto"/>
        <w:rPr>
          <w:sz w:val="20"/>
          <w:szCs w:val="20"/>
          <w:color w:val="auto"/>
        </w:rPr>
      </w:pPr>
      <w:r>
        <w:rPr>
          <w:rFonts w:ascii="Arial" w:cs="Arial" w:eastAsia="Arial" w:hAnsi="Arial"/>
          <w:sz w:val="17"/>
          <w:szCs w:val="17"/>
          <w:color w:val="auto"/>
        </w:rPr>
        <w:t>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2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HER2- breast cancer, we will be delayed in commercializing entinostat, our development costs may increase and our business may be harmed.</w:t>
      </w:r>
    </w:p>
    <w:p>
      <w:pPr>
        <w:spacing w:after="0" w:line="62"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Phase 3 clinical trial of entinostat in combination with exemestane in advanced HR+, HER2- breast cancer commenced in the second quarter of 2014, and we expect to have PFS data from this trial in the third quarter of 2018. However, to date, ECOG-ACRIN’s enrollment of patients in this trial has been slower than expected. We do not know whether this trial will need to be restructured, or will be completed on schedule or at all. Our product development costs could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which may result in a delay or unsuccessful completion of clinical development of entinostat include, among other things:</w:t>
      </w:r>
    </w:p>
    <w:p>
      <w:pPr>
        <w:spacing w:after="0" w:line="70" w:lineRule="exact"/>
        <w:rPr>
          <w:sz w:val="20"/>
          <w:szCs w:val="20"/>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ECOG-ACRIN to timely identify and enroll patients in the Phase 3 clinical trial;</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62" w:lineRule="exact"/>
        <w:rPr>
          <w:rFonts w:ascii="Arial" w:cs="Arial" w:eastAsia="Arial" w:hAnsi="Arial"/>
          <w:sz w:val="18"/>
          <w:szCs w:val="18"/>
          <w:color w:val="auto"/>
        </w:rPr>
      </w:pPr>
    </w:p>
    <w:p>
      <w:pPr>
        <w:ind w:left="1200" w:right="140" w:hanging="598"/>
        <w:spacing w:after="0" w:line="264"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73" w:lineRule="exact"/>
        <w:rPr>
          <w:rFonts w:ascii="Arial" w:cs="Arial" w:eastAsia="Arial" w:hAnsi="Arial"/>
          <w:sz w:val="18"/>
          <w:szCs w:val="18"/>
          <w:color w:val="auto"/>
        </w:rPr>
      </w:pPr>
    </w:p>
    <w:p>
      <w:pPr>
        <w:ind w:left="1200" w:right="78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 to conduct the trial in accordance with regulatory requirements;</w:t>
      </w:r>
    </w:p>
    <w:p>
      <w:pPr>
        <w:spacing w:after="0" w:line="62" w:lineRule="exact"/>
        <w:rPr>
          <w:rFonts w:ascii="Arial" w:cs="Arial" w:eastAsia="Arial" w:hAnsi="Arial"/>
          <w:sz w:val="18"/>
          <w:szCs w:val="18"/>
          <w:color w:val="auto"/>
        </w:rPr>
      </w:pPr>
    </w:p>
    <w:p>
      <w:pPr>
        <w:ind w:left="1200" w:right="64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withdrawal of sponsorship of the NCI because of a failure of ECOG-ACRIN to meet certain performance metrics in the clinical trial;</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117" w:lineRule="exact"/>
        <w:rPr>
          <w:rFonts w:ascii="Arial" w:cs="Arial" w:eastAsia="Arial" w:hAnsi="Arial"/>
          <w:sz w:val="18"/>
          <w:szCs w:val="18"/>
          <w:color w:val="auto"/>
        </w:rPr>
      </w:pPr>
    </w:p>
    <w:p>
      <w:pPr>
        <w:ind w:left="1200" w:right="48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62"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trials;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120" w:firstLine="598"/>
        <w:spacing w:after="0" w:line="277"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200" w:hanging="598"/>
        <w:spacing w:after="0"/>
        <w:tabs>
          <w:tab w:leader="none" w:pos="12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immuno-oncology agents;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34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are dependent on AstraZeneca, Merck, Genentech, Merck KGaA and Pfizer and any future collaborators to perform satisfactorily under our agreements.</w:t>
      </w:r>
    </w:p>
    <w:p>
      <w:pPr>
        <w:spacing w:after="0" w:line="62"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Under the agreements with AstraZeneca, Merck, Genentech, Merck KGaA and Pfizer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69"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If we are unable to enter into additional clinical collaborations with developers of immune checkpoint inhibitors or other combination therapies to explore the same or additional indications, the commercial potential of entinostat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The actions of KHK and any other current or future sublicensees could adversely affect our business.</w:t>
      </w:r>
    </w:p>
    <w:p>
      <w:pPr>
        <w:spacing w:after="0" w:line="117"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effect on the development of entinostat for development and commercialization in the United States and the rest of the world.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to comply with the terms of our license agreement for SNDX-6352.</w:t>
      </w:r>
    </w:p>
    <w:p>
      <w:pPr>
        <w:spacing w:after="0" w:line="117"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Our commercial success also depends upon our ability to develop, manufacture, market and sell SNDX-6352. In July 2016, we entered into the UCB license agreement pursuant to which we obtained a worldwide, sublicenseable, exclusive license to SNDX-6352, an IND-ready anti-CSF-1R monoclonal antibody. Under the UCB license agreement, we are dependent on UCB’s performance of its responsibilities and its cooperation with us. UCB may not perform its obligations under the UCB license agreement or otherwise cooperate with us. We cannot control whether UCB will devote the necessary resources to its obligations under the UCB license agreement, nor can we control the timing of its performance. For example, under the UCB license agreement, UCB is transferring to us certain data and materials, providing limited technical assistance and certain transitional services, and manufacturing and supplying us with quantities of SNDX-6352, which we expect will assist us with the development, manufacture and commercialization of SNDX-6352. If UCB fails to complete such technology transfer or to supply us with sufficient quantities of SNDX-6352 to complete all planned Phase 1 and Phase 2 studies, our efforts to develop and commercialize SNDX-6352 may be delayed or may fail. Additionally,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SNDX-6352 may be terminated as well. The occurrence of any of these events could adversely affect the development and commercialization of SNDX-6352, and materially harm our business.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17" w:lineRule="exact"/>
        <w:rPr>
          <w:rFonts w:ascii="Arial" w:cs="Arial" w:eastAsia="Arial" w:hAnsi="Arial"/>
          <w:sz w:val="18"/>
          <w:szCs w:val="18"/>
          <w:color w:val="auto"/>
        </w:rPr>
      </w:pPr>
    </w:p>
    <w:p>
      <w:pPr>
        <w:ind w:left="1200" w:right="110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2"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2" w:lineRule="exact"/>
        <w:rPr>
          <w:rFonts w:ascii="Arial" w:cs="Arial" w:eastAsia="Arial" w:hAnsi="Arial"/>
          <w:sz w:val="18"/>
          <w:szCs w:val="18"/>
          <w:color w:val="auto"/>
        </w:rPr>
      </w:pPr>
    </w:p>
    <w:p>
      <w:pPr>
        <w:ind w:left="1200" w:right="42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2"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6" w:name="page47"/>
    <w:bookmarkEnd w:id="46"/>
    <w:p>
      <w:pPr>
        <w:ind w:left="1200" w:right="40" w:hanging="598"/>
        <w:spacing w:after="0" w:line="264"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17" w:lineRule="exact"/>
        <w:rPr>
          <w:rFonts w:ascii="Arial" w:cs="Arial" w:eastAsia="Arial" w:hAnsi="Arial"/>
          <w:sz w:val="18"/>
          <w:szCs w:val="18"/>
          <w:color w:val="auto"/>
        </w:rPr>
      </w:pPr>
    </w:p>
    <w:p>
      <w:pPr>
        <w:ind w:left="1200" w:right="54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2"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2" w:lineRule="exact"/>
        <w:rPr>
          <w:rFonts w:ascii="Arial" w:cs="Arial" w:eastAsia="Arial" w:hAnsi="Arial"/>
          <w:sz w:val="18"/>
          <w:szCs w:val="18"/>
          <w:color w:val="auto"/>
        </w:rPr>
      </w:pPr>
    </w:p>
    <w:p>
      <w:pPr>
        <w:ind w:left="1200" w:right="12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may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2"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158"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Our product candidates could fail to receive regulatory approval from the FDA or foreign regulatory authorities for many reasons, including but not limited to:</w:t>
      </w:r>
    </w:p>
    <w:p>
      <w:pPr>
        <w:spacing w:after="0" w:line="62" w:lineRule="exact"/>
        <w:rPr>
          <w:sz w:val="20"/>
          <w:szCs w:val="20"/>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demonstrate that our product candidates are safe and effective;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117"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or other submission or to obtain regulatory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ind w:left="1200" w:right="34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supplies;</w:t>
      </w:r>
    </w:p>
    <w:p>
      <w:pPr>
        <w:spacing w:after="0" w:line="62"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product candidates.</w:t>
      </w:r>
    </w:p>
    <w:p>
      <w:pPr>
        <w:spacing w:after="0" w:line="2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exemestane, Keytruda, Tecentriq, Bavencio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79" w:lineRule="exact"/>
        <w:rPr>
          <w:sz w:val="20"/>
          <w:szCs w:val="20"/>
          <w:color w:val="auto"/>
        </w:rPr>
      </w:pPr>
    </w:p>
    <w:p>
      <w:pPr>
        <w:ind w:right="120" w:firstLine="598"/>
        <w:spacing w:after="0" w:line="288" w:lineRule="auto"/>
        <w:rPr>
          <w:sz w:val="20"/>
          <w:szCs w:val="20"/>
          <w:color w:val="auto"/>
        </w:rPr>
      </w:pPr>
      <w:r>
        <w:rPr>
          <w:rFonts w:ascii="Arial" w:cs="Arial" w:eastAsia="Arial" w:hAnsi="Arial"/>
          <w:sz w:val="16"/>
          <w:szCs w:val="16"/>
          <w:color w:val="auto"/>
        </w:rPr>
        <w:t xml:space="preserve">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exemestane, </w:t>
      </w:r>
      <w:r>
        <w:rPr>
          <w:rFonts w:ascii="Arial" w:cs="Arial" w:eastAsia="Arial" w:hAnsi="Arial"/>
          <w:sz w:val="16"/>
          <w:szCs w:val="16"/>
          <w:i w:val="1"/>
          <w:iCs w:val="1"/>
          <w:color w:val="auto"/>
        </w:rPr>
        <w:t>Keytruda</w:t>
      </w:r>
      <w:r>
        <w:rPr>
          <w:rFonts w:ascii="Arial" w:cs="Arial" w:eastAsia="Arial" w:hAnsi="Arial"/>
          <w:sz w:val="16"/>
          <w:szCs w:val="16"/>
          <w:color w:val="auto"/>
        </w:rPr>
        <w:t>,</w:t>
      </w:r>
      <w:r>
        <w:rPr>
          <w:rFonts w:ascii="Arial" w:cs="Arial" w:eastAsia="Arial" w:hAnsi="Arial"/>
          <w:sz w:val="16"/>
          <w:szCs w:val="16"/>
          <w:i w:val="1"/>
          <w:iCs w:val="1"/>
          <w:color w:val="auto"/>
        </w:rPr>
        <w:t xml:space="preserve"> Tecentriq</w:t>
      </w:r>
      <w:r>
        <w:rPr>
          <w:rFonts w:ascii="Arial" w:cs="Arial" w:eastAsia="Arial" w:hAnsi="Arial"/>
          <w:sz w:val="16"/>
          <w:szCs w:val="16"/>
          <w:color w:val="auto"/>
        </w:rPr>
        <w:t>,</w:t>
      </w:r>
      <w:r>
        <w:rPr>
          <w:rFonts w:ascii="Arial" w:cs="Arial" w:eastAsia="Arial" w:hAnsi="Arial"/>
          <w:sz w:val="16"/>
          <w:szCs w:val="16"/>
          <w:i w:val="1"/>
          <w:iCs w:val="1"/>
          <w:color w:val="auto"/>
        </w:rPr>
        <w:t xml:space="preserve"> Bavencio </w:t>
      </w:r>
      <w:r>
        <w:rPr>
          <w:rFonts w:ascii="Arial" w:cs="Arial" w:eastAsia="Arial" w:hAnsi="Arial"/>
          <w:sz w:val="16"/>
          <w:szCs w:val="16"/>
          <w:color w:val="auto"/>
        </w:rPr>
        <w:t>or other drugs that we are testing in combination with entinostat could adversely affect our ability to timely conduct the Phase</w:t>
      </w:r>
    </w:p>
    <w:p>
      <w:pPr>
        <w:jc w:val="both"/>
        <w:ind w:right="20"/>
        <w:spacing w:after="0" w:line="254" w:lineRule="auto"/>
        <w:rPr>
          <w:sz w:val="20"/>
          <w:szCs w:val="20"/>
          <w:color w:val="auto"/>
        </w:rPr>
      </w:pPr>
      <w:r>
        <w:rPr>
          <w:rFonts w:ascii="Arial" w:cs="Arial" w:eastAsia="Arial" w:hAnsi="Arial"/>
          <w:sz w:val="18"/>
          <w:szCs w:val="18"/>
          <w:color w:val="auto"/>
        </w:rPr>
        <w:t>3 clinical trial in advanced HR+, HER2- breast cancer and the Phase 1b/2 clinical trials in NSCLC, melanoma, microsatellite stable colorectal cancer, ovarian cancer, and TNBC, and if entinostat receives regulatory approval, to commercialize entinostat for treatment of advanced HR+, HER2- breast cancer, NSCLC, melanoma, microsatellite stable colorectal cancer, ovarian cancer or TNBC. A shortage of supply may also result in an increase, which could be significant, in our costs of procuring exemestane.</w:t>
      </w:r>
    </w:p>
    <w:p>
      <w:pPr>
        <w:spacing w:after="0" w:line="190"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p>
    <w:p>
      <w:pPr>
        <w:spacing w:after="0" w:line="62"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63" w:lineRule="exact"/>
        <w:rPr>
          <w:sz w:val="20"/>
          <w:szCs w:val="20"/>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2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3" w:lineRule="exact"/>
        <w:rPr>
          <w:sz w:val="20"/>
          <w:szCs w:val="20"/>
          <w:color w:val="auto"/>
        </w:rPr>
      </w:pPr>
    </w:p>
    <w:p>
      <w:pPr>
        <w:ind w:right="80" w:firstLine="598"/>
        <w:spacing w:after="0" w:line="286"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2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increase the likelihood that entinostat will receive marketing approval.</w:t>
      </w:r>
    </w:p>
    <w:p>
      <w:pPr>
        <w:spacing w:after="0" w:line="62"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We have received breakthrough therapy designation from the FDA for entinostat when used in combination with exemestane based on the overall survival results from our completed Phase 2b clinical trial in advanced HR+, HER2- breast cancer.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The Phase 2b trial showed statistically significant improvements in PFS, the primary endpoint, and OS,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if results from the Phase 3 clinical trial do not confirm the improvements in PFS or overall survival observed in our Phase 2b clinical trial, the FDA may rescind our breakthrough therapy designation.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65" w:lineRule="exact"/>
        <w:rPr>
          <w:sz w:val="20"/>
          <w:szCs w:val="20"/>
          <w:color w:val="auto"/>
        </w:rPr>
      </w:pPr>
    </w:p>
    <w:p>
      <w:pPr>
        <w:ind w:right="160" w:firstLine="59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5"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225"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70" w:lineRule="exact"/>
        <w:rPr>
          <w:sz w:val="20"/>
          <w:szCs w:val="20"/>
          <w:color w:val="auto"/>
        </w:rPr>
      </w:pPr>
    </w:p>
    <w:p>
      <w:pPr>
        <w:ind w:right="280" w:firstLine="598"/>
        <w:spacing w:after="0" w:line="276" w:lineRule="auto"/>
        <w:rPr>
          <w:sz w:val="20"/>
          <w:szCs w:val="20"/>
          <w:color w:val="auto"/>
        </w:rPr>
      </w:pPr>
      <w:r>
        <w:rPr>
          <w:rFonts w:ascii="Arial" w:cs="Arial" w:eastAsia="Arial" w:hAnsi="Arial"/>
          <w:sz w:val="17"/>
          <w:szCs w:val="17"/>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73"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0" w:name="page51"/>
    <w:bookmarkEnd w:id="50"/>
    <w:p>
      <w:pPr>
        <w:spacing w:after="0" w:line="272" w:lineRule="auto"/>
        <w:rPr>
          <w:sz w:val="20"/>
          <w:szCs w:val="20"/>
          <w:color w:val="auto"/>
        </w:rPr>
      </w:pPr>
      <w:r>
        <w:rPr>
          <w:rFonts w:ascii="Arial" w:cs="Arial" w:eastAsia="Arial" w:hAnsi="Arial"/>
          <w:sz w:val="17"/>
          <w:szCs w:val="17"/>
          <w:color w:val="auto"/>
        </w:rPr>
        <w:t>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have a material adverse effect on our business, financial condition and results of operations.</w:t>
      </w:r>
    </w:p>
    <w:p>
      <w:pPr>
        <w:spacing w:after="0" w:line="286"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its regulatory approval, limit the commercial scope of its approved use, or result in significant negative consequences following any marketing approval.</w:t>
      </w:r>
    </w:p>
    <w:p>
      <w:pPr>
        <w:spacing w:after="0" w:line="16"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In our Phase 2b clinical trial of entinostat in advanced HR+, HER2-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92"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17" w:lineRule="exact"/>
        <w:rPr>
          <w:rFonts w:ascii="Arial" w:cs="Arial" w:eastAsia="Arial" w:hAnsi="Arial"/>
          <w:sz w:val="18"/>
          <w:szCs w:val="18"/>
          <w:color w:val="auto"/>
        </w:rPr>
      </w:pPr>
    </w:p>
    <w:p>
      <w:pPr>
        <w:ind w:left="1200" w:right="380" w:hanging="598"/>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2" w:lineRule="exact"/>
        <w:rPr>
          <w:rFonts w:ascii="Arial" w:cs="Arial" w:eastAsia="Arial" w:hAnsi="Arial"/>
          <w:sz w:val="18"/>
          <w:szCs w:val="18"/>
          <w:color w:val="auto"/>
        </w:rPr>
      </w:pPr>
    </w:p>
    <w:p>
      <w:pPr>
        <w:ind w:left="1200" w:right="600" w:hanging="598"/>
        <w:spacing w:after="0" w:line="264"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60" w:firstLine="598"/>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25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1" w:name="page52"/>
    <w:bookmarkEnd w:id="51"/>
    <w:p>
      <w:pPr>
        <w:ind w:right="20"/>
        <w:spacing w:after="0" w:line="287" w:lineRule="auto"/>
        <w:rPr>
          <w:sz w:val="20"/>
          <w:szCs w:val="20"/>
          <w:color w:val="auto"/>
        </w:rPr>
      </w:pPr>
      <w:r>
        <w:rPr>
          <w:rFonts w:ascii="Arial" w:cs="Arial" w:eastAsia="Arial" w:hAnsi="Arial"/>
          <w:sz w:val="16"/>
          <w:szCs w:val="16"/>
          <w:color w:val="auto"/>
        </w:rPr>
        <w:t>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that we received from the European Medicines Agency in March 2014, the current Phase 3 clinical trial is likely to be insufficient to receive regulatory approval in Europe for entinostat to treat advanced HR+, HER2- breast cancer.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2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 xml:space="preserve">The pharmacologic treatment of NSCLC, melanoma, microsatellite stable colorectal cancer, ovarian cancer and TNBC patients includes chemotherapies and therapies targeting specific gene mutations. More recently, immune checkpoint inhibitors have been approved for NSCLC, melanoma and ovarian cancer and are under investigation for TNBC and microsatellite stable colorectal cancer. Currently there are few approved combination immuno-oncology therapies although numerous drugs are undergoing active clinical investigation. We believe that if entinostat in combination with either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Tecentriq </w:t>
      </w:r>
      <w:r>
        <w:rPr>
          <w:rFonts w:ascii="Arial" w:cs="Arial" w:eastAsia="Arial" w:hAnsi="Arial"/>
          <w:sz w:val="16"/>
          <w:szCs w:val="16"/>
          <w:color w:val="auto"/>
        </w:rPr>
        <w:t>or</w:t>
      </w:r>
      <w:r>
        <w:rPr>
          <w:rFonts w:ascii="Arial" w:cs="Arial" w:eastAsia="Arial" w:hAnsi="Arial"/>
          <w:sz w:val="16"/>
          <w:szCs w:val="16"/>
          <w:i w:val="1"/>
          <w:iCs w:val="1"/>
          <w:color w:val="auto"/>
        </w:rPr>
        <w:t xml:space="preserve"> Bavencio </w:t>
      </w:r>
      <w:r>
        <w:rPr>
          <w:rFonts w:ascii="Arial" w:cs="Arial" w:eastAsia="Arial" w:hAnsi="Arial"/>
          <w:sz w:val="16"/>
          <w:szCs w:val="16"/>
          <w:color w:val="auto"/>
        </w:rPr>
        <w:t>were approved for the treatment of NSCLC, melanoma, microsatellite stable colorectal cancer, ovarian cancer or TNBC, it would face</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competition from standard-of-care approaches and other investigational drugs being tested in combination with any of these approaches.</w:t>
      </w:r>
    </w:p>
    <w:p>
      <w:pPr>
        <w:spacing w:after="0" w:line="165" w:lineRule="exact"/>
        <w:rPr>
          <w:sz w:val="20"/>
          <w:szCs w:val="20"/>
          <w:color w:val="auto"/>
        </w:rPr>
      </w:pPr>
    </w:p>
    <w:p>
      <w:pPr>
        <w:jc w:val="both"/>
        <w:ind w:right="300" w:firstLine="598"/>
        <w:spacing w:after="0" w:line="286" w:lineRule="auto"/>
        <w:rPr>
          <w:sz w:val="20"/>
          <w:szCs w:val="20"/>
          <w:color w:val="auto"/>
        </w:rPr>
      </w:pPr>
      <w:r>
        <w:rPr>
          <w:rFonts w:ascii="Arial" w:cs="Arial" w:eastAsia="Arial" w:hAnsi="Arial"/>
          <w:sz w:val="17"/>
          <w:szCs w:val="17"/>
          <w:color w:val="auto"/>
        </w:rPr>
        <w:t xml:space="preserve">If entinostat in combination with exemestane were approved for treatment of advanced HR+, HER2- breast cancer, it could face competition from other therapies recently approved for use in combination with hormone therapy in this population, including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w:t>
      </w:r>
      <w:r>
        <w:rPr>
          <w:rFonts w:ascii="Arial" w:cs="Arial" w:eastAsia="Arial" w:hAnsi="Arial"/>
          <w:sz w:val="17"/>
          <w:szCs w:val="17"/>
          <w:i w:val="1"/>
          <w:iCs w:val="1"/>
          <w:color w:val="auto"/>
        </w:rPr>
        <w:t>Kisqali</w:t>
      </w:r>
      <w:r>
        <w:rPr>
          <w:rFonts w:ascii="Arial" w:cs="Arial" w:eastAsia="Arial" w:hAnsi="Arial"/>
          <w:sz w:val="17"/>
          <w:szCs w:val="17"/>
          <w:color w:val="auto"/>
        </w:rPr>
        <w:t xml:space="preserve">, </w:t>
      </w:r>
      <w:r>
        <w:rPr>
          <w:rFonts w:ascii="Arial" w:cs="Arial" w:eastAsia="Arial" w:hAnsi="Arial"/>
          <w:sz w:val="17"/>
          <w:szCs w:val="17"/>
          <w:i w:val="1"/>
          <w:iCs w:val="1"/>
          <w:color w:val="auto"/>
        </w:rPr>
        <w:t>Afinitor</w:t>
      </w:r>
      <w:r>
        <w:rPr>
          <w:rFonts w:ascii="Arial" w:cs="Arial" w:eastAsia="Arial" w:hAnsi="Arial"/>
          <w:sz w:val="17"/>
          <w:szCs w:val="17"/>
          <w:color w:val="auto"/>
        </w:rPr>
        <w:t>, and other therapies currently in Phase 3 clinical development such as abemaciclib, being developed by Eli Lilly and Company.</w:t>
      </w:r>
    </w:p>
    <w:p>
      <w:pPr>
        <w:spacing w:after="0" w:line="166"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200" w:hanging="598"/>
        <w:spacing w:after="0"/>
        <w:tabs>
          <w:tab w:leader="none" w:pos="1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left="1200" w:right="420" w:hanging="598"/>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 and</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acceptance of entinostat in combination with exemestane,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w:t>
      </w:r>
      <w:r>
        <w:rPr>
          <w:rFonts w:ascii="Arial" w:cs="Arial" w:eastAsia="Arial" w:hAnsi="Arial"/>
          <w:sz w:val="18"/>
          <w:szCs w:val="18"/>
          <w:i w:val="1"/>
          <w:iCs w:val="1"/>
          <w:color w:val="auto"/>
        </w:rPr>
        <w:t>Tecentriq</w:t>
      </w:r>
      <w:r>
        <w:rPr>
          <w:rFonts w:ascii="Arial" w:cs="Arial" w:eastAsia="Arial" w:hAnsi="Arial"/>
          <w:sz w:val="18"/>
          <w:szCs w:val="18"/>
          <w:color w:val="auto"/>
        </w:rPr>
        <w:t xml:space="preserve">, </w:t>
      </w:r>
      <w:r>
        <w:rPr>
          <w:rFonts w:ascii="Arial" w:cs="Arial" w:eastAsia="Arial" w:hAnsi="Arial"/>
          <w:sz w:val="18"/>
          <w:szCs w:val="18"/>
          <w:i w:val="1"/>
          <w:iCs w:val="1"/>
          <w:color w:val="auto"/>
        </w:rPr>
        <w:t>Bavencio</w:t>
      </w:r>
      <w:r>
        <w:rPr>
          <w:rFonts w:ascii="Arial" w:cs="Arial" w:eastAsia="Arial" w:hAnsi="Arial"/>
          <w:sz w:val="18"/>
          <w:szCs w:val="18"/>
          <w:color w:val="auto"/>
        </w:rPr>
        <w:t xml:space="preserve"> and other drugs by physicians and other healthcare providers.</w:t>
      </w:r>
    </w:p>
    <w:p>
      <w:pPr>
        <w:spacing w:after="0" w:line="170"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events in the field of immuno-oncology could damage public perception of our product candidates and negatively affect our business.</w:t>
      </w:r>
    </w:p>
    <w:p>
      <w:pPr>
        <w:spacing w:after="0" w:line="140"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commercial success of our product candidates will depend in part on public acceptance of the use of cancer immunotherapies. Adverse events in clinical trials of our product candidates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our product candidates may not be accepted by the general public or the medical community.</w:t>
      </w:r>
    </w:p>
    <w:p>
      <w:pPr>
        <w:spacing w:after="0" w:line="18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189"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81"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7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Private payors often follow the Centers for Medicare and Medicate Services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ind w:right="40" w:firstLine="598"/>
        <w:spacing w:after="0" w:line="254" w:lineRule="auto"/>
        <w:rPr>
          <w:sz w:val="20"/>
          <w:szCs w:val="20"/>
          <w:color w:val="auto"/>
        </w:rPr>
      </w:pPr>
      <w:r>
        <w:rPr>
          <w:rFonts w:ascii="Arial" w:cs="Arial" w:eastAsia="Arial" w:hAnsi="Arial"/>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19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63" w:lineRule="exact"/>
        <w:rPr>
          <w:sz w:val="20"/>
          <w:szCs w:val="20"/>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117" w:lineRule="exact"/>
        <w:rPr>
          <w:rFonts w:ascii="Arial" w:cs="Arial" w:eastAsia="Arial" w:hAnsi="Arial"/>
          <w:sz w:val="18"/>
          <w:szCs w:val="18"/>
          <w:color w:val="auto"/>
        </w:rPr>
      </w:pPr>
    </w:p>
    <w:p>
      <w:pPr>
        <w:ind w:left="1200" w:right="580" w:hanging="598"/>
        <w:spacing w:after="0" w:line="277"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17" w:lineRule="exact"/>
        <w:rPr>
          <w:rFonts w:ascii="Arial" w:cs="Arial" w:eastAsia="Arial" w:hAnsi="Arial"/>
          <w:sz w:val="18"/>
          <w:szCs w:val="18"/>
          <w:color w:val="auto"/>
        </w:rPr>
      </w:pPr>
    </w:p>
    <w:p>
      <w:pPr>
        <w:ind w:left="1200" w:right="140" w:hanging="598"/>
        <w:spacing w:after="0" w:line="264" w:lineRule="auto"/>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8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regulatory requirements, the FDA could take enforcement action that could jeopardize our ability to market the product candidate.</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2"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Some of the provisions of the Affordable Care Act have yet to be implemented, while certain provisions have been subject to judicial and Congressional challenges, as well as recent efforts by the Trump administration to repeal or replace certain aspects of the Affordable Care Act. Since January 2017, President Trump has signed two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20"/>
        <w:spacing w:after="0" w:line="271" w:lineRule="auto"/>
        <w:rPr>
          <w:sz w:val="20"/>
          <w:szCs w:val="20"/>
          <w:color w:val="auto"/>
        </w:rPr>
      </w:pPr>
      <w:r>
        <w:rPr>
          <w:rFonts w:ascii="Arial" w:cs="Arial" w:eastAsia="Arial" w:hAnsi="Arial"/>
          <w:sz w:val="17"/>
          <w:szCs w:val="17"/>
          <w:color w:val="auto"/>
        </w:rPr>
        <w:t>Executive Orders designed to delay the implementation of certain provisions of the Affordable Care Act or otherwise circumvent some of the requirements for health insurance mandated by the Affordable Care Act. Concurrently, Congress has considered legislation that would repeal or repeal and replace all or part of the Affordable Care Act. While Congress has not passed comprehensive repeal legislation, two bills affecting the implementation of certain taxes under the Affordable Care Act have been signed into law. The Tax Cuts and Jobs Act of 2017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fees mandated by the Affordable Care Act,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Affordable Care Act, effective January 1, 2019, to increase from 50% to 70% the point-of-sale discount that is owed by pharmaceutical manufacturers who participate in Medicare Part D and to close the coverage gap in most Medicare drug plans, commonly referred to as the “donut hole”. In addition, Congress may consider other legislation to repeal and replace elements of the Affordable Care Act. We continue to evaluate the effect that the Affordable Care Act and its possible repeal and replacement has on our business.</w:t>
      </w:r>
    </w:p>
    <w:p>
      <w:pPr>
        <w:spacing w:after="0" w:line="183"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including the BBA, has extended the 2% reduction to 2027.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92"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administration’s budget proposal for fiscal year 2019 contains additional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both"/>
        <w:ind w:right="120" w:firstLine="598"/>
        <w:spacing w:after="0" w:line="302"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to limit commercialization of our product candidates.</w:t>
      </w:r>
    </w:p>
    <w:p>
      <w:pPr>
        <w:spacing w:after="0" w:line="129"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0" w:lineRule="exact"/>
        <w:rPr>
          <w:sz w:val="20"/>
          <w:szCs w:val="20"/>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30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63"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for which we obtain marketing approval. Our current and future arrangements with physicians,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64" w:lineRule="exact"/>
        <w:rPr>
          <w:sz w:val="20"/>
          <w:szCs w:val="20"/>
          <w:color w:val="auto"/>
        </w:rPr>
      </w:pPr>
    </w:p>
    <w:p>
      <w:pPr>
        <w:ind w:left="1200" w:right="120" w:hanging="598"/>
        <w:spacing w:after="0" w:line="279" w:lineRule="auto"/>
        <w:tabs>
          <w:tab w:leader="none" w:pos="12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3" w:lineRule="exact"/>
        <w:rPr>
          <w:rFonts w:ascii="Arial" w:cs="Arial" w:eastAsia="Arial" w:hAnsi="Arial"/>
          <w:sz w:val="17"/>
          <w:szCs w:val="17"/>
          <w:color w:val="auto"/>
        </w:rPr>
      </w:pPr>
    </w:p>
    <w:p>
      <w:pPr>
        <w:ind w:left="1200" w:right="40" w:hanging="598"/>
        <w:spacing w:after="0" w:line="259" w:lineRule="auto"/>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7" w:name="page58"/>
    <w:bookmarkEnd w:id="57"/>
    <w:p>
      <w:pPr>
        <w:ind w:left="1200" w:right="40" w:hanging="598"/>
        <w:spacing w:after="0" w:line="264" w:lineRule="auto"/>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1200" w:hanging="598"/>
        <w:spacing w:after="0" w:line="272" w:lineRule="auto"/>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69" w:lineRule="exact"/>
        <w:rPr>
          <w:rFonts w:ascii="Arial" w:cs="Arial" w:eastAsia="Arial" w:hAnsi="Arial"/>
          <w:sz w:val="17"/>
          <w:szCs w:val="17"/>
          <w:color w:val="auto"/>
        </w:rPr>
      </w:pPr>
    </w:p>
    <w:p>
      <w:pPr>
        <w:ind w:left="1200" w:hanging="598"/>
        <w:spacing w:after="0" w:line="269" w:lineRule="auto"/>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83" w:lineRule="exact"/>
        <w:rPr>
          <w:sz w:val="20"/>
          <w:szCs w:val="20"/>
          <w:color w:val="auto"/>
        </w:rPr>
      </w:pPr>
    </w:p>
    <w:p>
      <w:pPr>
        <w:ind w:right="40" w:firstLine="598"/>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8" w:name="page59"/>
    <w:bookmarkEnd w:id="58"/>
    <w:p>
      <w:pPr>
        <w:ind w:firstLine="598"/>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70"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188"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ind w:right="40"/>
        <w:spacing w:after="0" w:line="279" w:lineRule="auto"/>
        <w:rPr>
          <w:sz w:val="20"/>
          <w:szCs w:val="20"/>
          <w:color w:val="auto"/>
        </w:rPr>
      </w:pPr>
      <w:r>
        <w:rPr>
          <w:rFonts w:ascii="Arial" w:cs="Arial" w:eastAsia="Arial" w:hAnsi="Arial"/>
          <w:sz w:val="17"/>
          <w:szCs w:val="17"/>
          <w:color w:val="auto"/>
        </w:rPr>
        <w:t>‘166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occured in September 2017, a competitor may develop a competing polymorphic form other than based on polymorph B, which could compete with polymorph B.</w:t>
      </w:r>
    </w:p>
    <w:p>
      <w:pPr>
        <w:spacing w:after="0" w:line="171"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17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portfolio we licensed from UCB includes patent applications with pending claims directed to the composition of matter of SNDX-6352 (a humanized, full-length IgG4 (kappa light chain) antibody with high affinity for the CSF-1R) as well as claims directed to methods of use of SNDX-6352. There is no guarantee that any patents will be granted based on the pending applications we licensed from UCB or even if one or more patents are granted that the claims issued in those patents would cover SNDX-6352 or methods of using SNDX-6352. Based on the priority date and filing date of the applications in the portfolio we licensed from UCB, we expect that a patent, if any, granted based on the currently pending applications would expire in 2034. The actual term of any patents granted based on the pending applications we licensed from UCB can only be determined after such patents are actually granted.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197" w:lineRule="exact"/>
        <w:rPr>
          <w:sz w:val="20"/>
          <w:szCs w:val="20"/>
          <w:color w:val="auto"/>
        </w:rPr>
      </w:pPr>
    </w:p>
    <w:p>
      <w:pPr>
        <w:ind w:right="160" w:firstLine="598"/>
        <w:spacing w:after="0" w:line="27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79" w:lineRule="exact"/>
        <w:rPr>
          <w:sz w:val="20"/>
          <w:szCs w:val="20"/>
          <w:color w:val="auto"/>
        </w:rPr>
      </w:pPr>
    </w:p>
    <w:p>
      <w:pPr>
        <w:jc w:val="both"/>
        <w:ind w:right="80" w:firstLine="598"/>
        <w:spacing w:after="0" w:line="264" w:lineRule="auto"/>
        <w:rPr>
          <w:sz w:val="20"/>
          <w:szCs w:val="20"/>
          <w:color w:val="auto"/>
        </w:rPr>
      </w:pPr>
      <w:r>
        <w:rPr>
          <w:rFonts w:ascii="Arial" w:cs="Arial" w:eastAsia="Arial" w:hAnsi="Arial"/>
          <w:sz w:val="18"/>
          <w:szCs w:val="18"/>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right="120"/>
        <w:spacing w:after="0" w:line="254" w:lineRule="auto"/>
        <w:rPr>
          <w:sz w:val="20"/>
          <w:szCs w:val="20"/>
          <w:color w:val="auto"/>
        </w:rPr>
      </w:pPr>
      <w:r>
        <w:rPr>
          <w:rFonts w:ascii="Arial" w:cs="Arial" w:eastAsia="Arial" w:hAnsi="Arial"/>
          <w:sz w:val="18"/>
          <w:szCs w:val="18"/>
          <w:color w:val="auto"/>
        </w:rPr>
        <w:t>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30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58"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67" w:lineRule="exact"/>
        <w:rPr>
          <w:sz w:val="20"/>
          <w:szCs w:val="20"/>
          <w:color w:val="auto"/>
        </w:rPr>
      </w:pPr>
    </w:p>
    <w:p>
      <w:pPr>
        <w:ind w:right="180" w:firstLine="59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78"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SNDX-6352 or if the UCB license agreement is otherwise terminated, we could lose the ability to continue the development and commercialization of SNDX-6352.</w:t>
      </w:r>
    </w:p>
    <w:p>
      <w:pPr>
        <w:spacing w:after="0" w:line="62" w:lineRule="exact"/>
        <w:rPr>
          <w:sz w:val="20"/>
          <w:szCs w:val="20"/>
          <w:color w:val="auto"/>
        </w:rPr>
      </w:pPr>
    </w:p>
    <w:p>
      <w:pPr>
        <w:ind w:right="280" w:firstLine="598"/>
        <w:spacing w:after="0" w:line="273" w:lineRule="auto"/>
        <w:rPr>
          <w:sz w:val="20"/>
          <w:szCs w:val="20"/>
          <w:color w:val="auto"/>
        </w:rPr>
      </w:pPr>
      <w:r>
        <w:rPr>
          <w:rFonts w:ascii="Arial" w:cs="Arial" w:eastAsia="Arial" w:hAnsi="Arial"/>
          <w:sz w:val="17"/>
          <w:szCs w:val="17"/>
          <w:color w:val="auto"/>
        </w:rPr>
        <w:t>Our commercial success depends upon our ability to develop, manufacture, market and sell SNDX-6352. Subject to the achievement of certain milestone events, we may be required to pay UCB up to $119.5 million in one-time development and regulatory milestone payments over the term of the UCB license agreement. If we or any of our affiliates or sublicensees commercializes SNDX-6352, we will also be obligated to pay UCB low double-digit royalties on sales, subject to reduction in certain circumstances, as well as up to an aggregate of $250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firstLine="598"/>
        <w:spacing w:after="0" w:line="276"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173" w:lineRule="exact"/>
        <w:rPr>
          <w:sz w:val="20"/>
          <w:szCs w:val="20"/>
          <w:color w:val="auto"/>
        </w:rPr>
      </w:pPr>
    </w:p>
    <w:p>
      <w:pPr>
        <w:ind w:right="220" w:firstLine="598"/>
        <w:spacing w:after="0" w:line="257"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SNDX-6352 have occurred and the last-to-expire relevant patent covering SNDX-6352 in a given country may change in the future.</w:t>
      </w:r>
    </w:p>
    <w:p>
      <w:pPr>
        <w:spacing w:after="0" w:line="188"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SNDX-6352 and would need to negotiate a new or reinstated agreement, which may not be available to us on equally favorable terms, or at all.</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breach the Allergan license agreement related to the Menin Assets or if the license agreement is otherwise terminated, we could lose the ability to continue the development and commercialization of the Menin Assets.</w:t>
      </w:r>
    </w:p>
    <w:p>
      <w:pPr>
        <w:spacing w:after="0" w:line="62" w:lineRule="exact"/>
        <w:rPr>
          <w:sz w:val="20"/>
          <w:szCs w:val="20"/>
          <w:color w:val="auto"/>
        </w:rPr>
      </w:pPr>
    </w:p>
    <w:p>
      <w:pPr>
        <w:ind w:right="220" w:firstLine="598"/>
        <w:spacing w:after="0" w:line="255" w:lineRule="auto"/>
        <w:rPr>
          <w:sz w:val="20"/>
          <w:szCs w:val="20"/>
          <w:color w:val="auto"/>
        </w:rPr>
      </w:pPr>
      <w:r>
        <w:rPr>
          <w:rFonts w:ascii="Arial" w:cs="Arial" w:eastAsia="Arial" w:hAnsi="Arial"/>
          <w:sz w:val="18"/>
          <w:szCs w:val="18"/>
          <w:color w:val="auto"/>
        </w:rPr>
        <w:t>Our commercial success depends upon our ability to develop, manufacture, market and sell one or more of the Menin Assets. Subject to the achievement of certain milestone events, we may be required to pay Allergan, a subsidiary of Allergan, up to $99 million in one-time development and regulatory milestone payments over the term of the Allergan license agreement. In the event that we or any of our affiliates or sublicensees commercializes any of the Menin Assets, we will also be obligated to pay Allergan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Allergan.</w:t>
      </w:r>
    </w:p>
    <w:p>
      <w:pPr>
        <w:spacing w:after="0" w:line="189" w:lineRule="exact"/>
        <w:rPr>
          <w:sz w:val="20"/>
          <w:szCs w:val="20"/>
          <w:color w:val="auto"/>
        </w:rPr>
      </w:pPr>
    </w:p>
    <w:p>
      <w:pPr>
        <w:ind w:right="160" w:firstLine="598"/>
        <w:spacing w:after="0" w:line="276" w:lineRule="auto"/>
        <w:rPr>
          <w:sz w:val="20"/>
          <w:szCs w:val="20"/>
          <w:color w:val="auto"/>
        </w:rPr>
      </w:pPr>
      <w:r>
        <w:rPr>
          <w:rFonts w:ascii="Arial" w:cs="Arial" w:eastAsia="Arial" w:hAnsi="Arial"/>
          <w:sz w:val="17"/>
          <w:szCs w:val="17"/>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Allergan may terminate the license agreement if we seek to revoke or challenge the validity of any patent licensed to us by Allergan under the license agreement or if we procure or assist a third party to take any such action.</w:t>
      </w:r>
    </w:p>
    <w:p>
      <w:pPr>
        <w:spacing w:after="0" w:line="173"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Allergan would expire because no commercial sales of the Menin Assets have occurred and the last-to-expire relevant patent covering the Menin Assets in a given country may change in the future.</w:t>
      </w:r>
    </w:p>
    <w:p>
      <w:pPr>
        <w:spacing w:after="0" w:line="188"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any of the Menin Assets and would need to negotiate a new or reinstated agreement, which may not be available to us on equally favorable terms, or at 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83"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290"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2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ind w:right="20"/>
        <w:spacing w:after="0" w:line="271" w:lineRule="auto"/>
        <w:rPr>
          <w:sz w:val="20"/>
          <w:szCs w:val="20"/>
          <w:color w:val="auto"/>
        </w:rPr>
      </w:pPr>
      <w:r>
        <w:rPr>
          <w:rFonts w:ascii="Arial" w:cs="Arial" w:eastAsia="Arial" w:hAnsi="Arial"/>
          <w:sz w:val="17"/>
          <w:szCs w:val="17"/>
          <w:color w:val="auto"/>
        </w:rPr>
        <w:t>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79" w:lineRule="exact"/>
        <w:rPr>
          <w:sz w:val="20"/>
          <w:szCs w:val="20"/>
          <w:color w:val="auto"/>
        </w:rPr>
      </w:pPr>
    </w:p>
    <w:p>
      <w:pPr>
        <w:ind w:right="80" w:firstLine="598"/>
        <w:spacing w:after="0" w:line="288"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69"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29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93"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In addition, for some of our in-licensed patents and patent applications, we do not have access to any patent assignments or employee agreements demonstrating that all inventors have assigned their rights to the inventions or related patents. As a result, we may be subject to claims of ownership by such inventors.</w:t>
      </w:r>
    </w:p>
    <w:p>
      <w:pPr>
        <w:spacing w:after="0" w:line="18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rely significantly on information technology and any failure, inadequacy, interruption or security lapse of that technology, including any cyber security incidents, could harm our ability to operate our business effectively.</w:t>
      </w:r>
    </w:p>
    <w:p>
      <w:pPr>
        <w:spacing w:after="0" w:line="62" w:lineRule="exact"/>
        <w:rPr>
          <w:sz w:val="20"/>
          <w:szCs w:val="20"/>
          <w:color w:val="auto"/>
        </w:rPr>
      </w:pPr>
    </w:p>
    <w:p>
      <w:pPr>
        <w:ind w:right="200" w:firstLine="59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System failures, accidents or security breaches could cause interruptions in our operations, and could result in a material disruption of our clinical and commercialization activities and business operations, in addition to possibly requiring substantial expenditures of resources to remedy. The loss of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our product research, development and commercialization efforts could be delayed.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200" w:right="640" w:hanging="598"/>
        <w:spacing w:after="0" w:line="277" w:lineRule="auto"/>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w:t>
      </w:r>
    </w:p>
    <w:p>
      <w:pPr>
        <w:spacing w:after="0" w:line="225"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2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Until we can generate a sufficient amount of revenue from our products, if ever, we expect to finance future cash needs through public or private equity or debt offerings. In April 2017, we filed a shelf registration statement on Form S-3 (Registration No. 333-217172) that allows us to sell up to an aggregate of $200 million of our common stock, which includes up to $50.0 million designated in the prospectus supplement for an at-the-market offering program. As of December 31, 2017, $48.2 million of common stock remained available for sale under the at-the-market offering program.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66" w:name="page67"/>
    <w:bookmarkEnd w:id="66"/>
    <w:p>
      <w:pPr>
        <w:ind w:right="20"/>
        <w:spacing w:after="0" w:line="255" w:lineRule="auto"/>
        <w:rPr>
          <w:sz w:val="20"/>
          <w:szCs w:val="20"/>
          <w:color w:val="auto"/>
        </w:rPr>
      </w:pPr>
      <w:r>
        <w:rPr>
          <w:rFonts w:ascii="Arial" w:cs="Arial" w:eastAsia="Arial" w:hAnsi="Arial"/>
          <w:sz w:val="18"/>
          <w:szCs w:val="18"/>
          <w:color w:val="auto"/>
        </w:rPr>
        <w:t>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2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no or few securities or industry analysts commence coverage of us, the trading price for our stock could be negatively impacted. In the event we obtain securities or industry analyst coverage, if any of the analysts who cover us issue an adverse or misleading opinion regarding us, our business model, our intellectual property or our stock performance, or if our trials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As of December 31, 2017, our executive officers, directors, holders of 5% or more of our capital stock and their respective affiliates beneficially own approximately 50.6% of our outstanding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6"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62" w:lineRule="exact"/>
        <w:rPr>
          <w:sz w:val="20"/>
          <w:szCs w:val="20"/>
          <w:color w:val="auto"/>
        </w:rPr>
      </w:pPr>
    </w:p>
    <w:p>
      <w:pPr>
        <w:ind w:left="1200" w:right="280" w:hanging="598"/>
        <w:spacing w:after="0" w:line="308" w:lineRule="auto"/>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38" w:lineRule="exact"/>
        <w:rPr>
          <w:rFonts w:ascii="Arial" w:cs="Arial" w:eastAsia="Arial" w:hAnsi="Arial"/>
          <w:sz w:val="17"/>
          <w:szCs w:val="17"/>
          <w:color w:val="auto"/>
        </w:rPr>
      </w:pPr>
    </w:p>
    <w:p>
      <w:pPr>
        <w:ind w:left="1200" w:hanging="598"/>
        <w:spacing w:after="0" w:line="259" w:lineRule="auto"/>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67" w:name="page68"/>
    <w:bookmarkEnd w:id="67"/>
    <w:p>
      <w:pPr>
        <w:ind w:left="1200" w:right="20" w:hanging="598"/>
        <w:spacing w:after="0" w:line="342" w:lineRule="auto"/>
        <w:tabs>
          <w:tab w:leader="none" w:pos="1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15" w:lineRule="exact"/>
        <w:rPr>
          <w:rFonts w:ascii="Arial" w:cs="Arial" w:eastAsia="Arial" w:hAnsi="Arial"/>
          <w:sz w:val="16"/>
          <w:szCs w:val="16"/>
          <w:color w:val="auto"/>
        </w:rPr>
      </w:pPr>
    </w:p>
    <w:p>
      <w:pPr>
        <w:ind w:left="1200" w:right="280" w:hanging="598"/>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70"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$1.07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88"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We currently intend to take advantage of some, but not all, of the reduced regulatory and reporting requirements that will be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27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2"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needs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these rules and regulations have made it more difficult and more expensive for us to obtain director and officer liability insurance and we were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540" w:firstLine="598"/>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8" w:name="page69"/>
    <w:bookmarkEnd w:id="68"/>
    <w:p>
      <w:pPr>
        <w:ind w:right="40" w:firstLine="598"/>
        <w:spacing w:after="0" w:line="302" w:lineRule="auto"/>
        <w:rPr>
          <w:sz w:val="20"/>
          <w:szCs w:val="20"/>
          <w:color w:val="auto"/>
        </w:rPr>
      </w:pPr>
      <w:r>
        <w:rPr>
          <w:rFonts w:ascii="Arial" w:cs="Arial" w:eastAsia="Arial" w:hAnsi="Arial"/>
          <w:sz w:val="16"/>
          <w:szCs w:val="16"/>
          <w:color w:val="auto"/>
        </w:rPr>
        <w:t>Some of the holders of our securities have rights, subject to certain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 material adverse effect on the trading price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82" w:lineRule="exact"/>
        <w:rPr>
          <w:sz w:val="20"/>
          <w:szCs w:val="20"/>
          <w:color w:val="auto"/>
        </w:rPr>
      </w:pPr>
    </w:p>
    <w:p>
      <w:pPr>
        <w:ind w:right="20" w:firstLine="598"/>
        <w:spacing w:after="0" w:line="286"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ind w:right="100"/>
        <w:spacing w:after="0" w:line="34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16"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73" w:lineRule="exact"/>
        <w:rPr>
          <w:sz w:val="20"/>
          <w:szCs w:val="20"/>
          <w:color w:val="auto"/>
        </w:rPr>
      </w:pPr>
    </w:p>
    <w:p>
      <w:pPr>
        <w:ind w:left="1200" w:right="26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62" w:lineRule="exact"/>
        <w:rPr>
          <w:rFonts w:ascii="Arial" w:cs="Arial" w:eastAsia="Arial" w:hAnsi="Arial"/>
          <w:sz w:val="18"/>
          <w:szCs w:val="18"/>
          <w:color w:val="auto"/>
        </w:rPr>
      </w:pPr>
    </w:p>
    <w:p>
      <w:pPr>
        <w:ind w:left="1200" w:right="48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1200" w:right="360" w:hanging="598"/>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70"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Our headquarters is currently located in Waltham, Massachusetts, and consists of 12,207 square feet of leased office space under a lease that expires on March 1, 2022. We also have 4,039 square feet of leased office space in New York, New York, under a lease that expires on February 28, 2021. On January 1, 2018 we leased 160 square feet of office space in San Diego, California, which expires on December 31, 2018. We believe that our existing facilities are sufficient for our needs for the foreseeable future. If we determine that additional or new facilities are needed in the future, we believe that sufficient options would be available to us on commercially reasonable terms.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6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100" w:firstLine="598"/>
        <w:spacing w:after="0" w:line="264" w:lineRule="auto"/>
        <w:rPr>
          <w:sz w:val="20"/>
          <w:szCs w:val="20"/>
          <w:color w:val="auto"/>
        </w:rPr>
      </w:pPr>
      <w:r>
        <w:rPr>
          <w:rFonts w:ascii="Arial" w:cs="Arial" w:eastAsia="Arial" w:hAnsi="Arial"/>
          <w:sz w:val="18"/>
          <w:szCs w:val="18"/>
          <w:color w:val="auto"/>
        </w:rPr>
        <w:t>Our common stock began trading on the Nasdaq Global Select Market on March 2, 2016, under the symbol “SNDX.” Prior to that time, there was no public market for our common stock. The following table sets forth the high and low closing sales prices per share of our common stock as reported on The Nasdaq Global Select Market for the periods indicated.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Year Ended December 31, 2017</w:t>
            </w:r>
          </w:p>
        </w:tc>
        <w:tc>
          <w:tcPr>
            <w:tcW w:w="17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1160" w:type="dxa"/>
            <w:vAlign w:val="bottom"/>
          </w:tcPr>
          <w:p>
            <w:pPr>
              <w:spacing w:after="0"/>
              <w:rPr>
                <w:sz w:val="15"/>
                <w:szCs w:val="15"/>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First Quarter</w:t>
            </w:r>
          </w:p>
        </w:tc>
        <w:tc>
          <w:tcPr>
            <w:tcW w:w="3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4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14.77</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3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6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12.94</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1"/>
        </w:trPr>
        <w:tc>
          <w:tcPr>
            <w:tcW w:w="1140" w:type="dxa"/>
            <w:vAlign w:val="bottom"/>
          </w:tcPr>
          <w:p>
            <w:pPr>
              <w:spacing w:after="0"/>
              <w:rPr>
                <w:sz w:val="24"/>
                <w:szCs w:val="24"/>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Year Ended December 31, 2016</w:t>
            </w:r>
          </w:p>
        </w:tc>
        <w:tc>
          <w:tcPr>
            <w:tcW w:w="17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1160" w:type="dxa"/>
            <w:vAlign w:val="bottom"/>
          </w:tcPr>
          <w:p>
            <w:pPr>
              <w:spacing w:after="0"/>
              <w:rPr>
                <w:sz w:val="24"/>
                <w:szCs w:val="24"/>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First Quarter (from and after March 2</w:t>
            </w:r>
            <w:r>
              <w:rPr>
                <w:rFonts w:ascii="Arial" w:cs="Arial" w:eastAsia="Arial" w:hAnsi="Arial"/>
                <w:sz w:val="15"/>
                <w:szCs w:val="15"/>
                <w:color w:val="auto"/>
              </w:rPr>
              <w:t>nd</w:t>
            </w:r>
            <w:r>
              <w:rPr>
                <w:rFonts w:ascii="Arial" w:cs="Arial" w:eastAsia="Arial" w:hAnsi="Arial"/>
                <w:sz w:val="18"/>
                <w:szCs w:val="18"/>
                <w:color w:val="auto"/>
              </w:rPr>
              <w:t>)</w:t>
            </w:r>
          </w:p>
        </w:tc>
        <w:tc>
          <w:tcPr>
            <w:tcW w:w="3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4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16.60</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Third Quarter</w:t>
            </w:r>
          </w:p>
        </w:tc>
        <w:tc>
          <w:tcPr>
            <w:tcW w:w="33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w:t>
            </w:r>
          </w:p>
        </w:tc>
        <w:tc>
          <w:tcPr>
            <w:tcW w:w="6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16.07</w:t>
            </w:r>
          </w:p>
        </w:tc>
        <w:tc>
          <w:tcPr>
            <w:tcW w:w="6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634"/>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60" w:type="dxa"/>
            <w:vAlign w:val="bottom"/>
          </w:tcPr>
          <w:p>
            <w:pPr>
              <w:jc w:val="right"/>
              <w:ind w:right="211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21"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The following performance graph and related information shall not be deemed “soliciting material” or to be “filed” with the SEC, nor shall such information be incorporated by reference into any future filing under the Securities Act or Exchange Act. The following graph shows a comparison from March 2, 2016 (the date our common stock commenced trading on The Nasdaq Global Select Market) through December 31, 2017, of the cumulative total return for our common stock, the Nasdaq Composite Index, and the Nasdaq Biotechnology Index. The graph assumes an initial investment of $100 on March 2, 2016. The comparisons in the graph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40640</wp:posOffset>
            </wp:positionV>
            <wp:extent cx="5342890" cy="44424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42890"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620" w:type="dxa"/>
            <w:vAlign w:val="bottom"/>
            <w:tcBorders>
              <w:bottom w:val="single" w:sz="8" w:color="CFF0FC"/>
            </w:tcBorders>
          </w:tcPr>
          <w:p>
            <w:pPr>
              <w:spacing w:after="0"/>
              <w:rPr>
                <w:sz w:val="11"/>
                <w:szCs w:val="11"/>
                <w:color w:val="auto"/>
              </w:rPr>
            </w:pPr>
          </w:p>
        </w:tc>
        <w:tc>
          <w:tcPr>
            <w:tcW w:w="4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2-Mar-16</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w w:val="97"/>
              </w:rPr>
              <w:t>31-Mar-16</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w w:val="97"/>
              </w:rPr>
              <w:t>30-Jun-16</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w w:val="92"/>
              </w:rPr>
              <w:t>30-Sep-16</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w w:val="96"/>
              </w:rPr>
              <w:t>31-Dec-16</w:t>
            </w:r>
          </w:p>
        </w:tc>
        <w:tc>
          <w:tcPr>
            <w:tcW w:w="2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w w:val="97"/>
              </w:rPr>
              <w:t>31-Mar-17</w:t>
            </w:r>
          </w:p>
        </w:tc>
        <w:tc>
          <w:tcPr>
            <w:tcW w:w="26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w w:val="93"/>
              </w:rPr>
              <w:t>30-Jun-17</w:t>
            </w:r>
          </w:p>
        </w:tc>
        <w:tc>
          <w:tcPr>
            <w:tcW w:w="26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w w:val="92"/>
              </w:rPr>
              <w:t>30-Sep-17</w:t>
            </w:r>
          </w:p>
        </w:tc>
        <w:tc>
          <w:tcPr>
            <w:tcW w:w="28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w w:val="96"/>
              </w:rPr>
              <w:t>31-Dec-17</w:t>
            </w:r>
          </w:p>
        </w:tc>
        <w:tc>
          <w:tcPr>
            <w:tcW w:w="14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20" w:type="dxa"/>
            <w:vAlign w:val="bottom"/>
            <w:shd w:val="clear" w:color="auto" w:fill="CFF0FC"/>
          </w:tcPr>
          <w:p>
            <w:pPr>
              <w:spacing w:after="0" w:line="128" w:lineRule="exact"/>
              <w:rPr>
                <w:sz w:val="20"/>
                <w:szCs w:val="20"/>
                <w:color w:val="auto"/>
              </w:rPr>
            </w:pPr>
            <w:r>
              <w:rPr>
                <w:rFonts w:ascii="Arial" w:cs="Arial" w:eastAsia="Arial" w:hAnsi="Arial"/>
                <w:sz w:val="13"/>
                <w:szCs w:val="13"/>
                <w:color w:val="auto"/>
              </w:rPr>
              <w:t>Syndax</w:t>
            </w:r>
          </w:p>
        </w:tc>
        <w:tc>
          <w:tcPr>
            <w:tcW w:w="5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100.00</w:t>
            </w:r>
          </w:p>
        </w:tc>
        <w:tc>
          <w:tcPr>
            <w:tcW w:w="26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111.00</w:t>
            </w:r>
          </w:p>
        </w:tc>
        <w:tc>
          <w:tcPr>
            <w:tcW w:w="3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82.08</w:t>
            </w:r>
          </w:p>
        </w:tc>
        <w:tc>
          <w:tcPr>
            <w:tcW w:w="26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126.33</w:t>
            </w:r>
          </w:p>
        </w:tc>
        <w:tc>
          <w:tcPr>
            <w:tcW w:w="3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59.75</w:t>
            </w:r>
          </w:p>
        </w:tc>
        <w:tc>
          <w:tcPr>
            <w:tcW w:w="3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114.33</w:t>
            </w:r>
          </w:p>
        </w:tc>
        <w:tc>
          <w:tcPr>
            <w:tcW w:w="3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116.42</w:t>
            </w:r>
          </w:p>
        </w:tc>
        <w:tc>
          <w:tcPr>
            <w:tcW w:w="3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97.50</w:t>
            </w:r>
          </w:p>
        </w:tc>
        <w:tc>
          <w:tcPr>
            <w:tcW w:w="4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b w:val="1"/>
                <w:bCs w:val="1"/>
                <w:color w:val="auto"/>
              </w:rPr>
              <w:t>73.00</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Pharmaceuticals, Inc.</w:t>
            </w:r>
          </w:p>
        </w:tc>
        <w:tc>
          <w:tcPr>
            <w:tcW w:w="560" w:type="dxa"/>
            <w:vAlign w:val="bottom"/>
            <w:gridSpan w:val="2"/>
            <w:vMerge w:val="continue"/>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36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36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38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38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380" w:type="dxa"/>
            <w:vAlign w:val="bottom"/>
            <w:gridSpan w:val="2"/>
            <w:vMerge w:val="continue"/>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400" w:type="dxa"/>
            <w:vAlign w:val="bottom"/>
            <w:gridSpan w:val="2"/>
            <w:vMerge w:val="continue"/>
            <w:shd w:val="clear" w:color="auto" w:fill="CFF0FC"/>
          </w:tcPr>
          <w:p>
            <w:pPr>
              <w:spacing w:after="0"/>
              <w:rPr>
                <w:sz w:val="12"/>
                <w:szCs w:val="12"/>
                <w:color w:val="auto"/>
              </w:rPr>
            </w:pPr>
          </w:p>
        </w:tc>
        <w:tc>
          <w:tcPr>
            <w:tcW w:w="70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20"/>
                <w:szCs w:val="20"/>
                <w:color w:val="auto"/>
              </w:rPr>
            </w:pPr>
            <w:r>
              <w:rPr>
                <w:rFonts w:ascii="Arial" w:cs="Arial" w:eastAsia="Arial" w:hAnsi="Arial"/>
                <w:sz w:val="13"/>
                <w:szCs w:val="13"/>
                <w:color w:val="auto"/>
              </w:rPr>
              <w:t>Nasdaq Composite</w:t>
            </w:r>
          </w:p>
        </w:tc>
        <w:tc>
          <w:tcPr>
            <w:tcW w:w="5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100.00</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106.93</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106.66</w:t>
            </w:r>
          </w:p>
        </w:tc>
        <w:tc>
          <w:tcPr>
            <w:tcW w:w="2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116.92</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118.28</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130.32</w:t>
            </w:r>
          </w:p>
        </w:tc>
        <w:tc>
          <w:tcPr>
            <w:tcW w:w="3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135.71</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143.70</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153.10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FF0FC"/>
          </w:tcPr>
          <w:p>
            <w:pPr>
              <w:spacing w:after="0"/>
              <w:rPr>
                <w:sz w:val="20"/>
                <w:szCs w:val="20"/>
                <w:color w:val="auto"/>
              </w:rPr>
            </w:pPr>
            <w:r>
              <w:rPr>
                <w:rFonts w:ascii="Arial" w:cs="Arial" w:eastAsia="Arial" w:hAnsi="Arial"/>
                <w:sz w:val="13"/>
                <w:szCs w:val="13"/>
                <w:color w:val="auto"/>
              </w:rPr>
              <w:t>Nasdaq Biotechnology</w:t>
            </w: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100.00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103.10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100.70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110.67</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102.47</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112.23</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117.54</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126.93</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120.01</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As of March 7, 2018, we had approximately 25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In March 2016, we completed our initial public offering, or IPO, pursuant to a registration statement on Form S-1 (File No. 333-208861), which the SEC declared effective on March 2, 2016. In our IPO, we issued and sold 4,809,475 shares of common stock (inclusive of 409,475 shares of common stock sold by us pursuant to the partial exercise of an overallotment option granted to the underwriters in connection with the offering) at a public offering price of $12.00 per share. The aggregate net proceeds received by us from our IPO were $50.5 million, net of underwriting discounts and commissions and offering expenses payable by us. No offering expenses were paid directly or indirectly to any of our directors or officers (or their associates) or persons owning 10% or more of any class of our equity securities or to any other affiliates. The managing underwriters for our IPO were Morgan Stanley &amp; Co. LLC, Citigroup Global Markets Inc., JPM Securities LLC, and Oppenheimer &amp; Co. Inc.</w:t>
      </w:r>
    </w:p>
    <w:p>
      <w:pPr>
        <w:spacing w:after="0" w:line="178" w:lineRule="exact"/>
        <w:rPr>
          <w:sz w:val="20"/>
          <w:szCs w:val="20"/>
          <w:color w:val="auto"/>
        </w:rPr>
      </w:pPr>
    </w:p>
    <w:p>
      <w:pPr>
        <w:ind w:right="380" w:firstLine="598"/>
        <w:spacing w:after="0" w:line="259" w:lineRule="auto"/>
        <w:rPr>
          <w:sz w:val="20"/>
          <w:szCs w:val="20"/>
          <w:color w:val="auto"/>
        </w:rPr>
      </w:pPr>
      <w:r>
        <w:rPr>
          <w:rFonts w:ascii="Arial" w:cs="Arial" w:eastAsia="Arial" w:hAnsi="Arial"/>
          <w:sz w:val="18"/>
          <w:szCs w:val="18"/>
          <w:color w:val="auto"/>
        </w:rPr>
        <w:t>There has been no material change in the use of proceeds from our IPO as described in our final prospectus filed with the SEC pursuant to Rule 424(b)(4) on March 2, 2016. We invested the funds received in cash equivalents and other short-term and long-term investments in accordance with our investment policy. As of December 31, 2017, we have not used any of the proceeds from the IPO and as such, the entire amount of the net proceeds is included as cash, cash equivalents and short-term and long-term investments.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i w:val="1"/>
          <w:iCs w:val="1"/>
          <w:color w:val="auto"/>
        </w:rPr>
        <w:t>The following table sets forth our selected consolidated financial data. We derived the consolidated statement of operations data for the years ended December 31, 2017, 2016, and 2015 and the consolidated balance sheet data as of December 31, 2017 and 2016, from our audited consolidated financial statements, included elsewhere in this Annual Report on Form 10-K. We have derived the consolidated balance sheet as of December 31, 2015 from our audited financial statements not included in this report. Our historical results are not necessarily indicative of results to be expected for any period in the future. The selected consolidated financial data presented below should be read in conjunction with “Management’s Discussion and Analysis of Financial Condition and Results of Operations” and our consolidated financial statements and the related notes thereto, included elsewhere in this Annual Report on Form 10-K. The selected consolidated financial data in this section is not intended to replace our consolidated financial statements and the related notes thereto.</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8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auto"/>
        </w:rPr>
        <w:t>Consolidated Statement of Operations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gridSpan w:val="3"/>
            <w:vMerge w:val="restart"/>
          </w:tcPr>
          <w:p>
            <w:pPr>
              <w:ind w:left="11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75"/>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gridSpan w:val="3"/>
            <w:vMerge w:val="continue"/>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6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270"/>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0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36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3"/>
          </w:tcPr>
          <w:p>
            <w:pPr>
              <w:ind w:left="1140"/>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31,665</w:t>
            </w:r>
          </w:p>
        </w:tc>
        <w:tc>
          <w:tcPr>
            <w:tcW w:w="3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15,861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13,321</w:t>
            </w:r>
          </w:p>
        </w:tc>
        <w:tc>
          <w:tcPr>
            <w:tcW w:w="3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64,062</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44,986</w:t>
            </w:r>
          </w:p>
        </w:tc>
        <w:tc>
          <w:tcPr>
            <w:tcW w:w="36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gridSpan w:val="3"/>
          </w:tcPr>
          <w:p>
            <w:pPr>
              <w:ind w:left="1140"/>
              <w:spacing w:after="0"/>
              <w:rPr>
                <w:sz w:val="20"/>
                <w:szCs w:val="20"/>
                <w:color w:val="auto"/>
              </w:rPr>
            </w:pPr>
            <w:r>
              <w:rPr>
                <w:rFonts w:ascii="Arial" w:cs="Arial" w:eastAsia="Arial" w:hAnsi="Arial"/>
                <w:sz w:val="18"/>
                <w:szCs w:val="18"/>
                <w:color w:val="auto"/>
              </w:rPr>
              <w:t>Loss from operations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(61,954)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(43,766)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 (expense)</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956</w:t>
            </w:r>
          </w:p>
        </w:tc>
        <w:tc>
          <w:tcPr>
            <w:tcW w:w="3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335"/>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5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16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(44,472</w:t>
            </w:r>
          </w:p>
        </w:tc>
        <w:tc>
          <w:tcPr>
            <w:tcW w:w="360" w:type="dxa"/>
            <w:vAlign w:val="bottom"/>
            <w:tcBorders>
              <w:top w:val="single" w:sz="8" w:color="CFF0FC"/>
              <w:bottom w:val="single" w:sz="8" w:color="CFF0FC"/>
              <w:right w:val="single" w:sz="8" w:color="CFF0FC"/>
            </w:tcBorders>
            <w:shd w:val="clear" w:color="auto" w:fill="CFF0FC"/>
          </w:tcPr>
          <w:p>
            <w:pPr>
              <w:jc w:val="right"/>
              <w:ind w:right="335"/>
              <w:spacing w:after="0"/>
              <w:rPr>
                <w:sz w:val="20"/>
                <w:szCs w:val="20"/>
                <w:color w:val="auto"/>
              </w:rPr>
            </w:pPr>
            <w:r>
              <w:rPr>
                <w:rFonts w:ascii="Arial" w:cs="Arial" w:eastAsia="Arial" w:hAnsi="Arial"/>
                <w:sz w:val="1"/>
                <w:szCs w:val="1"/>
                <w:color w:val="auto"/>
                <w:w w:val="4294967281"/>
              </w:rPr>
              <w:t>)</w:t>
            </w: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(24,119</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ind w:left="1140"/>
              <w:spacing w:after="0"/>
              <w:rPr>
                <w:sz w:val="20"/>
                <w:szCs w:val="20"/>
                <w:color w:val="auto"/>
              </w:rPr>
            </w:pPr>
            <w:r>
              <w:rPr>
                <w:rFonts w:ascii="Arial" w:cs="Arial" w:eastAsia="Arial" w:hAnsi="Arial"/>
                <w:sz w:val="18"/>
                <w:szCs w:val="18"/>
                <w:color w:val="auto"/>
              </w:rPr>
              <w:t xml:space="preserve">Net loss attributable to common stockholders </w:t>
            </w:r>
            <w:r>
              <w:rPr>
                <w:rFonts w:ascii="Arial" w:cs="Arial" w:eastAsia="Arial" w:hAnsi="Arial"/>
                <w:sz w:val="15"/>
                <w:szCs w:val="15"/>
                <w:color w:val="auto"/>
              </w:rPr>
              <w:t>(1)</w:t>
            </w: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gridSpan w:val="3"/>
            <w:vMerge w:val="continue"/>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(60,802</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(47,070</w:t>
            </w:r>
          </w:p>
        </w:tc>
        <w:tc>
          <w:tcPr>
            <w:tcW w:w="360" w:type="dxa"/>
            <w:vAlign w:val="bottom"/>
          </w:tcPr>
          <w:p>
            <w:pPr>
              <w:jc w:val="right"/>
              <w:ind w:right="335"/>
              <w:spacing w:after="0"/>
              <w:rPr>
                <w:sz w:val="20"/>
                <w:szCs w:val="20"/>
                <w:color w:val="auto"/>
              </w:rPr>
            </w:pPr>
            <w:r>
              <w:rPr>
                <w:rFonts w:ascii="Arial" w:cs="Arial" w:eastAsia="Arial" w:hAnsi="Arial"/>
                <w:sz w:val="1"/>
                <w:szCs w:val="1"/>
                <w:color w:val="auto"/>
                <w:w w:val="4294967281"/>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(103,845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560" w:type="dxa"/>
            <w:vAlign w:val="bottom"/>
            <w:tcBorders>
              <w:top w:val="single" w:sz="8" w:color="CFF0FC"/>
            </w:tcBorders>
            <w:gridSpan w:val="2"/>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0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CFF0FC"/>
            </w:tcBorders>
            <w:shd w:val="clear" w:color="auto" w:fill="CFF0FC"/>
          </w:tcPr>
          <w:p>
            <w:pPr>
              <w:spacing w:after="0"/>
              <w:rPr>
                <w:sz w:val="17"/>
                <w:szCs w:val="17"/>
                <w:color w:val="auto"/>
              </w:rPr>
            </w:pPr>
          </w:p>
        </w:tc>
        <w:tc>
          <w:tcPr>
            <w:tcW w:w="360" w:type="dxa"/>
            <w:vAlign w:val="bottom"/>
            <w:tcBorders>
              <w:top w:val="single" w:sz="8" w:color="CFF0FC"/>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 xml:space="preserve">stockholders--basic and diluted </w:t>
            </w:r>
            <w:r>
              <w:rPr>
                <w:rFonts w:ascii="Arial" w:cs="Arial" w:eastAsia="Arial" w:hAnsi="Arial"/>
                <w:sz w:val="15"/>
                <w:szCs w:val="15"/>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(2.90)</w:t>
            </w:r>
          </w:p>
        </w:tc>
        <w:tc>
          <w:tcPr>
            <w:tcW w:w="18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FF0FC"/>
            </w:tcBorders>
            <w:gridSpan w:val="3"/>
            <w:shd w:val="clear" w:color="auto" w:fill="CFF0FC"/>
          </w:tcPr>
          <w:p>
            <w:pPr>
              <w:jc w:val="right"/>
              <w:ind w:right="335"/>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(1,519.27)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20" w:type="dxa"/>
            <w:vAlign w:val="bottom"/>
            <w:gridSpan w:val="3"/>
            <w:vMerge w:val="restart"/>
          </w:tcPr>
          <w:p>
            <w:pPr>
              <w:ind w:left="1140"/>
              <w:spacing w:after="0"/>
              <w:rPr>
                <w:sz w:val="20"/>
                <w:szCs w:val="20"/>
                <w:color w:val="auto"/>
              </w:rPr>
            </w:pPr>
            <w:r>
              <w:rPr>
                <w:rFonts w:ascii="Arial" w:cs="Arial" w:eastAsia="Arial" w:hAnsi="Arial"/>
                <w:sz w:val="18"/>
                <w:szCs w:val="18"/>
                <w:color w:val="auto"/>
              </w:rPr>
              <w:t>Weighted-average common shares outstanding--</w:t>
            </w: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gridSpan w:val="3"/>
            <w:vMerge w:val="continue"/>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560" w:type="dxa"/>
            <w:vAlign w:val="bottom"/>
            <w:gridSpan w:val="2"/>
          </w:tcPr>
          <w:p>
            <w:pPr>
              <w:ind w:left="120"/>
              <w:spacing w:after="0"/>
              <w:rPr>
                <w:sz w:val="20"/>
                <w:szCs w:val="20"/>
                <w:color w:val="auto"/>
              </w:rPr>
            </w:pPr>
            <w:r>
              <w:rPr>
                <w:rFonts w:ascii="Arial" w:cs="Arial" w:eastAsia="Arial" w:hAnsi="Arial"/>
                <w:sz w:val="18"/>
                <w:szCs w:val="18"/>
                <w:color w:val="auto"/>
              </w:rPr>
              <w:t xml:space="preserve">basic and diluted </w:t>
            </w:r>
            <w:r>
              <w:rPr>
                <w:rFonts w:ascii="Arial" w:cs="Arial" w:eastAsia="Arial" w:hAnsi="Arial"/>
                <w:sz w:val="15"/>
                <w:szCs w:val="15"/>
                <w:color w:val="auto"/>
              </w:rPr>
              <w:t>(1)</w:t>
            </w:r>
          </w:p>
        </w:tc>
        <w:tc>
          <w:tcPr>
            <w:tcW w:w="1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20,997,211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14,619,716</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Consolidated Balance Sheet Data:</w:t>
            </w:r>
          </w:p>
        </w:tc>
        <w:tc>
          <w:tcPr>
            <w:tcW w:w="310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2620" w:type="dxa"/>
            <w:vAlign w:val="bottom"/>
            <w:tcBorders>
              <w:bottom w:val="single" w:sz="8" w:color="auto"/>
            </w:tcBorders>
            <w:gridSpan w:val="2"/>
            <w:vMerge w:val="continue"/>
          </w:tcPr>
          <w:p>
            <w:pPr>
              <w:spacing w:after="0"/>
              <w:rPr>
                <w:sz w:val="24"/>
                <w:szCs w:val="24"/>
                <w:color w:val="auto"/>
              </w:rPr>
            </w:pPr>
          </w:p>
        </w:tc>
        <w:tc>
          <w:tcPr>
            <w:tcW w:w="31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720" w:type="dxa"/>
            <w:vAlign w:val="bottom"/>
            <w:gridSpan w:val="3"/>
            <w:vMerge w:val="restart"/>
          </w:tcPr>
          <w:p>
            <w:pPr>
              <w:ind w:left="114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w w:val="96"/>
              </w:rPr>
              <w:t>December 31,</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720" w:type="dxa"/>
            <w:vAlign w:val="bottom"/>
            <w:gridSpan w:val="3"/>
            <w:vMerge w:val="continue"/>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ind w:right="2"/>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5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cash equivalents, short-term and long-</w:t>
            </w:r>
          </w:p>
        </w:tc>
        <w:tc>
          <w:tcPr>
            <w:tcW w:w="10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right w:val="single" w:sz="8" w:color="CFF0FC"/>
            </w:tcBorders>
            <w:shd w:val="clear" w:color="auto" w:fill="CFF0FC"/>
          </w:tcPr>
          <w:p>
            <w:pPr>
              <w:spacing w:after="0"/>
              <w:rPr>
                <w:sz w:val="18"/>
                <w:szCs w:val="18"/>
                <w:color w:val="auto"/>
              </w:rPr>
            </w:pPr>
          </w:p>
        </w:tc>
        <w:tc>
          <w:tcPr>
            <w:tcW w:w="36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term investments</w:t>
            </w: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$ 133,220</w:t>
            </w:r>
          </w:p>
        </w:tc>
        <w:tc>
          <w:tcPr>
            <w:tcW w:w="18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$ 105,330</w:t>
            </w:r>
          </w:p>
        </w:tc>
        <w:tc>
          <w:tcPr>
            <w:tcW w:w="3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86,489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117,644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98,144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83,160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109,013</w:t>
            </w:r>
          </w:p>
        </w:tc>
        <w:tc>
          <w:tcPr>
            <w:tcW w:w="3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7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319,113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(366,111)</w:t>
            </w:r>
          </w:p>
        </w:tc>
        <w:tc>
          <w:tcPr>
            <w:tcW w:w="10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295"/>
              <w:spacing w:after="0"/>
              <w:rPr>
                <w:sz w:val="20"/>
                <w:szCs w:val="20"/>
                <w:color w:val="auto"/>
              </w:rPr>
            </w:pPr>
            <w:r>
              <w:rPr>
                <w:rFonts w:ascii="Arial" w:cs="Arial" w:eastAsia="Arial" w:hAnsi="Arial"/>
                <w:sz w:val="18"/>
                <w:szCs w:val="18"/>
                <w:color w:val="auto"/>
              </w:rPr>
              <w:t>(305,293)</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(259,675)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104,319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84,139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3"/>
              </w:rPr>
              <w:t>(252,415)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0547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40" w:lineRule="exact"/>
        <w:rPr>
          <w:sz w:val="20"/>
          <w:szCs w:val="20"/>
          <w:color w:val="auto"/>
        </w:rPr>
      </w:pPr>
    </w:p>
    <w:p>
      <w:pPr>
        <w:ind w:left="600" w:hanging="592"/>
        <w:spacing w:after="0" w:line="221" w:lineRule="auto"/>
        <w:tabs>
          <w:tab w:leader="none" w:pos="600" w:val="left"/>
        </w:tabs>
        <w:numPr>
          <w:ilvl w:val="0"/>
          <w:numId w:val="41"/>
        </w:numPr>
        <w:rPr>
          <w:rFonts w:ascii="Arial" w:cs="Arial" w:eastAsia="Arial" w:hAnsi="Arial"/>
          <w:sz w:val="25"/>
          <w:szCs w:val="25"/>
          <w:color w:val="auto"/>
          <w:vertAlign w:val="superscript"/>
        </w:rPr>
      </w:pPr>
      <w:r>
        <w:rPr>
          <w:rFonts w:ascii="Arial" w:cs="Arial" w:eastAsia="Arial" w:hAnsi="Arial"/>
          <w:sz w:val="17"/>
          <w:szCs w:val="17"/>
          <w:color w:val="auto"/>
        </w:rPr>
        <w:t>See Note 4 to our consolidated financial statements included elsewhere herein for an explanation of the method used to compute basic and diluted net loss and net loss per share and the weighted-average number of shares used in the computation of the per share amounts.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40" w:firstLine="598"/>
        <w:spacing w:after="0" w:line="271" w:lineRule="auto"/>
        <w:rPr>
          <w:sz w:val="20"/>
          <w:szCs w:val="20"/>
          <w:color w:val="auto"/>
        </w:rPr>
      </w:pPr>
      <w:r>
        <w:rPr>
          <w:rFonts w:ascii="Arial" w:cs="Arial" w:eastAsia="Arial" w:hAnsi="Arial"/>
          <w:sz w:val="17"/>
          <w:szCs w:val="17"/>
          <w:i w:val="1"/>
          <w:iCs w:val="1"/>
          <w:color w:val="auto"/>
        </w:rPr>
        <w:t>The following discussion and analysis should be read in conjunction with “Selected Financial Data” and our consolidated financial statements and related notes included elsewhere in this Annual Report on Form 10-K. This discussion and analysis and other parts of this Annual Report on Form 10-K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on Form 10-K. You should carefully read the “Risk Factors” section of this Annual Report on Form 10-K to gain an understanding of the important factors that could cause actual results to differ materially from our forward-looking statements. Please also see the section entitled “Special Note Regarding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We are a clinical stage biopharmaceutical company developing an innovative pipeline of cancer therapies. The Company is developing its lead product candidate, entinostat, a once-weekly, oral, small molecule, Class I HDAC inhibitor, in combination with exemestane and several approved PD-1/PD-L1 antagonists. Our pipeline also includes SNDX-6352, a monoclonal antibody that blocks the colony stimulating factor 1 (CSF-1) receptor, as well as a portfolio of potent and selective inhibitors targeting the binding interaction of Menin with MLLr. We plan to continue to leverage the technical and business expertise of our management team and scientific collaborators to license, acquire and develop additional cancer therapies to expand our pipeline.</w:t>
      </w:r>
    </w:p>
    <w:p>
      <w:pPr>
        <w:spacing w:after="0" w:line="158" w:lineRule="exact"/>
        <w:rPr>
          <w:sz w:val="20"/>
          <w:szCs w:val="20"/>
          <w:color w:val="auto"/>
        </w:rPr>
      </w:pPr>
    </w:p>
    <w:p>
      <w:pPr>
        <w:jc w:val="both"/>
        <w:ind w:right="220" w:firstLine="598"/>
        <w:spacing w:after="0" w:line="259" w:lineRule="auto"/>
        <w:rPr>
          <w:sz w:val="20"/>
          <w:szCs w:val="20"/>
          <w:color w:val="auto"/>
        </w:rPr>
      </w:pPr>
      <w:r>
        <w:rPr>
          <w:rFonts w:ascii="Arial" w:cs="Arial" w:eastAsia="Arial" w:hAnsi="Arial"/>
          <w:sz w:val="18"/>
          <w:szCs w:val="18"/>
          <w:color w:val="auto"/>
        </w:rPr>
        <w:t>In March 2016, we completed our IPO, whereby we sold 4,809,475 shares of common stock at the initial public offering price of $12.00 per share, which included 409,475 shares issued pursuant to the underwriters’ partial exercise of their over-allotment option to purchase additional shares of common stock. We received net proceeds of $50.5 million from the offering, after deducting underwriting discounts and commissions and other offering costs. Our shares trade on The Nasdaq Global Select Market under the symbol “SNDX.”</w:t>
      </w:r>
    </w:p>
    <w:p>
      <w:pPr>
        <w:spacing w:after="0" w:line="187"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In April 2017, we entered into a sales agreement with Cowen and Company, LLC, or Cowen, under which we may issue and sell shares of our common stock having aggregate sales proceeds of up to $50.0 million from time to time through Cowen, acting as agent, in a series of one or more at-the-market, or ATM equity offerings. Cowen is not required to sell any specific amount but acts as our sales agent using commercially reasonable efforts consistent with its normal trading and sales practices. Shares sold pursuant to the sales agreement will be sold pursuant to a shelf registration statement, which became effective on April 20, 2017. Our common stock will be sold at prevailing market prices at the time of the sale; and as a result, prices may vary. We will pay Cowen up to 3% of the gross proceeds from any common stock sold through the sales agreement. In 2017, we sold 148,421 shares of common stock pursuant to the ATM program, at an average price of $12.45 per share for gross proceeds of $1.8 million, resulting in net proceeds of $1.7 million after deducting sales commissions and offering expenses. As of December 31, 2017, $48.2 million of common stock remained available for sale under the ATM program.</w:t>
      </w:r>
    </w:p>
    <w:p>
      <w:pPr>
        <w:spacing w:after="0" w:line="19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May 2017, we completed a follow-on public offering whereby we sold 3,950,190 shares of common stock at a price of $13.25 per share, which included 200,190 shares issued pursuant to the underwriters’ partial exercise of their option to purchase additional shares of common stock. The aggregate net proceeds received by us from the offering were approximately $48.7 million, net of underwriting discounts and commissions and estimated offering expenses payable by us.</w:t>
      </w:r>
    </w:p>
    <w:p>
      <w:pPr>
        <w:spacing w:after="0" w:line="187"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On October 17, 2017, we entered into a purchase agreement with Biotech Value Fund, L.P., or BVF and certain entities affiliated with BVF, or the Purchase Agreement. Pursuant to the Purchase Agreement, we issued directly to BVF in a registered direct offering, 2,021,018 shares of our common stock at a price of $12.37 per share, representing the closing price of our shares on The Nasdaq Global Select Market on Friday, October 13, 2017. The net proceeds from the registered direct offering, after deducting estimated expenses, were approximately $24.9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5" w:name="page76"/>
    <w:bookmarkEnd w:id="75"/>
    <w:p>
      <w:pPr>
        <w:ind w:right="120" w:firstLine="598"/>
        <w:spacing w:after="0" w:line="255"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We continue to incur significant research and development and other expenses related to our ongoing operations. As a result, we are not and have never been profitable and have incurred losses in each period since our inception in 2005. For the years ended December 31, 2017, 2016, and 2015, we reported a net loss of $60.8 million, $44.5 million and $24.1 million, respectively. As of December 31, 2017, we had an accumulated deficit of $366.1 million, which included non-cash charges for stock-based compensation, preferred stock accretion and extinguishment charges. As of December 31, 2017, we had cash, cash equivalents, short-term and long-term investments of $133.2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Updates</w:t>
      </w:r>
    </w:p>
    <w:p>
      <w:pPr>
        <w:spacing w:after="0" w:line="121" w:lineRule="exact"/>
        <w:rPr>
          <w:sz w:val="20"/>
          <w:szCs w:val="20"/>
          <w:color w:val="auto"/>
        </w:rPr>
      </w:pPr>
    </w:p>
    <w:p>
      <w:pPr>
        <w:jc w:val="both"/>
        <w:ind w:left="1200" w:right="100" w:hanging="598"/>
        <w:spacing w:after="0" w:line="255"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Phase 3 registration trial of entinostat plus exemestane in advanced hormone receptor positive, human epidermal growth factor receptor 2 negative (HR+, HER2-) breast cancer, E2112, is 89% enrolled as of the end of February. ECOG-ACRIN Cancer Research Group, the trial sponsor, has notified us that the Data Safety Monitoring Committee (DSMC) completed the final progression free survival analysis and the first interim analysis for overall survival in November 2017. The results of this analysis are held confidentially by the ECOG-ACRIN study statistician and the DSMC, and ECOG-ACRIN will release the analysis to us upon completion of enrollment. We now anticipate enrollment to be complete in the third quarter of 2018.</w:t>
      </w:r>
    </w:p>
    <w:p>
      <w:pPr>
        <w:spacing w:after="0" w:line="85" w:lineRule="exact"/>
        <w:rPr>
          <w:rFonts w:ascii="Arial" w:cs="Arial" w:eastAsia="Arial" w:hAnsi="Arial"/>
          <w:sz w:val="18"/>
          <w:szCs w:val="18"/>
          <w:color w:val="auto"/>
        </w:rPr>
      </w:pPr>
    </w:p>
    <w:p>
      <w:pPr>
        <w:jc w:val="both"/>
        <w:ind w:left="1200" w:right="60" w:hanging="598"/>
        <w:spacing w:after="0" w:line="264"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November 2017, we presented data at the SITC Annual Meeting from the melanoma and non-small cell lung cancer (NSCLC) cohorts of ENCORE 601 that support entinostat’s potential to enhance immune checkpoint blockade mediated anti-tumor responses in a broad range of tumors.</w:t>
      </w:r>
    </w:p>
    <w:p>
      <w:pPr>
        <w:spacing w:after="0" w:line="73"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second quarter of 2018, we expect to present full Phase 2 data from the PD-(L)1 refractory melanoma cohort of ENCORE 601. At that time, we also plan to communicate a registration strategy for entinostat in this indication.</w:t>
      </w:r>
    </w:p>
    <w:p>
      <w:pPr>
        <w:spacing w:after="0" w:line="62" w:lineRule="exact"/>
        <w:rPr>
          <w:rFonts w:ascii="Arial" w:cs="Arial" w:eastAsia="Arial" w:hAnsi="Arial"/>
          <w:sz w:val="18"/>
          <w:szCs w:val="18"/>
          <w:color w:val="auto"/>
        </w:rPr>
      </w:pPr>
    </w:p>
    <w:p>
      <w:pPr>
        <w:ind w:left="1200" w:right="460" w:hanging="598"/>
        <w:spacing w:after="0" w:line="277"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Full Phase 2 data from the PD-(L)1 refractory non-small cell lung cancer (NSCLC) cohort of ENCORE 601 are expected in the second quarter of 2018.</w:t>
      </w:r>
    </w:p>
    <w:p>
      <w:pPr>
        <w:spacing w:after="0" w:line="62" w:lineRule="exact"/>
        <w:rPr>
          <w:rFonts w:ascii="Arial" w:cs="Arial" w:eastAsia="Arial" w:hAnsi="Arial"/>
          <w:sz w:val="18"/>
          <w:szCs w:val="18"/>
          <w:color w:val="auto"/>
        </w:rPr>
      </w:pPr>
    </w:p>
    <w:p>
      <w:pPr>
        <w:ind w:left="1200" w:right="60" w:hanging="598"/>
        <w:spacing w:after="0" w:line="264"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Enrollment in the first stage of the ENCORE 601 cohort of patients with microsatellite stable colorectal cancer (MSS-CRC) is complete. We expect to share initial data, as well as a decision on whether to advance this cohort to the second stage of the trial, in the second quarter of 2018.</w:t>
      </w:r>
    </w:p>
    <w:p>
      <w:pPr>
        <w:spacing w:after="0" w:line="73" w:lineRule="exact"/>
        <w:rPr>
          <w:rFonts w:ascii="Arial" w:cs="Arial" w:eastAsia="Arial" w:hAnsi="Arial"/>
          <w:sz w:val="18"/>
          <w:szCs w:val="18"/>
          <w:color w:val="auto"/>
        </w:rPr>
      </w:pPr>
    </w:p>
    <w:p>
      <w:pPr>
        <w:jc w:val="both"/>
        <w:ind w:left="1200" w:right="500" w:hanging="598"/>
        <w:spacing w:after="0" w:line="264"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ENCORE 602, the Phase 1b/2 clinical trial evaluating the combination of entinostat plus Genentech’s PD-(L)1 inhibitor atezolizumab (TECENTRIQ</w:t>
      </w:r>
      <w:r>
        <w:rPr>
          <w:rFonts w:ascii="Arial" w:cs="Arial" w:eastAsia="Arial" w:hAnsi="Arial"/>
          <w:sz w:val="15"/>
          <w:szCs w:val="15"/>
          <w:color w:val="auto"/>
        </w:rPr>
        <w:t>®</w:t>
      </w:r>
      <w:r>
        <w:rPr>
          <w:rFonts w:ascii="Arial" w:cs="Arial" w:eastAsia="Arial" w:hAnsi="Arial"/>
          <w:sz w:val="18"/>
          <w:szCs w:val="18"/>
          <w:color w:val="auto"/>
        </w:rPr>
        <w:t>) in patients with triple negative breast cancer, is expected to complete enrollment of the Phase 2 portion in the second quarter of 2018. Topline results from this trial are anticipated in the second half of 2018.</w:t>
      </w:r>
    </w:p>
    <w:p>
      <w:pPr>
        <w:spacing w:after="0" w:line="73"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January 2018, we announced a new clinical collaboration with Genentech to evaluate the combination of entinostat and TECENTRIQ in patients with second-line HR+, HER2- metastatic breast cancer.</w:t>
      </w:r>
    </w:p>
    <w:p>
      <w:pPr>
        <w:spacing w:after="0" w:line="62" w:lineRule="exact"/>
        <w:rPr>
          <w:rFonts w:ascii="Arial" w:cs="Arial" w:eastAsia="Arial" w:hAnsi="Arial"/>
          <w:sz w:val="18"/>
          <w:szCs w:val="18"/>
          <w:color w:val="auto"/>
        </w:rPr>
      </w:pPr>
    </w:p>
    <w:p>
      <w:pPr>
        <w:ind w:left="1200" w:right="240" w:hanging="598"/>
        <w:spacing w:after="0" w:line="264"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ENCORE 603, the Phase 1b/2 clinical trial evaluating entinostat in combination with Pfizer/Merck KGaA’s BAVENCIO</w:t>
      </w:r>
      <w:r>
        <w:rPr>
          <w:rFonts w:ascii="Arial" w:cs="Arial" w:eastAsia="Arial" w:hAnsi="Arial"/>
          <w:sz w:val="15"/>
          <w:szCs w:val="15"/>
          <w:color w:val="auto"/>
        </w:rPr>
        <w:t>®</w:t>
      </w:r>
      <w:r>
        <w:rPr>
          <w:rFonts w:ascii="Arial" w:cs="Arial" w:eastAsia="Arial" w:hAnsi="Arial"/>
          <w:sz w:val="18"/>
          <w:szCs w:val="18"/>
          <w:color w:val="auto"/>
        </w:rPr>
        <w:t xml:space="preserve"> in patients with ovarian cancer, continues to enroll patients into the Phase 2 portion and is on track to complete enrollment in the second quarter of 2018. Topline results are expected in the first half of 2019.</w:t>
      </w:r>
    </w:p>
    <w:p>
      <w:pPr>
        <w:spacing w:after="0" w:line="73"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Dosing of patients with solid tumors in the Phase 1 multiple ascending dose (MAD) clinical trial of SNDX-6352 is ongoing. We anticipate presenting data from this trial and disclosing a Phase 2 strategy in the second half of 2018.</w:t>
      </w:r>
    </w:p>
    <w:p>
      <w:pPr>
        <w:spacing w:after="0" w:line="62"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February 2018,we entered into a clinical collaboration with AstraZeneca to evaluate the efficacy and safety of SNDX-6352 in combination with durvalumab (IMFINZI</w:t>
      </w:r>
      <w:r>
        <w:rPr>
          <w:rFonts w:ascii="Arial" w:cs="Arial" w:eastAsia="Arial" w:hAnsi="Arial"/>
          <w:sz w:val="15"/>
          <w:szCs w:val="15"/>
          <w:color w:val="auto"/>
        </w:rPr>
        <w:t>®</w:t>
      </w:r>
      <w:r>
        <w:rPr>
          <w:rFonts w:ascii="Arial" w:cs="Arial" w:eastAsia="Arial" w:hAnsi="Arial"/>
          <w:sz w:val="18"/>
          <w:szCs w:val="18"/>
          <w:color w:val="auto"/>
        </w:rPr>
        <w:t>), AstraZeneca’s human monoclonal antibody directed against PD-(L)1, in multiple solid tumors. Initial work focusing on establishing the safety of this combination is expected to begin in the second quarter of 2018.</w:t>
      </w:r>
    </w:p>
    <w:p>
      <w:pPr>
        <w:spacing w:after="0" w:line="73" w:lineRule="exact"/>
        <w:rPr>
          <w:rFonts w:ascii="Arial" w:cs="Arial" w:eastAsia="Arial" w:hAnsi="Arial"/>
          <w:sz w:val="18"/>
          <w:szCs w:val="18"/>
          <w:color w:val="auto"/>
        </w:rPr>
      </w:pPr>
    </w:p>
    <w:p>
      <w:pPr>
        <w:ind w:left="1200" w:right="140" w:hanging="598"/>
        <w:spacing w:after="0" w:line="286" w:lineRule="auto"/>
        <w:tabs>
          <w:tab w:leader="none" w:pos="12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Development of our portfolio of Menin-Mixed Lineage Leukemia (MLL) inhibitors, in-licensed from Vitae Pharmaceuticals, Inc., a subsidiary of Allergan plc, is ongoing. An abstract describing the preclinical efficacy of these therapies in the treatment of MLL-rearranged acute myeloid leukemia (AML) was accepted for oral presentation at the 2018 American Association for Cancer Research</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6" w:name="page77"/>
    <w:bookmarkEnd w:id="76"/>
    <w:p>
      <w:pPr>
        <w:ind w:left="1200"/>
        <w:spacing w:after="0"/>
        <w:rPr>
          <w:sz w:val="20"/>
          <w:szCs w:val="20"/>
          <w:color w:val="auto"/>
        </w:rPr>
      </w:pPr>
      <w:r>
        <w:rPr>
          <w:rFonts w:ascii="Arial" w:cs="Arial" w:eastAsia="Arial" w:hAnsi="Arial"/>
          <w:sz w:val="18"/>
          <w:szCs w:val="18"/>
          <w:color w:val="auto"/>
        </w:rPr>
        <w:t>(AACR) Annual Meeting being held April 14-18 in Chicago. We expect to initiate clinical trials in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To date, we have not generated any product revenues. Our ability to generate revenue and become profitable depends upon our ability to obtain marketing approval of and successfully commercialize our product candidates. Our revenues for the years ended December 31, 2017 and 2016 have been solely derived from our license agreement with KHK under which we granted KHK an exclusive license to develop and commercialize entinostat in Japan and Korea, or the KHK license agreement. In 2015, we received a $25.0 million upfront payment from KHK, inclusive of an equity investment. We allocated $17.3 million of the upfront payment to the license fee, and such fee is being recognized as revenue ratably over our expected service period (currently expected to be through 2029) commencing on the date of the first delivery of the clinical trial materials, which occurred in June 2015. The balance of the upfront payment of $7.7 million was allocated to KHK’s purchase of shares of our Series B-1 convertible preferred stock. In October 2017, KHK enrolled the first Japanese patient into a local pivotal study of entinostat for the treatment of hormone receptor positive, human epidermal growth factor receptor 2 negative breast cancer. In accordance with the terms of the KHK License Agreement, in December 2017 we received a $5.0 million milestone payment from KHK for achievement of the development milestone. We determined that the milestone is not substantive as the achievement was dependent upon the counterparty. Therefore, during the fourth quarter of 2017, we recorded $0.9 million as license fee revenue and have deferred the remaining $4.1 million to be recognized over the remaining performance period coinciding with the license unit of accounting.</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200" w:right="520" w:hanging="598"/>
        <w:spacing w:after="0" w:line="277"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CROs, that conduct our clinical trials;</w:t>
      </w:r>
    </w:p>
    <w:p>
      <w:pPr>
        <w:spacing w:after="0" w:line="62"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25" w:lineRule="exact"/>
        <w:rPr>
          <w:sz w:val="20"/>
          <w:szCs w:val="20"/>
          <w:color w:val="auto"/>
        </w:rPr>
      </w:pPr>
    </w:p>
    <w:p>
      <w:pPr>
        <w:ind w:right="60" w:firstLine="598"/>
        <w:spacing w:after="0" w:line="312" w:lineRule="auto"/>
        <w:rPr>
          <w:sz w:val="20"/>
          <w:szCs w:val="20"/>
          <w:color w:val="auto"/>
        </w:rPr>
      </w:pPr>
      <w:r>
        <w:rPr>
          <w:rFonts w:ascii="Arial" w:cs="Arial" w:eastAsia="Arial" w:hAnsi="Arial"/>
          <w:sz w:val="16"/>
          <w:szCs w:val="16"/>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7"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 From inception through December 31, 2017, we have incurred $151.6 million in research and development expenses.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77" w:name="page78"/>
    <w:bookmarkEnd w:id="77"/>
    <w:p>
      <w:pPr>
        <w:ind w:right="60" w:firstLine="598"/>
        <w:spacing w:after="0" w:line="264"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3" w:lineRule="exact"/>
        <w:rPr>
          <w:sz w:val="20"/>
          <w:szCs w:val="20"/>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25"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380" w:firstLine="598"/>
        <w:spacing w:after="0" w:line="308" w:lineRule="auto"/>
        <w:rPr>
          <w:sz w:val="20"/>
          <w:szCs w:val="20"/>
          <w:color w:val="auto"/>
        </w:rPr>
      </w:pPr>
      <w:r>
        <w:rPr>
          <w:rFonts w:ascii="Arial" w:cs="Arial" w:eastAsia="Arial" w:hAnsi="Arial"/>
          <w:sz w:val="17"/>
          <w:szCs w:val="17"/>
          <w:color w:val="auto"/>
        </w:rPr>
        <w:t>Interest income consists of interest income earned on our cash, cash equivalents, short-term and long-term investment balances. Interest expense consists primarily of interest expense on amounts borrowed under our term loan facility, capital leases and convertible notes.</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change in fair value of the common stock warrant liability was associated with a warrant to purchase common stock issued in connection with a license agreement and consisted of the calculated change in value based upon the fair value of the underlying security at the end of each reporting period as calculated using the Black-Scholes option pricing model. Gains and losses arising from changes in fair value were recognized in other income (expense) in the consolidated statement of operations. As of the closing of our IPO, the anti-dilution provision of the warrant expired; and the warrant liability was reclassified to additional paid-in capital.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8" w:name="page79"/>
    <w:bookmarkEnd w:id="78"/>
    <w:p>
      <w:pPr>
        <w:ind w:left="6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Unless otherwise discussed in Note 3 to our audited consolidated financial statements included in this Annual Report on Form 10-K, we believe that the impact of recently issued standards that are not yet effective will not have a material impact on our financial position or results of operations upon adoption.</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17"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stock-based compensation.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79" w:lineRule="exact"/>
        <w:rPr>
          <w:sz w:val="20"/>
          <w:szCs w:val="20"/>
          <w:color w:val="auto"/>
        </w:rPr>
      </w:pPr>
    </w:p>
    <w:p>
      <w:pPr>
        <w:ind w:right="220" w:firstLine="598"/>
        <w:spacing w:after="0" w:line="286" w:lineRule="auto"/>
        <w:rPr>
          <w:sz w:val="20"/>
          <w:szCs w:val="20"/>
          <w:color w:val="auto"/>
        </w:rPr>
      </w:pPr>
      <w:r>
        <w:rPr>
          <w:rFonts w:ascii="Arial" w:cs="Arial" w:eastAsia="Arial" w:hAnsi="Arial"/>
          <w:sz w:val="17"/>
          <w:szCs w:val="17"/>
          <w:color w:val="auto"/>
        </w:rPr>
        <w:t>While our significant accounting policies are more fully described in Note 3 to our consolidated financial statements included elsewhere in this Annual Report on Form 10-K,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We have generated revenue through license fees for the development and commercialization our lead product candidate, entinostat. We make judgments that affect the periods over which we recognize revenue. We recognize revenue when (i) persuasive evidence of an arrangement exists; (ii) transfer of technology has been completed, services have been performed or products have been delivered; (iii) the fee is fixed and determinable; and (iv) collection is reasonably assured. For revenue agreements with multiple-elements, we identify the deliverables included within the agreement and evaluate which deliverables represent separate units of accounting based on the achievement of certain criteria including whether the deliverable has stand-alone value to the collaborator. Upfront payments received in connection with licenses of our technology rights are deferred if facts and circumstances dictate that the license does not have stand-alone value and are recognized as license revenue over the estimated period of performance that is generally consistent with the terms of the research and development obligations contained in the specific license agreement. We periodically review our estimated periods of performance based on the progress under each arrangement and account for the impact of any changes in estimated periods of performance on a prospective basis.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expenses as of each balance sheet date in our consolidated financial statements based on facts and circumstances known to us at that time. Examples of estimated accrued research and development expenses include fees paid to contract research organizations, or CROs, and investigative sites in connection with clinical studies and to vendors related to product manufacturing and development of clinical supplies.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ind w:right="40" w:firstLine="598"/>
        <w:spacing w:after="0" w:line="290"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598"/>
        <w:spacing w:after="0" w:line="272" w:lineRule="auto"/>
        <w:rPr>
          <w:sz w:val="20"/>
          <w:szCs w:val="20"/>
          <w:color w:val="auto"/>
        </w:rPr>
      </w:pPr>
      <w:r>
        <w:rPr>
          <w:rFonts w:ascii="Arial" w:cs="Arial" w:eastAsia="Arial" w:hAnsi="Arial"/>
          <w:sz w:val="17"/>
          <w:szCs w:val="17"/>
          <w:color w:val="auto"/>
        </w:rPr>
        <w:t xml:space="preserve">We issue stock-based awards to employees and non-employees, generally in the form of stock options. We account for our stock-based awards in accordance with FASB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or ASC 718. ASC 718 requires all stock-based payments to employees, including grants of employee stock options and modifications to existing stock options, to be recognized in the consolidated statement of operations based on their fair values on the date of grant. We account for stock-based awards to non-employees in accordance with FASB ASC Topic 505-50, </w:t>
      </w:r>
      <w:r>
        <w:rPr>
          <w:rFonts w:ascii="Arial" w:cs="Arial" w:eastAsia="Arial" w:hAnsi="Arial"/>
          <w:sz w:val="17"/>
          <w:szCs w:val="17"/>
          <w:i w:val="1"/>
          <w:iCs w:val="1"/>
          <w:color w:val="auto"/>
        </w:rPr>
        <w:t>Equity-Based Payments to Non-Employees</w:t>
      </w:r>
      <w:r>
        <w:rPr>
          <w:rFonts w:ascii="Arial" w:cs="Arial" w:eastAsia="Arial" w:hAnsi="Arial"/>
          <w:sz w:val="17"/>
          <w:szCs w:val="17"/>
          <w:color w:val="auto"/>
        </w:rPr>
        <w:t>, which requires the fair value of the award to be re-measured at fair value as the award vests. We recognize the compensation cost of service-based and performance awards on a straight-line basis over the vesting period of the award for employees and non-employees, which is generally four years. We account for forfeitures when they occur.</w:t>
      </w:r>
    </w:p>
    <w:p>
      <w:pPr>
        <w:spacing w:after="0" w:line="178"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In determining the exercise prices for options granted, the Board has considered the fair value of the common stock as of each grant date. Prior to our IPO, the fair value of the common stock underlying the stock options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clinical and management team, an evaluation or benchmark of the Company’s competition, the current business climate in the marketplace, the illiquid nature of the common stock, arm’s-length sales of the Company’s capital stock (including convertible preferred stock), the effect of the rights and preferences of the preferred stockholders, and the prospects of a liquidity event, among others. Following the completion of the IPO, stock option values are determined based on the market price of our common stock on The Nasdaq Global Select Market.</w:t>
      </w:r>
    </w:p>
    <w:p>
      <w:pPr>
        <w:spacing w:after="0" w:line="179" w:lineRule="exact"/>
        <w:rPr>
          <w:sz w:val="20"/>
          <w:szCs w:val="20"/>
          <w:color w:val="auto"/>
        </w:rPr>
      </w:pPr>
    </w:p>
    <w:p>
      <w:pPr>
        <w:ind w:right="120" w:firstLine="598"/>
        <w:spacing w:after="0" w:line="254"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the input of highly subjective assumptions, including the fair value of the underlying common stock, the expected volatility of the price of our common stock, the expected term of the option, and the risk-free interest rate. Prior to our IPO, we were a privately-held company and lacked company-specific historical and implied volatility information. Therefore, we estimated our expected volatility based on the historical volatility of our publicly traded peer companies. We expect to continue to do so until such time as we have adequate historical data regarding the volatility of our traded stock price following our IPO. We estimate the expected term of the options using the “simplified method,” whereby the expected life equals the average of the vesting term and the original contractual term of the option. The risk-free interest rate is determined by reference to U.S. Treasury bond yields at or near the time of grant for time periods similar to the expected term of the award.</w:t>
      </w:r>
    </w:p>
    <w:p>
      <w:pPr>
        <w:spacing w:after="0" w:line="192"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See Note 14 to our consolidated financial statements included elsewhere in this Annual Report on Form 10-K for additional information on our stock-based compensation.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vMerge w:val="restart"/>
          </w:tcPr>
          <w:p>
            <w:pPr>
              <w:jc w:val="right"/>
              <w:ind w:right="340"/>
              <w:spacing w:after="0"/>
              <w:rPr>
                <w:sz w:val="20"/>
                <w:szCs w:val="20"/>
                <w:color w:val="auto"/>
              </w:rPr>
            </w:pPr>
            <w:r>
              <w:rPr>
                <w:rFonts w:ascii="Arial" w:cs="Arial" w:eastAsia="Arial" w:hAnsi="Arial"/>
                <w:sz w:val="14"/>
                <w:szCs w:val="14"/>
                <w:b w:val="1"/>
                <w:bCs w:val="1"/>
                <w:color w:val="auto"/>
                <w:w w:val="91"/>
              </w:rPr>
              <w:t>Years Ended 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87"/>
              </w:rPr>
              <w:t>Increase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2"/>
              </w:rPr>
              <w:t>(Decrease)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40" w:type="dxa"/>
            <w:vAlign w:val="bottom"/>
            <w:tcBorders>
              <w:bottom w:val="single" w:sz="8" w:color="CFF0FC"/>
            </w:tcBorders>
            <w:vMerge w:val="continue"/>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18"/>
                <w:szCs w:val="18"/>
                <w:color w:val="auto"/>
              </w:rPr>
              <w:t>License fees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2,108</w:t>
            </w:r>
          </w:p>
        </w:tc>
        <w:tc>
          <w:tcPr>
            <w:tcW w:w="200" w:type="dxa"/>
            <w:vAlign w:val="bottom"/>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1,220</w:t>
            </w:r>
          </w:p>
        </w:tc>
        <w:tc>
          <w:tcPr>
            <w:tcW w:w="22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888</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16,536</w:t>
            </w: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15,861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2,540</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vMerge w:val="continue"/>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64,062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19,076</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(61,954)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(43,766)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18,188</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18"/>
                <w:szCs w:val="18"/>
                <w:color w:val="auto"/>
              </w:rPr>
              <w:t>Interest income (expense), net</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common stock warrant</w:t>
            </w: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liability</w:t>
            </w: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(1,703)</w:t>
            </w: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1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vMerge w:val="continue"/>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(60,802)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(44,472)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(16,330)</w:t>
            </w: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For the year ended December 31, 2017, license fees increased $0.9 million, or 73%, to $2.1 million compared to $1.2 million in the prior year. In 2015, arrangement consideration of $17.3 million related to the KHK license agreement was allocated to the license unit of accounting and is being recognized as revenue ratably over our expected service period (currently expected to be through 2029), commencing on the date of the first delivery of the clinical trial materials, which occurred in June 2015. In October 2017, KHK enrolled the first Japanese patient into a local pivotal study of entinostat for the treatment of hormone receptor positive, human epidermal growth factor receptor 2 negative breast cancer. In accordance with the terms of the KHK License Agreement, in December 2017 we received a $5.0 million milestone payment from KHK for achievement of the development milestone. We determined that the milestone is not substantive as the achievement was dependent upon the counterparty. Therefore, during the fourth quarter of 2017, we recorded $0.9 million as license fee revenue and have deferred the remaining $4.1 million to be recognized over the remaining performance period coinciding with the license unit of accounting.</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For the year ended December 31, 2017, our total research and development expenses increased $16.5 million, or 52%, to $48.2 million from $31.7 million for the prior year due to increases in clinical trial activities of $9.1 million, employee compensation expense of $3.6 million, legal and consultant expenses of $3.1 million, facility costs of $0.3 million and travel costs of $0.4 million. The increase in clinical trial activities was primarily due to increases in spending related to our Phase 1 clinical pharmacology trials, increased enrollment in ENCORE 601, costs related to SNDX-6352 trials, increased activities in ENCORE 602 and ENCORE 603, and CMC activities. In 2017 we expensed a nonrefundable upfront payment of $5.0 million to Allergan plc for the Menin Assets and in 2016 we expensed a nonrefundable upfront payment of $5.0 million related to the UCB License Agreement. The increase in employee compensation costs was primarily due to increased headcount. We expect our research and development expenses for the foreseeable future to increase as we continue to advance the development of our product candidates.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1" w:name="page82"/>
    <w:bookmarkEnd w:id="81"/>
    <w:p>
      <w:pPr>
        <w:ind w:left="60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left="279"/>
              <w:spacing w:after="0"/>
              <w:rPr>
                <w:sz w:val="20"/>
                <w:szCs w:val="20"/>
                <w:color w:val="auto"/>
              </w:rPr>
            </w:pPr>
            <w:r>
              <w:rPr>
                <w:rFonts w:ascii="Arial" w:cs="Arial" w:eastAsia="Arial" w:hAnsi="Arial"/>
                <w:sz w:val="14"/>
                <w:szCs w:val="14"/>
                <w:b w:val="1"/>
                <w:bCs w:val="1"/>
                <w:color w:val="auto"/>
                <w:w w:val="91"/>
              </w:rPr>
              <w:t>Years Ended</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279"/>
              <w:spacing w:after="0"/>
              <w:rPr>
                <w:sz w:val="20"/>
                <w:szCs w:val="20"/>
                <w:color w:val="auto"/>
              </w:rPr>
            </w:pPr>
            <w:r>
              <w:rPr>
                <w:rFonts w:ascii="Arial" w:cs="Arial" w:eastAsia="Arial" w:hAnsi="Arial"/>
                <w:sz w:val="14"/>
                <w:szCs w:val="14"/>
                <w:b w:val="1"/>
                <w:bCs w:val="1"/>
                <w:color w:val="auto"/>
                <w:w w:val="92"/>
              </w:rPr>
              <w:t>(Decrease)</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vMerge w:val="continue"/>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w w:val="83"/>
              </w:rPr>
              <w:t>2016</w:t>
            </w:r>
          </w:p>
        </w:tc>
        <w:tc>
          <w:tcPr>
            <w:tcW w:w="3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0"/>
              </w:rPr>
              <w:t>37,398</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25,236</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12,162</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5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0"/>
              </w:rPr>
              <w:t>10,803</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6,429</w:t>
            </w: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4,374</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vMerge w:val="continue"/>
            <w:shd w:val="clear" w:color="auto" w:fill="CFF0FC"/>
          </w:tcPr>
          <w:p>
            <w:pPr>
              <w:spacing w:after="0"/>
              <w:rPr>
                <w:sz w:val="20"/>
                <w:szCs w:val="20"/>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0"/>
              </w:rPr>
              <w:t>48,201</w:t>
            </w:r>
          </w:p>
        </w:tc>
        <w:tc>
          <w:tcPr>
            <w:tcW w:w="6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31,665</w:t>
            </w:r>
          </w:p>
        </w:tc>
        <w:tc>
          <w:tcPr>
            <w:tcW w:w="5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16,536</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For the year ended December 31, 2017, our total general and administrative expenses increased $2.5 million, or 19%, to $15.9 million, from $13.3 million for the prior year. The increase in general and administrative expenses was primarily due to increases in employee compensation of $1.3 million, increases in pre-commercialization work of $0.7 million, professional fees of $0.5 million, directors’ and officers’ insurance and other costs related to being a public company of $0.2 million and facilities costs of $0.3 million. These increases were partially offset by decreases in legal expenses of $0.5 million primarily due to lower general and business development legal costs. The increase in employee compensation of $1.3 million was due to increased salary expense of $1.1 million due to increased headcount and non-cash charges related to stock-based compensation of $0.3 million offset in part by decrease in bonus expense of $0.1 million.</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For the year ended December 31, 2017, interest income (expense), net, increased $0.5 million from the prior year. The increase was primarily due to increased yield on our cash, cash equivalents, short-term and long-term investments and increase in our cash, cash equivalents, short-term and long-term investment balances which increased as a result of the $48.7 million of net proceeds from our follow on offering in May 2017 and $24.9 million of net proceeds from our direct stock placement with BVF in October 2017.</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change in fair value of common stock warrant liability for the year ended December 31, 2017 decreased $1.7 million. There was no common stock warrant liability outstanding during the year ended December 31, 2017. At each period end until the closing of our IPO, the fair value of the outstanding common stock warrant liability was re-measured; and the change in the fair value was recorded in other expense in the condensed consolidated statement of comprehensive loss. Upon the closing of our IPO, the antidilution provision of the warrant expired and the warrant liability was reclassified to additional paid-in capital. Just prior to the reclassification, the warrant was re-measured using current assumptions on that date, and the change in fair value was recorded in other expense.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91"/>
              </w:rPr>
              <w:t>Increase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2"/>
              </w:rPr>
              <w:t>(Decrease)</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60" w:type="dxa"/>
            <w:vAlign w:val="bottom"/>
            <w:tcBorders>
              <w:bottom w:val="single" w:sz="8" w:color="CFF0FC"/>
            </w:tcBorders>
            <w:vMerge w:val="continue"/>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40"/>
              <w:spacing w:after="0"/>
              <w:rPr>
                <w:sz w:val="20"/>
                <w:szCs w:val="20"/>
                <w:color w:val="auto"/>
              </w:rPr>
            </w:pPr>
            <w:r>
              <w:rPr>
                <w:rFonts w:ascii="Arial" w:cs="Arial" w:eastAsia="Arial" w:hAnsi="Arial"/>
                <w:sz w:val="18"/>
                <w:szCs w:val="18"/>
                <w:color w:val="auto"/>
              </w:rPr>
              <w:t>License fees</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1,220</w:t>
            </w:r>
          </w:p>
        </w:tc>
        <w:tc>
          <w:tcPr>
            <w:tcW w:w="200" w:type="dxa"/>
            <w:vAlign w:val="bottom"/>
          </w:tcPr>
          <w:p>
            <w:pPr>
              <w:spacing w:after="0"/>
              <w:rPr>
                <w:sz w:val="21"/>
                <w:szCs w:val="21"/>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21"/>
                <w:szCs w:val="2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593</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vMerge w:val="continue"/>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31,665</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22,116</w:t>
            </w: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47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13,321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11,591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1,730</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vMerge w:val="continue"/>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44,986</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21,140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23,846</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(43,766)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(20,513)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23,253</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40"/>
              <w:spacing w:after="0"/>
              <w:rPr>
                <w:sz w:val="20"/>
                <w:szCs w:val="20"/>
                <w:color w:val="auto"/>
              </w:rPr>
            </w:pPr>
            <w:r>
              <w:rPr>
                <w:rFonts w:ascii="Arial" w:cs="Arial" w:eastAsia="Arial" w:hAnsi="Arial"/>
                <w:sz w:val="18"/>
                <w:szCs w:val="18"/>
                <w:color w:val="auto"/>
              </w:rPr>
              <w:t>Interest (expense) income, net</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(1,414)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(2,370)</w:t>
            </w: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common stock warrant</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liability</w:t>
            </w: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(1,703)</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(2,155)</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(452)</w:t>
            </w:r>
          </w:p>
        </w:tc>
        <w:tc>
          <w:tcPr>
            <w:tcW w:w="2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76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7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income</w:t>
            </w:r>
          </w:p>
        </w:tc>
        <w:tc>
          <w:tcPr>
            <w:tcW w:w="1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vMerge w:val="continue"/>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(3,606)</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(2,900)</w:t>
            </w:r>
          </w:p>
        </w:tc>
        <w:tc>
          <w:tcPr>
            <w:tcW w:w="20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vMerge w:val="continue"/>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(44,472)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(24,119)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20,353</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For the year ended December 31, 2016, license fees increased $0.6 million, or 95%, to $1.2 million compared to $0.6 million in the prior year. In 2015, arrangement consideration of $17.3 million related to the KHK license agreement was allocated to the license unit of accounting and is being recognized as revenue ratably over our expected service period (currently expected to be through 2029), commencing on the date of the first delivery of the clinical trial materials, which occurred in June 2015.</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80" w:firstLine="598"/>
        <w:spacing w:after="0" w:line="272" w:lineRule="auto"/>
        <w:rPr>
          <w:sz w:val="20"/>
          <w:szCs w:val="20"/>
          <w:color w:val="auto"/>
        </w:rPr>
      </w:pPr>
      <w:r>
        <w:rPr>
          <w:rFonts w:ascii="Arial" w:cs="Arial" w:eastAsia="Arial" w:hAnsi="Arial"/>
          <w:sz w:val="17"/>
          <w:szCs w:val="17"/>
          <w:color w:val="auto"/>
        </w:rPr>
        <w:t>For the year ended December 31, 2016, our total research and development expenses increased $22.1 million, or 232%, to $31.7 million from $9.5 million for the prior year. These increases were primarily due to increased patient accrual costs in E2112, higher expenses associated with the Phase 2 expansion of ENCORE 601, and the commencement of ENCORE 602 as well which represented an overall increase in clinical and research activities of $13.5 million as well as the $5.0 million upfront payment related to expanding the pipeline with SNDX-6352. In addition, there were also increases in employee compensation costs of $2.4 million, legal and consulting activities of $0.6 million, facilities costs of $0.4 million and travel costs of $0.1 million. The increase in employee compensation costs was primarily due to on-boarding expenses of $2.2 million related to 14 additional employees, restructuring costs of $0.1 million, and non-cash stock-based compensation expense of $0.1 million.</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left="239"/>
              <w:spacing w:after="0"/>
              <w:rPr>
                <w:sz w:val="20"/>
                <w:szCs w:val="20"/>
                <w:color w:val="auto"/>
              </w:rPr>
            </w:pPr>
            <w:r>
              <w:rPr>
                <w:rFonts w:ascii="Arial" w:cs="Arial" w:eastAsia="Arial" w:hAnsi="Arial"/>
                <w:sz w:val="14"/>
                <w:szCs w:val="14"/>
                <w:b w:val="1"/>
                <w:bCs w:val="1"/>
                <w:color w:val="auto"/>
                <w:w w:val="91"/>
              </w:rPr>
              <w:t>Increase</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vMerge w:val="restart"/>
          </w:tcPr>
          <w:p>
            <w:pPr>
              <w:spacing w:after="0"/>
              <w:rPr>
                <w:sz w:val="14"/>
                <w:szCs w:val="14"/>
                <w:color w:val="auto"/>
              </w:rPr>
            </w:pPr>
          </w:p>
        </w:tc>
        <w:tc>
          <w:tcPr>
            <w:tcW w:w="41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4"/>
                <w:szCs w:val="14"/>
                <w:b w:val="1"/>
                <w:bCs w:val="1"/>
                <w:color w:val="auto"/>
                <w:w w:val="92"/>
              </w:rPr>
              <w:t>(Decrease)</w:t>
            </w:r>
          </w:p>
        </w:tc>
        <w:tc>
          <w:tcPr>
            <w:tcW w:w="5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vMerge w:val="continue"/>
          </w:tcPr>
          <w:p>
            <w:pPr>
              <w:spacing w:after="0"/>
              <w:rPr>
                <w:sz w:val="13"/>
                <w:szCs w:val="13"/>
                <w:color w:val="auto"/>
              </w:rPr>
            </w:pPr>
          </w:p>
        </w:tc>
        <w:tc>
          <w:tcPr>
            <w:tcW w:w="4140" w:type="dxa"/>
            <w:vAlign w:val="bottom"/>
            <w:tcBorders>
              <w:bottom w:val="single" w:sz="8" w:color="CFF0FC"/>
            </w:tcBorders>
            <w:vMerge w:val="continue"/>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5,957</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6,429</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3,592</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2,837</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7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140" w:type="dxa"/>
            <w:vAlign w:val="bottom"/>
            <w:vMerge w:val="continue"/>
            <w:shd w:val="clear" w:color="auto" w:fill="CFF0FC"/>
          </w:tcPr>
          <w:p>
            <w:pPr>
              <w:spacing w:after="0"/>
              <w:rPr>
                <w:sz w:val="20"/>
                <w:szCs w:val="20"/>
                <w:color w:val="auto"/>
              </w:rPr>
            </w:pPr>
          </w:p>
        </w:tc>
        <w:tc>
          <w:tcPr>
            <w:tcW w:w="19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31,665</w:t>
            </w:r>
          </w:p>
        </w:tc>
        <w:tc>
          <w:tcPr>
            <w:tcW w:w="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w:t>
            </w:r>
          </w:p>
        </w:tc>
        <w:tc>
          <w:tcPr>
            <w:tcW w:w="54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22,116</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bottom w:val="single" w:sz="8" w:color="CFF0FC"/>
            </w:tcBorders>
            <w:vMerge w:val="restart"/>
          </w:tcPr>
          <w:p>
            <w:pPr>
              <w:jc w:val="right"/>
              <w:ind w:right="610"/>
              <w:spacing w:after="0"/>
              <w:rPr>
                <w:sz w:val="20"/>
                <w:szCs w:val="20"/>
                <w:color w:val="auto"/>
              </w:rPr>
            </w:pPr>
            <w:r>
              <w:rPr>
                <w:rFonts w:ascii="Arial" w:cs="Arial" w:eastAsia="Arial" w:hAnsi="Arial"/>
                <w:sz w:val="18"/>
                <w:szCs w:val="18"/>
                <w:color w:val="auto"/>
              </w:rPr>
              <w:t>79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83" w:name="page84"/>
    <w:bookmarkEnd w:id="83"/>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For the year ended December 31, 2016, our total general and administrative expenses increased $1.7 million, or 15%, to $13.3 million, from $11.6 million for the prior year. The increase in general and administrative expenses was primarily due to increases in employee compensation of $1.3 million, directors’ and officers’ insurance and other costs related to being a public company of $1.0 million, and facilities costs of $0.2 million. These increases were partially offset by decreases in legal and consulting expenses of $0.8 million primarily due to lower patent legal costs and lower spending related to market research during 2016 compared to 2015. The increase in employee compensation of $1.3 million was due to increased salary expense of $1.1 million due to increased headcount and non-cash charges related to stock-based compensation of $0.8 million. These increases were partially offset by a decrease in restructuring costs of $0.6 million.</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For the year ended December 31, 2016, interest income (expense), net, increased $2.4 million from the prior year. The increase was primarily due to interest earned on our cash, cash equivalents and short-term investments of $0.9 million in 2016 compared to $0.5 million in 2015, which increased as a result of the $50.5 million of net proceeds from our IPO in March 2016 and $79.6 million of net proceeds from our Series C-1 preferred stock financing during the second and third quarters of 2015. In addition, for 2015, interest income (expense), net, included interest expense on the $9.0 million of term loans that were funded in December 2014. The term loans were paid in full in October 2015, and there was no interest-bearing debt outstanding as of December 31, 2016 and December 31, 2015.</w:t>
      </w:r>
    </w:p>
    <w:p>
      <w:pPr>
        <w:spacing w:after="0" w:line="30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1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The decrease in expense of $0.5 million in the change in fair value of common stock warrant liability for the year ended December 31, 2016, compared to the prior year was due to the expiration of the anti-dilution provision contained in the Bayer warrant as a result of the closing of our IPO during the first quarter of 2016, upon which the warrant liability was reclassified to additional paid-in capital.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In March 2016, we completed our IPO whereby we sold 4,809,475 shares of our common stock at the price of $12.00 per share, resulting in total net proceeds of $50.5 million, after deducting underwriting discounts and commissions and offering expenses. In May 2017, we completed a follow-on public offering whereby we sold 3,950,190 shares of our common stock at a price of $13.25 per share, resulting in total net proceeds of $48.7 million, net of underwriting discounts and commissions and estimated offering expenses. In October 2017, we issued to BVF 2,021,018 shares of our common stock at a price of $12.37 per share. Net proceeds after deducting expenses were approximately $24.9 million.</w:t>
      </w:r>
    </w:p>
    <w:p>
      <w:pPr>
        <w:spacing w:after="0" w:line="173"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Since our inception and through December 31, 2017, our operations have been financed primarily by net proceeds from the sale of convertible preferred stock and convertible debt securities, proceeds from our license agreements and the issuance of common stock. As of December 31, 2017, our cash, cash equivalents, short-term and long-term investments were $133.2 million. We believe that our existing cash, cash equivalents, short-term and long-term investments will be sufficient to fund our projected operating expenses and capital expenditure requirements for at least the next 12 months.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4" w:name="page85"/>
    <w:bookmarkEnd w:id="84"/>
    <w:p>
      <w:pPr>
        <w:ind w:right="220" w:firstLine="598"/>
        <w:spacing w:after="0" w:line="264"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73" w:lineRule="exact"/>
        <w:rPr>
          <w:sz w:val="20"/>
          <w:szCs w:val="20"/>
          <w:color w:val="auto"/>
        </w:rPr>
      </w:pPr>
    </w:p>
    <w:p>
      <w:pPr>
        <w:ind w:left="1200" w:hanging="598"/>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17" w:lineRule="exact"/>
        <w:rPr>
          <w:rFonts w:ascii="Arial" w:cs="Arial" w:eastAsia="Arial" w:hAnsi="Arial"/>
          <w:sz w:val="18"/>
          <w:szCs w:val="18"/>
          <w:color w:val="auto"/>
        </w:rPr>
      </w:pPr>
    </w:p>
    <w:p>
      <w:pPr>
        <w:ind w:left="1200" w:right="300" w:hanging="598"/>
        <w:spacing w:after="0" w:line="308" w:lineRule="auto"/>
        <w:tabs>
          <w:tab w:leader="none" w:pos="12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8" w:lineRule="exact"/>
        <w:rPr>
          <w:rFonts w:ascii="Arial" w:cs="Arial" w:eastAsia="Arial" w:hAnsi="Arial"/>
          <w:sz w:val="17"/>
          <w:szCs w:val="17"/>
          <w:color w:val="auto"/>
        </w:rPr>
      </w:pPr>
    </w:p>
    <w:p>
      <w:pPr>
        <w:jc w:val="both"/>
        <w:ind w:left="1200" w:right="240" w:hanging="598"/>
        <w:spacing w:after="0" w:line="264"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3" w:lineRule="exact"/>
        <w:rPr>
          <w:rFonts w:ascii="Arial" w:cs="Arial" w:eastAsia="Arial" w:hAnsi="Arial"/>
          <w:sz w:val="18"/>
          <w:szCs w:val="18"/>
          <w:color w:val="auto"/>
        </w:rPr>
      </w:pPr>
    </w:p>
    <w:p>
      <w:pPr>
        <w:ind w:left="1200" w:hanging="598"/>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17" w:lineRule="exact"/>
        <w:rPr>
          <w:rFonts w:ascii="Arial" w:cs="Arial" w:eastAsia="Arial" w:hAnsi="Arial"/>
          <w:sz w:val="18"/>
          <w:szCs w:val="18"/>
          <w:color w:val="auto"/>
        </w:rPr>
      </w:pPr>
    </w:p>
    <w:p>
      <w:pPr>
        <w:ind w:left="1200" w:right="500" w:hanging="598"/>
        <w:spacing w:after="0" w:line="27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28" w:lineRule="exact"/>
        <w:rPr>
          <w:rFonts w:ascii="Arial" w:cs="Arial" w:eastAsia="Arial" w:hAnsi="Arial"/>
          <w:sz w:val="17"/>
          <w:szCs w:val="17"/>
          <w:color w:val="auto"/>
        </w:rPr>
      </w:pPr>
    </w:p>
    <w:p>
      <w:pPr>
        <w:ind w:left="1200" w:right="560" w:hanging="598"/>
        <w:spacing w:after="0" w:line="277" w:lineRule="auto"/>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either candidate receives regulatory approval and we determine to commercialize it ourselves;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w:t>
      </w:r>
    </w:p>
    <w:p>
      <w:pPr>
        <w:spacing w:after="0" w:line="248"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154"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We have incurred losses and cumulative negative cash flows from operations since our inception. As of December 31, 2017, we had an accumulated deficit of $366.1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cash flows:</w:t>
      </w:r>
    </w:p>
    <w:p>
      <w:pPr>
        <w:spacing w:after="0" w:line="200" w:lineRule="exact"/>
        <w:rPr>
          <w:sz w:val="20"/>
          <w:szCs w:val="20"/>
          <w:color w:val="auto"/>
        </w:rPr>
      </w:pPr>
    </w:p>
    <w:p>
      <w:pPr>
        <w:spacing w:after="0" w:line="291" w:lineRule="exact"/>
        <w:rPr>
          <w:sz w:val="20"/>
          <w:szCs w:val="20"/>
          <w:color w:val="auto"/>
        </w:rPr>
      </w:pPr>
    </w:p>
    <w:p>
      <w:pPr>
        <w:ind w:left="1140"/>
        <w:spacing w:after="0"/>
        <w:rPr>
          <w:sz w:val="20"/>
          <w:szCs w:val="20"/>
          <w:color w:val="auto"/>
        </w:rPr>
      </w:pPr>
      <w:r>
        <w:rPr>
          <w:rFonts w:ascii="Arial" w:cs="Arial" w:eastAsia="Arial" w:hAnsi="Arial"/>
          <w:sz w:val="14"/>
          <w:szCs w:val="14"/>
          <w:i w:val="1"/>
          <w:iCs w:val="1"/>
          <w:color w:val="auto"/>
        </w:rPr>
        <w:t>(in thousands)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operating activities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investing activities</w:t>
      </w:r>
    </w:p>
    <w:p>
      <w:pPr>
        <w:spacing w:after="0" w:line="3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Net cash provided by financing activities</w:t>
      </w:r>
    </w:p>
    <w:p>
      <w:pPr>
        <w:spacing w:after="0" w:line="73" w:lineRule="exact"/>
        <w:rPr>
          <w:sz w:val="20"/>
          <w:szCs w:val="20"/>
          <w:color w:val="auto"/>
        </w:rPr>
      </w:pPr>
    </w:p>
    <w:p>
      <w:pPr>
        <w:jc w:val="right"/>
        <w:ind w:right="2292"/>
        <w:spacing w:after="0"/>
        <w:rPr>
          <w:sz w:val="20"/>
          <w:szCs w:val="20"/>
          <w:color w:val="auto"/>
        </w:rPr>
      </w:pPr>
      <w:r>
        <w:rPr>
          <w:rFonts w:ascii="Arial" w:cs="Arial" w:eastAsia="Arial" w:hAnsi="Arial"/>
          <w:sz w:val="18"/>
          <w:szCs w:val="18"/>
          <w:color w:val="auto"/>
        </w:rPr>
        <w:t>Net increase in cash and cash equivalents</w:t>
      </w:r>
    </w:p>
    <w:p>
      <w:pPr>
        <w:spacing w:after="0" w:line="200" w:lineRule="exact"/>
        <w:rPr>
          <w:sz w:val="20"/>
          <w:szCs w:val="20"/>
          <w:color w:val="auto"/>
        </w:rPr>
      </w:pPr>
    </w:p>
    <w:p>
      <w:pPr>
        <w:spacing w:after="0" w:line="22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2"/>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9380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5" w:lineRule="exact"/>
        <w:rPr>
          <w:sz w:val="20"/>
          <w:szCs w:val="20"/>
          <w:color w:val="auto"/>
        </w:rPr>
      </w:pPr>
    </w:p>
    <w:p>
      <w:pPr>
        <w:ind w:left="228"/>
        <w:spacing w:after="0"/>
        <w:tabs>
          <w:tab w:leader="none" w:pos="1347" w:val="left"/>
          <w:tab w:leader="none" w:pos="2488"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0</wp:posOffset>
            </wp:positionV>
            <wp:extent cx="579755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ind w:left="208" w:hanging="208"/>
        <w:spacing w:after="0"/>
        <w:tabs>
          <w:tab w:leader="none" w:pos="2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(47,371)    $ (35,157)    $   (2,428)</w:t>
      </w:r>
    </w:p>
    <w:p>
      <w:pPr>
        <w:spacing w:after="0" w:line="33" w:lineRule="exact"/>
        <w:rPr>
          <w:rFonts w:ascii="Arial" w:cs="Arial" w:eastAsia="Arial" w:hAnsi="Arial"/>
          <w:sz w:val="18"/>
          <w:szCs w:val="18"/>
          <w:color w:val="auto"/>
        </w:rPr>
      </w:pPr>
    </w:p>
    <w:p>
      <w:pPr>
        <w:ind w:left="208"/>
        <w:spacing w:after="0"/>
        <w:rPr>
          <w:rFonts w:ascii="Arial" w:cs="Arial" w:eastAsia="Arial" w:hAnsi="Arial"/>
          <w:sz w:val="18"/>
          <w:szCs w:val="18"/>
          <w:color w:val="auto"/>
        </w:rPr>
      </w:pPr>
      <w:r>
        <w:rPr>
          <w:rFonts w:ascii="Arial" w:cs="Arial" w:eastAsia="Arial" w:hAnsi="Arial"/>
          <w:sz w:val="18"/>
          <w:szCs w:val="18"/>
          <w:color w:val="auto"/>
        </w:rPr>
        <w:t>(17,027)(18,380)</w:t>
      </w:r>
      <w:r>
        <w:rPr>
          <w:rFonts w:ascii="Arial" w:cs="Arial" w:eastAsia="Arial" w:hAnsi="Arial"/>
          <w:sz w:val="16"/>
          <w:szCs w:val="16"/>
          <w:color w:val="auto"/>
        </w:rPr>
        <w:t>(61,669)</w:t>
      </w:r>
    </w:p>
    <w:p>
      <w:pPr>
        <w:spacing w:after="0" w:line="36" w:lineRule="exact"/>
        <w:rPr>
          <w:rFonts w:ascii="Arial" w:cs="Arial" w:eastAsia="Arial" w:hAnsi="Arial"/>
          <w:sz w:val="18"/>
          <w:szCs w:val="18"/>
          <w:color w:val="auto"/>
        </w:rPr>
      </w:pPr>
    </w:p>
    <w:p>
      <w:pPr>
        <w:ind w:left="268"/>
        <w:spacing w:after="0"/>
        <w:rPr>
          <w:rFonts w:ascii="Arial" w:cs="Arial" w:eastAsia="Arial" w:hAnsi="Arial"/>
          <w:sz w:val="18"/>
          <w:szCs w:val="18"/>
          <w:color w:val="auto"/>
        </w:rPr>
      </w:pPr>
      <w:r>
        <w:rPr>
          <w:rFonts w:ascii="Arial" w:cs="Arial" w:eastAsia="Arial" w:hAnsi="Arial"/>
          <w:sz w:val="18"/>
          <w:szCs w:val="18"/>
          <w:u w:val="single" w:color="auto"/>
          <w:color w:val="auto"/>
        </w:rPr>
        <w:t>75,72254,202</w:t>
      </w:r>
      <w:r>
        <w:rPr>
          <w:rFonts w:ascii="Arial" w:cs="Arial" w:eastAsia="Arial" w:hAnsi="Arial"/>
          <w:sz w:val="16"/>
          <w:szCs w:val="16"/>
          <w:color w:val="auto"/>
        </w:rPr>
        <w:t>77,267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-139065</wp:posOffset>
            </wp:positionV>
            <wp:extent cx="579755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30" w:lineRule="exact"/>
        <w:rPr>
          <w:sz w:val="20"/>
          <w:szCs w:val="20"/>
          <w:color w:val="auto"/>
        </w:rPr>
      </w:pPr>
    </w:p>
    <w:p>
      <w:pPr>
        <w:ind w:left="8"/>
        <w:spacing w:after="0"/>
        <w:tabs>
          <w:tab w:leader="none" w:pos="247" w:val="left"/>
          <w:tab w:leader="none" w:pos="1107" w:val="left"/>
          <w:tab w:leader="none" w:pos="1607" w:val="left"/>
          <w:tab w:leader="none" w:pos="2248" w:val="left"/>
          <w:tab w:leader="none" w:pos="2528"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11,324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665</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13,170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9380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38020" cy="26035"/>
                    </a:xfrm>
                    <a:prstGeom prst="rect">
                      <a:avLst/>
                    </a:prstGeom>
                    <a:noFill/>
                  </pic:spPr>
                </pic:pic>
              </a:graphicData>
            </a:graphic>
          </wp:anchor>
        </w:drawing>
      </w:r>
    </w:p>
    <w:p>
      <w:pPr>
        <w:spacing w:after="0" w:line="738" w:lineRule="exact"/>
        <w:rPr>
          <w:sz w:val="20"/>
          <w:szCs w:val="20"/>
          <w:color w:val="auto"/>
        </w:rPr>
      </w:pPr>
    </w:p>
    <w:p>
      <w:pPr>
        <w:sectPr>
          <w:pgSz w:w="11900" w:h="16838" w:orient="portrait"/>
          <w:cols w:equalWidth="0" w:num="2">
            <w:col w:w="6412" w:space="720"/>
            <w:col w:w="4248"/>
          </w:cols>
          <w:pgMar w:left="240" w:top="665" w:right="279" w:bottom="1440" w:gutter="0" w:footer="0" w:header="0"/>
        </w:sectPr>
      </w:pPr>
    </w:p>
    <w:p>
      <w:pPr>
        <w:ind w:firstLine="598"/>
        <w:spacing w:after="0" w:line="302" w:lineRule="auto"/>
        <w:rPr>
          <w:sz w:val="20"/>
          <w:szCs w:val="20"/>
          <w:color w:val="auto"/>
        </w:rPr>
      </w:pPr>
      <w:r>
        <w:rPr>
          <w:rFonts w:ascii="Arial" w:cs="Arial" w:eastAsia="Arial" w:hAnsi="Arial"/>
          <w:sz w:val="16"/>
          <w:szCs w:val="16"/>
          <w:color w:val="auto"/>
        </w:rPr>
        <w:t>Net cash used in operating activities for the year ended December 31, 2017 was $47.4 million and primarily consisted of our net loss of $60.8 million adjusted for non-cash items, including stock-based compensation of $5.5 million and a net increase in operating assets and liabilities of $7.7 million. The significant items in the increase in operating assets and liabilities include increases in accrued expenses and other liabilities of $5.3 and increase in deferred revenue of $2.9 million partially offset by an increase in prepaid expenses and other assets of $0.3 million and a decrease in account payable of $0.2 million.</w:t>
      </w:r>
    </w:p>
    <w:p>
      <w:pPr>
        <w:spacing w:after="0" w:line="15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Net cash used in operating activities for the year ended December 31, 2016 was $35.2 million and primarily consisted of our net loss of $38.1 million adjusted for non-cash items including stock-based compensation of $4.7 million and the change in fair value of warrants of $1.7 million and a net increase in operating assets and liabilities of $2.9 million. The significant items in the increase in operating assets and liabilities include an increase in prepaid expenses and other assets of $1.6 million and a decrease in deferred revenue of $1.2 million partially offset by increases in accounts payable of $0.9 million and accrued expenses and other liabilities of $4.8 million</w:t>
      </w:r>
    </w:p>
    <w:p>
      <w:pPr>
        <w:spacing w:after="0" w:line="188"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Net cash used in operating activities for the year ended December 31, 2015 was $2.4 million and primarily consisted of our net loss of $17.0 million adjusted for non-cash items including stock-based compensation of $3.9 million, the change in fair value of warrants of $2.1 million, amortization of debt discount and debt issuance costs of $0.8 million, and amortization and accretion of investments of $0.3 million and a net increase in operating assets and liabilities of $14.6 million. The significant items in the increase in operating assets and liabilities include increases in deferred revenue of $16.7 million and accounts payable of $1.0 million partially offset by an increase in prepaid expenses and other assets of $1.2 million and a decrease in accrued expenses and other liabilities of $1.9 million. The increase in deferred revenue of $16.7 million was due to the proceeds we received during the first quarter of 2015 from the KHK license agreement related to the upfront license fee of $17.3 million, net of license fee revenue recognized during the year ended December 31, 2015.</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Net cash used in investing activities for the year ended December 31, 2017 was $17.0 million and was primarily due to the purchase of $152.3 million of available-for-sale marketable securities partially offset by $135.3 million in proceeds from the maturities of available-for-sale marketable securities and purchases of property and equipment of $0.1 million.</w:t>
      </w:r>
    </w:p>
    <w:p>
      <w:pPr>
        <w:spacing w:after="0" w:line="181" w:lineRule="exact"/>
        <w:rPr>
          <w:sz w:val="20"/>
          <w:szCs w:val="20"/>
          <w:color w:val="auto"/>
        </w:rPr>
      </w:pPr>
    </w:p>
    <w:p>
      <w:pPr>
        <w:ind w:right="520" w:firstLine="598"/>
        <w:spacing w:after="0" w:line="286" w:lineRule="auto"/>
        <w:rPr>
          <w:sz w:val="20"/>
          <w:szCs w:val="20"/>
          <w:color w:val="auto"/>
        </w:rPr>
      </w:pPr>
      <w:r>
        <w:rPr>
          <w:rFonts w:ascii="Arial" w:cs="Arial" w:eastAsia="Arial" w:hAnsi="Arial"/>
          <w:sz w:val="17"/>
          <w:szCs w:val="17"/>
          <w:color w:val="auto"/>
        </w:rPr>
        <w:t>Net cash used in investing activities for the year ended December 31, 2016 was $18.4 million and was primarily due to the purchase of $158.3 million of available-for-sale marketable securities partially offset by $140.3 million in proceeds from the maturities of available-for-sale marketable securities, purchases of property and equipment of $0.3 million and an increase in restricted cash of $0.1 million.</w:t>
      </w:r>
    </w:p>
    <w:p>
      <w:pPr>
        <w:spacing w:after="0" w:line="166"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Net cash used in investing activities for the year ended December 31, 2015 was $61.7 million and was primarily due to the purchase of $102.0 million of available-for-sale marketable securities partially offset by $40.5 million in proceeds from the maturities of available-for-sale marketable securities and an increase in restricted cash of $0.1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type w:val="continuous"/>
        </w:sectPr>
      </w:pPr>
    </w:p>
    <w:bookmarkStart w:id="86" w:name="page87"/>
    <w:bookmarkEnd w:id="86"/>
    <w:p>
      <w:pPr>
        <w:ind w:left="60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2017 was $75.7 million and was primarily due to the $48.7 million of net proceeds from our follow-on offering, $24.9 million in net proceeds from our direct stock placement with BVF, $1.7 million of net proceeds from our “at-the-market” offering and $0.4 million of proceeds from stock option exercises and ESPP employee withholdings.</w:t>
      </w:r>
    </w:p>
    <w:p>
      <w:pPr>
        <w:spacing w:after="0" w:line="181"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2016 was $54.2 million and was primarily due to the $52.1 million of proceeds from our IPO, net of underwriting discounts and commissions of $4.0 million and other direct costs of $1.5 million, and $2.1 million of proceeds from stock option exercises.</w:t>
      </w:r>
    </w:p>
    <w:p>
      <w:pPr>
        <w:spacing w:after="0" w:line="18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2015 was $77.3 million and was primarily due to the proceeds from the KHK license agreement and stock purchase agreement with KHK, of which $7.7 million related to the issuance of Series B-1 convertible preferred stock, and proceeds from the Series C-1 financings of $79.6 million, net of $0.4 million of issuance costs, partially offset by the $9.0 million early repayment of the term loans during the fourth quarter of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significant contractual obligations as of December 31,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4"/>
                <w:szCs w:val="1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Less than</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3 to 5</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60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1 Year</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Operating leases for office space </w:t>
            </w:r>
            <w:r>
              <w:rPr>
                <w:rFonts w:ascii="Arial" w:cs="Arial" w:eastAsia="Arial" w:hAnsi="Arial"/>
                <w:sz w:val="15"/>
                <w:szCs w:val="15"/>
                <w:color w:val="auto"/>
              </w:rPr>
              <w:t>(1)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3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 xml:space="preserve">Operating lease for office equipment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Capital lease for office equipment </w:t>
            </w:r>
            <w:r>
              <w:rPr>
                <w:rFonts w:ascii="Arial" w:cs="Arial" w:eastAsia="Arial" w:hAnsi="Arial"/>
                <w:sz w:val="15"/>
                <w:szCs w:val="15"/>
                <w:color w:val="auto"/>
              </w:rPr>
              <w:t>(3)</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0" w:right="120" w:hanging="592"/>
        <w:spacing w:after="0" w:line="289" w:lineRule="auto"/>
        <w:tabs>
          <w:tab w:leader="none" w:pos="600" w:val="left"/>
        </w:tabs>
        <w:numPr>
          <w:ilvl w:val="0"/>
          <w:numId w:val="47"/>
        </w:numPr>
        <w:rPr>
          <w:rFonts w:ascii="Arial" w:cs="Arial" w:eastAsia="Arial" w:hAnsi="Arial"/>
          <w:sz w:val="14"/>
          <w:szCs w:val="14"/>
          <w:color w:val="auto"/>
        </w:rPr>
      </w:pPr>
      <w:r>
        <w:rPr>
          <w:rFonts w:ascii="Arial" w:cs="Arial" w:eastAsia="Arial" w:hAnsi="Arial"/>
          <w:sz w:val="16"/>
          <w:szCs w:val="16"/>
          <w:color w:val="auto"/>
        </w:rPr>
        <w:t>In December 2013, we entered into a 40-month non-cancelable operating lease for office space in Waltham, Massachusetts, that expired on April 10, 2017. In September 2016, we entered into a new five-year operating lease for office space in Waltham, Massachusetts, with a lease commencement date of March 1, 2017. We have the right to terminate the Waltham lease after three years as long as proper notice is given and a termination fee of $55,000 is paid on the lease termination date. The landlord also has the right to terminate the Waltham least after three years as long as proper notice is given. In December 2015, we entered into a new 62-month building lease for office space in New York, New York, which commenced on January 1, 2016. We have the right to terminate the New York lease after 38 months as long as proper notice is given and a termination fee equal to three months’ rent is paid on the lease termination date. The minimum lease payments above do not include any related common area maintenance charges or real estate taxes. In November 2017, we entered into a new 12-month office lease for office space in San Diego, California, which commenced on January 1, 2018. The minimum lease payment above includes all related common area maintenance change and real estate taxes.</w:t>
      </w:r>
    </w:p>
    <w:p>
      <w:pPr>
        <w:spacing w:after="0" w:line="58" w:lineRule="exact"/>
        <w:rPr>
          <w:rFonts w:ascii="Arial" w:cs="Arial" w:eastAsia="Arial" w:hAnsi="Arial"/>
          <w:sz w:val="14"/>
          <w:szCs w:val="14"/>
          <w:color w:val="auto"/>
        </w:rPr>
      </w:pPr>
    </w:p>
    <w:p>
      <w:pPr>
        <w:ind w:left="600" w:hanging="592"/>
        <w:spacing w:after="0"/>
        <w:tabs>
          <w:tab w:leader="none" w:pos="600" w:val="left"/>
        </w:tabs>
        <w:numPr>
          <w:ilvl w:val="0"/>
          <w:numId w:val="47"/>
        </w:numPr>
        <w:rPr>
          <w:rFonts w:ascii="Arial" w:cs="Arial" w:eastAsia="Arial" w:hAnsi="Arial"/>
          <w:sz w:val="15"/>
          <w:szCs w:val="15"/>
          <w:color w:val="auto"/>
        </w:rPr>
      </w:pPr>
      <w:r>
        <w:rPr>
          <w:rFonts w:ascii="Arial" w:cs="Arial" w:eastAsia="Arial" w:hAnsi="Arial"/>
          <w:sz w:val="18"/>
          <w:szCs w:val="18"/>
          <w:color w:val="auto"/>
        </w:rPr>
        <w:t>In February 2016, we entered into a five-year non-cancelable operating lease for office equipment.</w:t>
      </w:r>
    </w:p>
    <w:p>
      <w:pPr>
        <w:spacing w:after="0" w:line="117" w:lineRule="exact"/>
        <w:rPr>
          <w:rFonts w:ascii="Arial" w:cs="Arial" w:eastAsia="Arial" w:hAnsi="Arial"/>
          <w:sz w:val="15"/>
          <w:szCs w:val="15"/>
          <w:color w:val="auto"/>
        </w:rPr>
      </w:pPr>
    </w:p>
    <w:p>
      <w:pPr>
        <w:ind w:left="600" w:hanging="592"/>
        <w:spacing w:after="0" w:line="277" w:lineRule="auto"/>
        <w:tabs>
          <w:tab w:leader="none" w:pos="600" w:val="left"/>
        </w:tabs>
        <w:numPr>
          <w:ilvl w:val="0"/>
          <w:numId w:val="47"/>
        </w:numPr>
        <w:rPr>
          <w:rFonts w:ascii="Arial" w:cs="Arial" w:eastAsia="Arial" w:hAnsi="Arial"/>
          <w:sz w:val="15"/>
          <w:szCs w:val="15"/>
          <w:color w:val="auto"/>
        </w:rPr>
      </w:pPr>
      <w:r>
        <w:rPr>
          <w:rFonts w:ascii="Arial" w:cs="Arial" w:eastAsia="Arial" w:hAnsi="Arial"/>
          <w:sz w:val="18"/>
          <w:szCs w:val="18"/>
          <w:color w:val="auto"/>
        </w:rPr>
        <w:t>In December 2013, we entered into a five-year non-cancelable lease for office equipment, which is accounted for as a capital lease. The leased asset is included in property, plant and equipment,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-1811655</wp:posOffset>
            </wp:positionV>
            <wp:extent cx="10547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50" w:lineRule="exact"/>
        <w:rPr>
          <w:sz w:val="20"/>
          <w:szCs w:val="20"/>
          <w:color w:val="auto"/>
        </w:rPr>
      </w:pPr>
    </w:p>
    <w:p>
      <w:pPr>
        <w:ind w:right="200" w:firstLine="598"/>
        <w:spacing w:after="0" w:line="255" w:lineRule="auto"/>
        <w:rPr>
          <w:sz w:val="20"/>
          <w:szCs w:val="20"/>
          <w:color w:val="auto"/>
        </w:rPr>
      </w:pPr>
      <w:r>
        <w:rPr>
          <w:rFonts w:ascii="Arial" w:cs="Arial" w:eastAsia="Arial" w:hAnsi="Arial"/>
          <w:sz w:val="18"/>
          <w:szCs w:val="18"/>
          <w:color w:val="auto"/>
        </w:rPr>
        <w:t>The contractual obligations table does not include any potential contingent payments upon the achievement by us of clinical, regulatory and commercial events, as applicable, or royalty payments we may be required to make under license or collaboration agreements we have entered into with various entities pursuant to which we have in-licensed certain intellectual property. See “Business—Collaborations,” “Business—License Agreements” and “Business—In-Licensed Intellectual Property” for additional information. The table also excludes potential payments we may be required to make under manufacturing agreements as the timing of when these payments will actually be made is uncertain and the payments are contingent upon the initiation and completion of future activities.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At December 31, 2017, we had federal and state tax net operating loss carryforwards of approximately $44.9 million and $26.0 million, respectively. The federal and state net operating loss carryforwards expire at various dates through 2037. Any federal net operating loss incurred in 2018 and in future years may now be carried forward indefinitely pursuant to the Tax Cuts and Jobs Act of 2017. It is uncertain if and to what extent various states will conform to the newly enacted federal tax law. At December 31, 2017, we had available income tax credits of approximately $2.6 million, which are available to reduce future income taxes, if any. These income tax credits begin to expire in 2021.</w:t>
      </w:r>
    </w:p>
    <w:p>
      <w:pPr>
        <w:spacing w:after="0" w:line="188"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260" w:firstLine="598"/>
        <w:spacing w:after="0" w:line="31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may remain an emerging growth company for up to five years.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39" w:lineRule="exact"/>
        <w:rPr>
          <w:sz w:val="20"/>
          <w:szCs w:val="20"/>
          <w:color w:val="auto"/>
        </w:rPr>
      </w:pPr>
    </w:p>
    <w:p>
      <w:pPr>
        <w:ind w:left="1200" w:hanging="59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non-binding stockholder advisory votes on executive compensation or golden parachute arrangements;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We have taken advantage of reduced reporting burdens in this Annual Report on Form 10-K. In particular, in this Annual Report on Form 10-K, we have not included all of the executive compensation related information that would be required if we were not an emerging growth company. We may take advantage of these exemptions for up to five years or such earlier time that we are no longer an emerging growth company. We would cease to be an emerging growth company if we have more than $1.07 billion in annual revenues as of the end of any fiscal year, if we are deemed to be a large accelerated filer under the rules of the Securities and Exchange Commission, or SEC, or if we issue more than $1.0 billion of non- convertible debt over a three-year period.</w:t>
      </w:r>
    </w:p>
    <w:p>
      <w:pPr>
        <w:spacing w:after="0" w:line="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December 31, 2017, we had cash and cash equivalents of $35.2 million, consisting of overnight investments, interest-bearing money market funds and highly rated corporate bonds, short-term investments of $94.8 million and long-term investments of $3.2 million, consisting of commercial paper and highly rated corporate bonds. Our primary exposure to market risk is interest rate sensitivity, which is affected by changes in the general level of U.S. interest rates. The primary objectives of our investment activities 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8" w:name="page89"/>
    <w:bookmarkEnd w:id="88"/>
    <w:p>
      <w:pPr>
        <w:ind w:right="20"/>
        <w:spacing w:after="0" w:line="276" w:lineRule="auto"/>
        <w:rPr>
          <w:sz w:val="20"/>
          <w:szCs w:val="20"/>
          <w:color w:val="auto"/>
        </w:rPr>
      </w:pPr>
      <w:r>
        <w:rPr>
          <w:rFonts w:ascii="Arial" w:cs="Arial" w:eastAsia="Arial" w:hAnsi="Arial"/>
          <w:sz w:val="17"/>
          <w:szCs w:val="17"/>
          <w:color w:val="auto"/>
        </w:rPr>
        <w:t>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 We do not believe that inflation and changing prices had a significant impact on our results of operations for any periods presented herein.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in this Annual Report on Form 10-K beginning on page F-1.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21" w:lineRule="exact"/>
        <w:rPr>
          <w:sz w:val="20"/>
          <w:szCs w:val="20"/>
          <w:color w:val="auto"/>
        </w:rPr>
      </w:pPr>
    </w:p>
    <w:p>
      <w:pPr>
        <w:ind w:right="60" w:firstLine="598"/>
        <w:spacing w:after="0" w:line="287"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Annual Report on Form 10-K, the effectiveness of our disclosure controls and procedures. Based on that evaluation of our disclosure controls and procedures as of December 31, 2017, our principal executive officer and principal financial officer concluded that our disclosure controls and procedures as of such date are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Our management, under the supervision and with the participation of our Chief Executive Officer and Chief Financial Officer, conducted an evaluation of the effectiveness of our internal control over financial reporting as of December 31, 2017 based on the framework in Internal Control-Integrated Framework issued by the Committee of Sponsoring Organizations of the Treadway Commission (2013 Framework). Based on the results of its evaluation, management concluded that our internal control over financial reporting was effective as of December 31, 2017.</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an exemption established by the JOBS Act for “emerging growth companies.”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sections titled “Information About Our Board of Directors”, “Executive Officers”, “The Board of Directors and Its Committees,” and “Section 16(a) Beneficial Ownership Reporting Compliance” in our 2018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“Executive Officer and Director Compensation” in our 2018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“Security Ownership of Certain Beneficial Owners and Management and Related Stockholder Matters” in our 2018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20" w:firstLine="59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 titled “The Board of Directors and Its Committees – Board Independence” and “Certain Relationships and Related Party Transactions” in our 2018 Proxy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information set forth in the section titled “Independent Registered Public Accounting Firm Fees” contained in Proposal 2 in our 2018 Proxy Statement.</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response to this portion of Item 15 is set forth under Item 8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gridSpan w:val="5"/>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No.</w:t>
            </w:r>
          </w:p>
        </w:tc>
        <w:tc>
          <w:tcPr>
            <w:tcW w:w="1004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26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70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Amended and Restated Certificate of Incorporation of the Company (incorporated herein by reference to Exhibit 3.1 to the Company’s</w:t>
              </w:r>
            </w:hyperlink>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5"/>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Current Report on Form 8-K (File No. 001-37708), as filed with the SEC on March 8,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jc w:val="right"/>
              <w:ind w:right="819"/>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620" w:type="dxa"/>
            <w:vAlign w:val="bottom"/>
            <w:tcBorders>
              <w:bottom w:val="single" w:sz="8" w:color="0000EE"/>
            </w:tcBorders>
            <w:gridSpan w:val="3"/>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Amended and Restated Bylaws of the Company (incorporated herein by reference to Exhibit 3.1 to the Company’s Current Report on</w:t>
              </w:r>
            </w:hyperlink>
          </w:p>
        </w:tc>
        <w:tc>
          <w:tcPr>
            <w:tcW w:w="4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5"/>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Form 8-K (File No. 001-37708), as filed with the SEC on March 8,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tcBorders>
              <w:top w:val="single" w:sz="8" w:color="0000EE"/>
            </w:tcBorders>
          </w:tcPr>
          <w:p>
            <w:pPr>
              <w:ind w:left="4240"/>
              <w:spacing w:after="0"/>
              <w:rPr>
                <w:sz w:val="20"/>
                <w:szCs w:val="20"/>
                <w:color w:val="auto"/>
              </w:rPr>
            </w:pPr>
            <w:r>
              <w:rPr>
                <w:rFonts w:ascii="Arial" w:cs="Arial" w:eastAsia="Arial" w:hAnsi="Arial"/>
                <w:sz w:val="18"/>
                <w:szCs w:val="18"/>
                <w:color w:val="auto"/>
              </w:rPr>
              <w:t>87</w:t>
            </w:r>
          </w:p>
        </w:tc>
        <w:tc>
          <w:tcPr>
            <w:tcW w:w="1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300" w:type="dxa"/>
            <w:vAlign w:val="bottom"/>
            <w:gridSpan w:val="20"/>
            <w:vMerge w:val="restart"/>
          </w:tcPr>
          <w:p>
            <w:pPr>
              <w:ind w:left="9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1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6300" w:type="dxa"/>
            <w:vAlign w:val="bottom"/>
            <w:gridSpan w:val="20"/>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4"/>
                <w:szCs w:val="14"/>
                <w:color w:val="auto"/>
              </w:rPr>
            </w:pPr>
          </w:p>
        </w:tc>
        <w:tc>
          <w:tcPr>
            <w:tcW w:w="9620" w:type="dxa"/>
            <w:vAlign w:val="bottom"/>
            <w:tcBorders>
              <w:top w:val="single" w:sz="8" w:color="auto"/>
              <w:bottom w:val="single" w:sz="8" w:color="0000EE"/>
            </w:tcBorders>
            <w:gridSpan w:val="12"/>
          </w:tcPr>
          <w:p>
            <w:pPr>
              <w:spacing w:after="0" w:line="170"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Specimen Common Stock Certificate of the Company (incorporated herein by reference to Exhibit 4.1 to the Company’s Registration</w:t>
              </w:r>
            </w:hyperlink>
          </w:p>
        </w:tc>
        <w:tc>
          <w:tcPr>
            <w:tcW w:w="420" w:type="dxa"/>
            <w:vAlign w:val="bottom"/>
            <w:tcBorders>
              <w:top w:val="single" w:sz="8" w:color="auto"/>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Statement on Form S-1/A (File No. 333-208861), as filed with the SEC on February 20,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Form of Warrant to purchase Common Stock issued pursuant to the Warrant Agreement by and between the Company and Bayer Schering</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Pharma AG, dated as of March 26, 2007 (incorporated herein by reference to Exhibit 4.2 to the Company’s Registration Statement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Form S-1 (File No. 333-208861), as filed with the SEC on January 4, 2016).</w:t>
              </w:r>
            </w:hyperlink>
          </w:p>
        </w:tc>
        <w:tc>
          <w:tcPr>
            <w:tcW w:w="4120" w:type="dxa"/>
            <w:vAlign w:val="bottom"/>
            <w:tcBorders>
              <w:top w:val="single" w:sz="8" w:color="0000EE"/>
            </w:tcBorders>
            <w:gridSpan w:val="9"/>
          </w:tcPr>
          <w:p>
            <w:pPr>
              <w:spacing w:after="0"/>
              <w:rPr>
                <w:sz w:val="17"/>
                <w:szCs w:val="17"/>
                <w:color w:val="auto"/>
              </w:rPr>
            </w:pPr>
          </w:p>
        </w:tc>
        <w:tc>
          <w:tcPr>
            <w:tcW w:w="4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9760" w:type="dxa"/>
            <w:vAlign w:val="bottom"/>
            <w:tcBorders>
              <w:bottom w:val="single" w:sz="8" w:color="0000EE"/>
            </w:tcBorders>
            <w:gridSpan w:val="15"/>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Form of Indenture, between the Registrant and one or more trustees to be named (incorporated herein by reference to Exhibit 4.5 to the</w:t>
              </w:r>
            </w:hyperlink>
          </w:p>
        </w:tc>
        <w:tc>
          <w:tcPr>
            <w:tcW w:w="2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Company’s Registration Statement on Form S-3 (File No. 333-217172), as filed with the SEC on April 6, 2017).</w:t>
              </w:r>
            </w:hyperlink>
          </w:p>
        </w:tc>
        <w:tc>
          <w:tcPr>
            <w:tcW w:w="19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9760" w:type="dxa"/>
            <w:vAlign w:val="bottom"/>
            <w:tcBorders>
              <w:bottom w:val="single" w:sz="8" w:color="0000EE"/>
            </w:tcBorders>
            <w:gridSpan w:val="15"/>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Common Stock Warrant Agreement and Warrant Certificate (incorporated herein by reference to Exhibit 4.7 to the Company’s</w:t>
              </w:r>
            </w:hyperlink>
          </w:p>
        </w:tc>
        <w:tc>
          <w:tcPr>
            <w:tcW w:w="2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Registration Statement on Form S-3 (File No. 333-217172), as filed with the SEC on April 6, 2017).</w:t>
              </w:r>
            </w:hyperlink>
          </w:p>
        </w:tc>
        <w:tc>
          <w:tcPr>
            <w:tcW w:w="28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9740" w:type="dxa"/>
            <w:vAlign w:val="bottom"/>
            <w:tcBorders>
              <w:bottom w:val="single" w:sz="8" w:color="0000EE"/>
            </w:tcBorders>
            <w:gridSpan w:val="14"/>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Form of Debt Securities Warrant Agreement and Warrant Certificate (incorporated herein by reference to Exhibit 4.9 to the Company’s</w:t>
              </w:r>
            </w:hyperlink>
          </w:p>
        </w:tc>
        <w:tc>
          <w:tcPr>
            <w:tcW w:w="30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Registration Statement on Form S-3 (File No. 333-217172), as filed with the SEC on April 6, 2017).</w:t>
              </w:r>
            </w:hyperlink>
          </w:p>
        </w:tc>
        <w:tc>
          <w:tcPr>
            <w:tcW w:w="28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9840" w:type="dxa"/>
            <w:vAlign w:val="bottom"/>
            <w:tcBorders>
              <w:bottom w:val="single" w:sz="8" w:color="0000EE"/>
            </w:tcBorders>
            <w:gridSpan w:val="19"/>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Form of Preferred Stock Warrant Agreement and Warrant Certificate  (incorporated herein by reference to Exhibit 4.8 to the Company’s</w:t>
              </w:r>
            </w:hyperlink>
          </w:p>
        </w:tc>
        <w:tc>
          <w:tcPr>
            <w:tcW w:w="2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Registration Statement on Form S-3 (File No. 333-217172), as filed with the SEC on April 6, 2017).</w:t>
              </w:r>
            </w:hyperlink>
          </w:p>
        </w:tc>
        <w:tc>
          <w:tcPr>
            <w:tcW w:w="280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Warrant Agreement by and between the company and Bayer Schering Pharma AG, dated as of March 26, 2007 (incorporated herein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top w:val="single" w:sz="8" w:color="0000EE"/>
            </w:tcBorders>
            <w:gridSpan w:val="13"/>
          </w:tcPr>
          <w:p>
            <w:pPr>
              <w:spacing w:after="0" w:line="196" w:lineRule="exact"/>
              <w:rPr>
                <w:rFonts w:ascii="Arial" w:cs="Arial" w:eastAsia="Arial" w:hAnsi="Arial"/>
                <w:sz w:val="18"/>
                <w:szCs w:val="18"/>
                <w:color w:val="0000EE"/>
                <w:w w:val="95"/>
              </w:rPr>
            </w:pPr>
            <w:hyperlink r:id="rId127">
              <w:r>
                <w:rPr>
                  <w:rFonts w:ascii="Arial" w:cs="Arial" w:eastAsia="Arial" w:hAnsi="Arial"/>
                  <w:sz w:val="18"/>
                  <w:szCs w:val="18"/>
                  <w:color w:val="0000EE"/>
                  <w:w w:val="95"/>
                </w:rPr>
                <w:t>reference to Exhibit 10.2 to the Company’s Registration Statement on Form S-1 (File No. 333-208861), as filed with the SEC on</w:t>
              </w:r>
            </w:hyperlink>
          </w:p>
        </w:tc>
        <w:tc>
          <w:tcPr>
            <w:tcW w:w="3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January 4, 2016).</w:t>
              </w:r>
            </w:hyperlink>
          </w:p>
        </w:tc>
        <w:tc>
          <w:tcPr>
            <w:tcW w:w="8000" w:type="dxa"/>
            <w:vAlign w:val="bottom"/>
            <w:tcBorders>
              <w:top w:val="single" w:sz="8" w:color="0000EE"/>
            </w:tcBorders>
            <w:gridSpan w:val="9"/>
          </w:tcPr>
          <w:p>
            <w:pPr>
              <w:spacing w:after="0"/>
              <w:rPr>
                <w:sz w:val="17"/>
                <w:szCs w:val="17"/>
                <w:color w:val="auto"/>
              </w:rPr>
            </w:pPr>
          </w:p>
        </w:tc>
        <w:tc>
          <w:tcPr>
            <w:tcW w:w="78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3"/>
              </w:rPr>
            </w:pPr>
            <w:hyperlink r:id="rId128">
              <w:r>
                <w:rPr>
                  <w:rFonts w:ascii="Arial" w:cs="Arial" w:eastAsia="Arial" w:hAnsi="Arial"/>
                  <w:sz w:val="18"/>
                  <w:szCs w:val="18"/>
                  <w:color w:val="0000EE"/>
                  <w:w w:val="93"/>
                </w:rPr>
                <w:t>2007 Stock Plan (incorporated herein by reference to Exhibit 10.3 to the Company’s Registration Statement on Form S-1 (File No. 333-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4, 2016).</w:t>
              </w:r>
            </w:hyperlink>
          </w:p>
        </w:tc>
        <w:tc>
          <w:tcPr>
            <w:tcW w:w="2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900" w:type="dxa"/>
            <w:vAlign w:val="bottom"/>
            <w:tcBorders>
              <w:bottom w:val="single" w:sz="8" w:color="0000EE"/>
            </w:tcBorders>
            <w:gridSpan w:val="20"/>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2007 Stock Plan Amendment, dated as of March 8, 2013 (incorporated herein by reference to Exhibit 10.4 to the Company’s Registration</w:t>
              </w:r>
            </w:hyperlink>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80" w:type="dxa"/>
            <w:vAlign w:val="bottom"/>
            <w:gridSpan w:val="4"/>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820" w:type="dxa"/>
            <w:vAlign w:val="bottom"/>
            <w:tcBorders>
              <w:bottom w:val="single" w:sz="8" w:color="0000EE"/>
            </w:tcBorders>
            <w:gridSpan w:val="18"/>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2007 Stock Plan Amendment, dated as of July 10, 2013 (incorporated herein by reference to Exhibit 10.5 to the Company’s Registration</w:t>
              </w:r>
            </w:hyperlink>
          </w:p>
        </w:tc>
        <w:tc>
          <w:tcPr>
            <w:tcW w:w="2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80" w:type="dxa"/>
            <w:vAlign w:val="bottom"/>
            <w:gridSpan w:val="4"/>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160" w:type="dxa"/>
            <w:vAlign w:val="bottom"/>
            <w:tcBorders>
              <w:bottom w:val="single" w:sz="8" w:color="0000EE"/>
            </w:tcBorders>
            <w:gridSpan w:val="9"/>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2007 Stock Plan Amendment, dated as of January 23, 2014 (incorporated herein by reference to Exhibit 10.6 to the Company’s</w:t>
              </w:r>
            </w:hyperlink>
          </w:p>
        </w:tc>
        <w:tc>
          <w:tcPr>
            <w:tcW w:w="8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Registration Statement on Form S-1 (File No. 333-208861), as filed with the SEC on January 4, 2016).</w:t>
              </w:r>
            </w:hyperlink>
          </w:p>
        </w:tc>
        <w:tc>
          <w:tcPr>
            <w:tcW w:w="26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340" w:type="dxa"/>
            <w:vAlign w:val="bottom"/>
            <w:tcBorders>
              <w:bottom w:val="single" w:sz="8" w:color="0000EE"/>
            </w:tcBorders>
            <w:gridSpan w:val="11"/>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2007 Stock Plan Amendment, dated as of December 17, 2014 (incorporated herein by reference to Exhibit 10.7 to the Company’s</w:t>
              </w:r>
            </w:hyperlink>
          </w:p>
        </w:tc>
        <w:tc>
          <w:tcPr>
            <w:tcW w:w="70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Registration Statement on Form S-1 (File No. 333-208861), as filed with the SEC on January 4, 2016).</w:t>
              </w:r>
            </w:hyperlink>
          </w:p>
        </w:tc>
        <w:tc>
          <w:tcPr>
            <w:tcW w:w="26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2007 Stock Plan Amendment, dated as of May 28, 2015 (incorporated herein by reference to Exhibit 10.8 to the Company’s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Statement on Form S-1 (File No. 333-208861), as filed with the SEC on January 4, 2016).</w:t>
              </w:r>
            </w:hyperlink>
          </w:p>
        </w:tc>
        <w:tc>
          <w:tcPr>
            <w:tcW w:w="2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80" w:type="dxa"/>
            <w:vAlign w:val="bottom"/>
            <w:gridSpan w:val="4"/>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0040" w:type="dxa"/>
            <w:vAlign w:val="bottom"/>
            <w:tcBorders>
              <w:bottom w:val="single" w:sz="8" w:color="0000EE"/>
            </w:tcBorders>
            <w:gridSpan w:val="22"/>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2007 Stock Plan Amendment, dated as of August 20, 2015 (incorporated herein by reference to Exhibit 10.9 to the Company’s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Statement on Form S-1 (File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80" w:type="dxa"/>
            <w:vAlign w:val="bottom"/>
            <w:gridSpan w:val="4"/>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3"/>
              </w:rPr>
            </w:pPr>
            <w:hyperlink r:id="rId135">
              <w:r>
                <w:rPr>
                  <w:rFonts w:ascii="Arial" w:cs="Arial" w:eastAsia="Arial" w:hAnsi="Arial"/>
                  <w:sz w:val="18"/>
                  <w:szCs w:val="18"/>
                  <w:color w:val="0000EE"/>
                  <w:w w:val="93"/>
                </w:rPr>
                <w:t>Form of Incentive Stock Option Agreement under 2007 Stock Plan (incorporated herein by reference to Exhibit 10.10 to the Company’s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Registration Statement on Form S-1 (File No. 333-208861), as filed with the SEC on January 4, 2016).</w:t>
              </w:r>
            </w:hyperlink>
          </w:p>
        </w:tc>
        <w:tc>
          <w:tcPr>
            <w:tcW w:w="2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00" w:type="dxa"/>
            <w:vAlign w:val="bottom"/>
            <w:tcBorders>
              <w:top w:val="single" w:sz="8" w:color="0000EE"/>
            </w:tcBorders>
            <w:gridSpan w:val="3"/>
          </w:tcPr>
          <w:p>
            <w:pPr>
              <w:ind w:left="4240"/>
              <w:spacing w:after="0"/>
              <w:rPr>
                <w:sz w:val="20"/>
                <w:szCs w:val="20"/>
                <w:color w:val="auto"/>
              </w:rPr>
            </w:pPr>
            <w:r>
              <w:rPr>
                <w:rFonts w:ascii="Arial" w:cs="Arial" w:eastAsia="Arial" w:hAnsi="Arial"/>
                <w:sz w:val="18"/>
                <w:szCs w:val="18"/>
                <w:color w:val="auto"/>
              </w:rPr>
              <w:t>88</w:t>
            </w:r>
          </w:p>
        </w:tc>
        <w:tc>
          <w:tcPr>
            <w:tcW w:w="9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60" w:type="dxa"/>
            <w:vAlign w:val="bottom"/>
            <w:gridSpan w:val="19"/>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60" w:type="dxa"/>
            <w:vAlign w:val="bottom"/>
            <w:gridSpan w:val="1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4"/>
                <w:szCs w:val="14"/>
                <w:color w:val="auto"/>
              </w:rPr>
            </w:pPr>
          </w:p>
        </w:tc>
        <w:tc>
          <w:tcPr>
            <w:tcW w:w="9300" w:type="dxa"/>
            <w:vAlign w:val="bottom"/>
            <w:tcBorders>
              <w:top w:val="single" w:sz="8" w:color="auto"/>
              <w:bottom w:val="single" w:sz="8" w:color="0000EE"/>
            </w:tcBorders>
            <w:gridSpan w:val="9"/>
          </w:tcPr>
          <w:p>
            <w:pPr>
              <w:spacing w:after="0" w:line="170"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Form of Non-Statutory Stock Option Agreement under 2007 Stock Plan (incorporated herein by reference to Exhibit 10.11 to the</w:t>
              </w:r>
            </w:hyperlink>
          </w:p>
        </w:tc>
        <w:tc>
          <w:tcPr>
            <w:tcW w:w="740" w:type="dxa"/>
            <w:vAlign w:val="bottom"/>
            <w:tcBorders>
              <w:top w:val="single" w:sz="8" w:color="auto"/>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Company’s Registration Statement on Form S-1 (File No. 333-208861), as filed with the SEC on January 4, 2016).</w:t>
              </w:r>
            </w:hyperlink>
          </w:p>
        </w:tc>
        <w:tc>
          <w:tcPr>
            <w:tcW w:w="176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9680" w:type="dxa"/>
            <w:vAlign w:val="bottom"/>
            <w:tcBorders>
              <w:bottom w:val="single" w:sz="8" w:color="0000EE"/>
            </w:tcBorders>
            <w:gridSpan w:val="12"/>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2015 Omnibus Incentive Plan (incorporated herein by reference to Exhibit 10.1 to the Company’s Registration Statement on Form S-8</w:t>
              </w:r>
            </w:hyperlink>
          </w:p>
        </w:tc>
        <w:tc>
          <w:tcPr>
            <w:tcW w:w="3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(File No. 333-210412), as filed with the SEC on March 25, 2016).</w:t>
              </w:r>
            </w:hyperlink>
          </w:p>
        </w:tc>
        <w:tc>
          <w:tcPr>
            <w:tcW w:w="5260" w:type="dxa"/>
            <w:vAlign w:val="bottom"/>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9920" w:type="dxa"/>
            <w:vAlign w:val="bottom"/>
            <w:tcBorders>
              <w:bottom w:val="single" w:sz="8" w:color="0000EE"/>
            </w:tcBorders>
            <w:gridSpan w:val="19"/>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Form of Incentive Stock Option Agreement under 2015 Omnibus Incentive Plan (incorporated herein by reference to Exhibit 10.13 to the</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Company’s Registration Statement on Form S-1 (File No. 333-208861), as filed with the SEC on January 4, 2016).</w:t>
              </w:r>
            </w:hyperlink>
          </w:p>
        </w:tc>
        <w:tc>
          <w:tcPr>
            <w:tcW w:w="176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9840" w:type="dxa"/>
            <w:vAlign w:val="bottom"/>
            <w:tcBorders>
              <w:bottom w:val="single" w:sz="8" w:color="0000EE"/>
            </w:tcBorders>
            <w:gridSpan w:val="15"/>
          </w:tcPr>
          <w:p>
            <w:pPr>
              <w:spacing w:after="0"/>
              <w:rPr>
                <w:rFonts w:ascii="Arial" w:cs="Arial" w:eastAsia="Arial" w:hAnsi="Arial"/>
                <w:sz w:val="18"/>
                <w:szCs w:val="18"/>
                <w:color w:val="0000EE"/>
                <w:w w:val="91"/>
              </w:rPr>
            </w:pPr>
            <w:hyperlink r:id="rId141">
              <w:r>
                <w:rPr>
                  <w:rFonts w:ascii="Arial" w:cs="Arial" w:eastAsia="Arial" w:hAnsi="Arial"/>
                  <w:sz w:val="18"/>
                  <w:szCs w:val="18"/>
                  <w:color w:val="0000EE"/>
                  <w:w w:val="91"/>
                </w:rPr>
                <w:t>Form of Non-Qualified Option Agreement under 2015 Omnibus Incentive Plan (incorporated herein by reference to Exhibit 10.14 to the</w:t>
              </w:r>
            </w:hyperlink>
          </w:p>
        </w:tc>
        <w:tc>
          <w:tcPr>
            <w:tcW w:w="20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Company’s Registration Statement on Form S-1 (File No. 333-208861), as filed with the SEC on January 4, 2016).</w:t>
              </w:r>
            </w:hyperlink>
          </w:p>
        </w:tc>
        <w:tc>
          <w:tcPr>
            <w:tcW w:w="176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4"/>
                <w:szCs w:val="24"/>
                <w:color w:val="auto"/>
              </w:rPr>
            </w:pPr>
          </w:p>
        </w:tc>
        <w:tc>
          <w:tcPr>
            <w:tcW w:w="9900" w:type="dxa"/>
            <w:vAlign w:val="bottom"/>
            <w:tcBorders>
              <w:bottom w:val="single" w:sz="8" w:color="0000EE"/>
            </w:tcBorders>
            <w:gridSpan w:val="18"/>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2015 Employee Stock Purchase Plan (incorporated herein by reference to Exhibit 4.16 to the Company’s Registration Statement on Form</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S-8 (File No. 333-210412), as filed with the SEC on March 25,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7"/>
              </w:rPr>
            </w:pPr>
            <w:hyperlink r:id="rId143">
              <w:r>
                <w:rPr>
                  <w:rFonts w:ascii="Arial" w:cs="Arial" w:eastAsia="Arial" w:hAnsi="Arial"/>
                  <w:sz w:val="18"/>
                  <w:szCs w:val="18"/>
                  <w:color w:val="0000EE"/>
                  <w:w w:val="97"/>
                </w:rPr>
                <w:t>Executive Employment Agreement by and between the company and Briggs W. Morrison, M.D., dated as of September 30, 2015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(incorporated herein by reference to Exhibit 10.16 to the Company’s Registration Statement on Form S-1 (File No. 333-208861), as filed</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9880" w:type="dxa"/>
            <w:vAlign w:val="bottom"/>
            <w:tcBorders>
              <w:bottom w:val="single" w:sz="8" w:color="0000EE"/>
            </w:tcBorders>
            <w:gridSpan w:val="17"/>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Executive Employment Agreement by and between the company and Michael A. Metzger, dated as of September 30, 2015 (incorporated</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herein by reference to Exhibit 10.17 to the Company’s Registration Statement on Form S-1 (File No. 333-208861), as filed with the SEC</w:t>
              </w:r>
            </w:hyperlink>
          </w:p>
        </w:tc>
        <w:tc>
          <w:tcPr>
            <w:tcW w:w="1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6"/>
              </w:rPr>
            </w:pPr>
            <w:hyperlink r:id="rId145">
              <w:r>
                <w:rPr>
                  <w:rFonts w:ascii="Arial" w:cs="Arial" w:eastAsia="Arial" w:hAnsi="Arial"/>
                  <w:sz w:val="18"/>
                  <w:szCs w:val="18"/>
                  <w:color w:val="0000EE"/>
                  <w:w w:val="96"/>
                </w:rPr>
                <w:t>Executive Employment Agreement by and between the Company and Michael L. Meyers, M.D., Ph.D., dated as of October 1, 2015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(incorporated herein by reference to Exhibit 10.18 to the Company’s Registration Statement on Form S-1 (File No. 333-208861), as filed</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9880" w:type="dxa"/>
            <w:vAlign w:val="bottom"/>
            <w:tcBorders>
              <w:bottom w:val="single" w:sz="8" w:color="0000EE"/>
            </w:tcBorders>
            <w:gridSpan w:val="17"/>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Executive Employment Agreement by and between the Company and Richard P. Shea, dated as of February 9, 2017 (incorporated herein</w:t>
              </w:r>
            </w:hyperlink>
          </w:p>
        </w:tc>
        <w:tc>
          <w:tcPr>
            <w:tcW w:w="1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by reference to Exhibit 10.1 to the Company’s Quarterly Report on Form 10-Q, as filed with the SEC on August 10,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2"/>
              </w:rPr>
            </w:pPr>
            <w:hyperlink r:id="rId147">
              <w:r>
                <w:rPr>
                  <w:rFonts w:ascii="Arial" w:cs="Arial" w:eastAsia="Arial" w:hAnsi="Arial"/>
                  <w:sz w:val="18"/>
                  <w:szCs w:val="18"/>
                  <w:color w:val="0000EE"/>
                  <w:w w:val="92"/>
                </w:rPr>
                <w:t>Form of Indemnification Agreement by and between the company and each of its directors and officers (incorporated herein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to Exhibit 10.21 to the Company’s Registration Statement on Form S-1 (File No. 333-208861), as filed with the SEC on January 4, 2016).</w:t>
              </w:r>
            </w:hyperlink>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10.20†</w:t>
            </w:r>
          </w:p>
        </w:tc>
        <w:tc>
          <w:tcPr>
            <w:tcW w:w="9580" w:type="dxa"/>
            <w:vAlign w:val="bottom"/>
            <w:tcBorders>
              <w:bottom w:val="single" w:sz="8" w:color="0000EE"/>
            </w:tcBorders>
            <w:gridSpan w:val="11"/>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License, Development and Commercialization Agreement by and between the company and Bayer Schering Pharma AG, dated as of</w:t>
              </w:r>
            </w:hyperlink>
          </w:p>
        </w:tc>
        <w:tc>
          <w:tcPr>
            <w:tcW w:w="46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March 26, 2007 (incorporated herein by reference to Exhibit 10.22 to the Company’s Registration Statement on Form S-1 (File No. 333-</w:t>
              </w:r>
            </w:hyperlink>
          </w:p>
        </w:tc>
        <w:tc>
          <w:tcPr>
            <w:tcW w:w="2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10.21†</w:t>
            </w:r>
          </w:p>
        </w:tc>
        <w:tc>
          <w:tcPr>
            <w:tcW w:w="10040" w:type="dxa"/>
            <w:vAlign w:val="bottom"/>
            <w:gridSpan w:val="23"/>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First Amendment to the License, Development and Commercialization Agreement by and between the company and Bayer Pharma AG,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dated as of October 13, 2012 (incorporated herein by reference to Exhibit 10.23 to the Company’s Registration Statement on Form S-1</w:t>
              </w:r>
            </w:hyperlink>
          </w:p>
        </w:tc>
        <w:tc>
          <w:tcPr>
            <w:tcW w:w="2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(File No. 333-208861), as filed with the SEC on January 4, 2016).</w:t>
              </w:r>
            </w:hyperlink>
          </w:p>
        </w:tc>
        <w:tc>
          <w:tcPr>
            <w:tcW w:w="4920" w:type="dxa"/>
            <w:vAlign w:val="bottom"/>
            <w:tcBorders>
              <w:top w:val="single" w:sz="8" w:color="0000EE"/>
            </w:tcBorders>
            <w:gridSpan w:val="8"/>
          </w:tcPr>
          <w:p>
            <w:pPr>
              <w:spacing w:after="0"/>
              <w:rPr>
                <w:sz w:val="17"/>
                <w:szCs w:val="17"/>
                <w:color w:val="auto"/>
              </w:rPr>
            </w:pPr>
          </w:p>
        </w:tc>
        <w:tc>
          <w:tcPr>
            <w:tcW w:w="3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4"/>
                <w:szCs w:val="24"/>
                <w:color w:val="auto"/>
              </w:rPr>
            </w:pPr>
          </w:p>
        </w:tc>
        <w:tc>
          <w:tcPr>
            <w:tcW w:w="10040" w:type="dxa"/>
            <w:vAlign w:val="bottom"/>
            <w:gridSpan w:val="23"/>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Second Amendment to the License, Development and Commercialization Agreement by and between the company and Bayer Pharma AG,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dated as of February 1, 2013 (incorporated herein by reference to Exhibit 10.24 to the Company’s Registration Statement on Form S-1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(File No. 333-208861), as filed with the SEC on January 4, 2016).</w:t>
              </w:r>
            </w:hyperlink>
          </w:p>
        </w:tc>
        <w:tc>
          <w:tcPr>
            <w:tcW w:w="4900" w:type="dxa"/>
            <w:vAlign w:val="bottom"/>
            <w:tcBorders>
              <w:top w:val="single" w:sz="8" w:color="0000EE"/>
            </w:tcBorders>
            <w:gridSpan w:val="7"/>
          </w:tcPr>
          <w:p>
            <w:pPr>
              <w:spacing w:after="0"/>
              <w:rPr>
                <w:sz w:val="17"/>
                <w:szCs w:val="17"/>
                <w:color w:val="auto"/>
              </w:rPr>
            </w:pPr>
          </w:p>
        </w:tc>
        <w:tc>
          <w:tcPr>
            <w:tcW w:w="3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10.23†</w:t>
            </w:r>
          </w:p>
        </w:tc>
        <w:tc>
          <w:tcPr>
            <w:tcW w:w="9900" w:type="dxa"/>
            <w:vAlign w:val="bottom"/>
            <w:tcBorders>
              <w:bottom w:val="single" w:sz="8" w:color="0000EE"/>
            </w:tcBorders>
            <w:gridSpan w:val="18"/>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Third Amendment to the License, Development and Commercialization Agreement by and between the company and Bayer Pharma AG,</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dated as of October 9, 2013 (incorporated herein by reference to Exhibit 10.25 to the Company’s Registration Statement on Form S-1 (File</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3"/>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5"/>
          </w:tcPr>
          <w:p>
            <w:pPr>
              <w:ind w:left="4240"/>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20" w:type="dxa"/>
            <w:vAlign w:val="bottom"/>
            <w:gridSpan w:val="18"/>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20" w:type="dxa"/>
            <w:vAlign w:val="bottom"/>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8"/>
                <w:szCs w:val="18"/>
                <w:color w:val="auto"/>
              </w:rPr>
              <w:t>10.24†</w:t>
            </w:r>
          </w:p>
        </w:tc>
        <w:tc>
          <w:tcPr>
            <w:tcW w:w="120" w:type="dxa"/>
            <w:vAlign w:val="bottom"/>
          </w:tcPr>
          <w:p>
            <w:pPr>
              <w:spacing w:after="0"/>
              <w:rPr>
                <w:sz w:val="14"/>
                <w:szCs w:val="14"/>
                <w:color w:val="auto"/>
              </w:rPr>
            </w:pPr>
          </w:p>
        </w:tc>
        <w:tc>
          <w:tcPr>
            <w:tcW w:w="9940" w:type="dxa"/>
            <w:vAlign w:val="bottom"/>
            <w:tcBorders>
              <w:top w:val="single" w:sz="8" w:color="auto"/>
              <w:bottom w:val="single" w:sz="8" w:color="0000EE"/>
            </w:tcBorders>
            <w:gridSpan w:val="23"/>
          </w:tcPr>
          <w:p>
            <w:pPr>
              <w:spacing w:after="0" w:line="170" w:lineRule="exact"/>
              <w:rPr>
                <w:rFonts w:ascii="Arial" w:cs="Arial" w:eastAsia="Arial" w:hAnsi="Arial"/>
                <w:sz w:val="18"/>
                <w:szCs w:val="18"/>
                <w:color w:val="0000EE"/>
                <w:w w:val="89"/>
              </w:rPr>
            </w:pPr>
            <w:hyperlink r:id="rId154">
              <w:r>
                <w:rPr>
                  <w:rFonts w:ascii="Arial" w:cs="Arial" w:eastAsia="Arial" w:hAnsi="Arial"/>
                  <w:sz w:val="18"/>
                  <w:szCs w:val="18"/>
                  <w:color w:val="0000EE"/>
                  <w:w w:val="89"/>
                </w:rPr>
                <w:t>Letter Agreement by and between the company and Bayer Pharma AG, dated as of September 18, 2014 (incorporated herein by reference</w:t>
              </w:r>
            </w:hyperlink>
          </w:p>
        </w:tc>
        <w:tc>
          <w:tcPr>
            <w:tcW w:w="100" w:type="dxa"/>
            <w:vAlign w:val="bottom"/>
            <w:tcBorders>
              <w:top w:val="single" w:sz="8" w:color="auto"/>
            </w:tcBorders>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to Exhibit 10.26 to the Company’s Registration Statement on Form S-1 (File No. 333-208861), as filed with the SEC on January 4, 2016).</w:t>
              </w:r>
            </w:hyperlink>
          </w:p>
        </w:tc>
        <w:tc>
          <w:tcPr>
            <w:tcW w:w="8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10.25†</w:t>
            </w:r>
          </w:p>
        </w:tc>
        <w:tc>
          <w:tcPr>
            <w:tcW w:w="10040" w:type="dxa"/>
            <w:vAlign w:val="bottom"/>
            <w:gridSpan w:val="27"/>
          </w:tcPr>
          <w:p>
            <w:pPr>
              <w:spacing w:after="0"/>
              <w:rPr>
                <w:rFonts w:ascii="Arial" w:cs="Arial" w:eastAsia="Arial" w:hAnsi="Arial"/>
                <w:sz w:val="18"/>
                <w:szCs w:val="18"/>
                <w:color w:val="0000EE"/>
              </w:rPr>
            </w:pPr>
            <w:hyperlink r:id="rId155">
              <w:r>
                <w:rPr>
                  <w:rFonts w:ascii="Arial" w:cs="Arial" w:eastAsia="Arial" w:hAnsi="Arial"/>
                  <w:sz w:val="18"/>
                  <w:szCs w:val="18"/>
                  <w:color w:val="0000EE"/>
                </w:rPr>
                <w:t>Clinical Trial Agreement by and between the company and Eastern Cooperative Oncology Group, dated as of March 14, 2014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7"/>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(incorporated herein by reference to Exhibit 10.27 to the Company’s Registration Statement on Form S-1 (File No. 333-208861), as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with the SEC on January 4, 2016).</w:t>
              </w:r>
            </w:hyperlink>
          </w:p>
        </w:tc>
        <w:tc>
          <w:tcPr>
            <w:tcW w:w="1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10.26†</w:t>
            </w:r>
          </w:p>
        </w:tc>
        <w:tc>
          <w:tcPr>
            <w:tcW w:w="9620" w:type="dxa"/>
            <w:vAlign w:val="bottom"/>
            <w:tcBorders>
              <w:bottom w:val="single" w:sz="8" w:color="0000EE"/>
            </w:tcBorders>
            <w:gridSpan w:val="14"/>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Amendment No. 1 to Clinical Trial Agreement by and between the company and ECOG-ACRIN Cancer Research Group, dated as of</w:t>
              </w:r>
            </w:hyperlink>
          </w:p>
        </w:tc>
        <w:tc>
          <w:tcPr>
            <w:tcW w:w="4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January 30, 2015 (incorporated herein by reference to Exhibit 10.28 to the Company’s Registration Statement on Form S-1 (File No. 333-</w:t>
              </w:r>
            </w:hyperlink>
          </w:p>
        </w:tc>
        <w:tc>
          <w:tcPr>
            <w:tcW w:w="1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7"/>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10.27†</w:t>
            </w:r>
          </w:p>
        </w:tc>
        <w:tc>
          <w:tcPr>
            <w:tcW w:w="9960" w:type="dxa"/>
            <w:vAlign w:val="bottom"/>
            <w:tcBorders>
              <w:bottom w:val="single" w:sz="8" w:color="0000EE"/>
            </w:tcBorders>
            <w:gridSpan w:val="24"/>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Amendment No. 2 to Clinical Trial Agreement by and between the company and ECOG-ACRIN Cancer Research Group, dated as of July</w:t>
              </w:r>
            </w:hyperlink>
          </w:p>
        </w:tc>
        <w:tc>
          <w:tcPr>
            <w:tcW w:w="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7"/>
          </w:tcPr>
          <w:p>
            <w:pPr>
              <w:spacing w:after="0" w:line="196" w:lineRule="exact"/>
              <w:rPr>
                <w:rFonts w:ascii="Arial" w:cs="Arial" w:eastAsia="Arial" w:hAnsi="Arial"/>
                <w:sz w:val="18"/>
                <w:szCs w:val="18"/>
                <w:color w:val="0000EE"/>
                <w:w w:val="96"/>
              </w:rPr>
            </w:pPr>
            <w:hyperlink r:id="rId157">
              <w:r>
                <w:rPr>
                  <w:rFonts w:ascii="Arial" w:cs="Arial" w:eastAsia="Arial" w:hAnsi="Arial"/>
                  <w:sz w:val="18"/>
                  <w:szCs w:val="18"/>
                  <w:color w:val="0000EE"/>
                  <w:w w:val="96"/>
                </w:rPr>
                <w:t>31, 2015 (incorporated herein by reference to Exhibit 10.37 to the Company’s Registration Statement on Form S-1/A (File No. 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February 22, 2016).</w:t>
              </w:r>
            </w:hyperlink>
          </w:p>
        </w:tc>
        <w:tc>
          <w:tcPr>
            <w:tcW w:w="5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10.28†</w:t>
            </w:r>
          </w:p>
        </w:tc>
        <w:tc>
          <w:tcPr>
            <w:tcW w:w="9660" w:type="dxa"/>
            <w:vAlign w:val="bottom"/>
            <w:tcBorders>
              <w:bottom w:val="single" w:sz="8" w:color="0000EE"/>
            </w:tcBorders>
            <w:gridSpan w:val="15"/>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Amendment No. 3 to Clinical Trial Agreement by and between the Company and ECOG-ACRIN Cancer Research Group, dated as of</w:t>
              </w:r>
            </w:hyperlink>
          </w:p>
        </w:tc>
        <w:tc>
          <w:tcPr>
            <w:tcW w:w="3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April 20, 2016 (incorporated herein by reference to Exhibit 10.1 to the Company’s Quarterly Report on Form 10-Q, as filed with the SEC</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on August 15, 2016).</w:t>
              </w:r>
            </w:hyperlink>
          </w:p>
        </w:tc>
        <w:tc>
          <w:tcPr>
            <w:tcW w:w="850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10.29†</w:t>
            </w:r>
          </w:p>
        </w:tc>
        <w:tc>
          <w:tcPr>
            <w:tcW w:w="9660" w:type="dxa"/>
            <w:vAlign w:val="bottom"/>
            <w:tcBorders>
              <w:bottom w:val="single" w:sz="8" w:color="0000EE"/>
            </w:tcBorders>
            <w:gridSpan w:val="15"/>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Amendment No. 4 to Clinical Trial Agreement by and between the Company and ECOG-ACRIN Cancer Research Group, dated as of</w:t>
              </w:r>
            </w:hyperlink>
          </w:p>
        </w:tc>
        <w:tc>
          <w:tcPr>
            <w:tcW w:w="3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April 20, 2016 (incorporated herein by reference to Exhibit 10.2 to the Company’s Quarterly Report on Form 10-Q, as filed with the SEC</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on August 15, 2016).</w:t>
              </w:r>
            </w:hyperlink>
          </w:p>
        </w:tc>
        <w:tc>
          <w:tcPr>
            <w:tcW w:w="850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10.30†</w:t>
            </w:r>
          </w:p>
        </w:tc>
        <w:tc>
          <w:tcPr>
            <w:tcW w:w="9660" w:type="dxa"/>
            <w:vAlign w:val="bottom"/>
            <w:tcBorders>
              <w:bottom w:val="single" w:sz="8" w:color="0000EE"/>
            </w:tcBorders>
            <w:gridSpan w:val="15"/>
          </w:tcPr>
          <w:p>
            <w:pPr>
              <w:spacing w:after="0"/>
              <w:rPr>
                <w:rFonts w:ascii="Arial" w:cs="Arial" w:eastAsia="Arial" w:hAnsi="Arial"/>
                <w:sz w:val="18"/>
                <w:szCs w:val="18"/>
                <w:color w:val="0000EE"/>
                <w:w w:val="90"/>
              </w:rPr>
            </w:pPr>
            <w:hyperlink r:id="rId160">
              <w:r>
                <w:rPr>
                  <w:rFonts w:ascii="Arial" w:cs="Arial" w:eastAsia="Arial" w:hAnsi="Arial"/>
                  <w:sz w:val="18"/>
                  <w:szCs w:val="18"/>
                  <w:color w:val="0000EE"/>
                  <w:w w:val="90"/>
                </w:rPr>
                <w:t>Amendment No. 5 to Clinical Trial Agreement by and between the Company and ECOG-ACRIN Cancer Research Group, dated as of</w:t>
              </w:r>
            </w:hyperlink>
          </w:p>
        </w:tc>
        <w:tc>
          <w:tcPr>
            <w:tcW w:w="3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April 20, 2016 (incorporated herein by reference to Exhibit 10.3 to the Company’s Quarterly Report on Form 10-Q, as filed with the SEC</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on August 15, 2016).</w:t>
              </w:r>
            </w:hyperlink>
          </w:p>
        </w:tc>
        <w:tc>
          <w:tcPr>
            <w:tcW w:w="850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10.31†</w:t>
            </w:r>
          </w:p>
        </w:tc>
        <w:tc>
          <w:tcPr>
            <w:tcW w:w="9660" w:type="dxa"/>
            <w:vAlign w:val="bottom"/>
            <w:tcBorders>
              <w:bottom w:val="single" w:sz="8" w:color="0000EE"/>
            </w:tcBorders>
            <w:gridSpan w:val="15"/>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Amendment No. 6 to Clinical Trial Agreement by and between the Company and ECOG-ACRIN Cancer Research Group, dated as of</w:t>
              </w:r>
            </w:hyperlink>
          </w:p>
        </w:tc>
        <w:tc>
          <w:tcPr>
            <w:tcW w:w="3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April 25, 2016 (incorporated herein by reference to Exhibit 10.4 to the Company’s Quarterly Report on Form 10-Q, as filed with the SEC</w:t>
              </w:r>
            </w:hyperlink>
          </w:p>
        </w:tc>
        <w:tc>
          <w:tcPr>
            <w:tcW w:w="12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on August 15, 2016).</w:t>
              </w:r>
            </w:hyperlink>
          </w:p>
        </w:tc>
        <w:tc>
          <w:tcPr>
            <w:tcW w:w="850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10.32†</w:t>
            </w:r>
          </w:p>
        </w:tc>
        <w:tc>
          <w:tcPr>
            <w:tcW w:w="9880" w:type="dxa"/>
            <w:vAlign w:val="bottom"/>
            <w:tcBorders>
              <w:bottom w:val="single" w:sz="8" w:color="0000EE"/>
            </w:tcBorders>
            <w:gridSpan w:val="20"/>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Amendment No. 7 to Clinical Trial Agreement by and between the Company and ECOG-ACRIN Cancer Research Group, dated January</w:t>
              </w:r>
            </w:hyperlink>
          </w:p>
        </w:tc>
        <w:tc>
          <w:tcPr>
            <w:tcW w:w="1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7"/>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9, 2017 (incorporated herein by reference to Exhibit 10.1 to the Company’s Quarterly Report on Form 10-Q, as filed with the SEC on May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9, 2017).</w:t>
              </w:r>
            </w:hyperlink>
          </w:p>
        </w:tc>
        <w:tc>
          <w:tcPr>
            <w:tcW w:w="3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4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10.33†</w:t>
            </w:r>
          </w:p>
        </w:tc>
        <w:tc>
          <w:tcPr>
            <w:tcW w:w="10040" w:type="dxa"/>
            <w:vAlign w:val="bottom"/>
            <w:gridSpan w:val="27"/>
          </w:tcPr>
          <w:p>
            <w:pPr>
              <w:spacing w:after="0"/>
              <w:rPr>
                <w:rFonts w:ascii="Arial" w:cs="Arial" w:eastAsia="Arial" w:hAnsi="Arial"/>
                <w:sz w:val="18"/>
                <w:szCs w:val="18"/>
                <w:color w:val="0000EE"/>
                <w:w w:val="92"/>
              </w:rPr>
            </w:pPr>
            <w:hyperlink r:id="rId163">
              <w:r>
                <w:rPr>
                  <w:rFonts w:ascii="Arial" w:cs="Arial" w:eastAsia="Arial" w:hAnsi="Arial"/>
                  <w:sz w:val="18"/>
                  <w:szCs w:val="18"/>
                  <w:color w:val="0000EE"/>
                  <w:w w:val="92"/>
                </w:rPr>
                <w:t>Amendment No. 8 to Clinical Trial Agreement by and between the Company and ECOG-ACRIN Cancer Research Group, dated January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tcBorders>
            <w:gridSpan w:val="19"/>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18, 2017 (incorporated herein by reference to Exhibit 10.3 to the Company’s Quarterly Report on Form 10-Q, as filed with the SEC on</w:t>
              </w:r>
            </w:hyperlink>
          </w:p>
        </w:tc>
        <w:tc>
          <w:tcPr>
            <w:tcW w:w="1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May 9, 2017).</w:t>
              </w:r>
            </w:hyperlink>
          </w:p>
        </w:tc>
        <w:tc>
          <w:tcPr>
            <w:tcW w:w="3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10.34†</w:t>
            </w:r>
          </w:p>
        </w:tc>
        <w:tc>
          <w:tcPr>
            <w:tcW w:w="10040" w:type="dxa"/>
            <w:vAlign w:val="bottom"/>
            <w:gridSpan w:val="27"/>
          </w:tcPr>
          <w:p>
            <w:pPr>
              <w:spacing w:after="0"/>
              <w:rPr>
                <w:rFonts w:ascii="Arial" w:cs="Arial" w:eastAsia="Arial" w:hAnsi="Arial"/>
                <w:sz w:val="18"/>
                <w:szCs w:val="18"/>
                <w:color w:val="0000EE"/>
                <w:w w:val="98"/>
              </w:rPr>
            </w:pPr>
            <w:hyperlink w:anchor="page128">
              <w:r>
                <w:rPr>
                  <w:rFonts w:ascii="Arial" w:cs="Arial" w:eastAsia="Arial" w:hAnsi="Arial"/>
                  <w:sz w:val="18"/>
                  <w:szCs w:val="18"/>
                  <w:color w:val="0000EE"/>
                  <w:w w:val="98"/>
                </w:rPr>
                <w:t>Amendment No. 9 to Clinical Trial Agreement by and between the Company and ECOG-ACRIN Cancer Research Group,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November 22, 2017</w:t>
              </w:r>
              <w:r>
                <w:rPr>
                  <w:rFonts w:ascii="Arial" w:cs="Arial" w:eastAsia="Arial" w:hAnsi="Arial"/>
                  <w:sz w:val="18"/>
                  <w:szCs w:val="18"/>
                  <w:color w:val="000000"/>
                </w:rPr>
                <w:t>.</w:t>
              </w:r>
            </w:hyperlink>
          </w:p>
        </w:tc>
        <w:tc>
          <w:tcPr>
            <w:tcW w:w="78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10.35†</w:t>
            </w:r>
          </w:p>
        </w:tc>
        <w:tc>
          <w:tcPr>
            <w:tcW w:w="10040" w:type="dxa"/>
            <w:vAlign w:val="bottom"/>
            <w:gridSpan w:val="27"/>
          </w:tcPr>
          <w:p>
            <w:pPr>
              <w:spacing w:after="0"/>
              <w:rPr>
                <w:rFonts w:ascii="Arial" w:cs="Arial" w:eastAsia="Arial" w:hAnsi="Arial"/>
                <w:sz w:val="18"/>
                <w:szCs w:val="18"/>
                <w:color w:val="0000EE"/>
                <w:w w:val="94"/>
              </w:rPr>
            </w:pPr>
            <w:hyperlink r:id="rId164">
              <w:r>
                <w:rPr>
                  <w:rFonts w:ascii="Arial" w:cs="Arial" w:eastAsia="Arial" w:hAnsi="Arial"/>
                  <w:sz w:val="18"/>
                  <w:szCs w:val="18"/>
                  <w:color w:val="0000EE"/>
                  <w:w w:val="94"/>
                </w:rPr>
                <w:t>Clinical Trial Collaboration and Supply Agreement by and between the company and MSD International GmbH, dated as of March 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2015 (incorporated herein by reference to Exhibit 10.32 to the Company’s Registration Statement on Form S-1 (File No. 333-208861), as</w:t>
              </w:r>
            </w:hyperlink>
          </w:p>
        </w:tc>
        <w:tc>
          <w:tcPr>
            <w:tcW w:w="1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7"/>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10.36†</w:t>
            </w:r>
          </w:p>
        </w:tc>
        <w:tc>
          <w:tcPr>
            <w:tcW w:w="10040" w:type="dxa"/>
            <w:vAlign w:val="bottom"/>
            <w:gridSpan w:val="27"/>
          </w:tcPr>
          <w:p>
            <w:pPr>
              <w:spacing w:after="0"/>
              <w:rPr>
                <w:rFonts w:ascii="Arial" w:cs="Arial" w:eastAsia="Arial" w:hAnsi="Arial"/>
                <w:sz w:val="18"/>
                <w:szCs w:val="18"/>
                <w:color w:val="0000EE"/>
                <w:w w:val="95"/>
              </w:rPr>
            </w:pPr>
            <w:hyperlink r:id="rId165">
              <w:r>
                <w:rPr>
                  <w:rFonts w:ascii="Arial" w:cs="Arial" w:eastAsia="Arial" w:hAnsi="Arial"/>
                  <w:sz w:val="18"/>
                  <w:szCs w:val="18"/>
                  <w:color w:val="0000EE"/>
                  <w:w w:val="95"/>
                </w:rPr>
                <w:t>First Amendment to Clinical Trial Collaboration and Supply Agreement by and between the company and MSD International GmbH,</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20" w:type="dxa"/>
            <w:vAlign w:val="bottom"/>
            <w:gridSpan w:val="9"/>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60" w:type="dxa"/>
            <w:vAlign w:val="bottom"/>
            <w:gridSpan w:val="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7"/>
          </w:tcPr>
          <w:p>
            <w:pPr>
              <w:spacing w:after="0" w:line="196"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dated as of August 13, 2015 (incorporated herein by reference to Exhibit 10.38 to the Company’s Registration Statement on Form S-1/A</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(File No. 333-208861), as filed with the SEC on February 22, 2016).</w:t>
              </w:r>
            </w:hyperlink>
          </w:p>
        </w:tc>
        <w:tc>
          <w:tcPr>
            <w:tcW w:w="4860" w:type="dxa"/>
            <w:vAlign w:val="bottom"/>
            <w:tcBorders>
              <w:top w:val="single" w:sz="8" w:color="0000EE"/>
            </w:tcBorders>
            <w:gridSpan w:val="8"/>
          </w:tcPr>
          <w:p>
            <w:pPr>
              <w:spacing w:after="0"/>
              <w:rPr>
                <w:sz w:val="17"/>
                <w:szCs w:val="17"/>
                <w:color w:val="auto"/>
              </w:rPr>
            </w:pPr>
          </w:p>
        </w:tc>
        <w:tc>
          <w:tcPr>
            <w:tcW w:w="2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10.37†</w:t>
            </w:r>
          </w:p>
        </w:tc>
        <w:tc>
          <w:tcPr>
            <w:tcW w:w="9740" w:type="dxa"/>
            <w:vAlign w:val="bottom"/>
            <w:tcBorders>
              <w:bottom w:val="single" w:sz="8" w:color="0000EE"/>
            </w:tcBorders>
            <w:gridSpan w:val="17"/>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Amendment #1 to Clinical Trial Collaboration and Supply Agreement by and between the Company, Merck Sharp &amp; Dohme B.V., and</w:t>
              </w:r>
            </w:hyperlink>
          </w:p>
        </w:tc>
        <w:tc>
          <w:tcPr>
            <w:tcW w:w="3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MSD International GmbH, dated as of April 26, 2017 (incorporated herein by reference to Exhibit 10.2 to the Company’s Quarterly Report</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27"/>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on Form 10-Q, as filed with the SEC on August 10,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Borders>
              <w:top w:val="single" w:sz="8" w:color="0000EE"/>
            </w:tcBorders>
            <w:gridSpan w:val="9"/>
          </w:tcPr>
          <w:p>
            <w:pPr>
              <w:spacing w:after="0"/>
              <w:rPr>
                <w:sz w:val="24"/>
                <w:szCs w:val="24"/>
                <w:color w:val="auto"/>
              </w:rPr>
            </w:pPr>
          </w:p>
        </w:tc>
        <w:tc>
          <w:tcPr>
            <w:tcW w:w="740" w:type="dxa"/>
            <w:vAlign w:val="bottom"/>
          </w:tcPr>
          <w:p>
            <w:pPr>
              <w:jc w:val="right"/>
              <w:ind w:right="459"/>
              <w:spacing w:after="0"/>
              <w:rPr>
                <w:sz w:val="20"/>
                <w:szCs w:val="20"/>
                <w:color w:val="auto"/>
              </w:rPr>
            </w:pPr>
            <w:r>
              <w:rPr>
                <w:rFonts w:ascii="Arial" w:cs="Arial" w:eastAsia="Arial" w:hAnsi="Arial"/>
                <w:sz w:val="18"/>
                <w:szCs w:val="18"/>
                <w:color w:val="auto"/>
                <w:w w:val="89"/>
              </w:rPr>
              <w:t>90</w:t>
            </w: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720" w:type="dxa"/>
            <w:vAlign w:val="bottom"/>
            <w:gridSpan w:val="25"/>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720" w:type="dxa"/>
            <w:vAlign w:val="bottom"/>
            <w:gridSpan w:val="25"/>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8"/>
                <w:szCs w:val="18"/>
                <w:color w:val="auto"/>
              </w:rPr>
              <w:t>10.38†</w:t>
            </w:r>
          </w:p>
        </w:tc>
        <w:tc>
          <w:tcPr>
            <w:tcW w:w="120" w:type="dxa"/>
            <w:vAlign w:val="bottom"/>
          </w:tcPr>
          <w:p>
            <w:pPr>
              <w:spacing w:after="0"/>
              <w:rPr>
                <w:sz w:val="14"/>
                <w:szCs w:val="14"/>
                <w:color w:val="auto"/>
              </w:rPr>
            </w:pPr>
          </w:p>
        </w:tc>
        <w:tc>
          <w:tcPr>
            <w:tcW w:w="10040" w:type="dxa"/>
            <w:vAlign w:val="bottom"/>
            <w:tcBorders>
              <w:top w:val="single" w:sz="8" w:color="auto"/>
            </w:tcBorders>
            <w:gridSpan w:val="32"/>
          </w:tcPr>
          <w:p>
            <w:pPr>
              <w:spacing w:after="0" w:line="170" w:lineRule="exact"/>
              <w:rPr>
                <w:rFonts w:ascii="Arial" w:cs="Arial" w:eastAsia="Arial" w:hAnsi="Arial"/>
                <w:sz w:val="18"/>
                <w:szCs w:val="18"/>
                <w:color w:val="0000EE"/>
                <w:w w:val="98"/>
              </w:rPr>
            </w:pPr>
            <w:hyperlink r:id="rId169">
              <w:r>
                <w:rPr>
                  <w:rFonts w:ascii="Arial" w:cs="Arial" w:eastAsia="Arial" w:hAnsi="Arial"/>
                  <w:sz w:val="18"/>
                  <w:szCs w:val="18"/>
                  <w:color w:val="0000EE"/>
                  <w:w w:val="98"/>
                </w:rPr>
                <w:t>License, Development and Commercialization Agreement by and between the company and Kyowa Hakko Kirin Co., Ltd., dated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December 19, 2014 (incorporated herein by reference to Exhibit 10.33 to the Company’s Registration Statement on Form S-1 (File No.</w:t>
              </w:r>
            </w:hyperlink>
          </w:p>
        </w:tc>
        <w:tc>
          <w:tcPr>
            <w:tcW w:w="3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333-208861), as filed with the SEC on January 4, 2016).</w:t>
              </w:r>
            </w:hyperlink>
          </w:p>
        </w:tc>
        <w:tc>
          <w:tcPr>
            <w:tcW w:w="596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10.39†</w:t>
            </w:r>
          </w:p>
        </w:tc>
        <w:tc>
          <w:tcPr>
            <w:tcW w:w="10040" w:type="dxa"/>
            <w:vAlign w:val="bottom"/>
            <w:gridSpan w:val="32"/>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Side Letter by and between the company and Kyowa Hakko Kirin Co., Ltd., dated December 19, 2014 (incorporated herein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Exhibit 10.34 to the Company’s Registration Statement on Form S-1 (File No. 333-208861), as filed with the SEC on January 4, 2016).</w:t>
              </w:r>
            </w:hyperlink>
          </w:p>
        </w:tc>
        <w:tc>
          <w:tcPr>
            <w:tcW w:w="26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10.40†</w:t>
            </w:r>
          </w:p>
        </w:tc>
        <w:tc>
          <w:tcPr>
            <w:tcW w:w="9860" w:type="dxa"/>
            <w:vAlign w:val="bottom"/>
            <w:tcBorders>
              <w:bottom w:val="single" w:sz="8" w:color="0000EE"/>
            </w:tcBorders>
            <w:gridSpan w:val="26"/>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Amendment #1 to License, Development and Commercialization Agreement by and between the company and Kyowa Hakko Kirin Co.,</w:t>
              </w:r>
            </w:hyperlink>
          </w:p>
        </w:tc>
        <w:tc>
          <w:tcPr>
            <w:tcW w:w="1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71">
              <w:r>
                <w:rPr>
                  <w:rFonts w:ascii="Arial" w:cs="Arial" w:eastAsia="Arial" w:hAnsi="Arial"/>
                  <w:sz w:val="18"/>
                  <w:szCs w:val="18"/>
                  <w:color w:val="0000EE"/>
                  <w:w w:val="90"/>
                </w:rPr>
                <w:t>Ltd., dated September 18, 2015 (incorporated herein by reference to Exhibit 10.39 to the Company’s Registration Statement on Form S-</w:t>
              </w:r>
            </w:hyperlink>
          </w:p>
        </w:tc>
        <w:tc>
          <w:tcPr>
            <w:tcW w:w="2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1/A (File No. 333-208861), as filed with the SEC on February 22,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10.41†</w:t>
            </w:r>
          </w:p>
        </w:tc>
        <w:tc>
          <w:tcPr>
            <w:tcW w:w="9860" w:type="dxa"/>
            <w:vAlign w:val="bottom"/>
            <w:tcBorders>
              <w:bottom w:val="single" w:sz="8" w:color="0000EE"/>
            </w:tcBorders>
            <w:gridSpan w:val="26"/>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Amendment #2 to License, Development and Commercialization Agreement by and between the company and Kyowa Hakko Kirin Co.,</w:t>
              </w:r>
            </w:hyperlink>
          </w:p>
        </w:tc>
        <w:tc>
          <w:tcPr>
            <w:tcW w:w="18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Ltd., dated January 16, 2017 (incorporated herein by reference to Exhibit 10.2 to the Company’s Quarterly Report on Form 10-Q, as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with the SEC on May 9, 2017).</w:t>
              </w:r>
            </w:hyperlink>
          </w:p>
        </w:tc>
        <w:tc>
          <w:tcPr>
            <w:tcW w:w="7640" w:type="dxa"/>
            <w:vAlign w:val="bottom"/>
            <w:tcBorders>
              <w:top w:val="single" w:sz="8" w:color="0000EE"/>
            </w:tcBorders>
            <w:gridSpan w:val="24"/>
          </w:tcPr>
          <w:p>
            <w:pPr>
              <w:spacing w:after="0"/>
              <w:rPr>
                <w:sz w:val="17"/>
                <w:szCs w:val="17"/>
                <w:color w:val="auto"/>
              </w:rPr>
            </w:pPr>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10.42†</w:t>
            </w:r>
          </w:p>
        </w:tc>
        <w:tc>
          <w:tcPr>
            <w:tcW w:w="10040" w:type="dxa"/>
            <w:vAlign w:val="bottom"/>
            <w:gridSpan w:val="32"/>
          </w:tcPr>
          <w:p>
            <w:pPr>
              <w:spacing w:after="0"/>
              <w:rPr>
                <w:rFonts w:ascii="Arial" w:cs="Arial" w:eastAsia="Arial" w:hAnsi="Arial"/>
                <w:sz w:val="18"/>
                <w:szCs w:val="18"/>
                <w:color w:val="0000EE"/>
                <w:w w:val="94"/>
              </w:rPr>
            </w:pPr>
            <w:hyperlink r:id="rId173">
              <w:r>
                <w:rPr>
                  <w:rFonts w:ascii="Arial" w:cs="Arial" w:eastAsia="Arial" w:hAnsi="Arial"/>
                  <w:sz w:val="18"/>
                  <w:szCs w:val="18"/>
                  <w:color w:val="0000EE"/>
                  <w:w w:val="94"/>
                </w:rPr>
                <w:t>Combination Study Collaboration Agreement by and between the company and Genentech, Inc. dated August 24, 2015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herein by reference to Exhibit 10.35 to the Company’s Registration Statement on Form S-1 (File No. 333-208861), as filed with the SEC</w:t>
              </w:r>
            </w:hyperlink>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10.43†</w:t>
            </w:r>
          </w:p>
        </w:tc>
        <w:tc>
          <w:tcPr>
            <w:tcW w:w="10000" w:type="dxa"/>
            <w:vAlign w:val="bottom"/>
            <w:tcBorders>
              <w:bottom w:val="single" w:sz="8" w:color="0000EE"/>
            </w:tcBorders>
            <w:gridSpan w:val="30"/>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Clinical Trial Collaboration and Supply Agreement by and between the company, Pfizer Inc. and Ares Trading S.A., dated as of December</w:t>
              </w:r>
            </w:hyperlink>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w w:val="96"/>
              </w:rPr>
            </w:pPr>
            <w:hyperlink r:id="rId174">
              <w:r>
                <w:rPr>
                  <w:rFonts w:ascii="Arial" w:cs="Arial" w:eastAsia="Arial" w:hAnsi="Arial"/>
                  <w:sz w:val="18"/>
                  <w:szCs w:val="18"/>
                  <w:color w:val="0000EE"/>
                  <w:w w:val="96"/>
                </w:rPr>
                <w:t>31, 2015 (incorporated herein by reference to Exhibit 10.36 to the Company’s Registration Statement on Form S-1/A (File No. 333-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208861)</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as filed with the SEC on January 11, 2016).</w:t>
              </w:r>
            </w:hyperlink>
          </w:p>
        </w:tc>
        <w:tc>
          <w:tcPr>
            <w:tcW w:w="5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10.44†</w:t>
            </w:r>
          </w:p>
        </w:tc>
        <w:tc>
          <w:tcPr>
            <w:tcW w:w="9940" w:type="dxa"/>
            <w:vAlign w:val="bottom"/>
            <w:tcBorders>
              <w:bottom w:val="single" w:sz="8" w:color="0000EE"/>
            </w:tcBorders>
            <w:gridSpan w:val="29"/>
          </w:tcPr>
          <w:p>
            <w:pPr>
              <w:spacing w:after="0"/>
              <w:rPr>
                <w:rFonts w:ascii="Arial" w:cs="Arial" w:eastAsia="Arial" w:hAnsi="Arial"/>
                <w:sz w:val="18"/>
                <w:szCs w:val="18"/>
                <w:color w:val="0000EE"/>
                <w:w w:val="90"/>
              </w:rPr>
            </w:pPr>
            <w:hyperlink r:id="rId175">
              <w:r>
                <w:rPr>
                  <w:rFonts w:ascii="Arial" w:cs="Arial" w:eastAsia="Arial" w:hAnsi="Arial"/>
                  <w:sz w:val="18"/>
                  <w:szCs w:val="18"/>
                  <w:color w:val="0000EE"/>
                  <w:w w:val="90"/>
                </w:rPr>
                <w:t>License Agreement by and between the Company and UCB Biopharma Sprl, dated as of July 1, 2016 (incorporated herein by reference to</w:t>
              </w:r>
            </w:hyperlink>
          </w:p>
        </w:tc>
        <w:tc>
          <w:tcPr>
            <w:tcW w:w="1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Exhibit 10.1 to the Company’s Current Report on Form 8-K (File No. 001- 37708), as filed with the SEC on October 7,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10.45†</w:t>
            </w:r>
          </w:p>
        </w:tc>
        <w:tc>
          <w:tcPr>
            <w:tcW w:w="9480" w:type="dxa"/>
            <w:vAlign w:val="bottom"/>
            <w:tcBorders>
              <w:bottom w:val="single" w:sz="8" w:color="0000EE"/>
            </w:tcBorders>
            <w:gridSpan w:val="17"/>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Side Agreement by and between the Company and UCB Biopharma Sprl, dated March 8, 2017 (incorporated herein by reference to</w:t>
              </w:r>
            </w:hyperlink>
          </w:p>
        </w:tc>
        <w:tc>
          <w:tcPr>
            <w:tcW w:w="56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Exhibit 10.4 to the Company’s Quarterly Report on Form 10-Q, as filed with the SEC on May 9,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8"/>
                <w:szCs w:val="18"/>
                <w:color w:val="0000EE"/>
                <w:w w:val="89"/>
              </w:rPr>
            </w:pPr>
            <w:hyperlink r:id="rId177">
              <w:r>
                <w:rPr>
                  <w:rFonts w:ascii="Arial" w:cs="Arial" w:eastAsia="Arial" w:hAnsi="Arial"/>
                  <w:sz w:val="18"/>
                  <w:szCs w:val="18"/>
                  <w:color w:val="0000EE"/>
                  <w:w w:val="89"/>
                </w:rPr>
                <w:t>Third Amended and Restated Investors’ Rights Agreement by and among the company and the parties thereto, dated as of August 21, 2015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(incorporated herein by reference to Exhibit 10.1 to the Company’s Registration Statement on Form S-1 (File No. 333-208861), as filed</w:t>
              </w:r>
            </w:hyperlink>
          </w:p>
        </w:tc>
        <w:tc>
          <w:tcPr>
            <w:tcW w:w="2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10.47†</w:t>
            </w:r>
          </w:p>
        </w:tc>
        <w:tc>
          <w:tcPr>
            <w:tcW w:w="10040" w:type="dxa"/>
            <w:vAlign w:val="bottom"/>
            <w:gridSpan w:val="3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License Agreement by and between the Company and Vitae Pharmaceuticals, Inc., dated as of October 13, 2017.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4"/>
                <w:szCs w:val="24"/>
                <w:color w:val="auto"/>
              </w:rPr>
            </w:pPr>
          </w:p>
        </w:tc>
        <w:tc>
          <w:tcPr>
            <w:tcW w:w="9680" w:type="dxa"/>
            <w:vAlign w:val="bottom"/>
            <w:tcBorders>
              <w:bottom w:val="single" w:sz="8" w:color="0000EE"/>
            </w:tcBorders>
            <w:gridSpan w:val="21"/>
          </w:tcPr>
          <w:p>
            <w:pPr>
              <w:spacing w:after="0"/>
              <w:rPr>
                <w:rFonts w:ascii="Arial" w:cs="Arial" w:eastAsia="Arial" w:hAnsi="Arial"/>
                <w:sz w:val="18"/>
                <w:szCs w:val="18"/>
                <w:color w:val="0000EE"/>
                <w:w w:val="90"/>
              </w:rPr>
            </w:pPr>
            <w:hyperlink r:id="rId178">
              <w:r>
                <w:rPr>
                  <w:rFonts w:ascii="Arial" w:cs="Arial" w:eastAsia="Arial" w:hAnsi="Arial"/>
                  <w:sz w:val="18"/>
                  <w:szCs w:val="18"/>
                  <w:color w:val="0000EE"/>
                  <w:w w:val="90"/>
                </w:rPr>
                <w:t>Purchase Agreement by and among the Company, Biotechnology Value Fund, L.P. and certain entities affiliated with BVF, dated as of</w:t>
              </w:r>
            </w:hyperlink>
          </w:p>
        </w:tc>
        <w:tc>
          <w:tcPr>
            <w:tcW w:w="36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October 17, 2017 (incorporated herein by reference to Exhibit 10.1 to the Company’s Periodic Report on Form 8-K, as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on October 20, 2017).</w:t>
              </w:r>
            </w:hyperlink>
          </w:p>
        </w:tc>
        <w:tc>
          <w:tcPr>
            <w:tcW w:w="8320" w:type="dxa"/>
            <w:vAlign w:val="bottom"/>
            <w:tcBorders>
              <w:top w:val="single" w:sz="8" w:color="0000EE"/>
            </w:tcBorders>
            <w:gridSpan w:val="26"/>
          </w:tcPr>
          <w:p>
            <w:pPr>
              <w:spacing w:after="0"/>
              <w:rPr>
                <w:sz w:val="17"/>
                <w:szCs w:val="17"/>
                <w:color w:val="auto"/>
              </w:rPr>
            </w:pPr>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9660" w:type="dxa"/>
            <w:vAlign w:val="bottom"/>
            <w:tcBorders>
              <w:bottom w:val="single" w:sz="8" w:color="0000EE"/>
            </w:tcBorders>
            <w:gridSpan w:val="20"/>
          </w:tcPr>
          <w:p>
            <w:pPr>
              <w:spacing w:after="0"/>
              <w:rPr>
                <w:rFonts w:ascii="Arial" w:cs="Arial" w:eastAsia="Arial" w:hAnsi="Arial"/>
                <w:sz w:val="18"/>
                <w:szCs w:val="18"/>
                <w:color w:val="0000EE"/>
                <w:w w:val="90"/>
              </w:rPr>
            </w:pPr>
            <w:hyperlink r:id="rId179">
              <w:r>
                <w:rPr>
                  <w:rFonts w:ascii="Arial" w:cs="Arial" w:eastAsia="Arial" w:hAnsi="Arial"/>
                  <w:sz w:val="18"/>
                  <w:szCs w:val="18"/>
                  <w:color w:val="0000EE"/>
                  <w:w w:val="90"/>
                </w:rPr>
                <w:t>Subsidiaries of the Registrant (incorporated herein by reference to Exhibit 21.1 to the Company’s Registration Statement on Form S-1</w:t>
              </w:r>
            </w:hyperlink>
          </w:p>
        </w:tc>
        <w:tc>
          <w:tcPr>
            <w:tcW w:w="3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(File No. 333-208861), as filed with the SEC on January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4760" w:type="dxa"/>
            <w:vAlign w:val="bottom"/>
            <w:tcBorders>
              <w:top w:val="single" w:sz="8" w:color="0000EE"/>
            </w:tcBorders>
            <w:gridSpan w:val="9"/>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Consent of Independent Registered Public Accounting Firm</w:t>
              </w:r>
            </w:hyperlink>
          </w:p>
        </w:tc>
        <w:tc>
          <w:tcPr>
            <w:tcW w:w="5280" w:type="dxa"/>
            <w:vAlign w:val="bottom"/>
            <w:gridSpan w:val="2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20" w:type="dxa"/>
            <w:vAlign w:val="bottom"/>
            <w:gridSpan w:val="7"/>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47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Power of Attorney (included on the signature page to this report).</w:t>
              </w:r>
            </w:hyperlink>
          </w:p>
        </w:tc>
        <w:tc>
          <w:tcPr>
            <w:tcW w:w="5320" w:type="dxa"/>
            <w:vAlign w:val="bottom"/>
            <w:gridSpan w:val="2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40" w:type="dxa"/>
            <w:vAlign w:val="bottom"/>
            <w:gridSpan w:val="32"/>
          </w:tcPr>
          <w:p>
            <w:pPr>
              <w:spacing w:after="0"/>
              <w:rPr>
                <w:rFonts w:ascii="Arial" w:cs="Arial" w:eastAsia="Arial" w:hAnsi="Arial"/>
                <w:sz w:val="18"/>
                <w:szCs w:val="18"/>
                <w:color w:val="0000EE"/>
                <w:w w:val="99"/>
              </w:rPr>
            </w:pPr>
            <w:hyperlink w:anchor="page193">
              <w:r>
                <w:rPr>
                  <w:rFonts w:ascii="Arial" w:cs="Arial" w:eastAsia="Arial" w:hAnsi="Arial"/>
                  <w:sz w:val="18"/>
                  <w:szCs w:val="18"/>
                  <w:color w:val="0000EE"/>
                  <w:w w:val="99"/>
                </w:rPr>
                <w:t>Certification of the Principal Executive Officer pursuant to Rule 13a-14(a) or 15d-14(a) of the Securities Exchange Act of 1934.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240" w:type="dxa"/>
            <w:vAlign w:val="bottom"/>
            <w:tcBorders>
              <w:top w:val="single" w:sz="8" w:color="0000EE"/>
            </w:tcBorders>
            <w:gridSpan w:val="15"/>
          </w:tcPr>
          <w:p>
            <w:pPr>
              <w:spacing w:after="0"/>
              <w:rPr>
                <w:rFonts w:ascii="Arial" w:cs="Arial" w:eastAsia="Arial" w:hAnsi="Arial"/>
                <w:sz w:val="18"/>
                <w:szCs w:val="18"/>
                <w:color w:val="0000EE"/>
                <w:w w:val="92"/>
              </w:rPr>
            </w:pPr>
            <w:hyperlink w:anchor="page194">
              <w:r>
                <w:rPr>
                  <w:rFonts w:ascii="Arial" w:cs="Arial" w:eastAsia="Arial" w:hAnsi="Arial"/>
                  <w:sz w:val="18"/>
                  <w:szCs w:val="18"/>
                  <w:color w:val="0000EE"/>
                  <w:w w:val="92"/>
                </w:rPr>
                <w:t>Certification of the Principal Financial Officer pursuant to Rule 13a-14(a) or 15d-14(a) of the Securities Exchange Act of 1934.</w:t>
              </w:r>
            </w:hyperlink>
          </w:p>
        </w:tc>
        <w:tc>
          <w:tcPr>
            <w:tcW w:w="80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Borders>
              <w:top w:val="single" w:sz="8" w:color="0000EE"/>
            </w:tcBorders>
            <w:gridSpan w:val="8"/>
          </w:tcPr>
          <w:p>
            <w:pPr>
              <w:ind w:left="4240"/>
              <w:spacing w:after="0"/>
              <w:rPr>
                <w:sz w:val="20"/>
                <w:szCs w:val="20"/>
                <w:color w:val="auto"/>
              </w:rPr>
            </w:pPr>
            <w:r>
              <w:rPr>
                <w:rFonts w:ascii="Arial" w:cs="Arial" w:eastAsia="Arial" w:hAnsi="Arial"/>
                <w:sz w:val="18"/>
                <w:szCs w:val="18"/>
                <w:color w:val="auto"/>
              </w:rPr>
              <w:t>91</w:t>
            </w: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0040" w:type="dxa"/>
            <w:vAlign w:val="bottom"/>
            <w:gridSpan w:val="3"/>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gridSpan w:val="2"/>
          </w:tcPr>
          <w:p>
            <w:pPr>
              <w:ind w:left="520"/>
              <w:spacing w:after="0"/>
              <w:rPr>
                <w:sz w:val="20"/>
                <w:szCs w:val="20"/>
                <w:color w:val="auto"/>
              </w:rPr>
            </w:pPr>
            <w:r>
              <w:rPr>
                <w:rFonts w:ascii="Arial" w:cs="Arial" w:eastAsia="Arial" w:hAnsi="Arial"/>
                <w:sz w:val="14"/>
                <w:szCs w:val="14"/>
                <w:b w:val="1"/>
                <w:bCs w:val="1"/>
                <w:color w:val="auto"/>
              </w:rPr>
              <w:t>No.</w:t>
            </w:r>
          </w:p>
        </w:tc>
        <w:tc>
          <w:tcPr>
            <w:tcW w:w="10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4"/>
                <w:szCs w:val="14"/>
                <w:color w:val="auto"/>
              </w:rPr>
            </w:pPr>
          </w:p>
        </w:tc>
        <w:tc>
          <w:tcPr>
            <w:tcW w:w="9880" w:type="dxa"/>
            <w:vAlign w:val="bottom"/>
            <w:tcBorders>
              <w:top w:val="single" w:sz="8" w:color="auto"/>
              <w:bottom w:val="single" w:sz="8" w:color="0000EE"/>
            </w:tcBorders>
            <w:gridSpan w:val="2"/>
          </w:tcPr>
          <w:p>
            <w:pPr>
              <w:spacing w:after="0" w:line="170" w:lineRule="exact"/>
              <w:rPr>
                <w:rFonts w:ascii="Arial" w:cs="Arial" w:eastAsia="Arial" w:hAnsi="Arial"/>
                <w:sz w:val="18"/>
                <w:szCs w:val="18"/>
                <w:color w:val="0000EE"/>
                <w:w w:val="92"/>
              </w:rPr>
            </w:pPr>
            <w:hyperlink w:anchor="page195">
              <w:r>
                <w:rPr>
                  <w:rFonts w:ascii="Arial" w:cs="Arial" w:eastAsia="Arial" w:hAnsi="Arial"/>
                  <w:sz w:val="18"/>
                  <w:szCs w:val="18"/>
                  <w:color w:val="0000EE"/>
                  <w:w w:val="92"/>
                </w:rPr>
                <w:t>Certification of Principal Executive Officer and Principal Financial Officer pursuant to Rule 13a-14(b) or 15d-14(b) of the Exchange Act</w:t>
              </w:r>
            </w:hyperlink>
          </w:p>
        </w:tc>
        <w:tc>
          <w:tcPr>
            <w:tcW w:w="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2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95">
              <w:r>
                <w:rPr>
                  <w:rFonts w:ascii="Arial" w:cs="Arial" w:eastAsia="Arial" w:hAnsi="Arial"/>
                  <w:sz w:val="18"/>
                  <w:szCs w:val="18"/>
                  <w:color w:val="0000EE"/>
                  <w:w w:val="89"/>
                </w:rPr>
                <w:t>and 18 U.S.C. Section 1350, as adopted pursuant to Section 906 of the Sarbanes-Oxley Act of 2002.</w:t>
              </w:r>
            </w:hyperlink>
          </w:p>
        </w:tc>
        <w:tc>
          <w:tcPr>
            <w:tcW w:w="2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101.INS</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101.SCH</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101.CAL</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101.DEF</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101.LAB</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380" w:type="dxa"/>
            <w:vAlign w:val="bottom"/>
            <w:gridSpan w:val="2"/>
          </w:tcPr>
          <w:p>
            <w:pPr>
              <w:ind w:left="140"/>
              <w:spacing w:after="0"/>
              <w:rPr>
                <w:sz w:val="20"/>
                <w:szCs w:val="20"/>
                <w:color w:val="auto"/>
              </w:rPr>
            </w:pPr>
            <w:r>
              <w:rPr>
                <w:rFonts w:ascii="Arial" w:cs="Arial" w:eastAsia="Arial" w:hAnsi="Arial"/>
                <w:sz w:val="18"/>
                <w:szCs w:val="18"/>
                <w:color w:val="auto"/>
              </w:rPr>
              <w:t>101.PRE</w:t>
            </w:r>
          </w:p>
        </w:tc>
        <w:tc>
          <w:tcPr>
            <w:tcW w:w="1004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0547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3" w:lineRule="exact"/>
        <w:rPr>
          <w:sz w:val="20"/>
          <w:szCs w:val="20"/>
          <w:color w:val="auto"/>
        </w:rPr>
      </w:pPr>
    </w:p>
    <w:p>
      <w:pPr>
        <w:ind w:left="600" w:right="300" w:hanging="592"/>
        <w:spacing w:after="0" w:line="281" w:lineRule="auto"/>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w:t>
      </w:r>
    </w:p>
    <w:p>
      <w:pPr>
        <w:spacing w:after="0" w:line="1"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Confidential treatment has been granted for certain portions of this exhibit. These portions have been omitted and filed separately with the SEC.</w:t>
      </w:r>
    </w:p>
    <w:p>
      <w:pPr>
        <w:spacing w:after="0" w:line="326" w:lineRule="exact"/>
        <w:rPr>
          <w:sz w:val="20"/>
          <w:szCs w:val="20"/>
          <w:color w:val="auto"/>
        </w:rPr>
      </w:pPr>
    </w:p>
    <w:p>
      <w:pPr>
        <w:jc w:val="center"/>
        <w:ind w:right="9060"/>
        <w:spacing w:after="0"/>
        <w:rPr>
          <w:sz w:val="20"/>
          <w:szCs w:val="20"/>
          <w:color w:val="auto"/>
        </w:rPr>
      </w:pPr>
      <w:r>
        <w:rPr>
          <w:rFonts w:ascii="Arial" w:cs="Arial" w:eastAsia="Arial" w:hAnsi="Arial"/>
          <w:sz w:val="17"/>
          <w:szCs w:val="17"/>
          <w:b w:val="1"/>
          <w:bCs w:val="1"/>
          <w:color w:val="auto"/>
        </w:rPr>
        <w:t>Item 16. Form 10-K Summary</w:t>
      </w:r>
    </w:p>
    <w:p>
      <w:pPr>
        <w:spacing w:after="0" w:line="133"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Pursuant to the requirements of Section 13 of 15(d)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380" w:type="dxa"/>
            <w:vAlign w:val="bottom"/>
            <w:gridSpan w:val="2"/>
          </w:tcPr>
          <w:p>
            <w:pPr>
              <w:ind w:left="2540"/>
              <w:spacing w:after="0"/>
              <w:rPr>
                <w:sz w:val="20"/>
                <w:szCs w:val="20"/>
                <w:color w:val="auto"/>
              </w:rPr>
            </w:pPr>
            <w:r>
              <w:rPr>
                <w:rFonts w:ascii="Arial" w:cs="Arial" w:eastAsia="Arial" w:hAnsi="Arial"/>
                <w:sz w:val="18"/>
                <w:szCs w:val="18"/>
                <w:b w:val="1"/>
                <w:bCs w:val="1"/>
                <w:color w:val="auto"/>
              </w:rPr>
              <w:t>SYNDAX PHARMACEUTICALS, INC.</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 March 8, 2018</w:t>
            </w:r>
          </w:p>
        </w:tc>
        <w:tc>
          <w:tcPr>
            <w:tcW w:w="7380" w:type="dxa"/>
            <w:vAlign w:val="bottom"/>
            <w:gridSpan w:val="2"/>
          </w:tcPr>
          <w:p>
            <w:pPr>
              <w:ind w:left="2540"/>
              <w:spacing w:after="0"/>
              <w:rPr>
                <w:sz w:val="20"/>
                <w:szCs w:val="20"/>
                <w:color w:val="auto"/>
              </w:rPr>
            </w:pPr>
            <w:r>
              <w:rPr>
                <w:rFonts w:ascii="Arial" w:cs="Arial" w:eastAsia="Arial" w:hAnsi="Arial"/>
                <w:sz w:val="18"/>
                <w:szCs w:val="18"/>
                <w:color w:val="auto"/>
              </w:rPr>
              <w:t>By:/s/  Briggs W. Morrison, M.D.</w:t>
            </w:r>
          </w:p>
        </w:tc>
      </w:tr>
      <w:tr>
        <w:trPr>
          <w:trHeight w:val="195"/>
        </w:trPr>
        <w:tc>
          <w:tcPr>
            <w:tcW w:w="40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Briggs W. Morrison, M.D.</w:t>
            </w:r>
          </w:p>
        </w:tc>
      </w:tr>
      <w:tr>
        <w:trPr>
          <w:trHeight w:val="230"/>
        </w:trPr>
        <w:tc>
          <w:tcPr>
            <w:tcW w:w="40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Briggs W. Morrison, M.D.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89"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37" w:right="239" w:bottom="1440" w:gutter="0" w:footer="0" w:header="0"/>
        </w:sectPr>
      </w:pPr>
    </w:p>
    <w:p>
      <w:pPr>
        <w:spacing w:after="0" w:line="176"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0784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8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Briggs W. Morrison, M.D.</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Richard P. Shea</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Dennis G. Podlesak</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Dennis G. Podlesak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Pierre Legault</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Pierre Legault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Henry Chen</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Henry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Luke Evnin, Ph.D.</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Luke Evnin,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10"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Fabrice Egros, PharmD, Ph.D.</w:t>
      </w:r>
    </w:p>
    <w:p>
      <w:pPr>
        <w:spacing w:after="0" w:line="46"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Fabrice Egros, PharmD,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0784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2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Keith Katkin</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Keith Katkin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0784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4"/>
                <w:szCs w:val="14"/>
                <w:color w:val="auto"/>
              </w:rPr>
            </w:pPr>
          </w:p>
        </w:tc>
        <w:tc>
          <w:tcPr>
            <w:tcW w:w="22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Date</w:t>
            </w:r>
          </w:p>
        </w:tc>
      </w:tr>
      <w:tr>
        <w:trPr>
          <w:trHeight w:val="290"/>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8, 2018</w:t>
            </w:r>
          </w:p>
        </w:tc>
      </w:tr>
      <w:tr>
        <w:trPr>
          <w:trHeight w:val="230"/>
        </w:trPr>
        <w:tc>
          <w:tcPr>
            <w:tcW w:w="408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(Principal Executive Officer)</w:t>
            </w:r>
          </w:p>
        </w:tc>
        <w:tc>
          <w:tcPr>
            <w:tcW w:w="2260" w:type="dxa"/>
            <w:vAlign w:val="bottom"/>
          </w:tcPr>
          <w:p>
            <w:pPr>
              <w:spacing w:after="0"/>
              <w:rPr>
                <w:sz w:val="20"/>
                <w:szCs w:val="20"/>
                <w:color w:val="auto"/>
              </w:rPr>
            </w:pPr>
          </w:p>
        </w:tc>
      </w:tr>
      <w:tr>
        <w:trPr>
          <w:trHeight w:val="33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Chief Financial Officer and Treasurer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8, 2018</w:t>
            </w:r>
          </w:p>
        </w:tc>
      </w:tr>
      <w:tr>
        <w:trPr>
          <w:trHeight w:val="216"/>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Financial Officer and</w:t>
            </w:r>
          </w:p>
        </w:tc>
        <w:tc>
          <w:tcPr>
            <w:tcW w:w="2260" w:type="dxa"/>
            <w:vAlign w:val="bottom"/>
          </w:tcPr>
          <w:p>
            <w:pPr>
              <w:spacing w:after="0"/>
              <w:rPr>
                <w:sz w:val="18"/>
                <w:szCs w:val="18"/>
                <w:color w:val="auto"/>
              </w:rPr>
            </w:pPr>
          </w:p>
        </w:tc>
      </w:tr>
      <w:tr>
        <w:trPr>
          <w:trHeight w:val="230"/>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Principal Accounting Officer)</w:t>
            </w:r>
          </w:p>
        </w:tc>
        <w:tc>
          <w:tcPr>
            <w:tcW w:w="2260" w:type="dxa"/>
            <w:vAlign w:val="bottom"/>
          </w:tcPr>
          <w:p>
            <w:pPr>
              <w:spacing w:after="0"/>
              <w:rPr>
                <w:sz w:val="20"/>
                <w:szCs w:val="20"/>
                <w:color w:val="auto"/>
              </w:rPr>
            </w:pPr>
          </w:p>
        </w:tc>
      </w:tr>
      <w:tr>
        <w:trPr>
          <w:trHeight w:val="338"/>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Chairman of the Board of Directors</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8, 2018</w:t>
            </w:r>
          </w:p>
        </w:tc>
      </w:tr>
      <w:tr>
        <w:trPr>
          <w:trHeight w:val="56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8, 2018</w:t>
            </w:r>
          </w:p>
        </w:tc>
      </w:tr>
      <w:tr>
        <w:trPr>
          <w:trHeight w:val="56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8, 2018</w:t>
            </w:r>
          </w:p>
        </w:tc>
      </w:tr>
      <w:tr>
        <w:trPr>
          <w:trHeight w:val="56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8, 2018</w:t>
            </w:r>
          </w:p>
        </w:tc>
      </w:tr>
      <w:tr>
        <w:trPr>
          <w:trHeight w:val="56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8, 2018</w:t>
            </w:r>
          </w:p>
        </w:tc>
      </w:tr>
      <w:tr>
        <w:trPr>
          <w:trHeight w:val="567"/>
        </w:trPr>
        <w:tc>
          <w:tcPr>
            <w:tcW w:w="40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ind w:left="600"/>
              <w:spacing w:after="0"/>
              <w:rPr>
                <w:sz w:val="20"/>
                <w:szCs w:val="20"/>
                <w:color w:val="auto"/>
              </w:rPr>
            </w:pPr>
            <w:r>
              <w:rPr>
                <w:rFonts w:ascii="Arial" w:cs="Arial" w:eastAsia="Arial" w:hAnsi="Arial"/>
                <w:sz w:val="18"/>
                <w:szCs w:val="18"/>
                <w:color w:val="auto"/>
              </w:rPr>
              <w:t>March 8, 2018</w:t>
            </w:r>
          </w:p>
        </w:tc>
      </w:tr>
    </w:tbl>
    <w:p>
      <w:pPr>
        <w:spacing w:after="0" w:line="406" w:lineRule="exact"/>
        <w:rPr>
          <w:sz w:val="20"/>
          <w:szCs w:val="20"/>
          <w:color w:val="auto"/>
        </w:rPr>
      </w:pPr>
    </w:p>
    <w:p>
      <w:pPr>
        <w:sectPr>
          <w:pgSz w:w="11900" w:h="16838" w:orient="portrait"/>
          <w:cols w:equalWidth="0" w:num="2">
            <w:col w:w="4360" w:space="720"/>
            <w:col w:w="634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Pages</w:t>
            </w:r>
          </w:p>
        </w:tc>
        <w:tc>
          <w:tcPr>
            <w:tcW w:w="20" w:type="dxa"/>
            <w:vAlign w:val="bottom"/>
          </w:tcPr>
          <w:p>
            <w:pPr>
              <w:spacing w:after="0"/>
              <w:rPr>
                <w:sz w:val="20"/>
                <w:szCs w:val="20"/>
                <w:color w:val="auto"/>
              </w:rPr>
            </w:pPr>
          </w:p>
        </w:tc>
      </w:tr>
      <w:tr>
        <w:trPr>
          <w:trHeight w:val="183"/>
        </w:trPr>
        <w:tc>
          <w:tcPr>
            <w:tcW w:w="10780" w:type="dxa"/>
            <w:vAlign w:val="bottom"/>
            <w:gridSpan w:val="8"/>
          </w:tcPr>
          <w:p>
            <w:pPr>
              <w:spacing w:after="0" w:line="182" w:lineRule="exact"/>
              <w:rPr>
                <w:rFonts w:ascii="Arial" w:cs="Arial" w:eastAsia="Arial" w:hAnsi="Arial"/>
                <w:sz w:val="18"/>
                <w:szCs w:val="18"/>
                <w:color w:val="0000EE"/>
              </w:rPr>
            </w:pPr>
            <w:hyperlink w:anchor="page99">
              <w:r>
                <w:rPr>
                  <w:rFonts w:ascii="Arial" w:cs="Arial" w:eastAsia="Arial" w:hAnsi="Arial"/>
                  <w:sz w:val="18"/>
                  <w:szCs w:val="18"/>
                  <w:color w:val="0000EE"/>
                </w:rPr>
                <w:t>Report of Independent Registered Public Accounting Firm</w:t>
              </w:r>
            </w:hyperlink>
          </w:p>
        </w:tc>
        <w:tc>
          <w:tcPr>
            <w:tcW w:w="640" w:type="dxa"/>
            <w:vAlign w:val="bottom"/>
          </w:tcPr>
          <w:p>
            <w:pPr>
              <w:ind w:left="380"/>
              <w:spacing w:after="0" w:line="182" w:lineRule="exact"/>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5"/>
                <w:szCs w:val="15"/>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00">
              <w:r>
                <w:rPr>
                  <w:rFonts w:ascii="Arial" w:cs="Arial" w:eastAsia="Arial" w:hAnsi="Arial"/>
                  <w:sz w:val="18"/>
                  <w:szCs w:val="18"/>
                  <w:color w:val="0000EE"/>
                  <w:w w:val="88"/>
                </w:rPr>
                <w:t>Consolidated Balance Sheets as of December 31, 2017 and 2016</w:t>
              </w:r>
            </w:hyperlink>
          </w:p>
        </w:tc>
        <w:tc>
          <w:tcPr>
            <w:tcW w:w="6120" w:type="dxa"/>
            <w:vAlign w:val="bottom"/>
            <w:gridSpan w:val="5"/>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F-3</w:t>
            </w:r>
          </w:p>
        </w:tc>
        <w:tc>
          <w:tcPr>
            <w:tcW w:w="20" w:type="dxa"/>
            <w:vAlign w:val="bottom"/>
          </w:tcPr>
          <w:p>
            <w:pPr>
              <w:spacing w:after="0"/>
              <w:rPr>
                <w:sz w:val="18"/>
                <w:szCs w:val="18"/>
                <w:color w:val="auto"/>
              </w:rPr>
            </w:pPr>
          </w:p>
        </w:tc>
      </w:tr>
      <w:tr>
        <w:trPr>
          <w:trHeight w:val="210"/>
        </w:trPr>
        <w:tc>
          <w:tcPr>
            <w:tcW w:w="6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Consolidated Statements of Operations for the Years Ended December 31, 2017, 2016 and 2015</w:t>
              </w:r>
            </w:hyperlink>
          </w:p>
        </w:tc>
        <w:tc>
          <w:tcPr>
            <w:tcW w:w="3860" w:type="dxa"/>
            <w:vAlign w:val="bottom"/>
            <w:gridSpan w:val="4"/>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8"/>
                <w:szCs w:val="18"/>
                <w:color w:val="auto"/>
              </w:rPr>
            </w:pPr>
          </w:p>
        </w:tc>
      </w:tr>
      <w:tr>
        <w:trPr>
          <w:trHeight w:val="210"/>
        </w:trPr>
        <w:tc>
          <w:tcPr>
            <w:tcW w:w="76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02">
              <w:r>
                <w:rPr>
                  <w:rFonts w:ascii="Arial" w:cs="Arial" w:eastAsia="Arial" w:hAnsi="Arial"/>
                  <w:sz w:val="18"/>
                  <w:szCs w:val="18"/>
                  <w:color w:val="0000EE"/>
                  <w:w w:val="89"/>
                </w:rPr>
                <w:t>Consolidated Statements of Comprehensive Loss for the Years Ended December 31, 2017, 2016 and 2015</w:t>
              </w:r>
            </w:hyperlink>
          </w:p>
        </w:tc>
        <w:tc>
          <w:tcPr>
            <w:tcW w:w="3140" w:type="dxa"/>
            <w:vAlign w:val="bottom"/>
            <w:gridSpan w:val="2"/>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F-5</w:t>
            </w:r>
          </w:p>
        </w:tc>
        <w:tc>
          <w:tcPr>
            <w:tcW w:w="20" w:type="dxa"/>
            <w:vAlign w:val="bottom"/>
          </w:tcPr>
          <w:p>
            <w:pPr>
              <w:spacing w:after="0"/>
              <w:rPr>
                <w:sz w:val="18"/>
                <w:szCs w:val="18"/>
                <w:color w:val="auto"/>
              </w:rPr>
            </w:pPr>
          </w:p>
        </w:tc>
      </w:tr>
      <w:tr>
        <w:trPr>
          <w:trHeight w:val="210"/>
        </w:trPr>
        <w:tc>
          <w:tcPr>
            <w:tcW w:w="10780" w:type="dxa"/>
            <w:vAlign w:val="bottom"/>
            <w:gridSpan w:val="8"/>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Consolidated Statements of Convertible Preferred Stock and Stockholders’ Equity (Deficit) for the Years Ended December 31, 2017, 2016 and 2015</w:t>
              </w:r>
            </w:hyperlink>
          </w:p>
        </w:tc>
        <w:tc>
          <w:tcPr>
            <w:tcW w:w="640" w:type="dxa"/>
            <w:vAlign w:val="bottom"/>
          </w:tcPr>
          <w:p>
            <w:pPr>
              <w:ind w:left="380"/>
              <w:spacing w:after="0"/>
              <w:rPr>
                <w:sz w:val="20"/>
                <w:szCs w:val="20"/>
                <w:color w:val="auto"/>
              </w:rPr>
            </w:pPr>
            <w:r>
              <w:rPr>
                <w:rFonts w:ascii="Arial" w:cs="Arial" w:eastAsia="Arial" w:hAnsi="Arial"/>
                <w:sz w:val="18"/>
                <w:szCs w:val="18"/>
                <w:color w:val="auto"/>
                <w:w w:val="88"/>
              </w:rPr>
              <w:t>F-6</w:t>
            </w:r>
          </w:p>
        </w:tc>
        <w:tc>
          <w:tcPr>
            <w:tcW w:w="20" w:type="dxa"/>
            <w:vAlign w:val="bottom"/>
          </w:tcPr>
          <w:p>
            <w:pPr>
              <w:spacing w:after="0"/>
              <w:rPr>
                <w:sz w:val="18"/>
                <w:szCs w:val="18"/>
                <w:color w:val="auto"/>
              </w:rPr>
            </w:pPr>
          </w:p>
        </w:tc>
      </w:tr>
      <w:tr>
        <w:trPr>
          <w:trHeight w:val="210"/>
        </w:trPr>
        <w:tc>
          <w:tcPr>
            <w:tcW w:w="10680" w:type="dxa"/>
            <w:vAlign w:val="bottom"/>
            <w:tcBorders>
              <w:top w:val="single" w:sz="8" w:color="0000EE"/>
            </w:tcBorders>
            <w:gridSpan w:val="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Consolidated Statements of Cash Flows for the Years Ended December 31, 2017, 2016 and 2015</w:t>
              </w:r>
            </w:hyperlink>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F-7</w:t>
            </w:r>
          </w:p>
        </w:tc>
        <w:tc>
          <w:tcPr>
            <w:tcW w:w="20" w:type="dxa"/>
            <w:vAlign w:val="bottom"/>
          </w:tcPr>
          <w:p>
            <w:pPr>
              <w:spacing w:after="0"/>
              <w:rPr>
                <w:sz w:val="18"/>
                <w:szCs w:val="18"/>
                <w:color w:val="auto"/>
              </w:rPr>
            </w:pPr>
          </w:p>
        </w:tc>
      </w:tr>
      <w:tr>
        <w:trPr>
          <w:trHeight w:val="210"/>
        </w:trPr>
        <w:tc>
          <w:tcPr>
            <w:tcW w:w="6960" w:type="dxa"/>
            <w:vAlign w:val="bottom"/>
            <w:tcBorders>
              <w:top w:val="single" w:sz="8" w:color="0000EE"/>
            </w:tcBorders>
            <w:gridSpan w:val="5"/>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Notes to Consolidated Financial Statements</w:t>
              </w:r>
            </w:hyperlink>
          </w:p>
        </w:tc>
        <w:tc>
          <w:tcPr>
            <w:tcW w:w="3820" w:type="dxa"/>
            <w:vAlign w:val="bottom"/>
            <w:gridSpan w:val="3"/>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88"/>
              </w:rPr>
              <w:t>F-8</w:t>
            </w:r>
          </w:p>
        </w:tc>
        <w:tc>
          <w:tcPr>
            <w:tcW w:w="20" w:type="dxa"/>
            <w:vAlign w:val="bottom"/>
          </w:tcPr>
          <w:p>
            <w:pPr>
              <w:spacing w:after="0"/>
              <w:rPr>
                <w:sz w:val="18"/>
                <w:szCs w:val="18"/>
                <w:color w:val="auto"/>
              </w:rPr>
            </w:pPr>
          </w:p>
        </w:tc>
      </w:tr>
      <w:tr>
        <w:trPr>
          <w:trHeight w:val="669"/>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20" w:type="dxa"/>
            <w:vAlign w:val="bottom"/>
            <w:gridSpan w:val="5"/>
          </w:tcPr>
          <w:p>
            <w:pPr>
              <w:ind w:left="920"/>
              <w:spacing w:after="0"/>
              <w:rPr>
                <w:sz w:val="20"/>
                <w:szCs w:val="20"/>
                <w:color w:val="auto"/>
              </w:rPr>
            </w:pPr>
            <w:r>
              <w:rPr>
                <w:rFonts w:ascii="Arial" w:cs="Arial" w:eastAsia="Arial" w:hAnsi="Arial"/>
                <w:sz w:val="18"/>
                <w:szCs w:val="18"/>
                <w:color w:val="auto"/>
              </w:rPr>
              <w:t>F-1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Syndax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Syndax Pharmaceuticals, Inc. and its subsidiaries (the “Company”) as of December 31, 2017 and 2016, and the related consolidated statements of operations, comprehensive loss, stockholders’ equity (deficit), and cash flows for each of the three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the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60" w:type="dxa"/>
            <w:vAlign w:val="bottom"/>
            <w:tcBorders>
              <w:bottom w:val="single" w:sz="8" w:color="CFF0FC"/>
            </w:tcBorders>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35,168</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94,806</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133,442</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Long-term investments</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3,246</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w:t>
            </w: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6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60" w:type="dxa"/>
            <w:vAlign w:val="bottom"/>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2,232</w:t>
            </w:r>
          </w:p>
        </w:tc>
        <w:tc>
          <w:tcPr>
            <w:tcW w:w="54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11,993</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deferred revenue</w:t>
            </w:r>
          </w:p>
        </w:tc>
        <w:tc>
          <w:tcPr>
            <w:tcW w:w="1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15,798</w:t>
            </w:r>
          </w:p>
        </w:tc>
        <w:tc>
          <w:tcPr>
            <w:tcW w:w="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Long-term liabilities:</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less current portion</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16,759</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liabilities</w:t>
            </w:r>
          </w:p>
        </w:tc>
        <w:tc>
          <w:tcPr>
            <w:tcW w:w="1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17,069</w:t>
            </w:r>
          </w:p>
        </w:tc>
        <w:tc>
          <w:tcPr>
            <w:tcW w:w="5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1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32,867</w:t>
            </w:r>
          </w:p>
        </w:tc>
        <w:tc>
          <w:tcPr>
            <w:tcW w:w="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Commitments (Note 16)</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Stockholders' equity:</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shares outstanding at December 31, 2017 and December 31, 2016,</w:t>
            </w:r>
          </w:p>
        </w:tc>
        <w:tc>
          <w:tcPr>
            <w:tcW w:w="1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1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96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80"/>
              <w:spacing w:after="0"/>
              <w:rPr>
                <w:sz w:val="20"/>
                <w:szCs w:val="20"/>
                <w:color w:val="auto"/>
              </w:rPr>
            </w:pPr>
            <w:r>
              <w:rPr>
                <w:rFonts w:ascii="Arial" w:cs="Arial" w:eastAsia="Arial" w:hAnsi="Arial"/>
                <w:sz w:val="18"/>
                <w:szCs w:val="18"/>
                <w:color w:val="auto"/>
              </w:rPr>
              <w:t>24,390,033 and 18,215,181 shares outstanding at December 31, 2017</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380"/>
              <w:spacing w:after="0"/>
              <w:rPr>
                <w:sz w:val="20"/>
                <w:szCs w:val="20"/>
                <w:color w:val="auto"/>
              </w:rPr>
            </w:pPr>
            <w:r>
              <w:rPr>
                <w:rFonts w:ascii="Arial" w:cs="Arial" w:eastAsia="Arial" w:hAnsi="Arial"/>
                <w:sz w:val="18"/>
                <w:szCs w:val="18"/>
                <w:color w:val="auto"/>
              </w:rPr>
              <w:t>and December 31, 2016, respectively</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470,571</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(366,111)</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(305,293)</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104,319</w:t>
            </w:r>
          </w:p>
        </w:tc>
        <w:tc>
          <w:tcPr>
            <w:tcW w:w="5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1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137,186</w:t>
            </w:r>
          </w:p>
        </w:tc>
        <w:tc>
          <w:tcPr>
            <w:tcW w:w="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Years Ended December 31,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1,220</w:t>
            </w:r>
          </w:p>
        </w:tc>
        <w:tc>
          <w:tcPr>
            <w:tcW w:w="48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4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48,201</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31,665</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15,861</w:t>
            </w: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13,321</w:t>
            </w:r>
          </w:p>
        </w:tc>
        <w:tc>
          <w:tcPr>
            <w:tcW w:w="4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64,062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44,986</w:t>
            </w:r>
          </w:p>
        </w:tc>
        <w:tc>
          <w:tcPr>
            <w:tcW w:w="4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(43,766)</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956</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common stock warrant liability</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(1,703)</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4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(60,802</w:t>
            </w:r>
          </w:p>
        </w:tc>
        <w:tc>
          <w:tcPr>
            <w:tcW w:w="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(44,472</w:t>
            </w:r>
          </w:p>
        </w:tc>
        <w:tc>
          <w:tcPr>
            <w:tcW w:w="480" w:type="dxa"/>
            <w:vAlign w:val="bottom"/>
            <w:tcBorders>
              <w:bottom w:val="single" w:sz="8" w:color="CFF0FC"/>
            </w:tcBorders>
          </w:tcPr>
          <w:p>
            <w:pPr>
              <w:jc w:val="right"/>
              <w:ind w:right="34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(24,119</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(47,070</w:t>
            </w:r>
          </w:p>
        </w:tc>
        <w:tc>
          <w:tcPr>
            <w:tcW w:w="480" w:type="dxa"/>
            <w:vAlign w:val="bottom"/>
            <w:tcBorders>
              <w:bottom w:val="single" w:sz="8" w:color="CFF0FC"/>
            </w:tcBorders>
            <w:shd w:val="clear" w:color="auto" w:fill="CFF0FC"/>
          </w:tcPr>
          <w:p>
            <w:pPr>
              <w:jc w:val="right"/>
              <w:ind w:right="34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(103,845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stockholders—basic</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9"/>
              </w:rPr>
              <w:t>(1,519.27)</w:t>
            </w:r>
          </w:p>
        </w:tc>
        <w:tc>
          <w:tcPr>
            <w:tcW w:w="0" w:type="dxa"/>
            <w:vAlign w:val="bottom"/>
          </w:tcPr>
          <w:p>
            <w:pPr>
              <w:spacing w:after="0"/>
              <w:rPr>
                <w:sz w:val="1"/>
                <w:szCs w:val="1"/>
                <w:color w:val="auto"/>
              </w:rPr>
            </w:pPr>
          </w:p>
        </w:tc>
      </w:tr>
      <w:tr>
        <w:trPr>
          <w:trHeight w:val="196"/>
        </w:trPr>
        <w:tc>
          <w:tcPr>
            <w:tcW w:w="748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Weighted-average common shares outstanding—basic</w:t>
            </w: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20,997,211</w:t>
            </w:r>
          </w:p>
        </w:tc>
        <w:tc>
          <w:tcPr>
            <w:tcW w:w="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14,619,716</w:t>
            </w:r>
          </w:p>
        </w:tc>
        <w:tc>
          <w:tcPr>
            <w:tcW w:w="4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68,352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1" w:name="page102"/>
    <w:bookmarkEnd w:id="101"/>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Years Ended December 31,</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(44,472)</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(24,119)</w:t>
            </w: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(losses) gains on marketable securities, net of tax</w:t>
            </w: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(44,444</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left="402"/>
              <w:spacing w:after="0"/>
              <w:rPr>
                <w:sz w:val="20"/>
                <w:szCs w:val="20"/>
                <w:color w:val="auto"/>
              </w:rPr>
            </w:pPr>
            <w:r>
              <w:rPr>
                <w:rFonts w:ascii="Arial" w:cs="Arial" w:eastAsia="Arial" w:hAnsi="Arial"/>
                <w:sz w:val="11"/>
                <w:szCs w:val="11"/>
                <w:b w:val="1"/>
                <w:bCs w:val="1"/>
                <w:color w:val="auto"/>
                <w:w w:val="86"/>
              </w:rPr>
              <w:t>Series A</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720" w:type="dxa"/>
            <w:vAlign w:val="bottom"/>
            <w:tcBorders>
              <w:right w:val="single" w:sz="8" w:color="auto"/>
            </w:tcBorders>
            <w:gridSpan w:val="5"/>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20" w:type="dxa"/>
            <w:vAlign w:val="bottom"/>
          </w:tcPr>
          <w:p>
            <w:pPr>
              <w:spacing w:after="0"/>
              <w:rPr>
                <w:sz w:val="10"/>
                <w:szCs w:val="10"/>
                <w:color w:val="auto"/>
              </w:rPr>
            </w:pPr>
          </w:p>
        </w:tc>
        <w:tc>
          <w:tcPr>
            <w:tcW w:w="1080" w:type="dxa"/>
            <w:vAlign w:val="bottom"/>
            <w:gridSpan w:val="4"/>
          </w:tcPr>
          <w:p>
            <w:pPr>
              <w:jc w:val="center"/>
              <w:ind w:left="242"/>
              <w:spacing w:after="0" w:line="122" w:lineRule="exact"/>
              <w:rPr>
                <w:sz w:val="20"/>
                <w:szCs w:val="20"/>
                <w:color w:val="auto"/>
              </w:rPr>
            </w:pPr>
            <w:r>
              <w:rPr>
                <w:rFonts w:ascii="Arial" w:cs="Arial" w:eastAsia="Arial" w:hAnsi="Arial"/>
                <w:sz w:val="11"/>
                <w:szCs w:val="11"/>
                <w:b w:val="1"/>
                <w:bCs w:val="1"/>
                <w:color w:val="auto"/>
                <w:w w:val="89"/>
              </w:rPr>
              <w:t>Convertible</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9"/>
              </w:rPr>
              <w:t>Common Stock</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Accumulated</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Total</w:t>
            </w:r>
          </w:p>
        </w:tc>
      </w:tr>
      <w:tr>
        <w:trPr>
          <w:trHeight w:val="122"/>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720" w:type="dxa"/>
            <w:vAlign w:val="bottom"/>
            <w:tcBorders>
              <w:right w:val="single" w:sz="8" w:color="auto"/>
            </w:tcBorders>
            <w:gridSpan w:val="5"/>
          </w:tcPr>
          <w:p>
            <w:pPr>
              <w:jc w:val="center"/>
              <w:ind w:right="300"/>
              <w:spacing w:after="0" w:line="122" w:lineRule="exact"/>
              <w:rPr>
                <w:sz w:val="20"/>
                <w:szCs w:val="20"/>
                <w:color w:val="auto"/>
              </w:rPr>
            </w:pPr>
            <w:r>
              <w:rPr>
                <w:rFonts w:ascii="Arial" w:cs="Arial" w:eastAsia="Arial" w:hAnsi="Arial"/>
                <w:sz w:val="11"/>
                <w:szCs w:val="11"/>
                <w:b w:val="1"/>
                <w:bCs w:val="1"/>
                <w:color w:val="auto"/>
                <w:w w:val="90"/>
              </w:rPr>
              <w:t>Preferred Stock</w:t>
            </w:r>
          </w:p>
        </w:tc>
        <w:tc>
          <w:tcPr>
            <w:tcW w:w="120" w:type="dxa"/>
            <w:vAlign w:val="bottom"/>
          </w:tcPr>
          <w:p>
            <w:pPr>
              <w:spacing w:after="0"/>
              <w:rPr>
                <w:sz w:val="10"/>
                <w:szCs w:val="10"/>
                <w:color w:val="auto"/>
              </w:rPr>
            </w:pPr>
          </w:p>
        </w:tc>
        <w:tc>
          <w:tcPr>
            <w:tcW w:w="1080" w:type="dxa"/>
            <w:vAlign w:val="bottom"/>
            <w:gridSpan w:val="4"/>
          </w:tcPr>
          <w:p>
            <w:pPr>
              <w:jc w:val="center"/>
              <w:ind w:left="242"/>
              <w:spacing w:after="0" w:line="122" w:lineRule="exact"/>
              <w:rPr>
                <w:sz w:val="20"/>
                <w:szCs w:val="20"/>
                <w:color w:val="auto"/>
              </w:rPr>
            </w:pPr>
            <w:r>
              <w:rPr>
                <w:rFonts w:ascii="Arial" w:cs="Arial" w:eastAsia="Arial" w:hAnsi="Arial"/>
                <w:sz w:val="11"/>
                <w:szCs w:val="11"/>
                <w:b w:val="1"/>
                <w:bCs w:val="1"/>
                <w:color w:val="auto"/>
                <w:w w:val="90"/>
              </w:rPr>
              <w:t>Preferred Stock</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tcPr>
          <w:p>
            <w:pPr>
              <w:jc w:val="center"/>
              <w:ind w:left="422"/>
              <w:spacing w:after="0" w:line="122" w:lineRule="exact"/>
              <w:rPr>
                <w:sz w:val="20"/>
                <w:szCs w:val="20"/>
                <w:color w:val="auto"/>
              </w:rPr>
            </w:pPr>
            <w:r>
              <w:rPr>
                <w:rFonts w:ascii="Arial" w:cs="Arial" w:eastAsia="Arial" w:hAnsi="Arial"/>
                <w:sz w:val="11"/>
                <w:szCs w:val="11"/>
                <w:b w:val="1"/>
                <w:bCs w:val="1"/>
                <w:color w:val="auto"/>
                <w:w w:val="90"/>
              </w:rPr>
              <w:t>$0.0001</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gridSpan w:val="3"/>
          </w:tcPr>
          <w:p>
            <w:pPr>
              <w:ind w:left="240"/>
              <w:spacing w:after="0" w:line="122"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62"/>
              <w:spacing w:after="0" w:line="122" w:lineRule="exact"/>
              <w:rPr>
                <w:sz w:val="20"/>
                <w:szCs w:val="20"/>
                <w:color w:val="auto"/>
              </w:rPr>
            </w:pPr>
            <w:r>
              <w:rPr>
                <w:rFonts w:ascii="Arial" w:cs="Arial" w:eastAsia="Arial" w:hAnsi="Arial"/>
                <w:sz w:val="11"/>
                <w:szCs w:val="11"/>
                <w:b w:val="1"/>
                <w:bCs w:val="1"/>
                <w:color w:val="auto"/>
                <w:w w:val="88"/>
              </w:rPr>
              <w:t>Other</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4"/>
          </w:tcPr>
          <w:p>
            <w:pPr>
              <w:jc w:val="center"/>
              <w:ind w:left="3"/>
              <w:spacing w:after="0" w:line="122" w:lineRule="exact"/>
              <w:rPr>
                <w:sz w:val="20"/>
                <w:szCs w:val="20"/>
                <w:color w:val="auto"/>
              </w:rPr>
            </w:pPr>
            <w:r>
              <w:rPr>
                <w:rFonts w:ascii="Arial" w:cs="Arial" w:eastAsia="Arial" w:hAnsi="Arial"/>
                <w:sz w:val="11"/>
                <w:szCs w:val="11"/>
                <w:b w:val="1"/>
                <w:bCs w:val="1"/>
                <w:color w:val="auto"/>
                <w:w w:val="85"/>
              </w:rPr>
              <w:t>Stockholders'</w:t>
            </w: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20" w:type="dxa"/>
            <w:vAlign w:val="bottom"/>
            <w:tcBorders>
              <w:right w:val="single" w:sz="8" w:color="auto"/>
            </w:tcBorders>
            <w:gridSpan w:val="5"/>
          </w:tcPr>
          <w:p>
            <w:pPr>
              <w:jc w:val="center"/>
              <w:ind w:right="300"/>
              <w:spacing w:after="0"/>
              <w:rPr>
                <w:sz w:val="20"/>
                <w:szCs w:val="20"/>
                <w:color w:val="auto"/>
              </w:rPr>
            </w:pPr>
            <w:r>
              <w:rPr>
                <w:rFonts w:ascii="Arial" w:cs="Arial" w:eastAsia="Arial" w:hAnsi="Arial"/>
                <w:sz w:val="11"/>
                <w:szCs w:val="11"/>
                <w:b w:val="1"/>
                <w:bCs w:val="1"/>
                <w:color w:val="auto"/>
                <w:w w:val="89"/>
              </w:rPr>
              <w:t>$0.001 Par Value</w:t>
            </w:r>
          </w:p>
        </w:tc>
        <w:tc>
          <w:tcPr>
            <w:tcW w:w="120" w:type="dxa"/>
            <w:vAlign w:val="bottom"/>
          </w:tcPr>
          <w:p>
            <w:pPr>
              <w:spacing w:after="0"/>
              <w:rPr>
                <w:sz w:val="11"/>
                <w:szCs w:val="11"/>
                <w:color w:val="auto"/>
              </w:rPr>
            </w:pPr>
          </w:p>
        </w:tc>
        <w:tc>
          <w:tcPr>
            <w:tcW w:w="1080" w:type="dxa"/>
            <w:vAlign w:val="bottom"/>
            <w:gridSpan w:val="4"/>
          </w:tcPr>
          <w:p>
            <w:pPr>
              <w:jc w:val="center"/>
              <w:ind w:left="242"/>
              <w:spacing w:after="0"/>
              <w:rPr>
                <w:sz w:val="20"/>
                <w:szCs w:val="20"/>
                <w:color w:val="auto"/>
              </w:rPr>
            </w:pPr>
            <w:r>
              <w:rPr>
                <w:rFonts w:ascii="Arial" w:cs="Arial" w:eastAsia="Arial" w:hAnsi="Arial"/>
                <w:sz w:val="11"/>
                <w:szCs w:val="11"/>
                <w:b w:val="1"/>
                <w:bCs w:val="1"/>
                <w:color w:val="auto"/>
                <w:w w:val="89"/>
              </w:rPr>
              <w:t>$0.001 Par Value</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tcPr>
          <w:p>
            <w:pPr>
              <w:jc w:val="center"/>
              <w:ind w:left="322"/>
              <w:spacing w:after="0"/>
              <w:rPr>
                <w:sz w:val="20"/>
                <w:szCs w:val="20"/>
                <w:color w:val="auto"/>
              </w:rPr>
            </w:pPr>
            <w:r>
              <w:rPr>
                <w:rFonts w:ascii="Arial" w:cs="Arial" w:eastAsia="Arial" w:hAnsi="Arial"/>
                <w:sz w:val="11"/>
                <w:szCs w:val="11"/>
                <w:b w:val="1"/>
                <w:bCs w:val="1"/>
                <w:color w:val="auto"/>
                <w:w w:val="91"/>
              </w:rPr>
              <w:t>Par Value</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2"/>
              </w:rPr>
              <w:t>Paid-In</w:t>
            </w:r>
          </w:p>
        </w:tc>
        <w:tc>
          <w:tcPr>
            <w:tcW w:w="840" w:type="dxa"/>
            <w:vAlign w:val="bottom"/>
            <w:gridSpan w:val="3"/>
          </w:tcPr>
          <w:p>
            <w:pPr>
              <w:jc w:val="center"/>
              <w:ind w:left="43"/>
              <w:spacing w:after="0"/>
              <w:rPr>
                <w:sz w:val="20"/>
                <w:szCs w:val="20"/>
                <w:color w:val="auto"/>
              </w:rPr>
            </w:pPr>
            <w:r>
              <w:rPr>
                <w:rFonts w:ascii="Arial" w:cs="Arial" w:eastAsia="Arial" w:hAnsi="Arial"/>
                <w:sz w:val="11"/>
                <w:szCs w:val="11"/>
                <w:b w:val="1"/>
                <w:bCs w:val="1"/>
                <w:color w:val="auto"/>
                <w:w w:val="84"/>
              </w:rPr>
              <w:t>Comprehensive</w:t>
            </w:r>
          </w:p>
        </w:tc>
        <w:tc>
          <w:tcPr>
            <w:tcW w:w="440" w:type="dxa"/>
            <w:vAlign w:val="bottom"/>
          </w:tcPr>
          <w:p>
            <w:pPr>
              <w:spacing w:after="0"/>
              <w:rPr>
                <w:sz w:val="11"/>
                <w:szCs w:val="11"/>
                <w:color w:val="auto"/>
              </w:rPr>
            </w:pP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Accumulated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Equity</w:t>
            </w:r>
          </w:p>
        </w:tc>
      </w:tr>
      <w:tr>
        <w:trPr>
          <w:trHeight w:val="129"/>
        </w:trPr>
        <w:tc>
          <w:tcPr>
            <w:tcW w:w="20" w:type="dxa"/>
            <w:vAlign w:val="bottom"/>
          </w:tcPr>
          <w:p>
            <w:pPr>
              <w:spacing w:after="0"/>
              <w:rPr>
                <w:sz w:val="11"/>
                <w:szCs w:val="11"/>
                <w:color w:val="auto"/>
              </w:rPr>
            </w:pPr>
          </w:p>
        </w:tc>
        <w:tc>
          <w:tcPr>
            <w:tcW w:w="2540" w:type="dxa"/>
            <w:vAlign w:val="bottom"/>
            <w:tcBorders>
              <w:bottom w:val="single" w:sz="8" w:color="CFF0FC"/>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top w:val="single" w:sz="8" w:color="auto"/>
              <w:bottom w:val="single" w:sz="8" w:color="CFF0FC"/>
            </w:tcBorders>
          </w:tcPr>
          <w:p>
            <w:pPr>
              <w:spacing w:after="0"/>
              <w:rPr>
                <w:sz w:val="11"/>
                <w:szCs w:val="11"/>
                <w:color w:val="auto"/>
              </w:rPr>
            </w:pPr>
          </w:p>
        </w:tc>
        <w:tc>
          <w:tcPr>
            <w:tcW w:w="180" w:type="dxa"/>
            <w:vAlign w:val="bottom"/>
            <w:tcBorders>
              <w:top w:val="single" w:sz="8" w:color="auto"/>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w w:val="86"/>
              </w:rPr>
              <w:t>Amount</w:t>
            </w:r>
          </w:p>
        </w:tc>
        <w:tc>
          <w:tcPr>
            <w:tcW w:w="260" w:type="dxa"/>
            <w:vAlign w:val="bottom"/>
            <w:tcBorders>
              <w:bottom w:val="single" w:sz="8" w:color="CFF0FC"/>
              <w:right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1"/>
                <w:szCs w:val="11"/>
                <w:b w:val="1"/>
                <w:bCs w:val="1"/>
                <w:color w:val="auto"/>
              </w:rPr>
              <w:t>Shares</w:t>
            </w:r>
          </w:p>
        </w:tc>
        <w:tc>
          <w:tcPr>
            <w:tcW w:w="140" w:type="dxa"/>
            <w:vAlign w:val="bottom"/>
            <w:tcBorders>
              <w:top w:val="single" w:sz="8" w:color="auto"/>
              <w:bottom w:val="single" w:sz="8" w:color="CFF0FC"/>
            </w:tcBorders>
          </w:tcPr>
          <w:p>
            <w:pPr>
              <w:spacing w:after="0"/>
              <w:rPr>
                <w:sz w:val="11"/>
                <w:szCs w:val="11"/>
                <w:color w:val="auto"/>
              </w:rPr>
            </w:pPr>
          </w:p>
        </w:tc>
        <w:tc>
          <w:tcPr>
            <w:tcW w:w="240" w:type="dxa"/>
            <w:vAlign w:val="bottom"/>
            <w:tcBorders>
              <w:top w:val="single" w:sz="8" w:color="auto"/>
              <w:bottom w:val="single" w:sz="8" w:color="CFF0FC"/>
            </w:tcBorders>
          </w:tcPr>
          <w:p>
            <w:pPr>
              <w:spacing w:after="0"/>
              <w:rPr>
                <w:sz w:val="11"/>
                <w:szCs w:val="11"/>
                <w:color w:val="auto"/>
              </w:rPr>
            </w:pPr>
          </w:p>
        </w:tc>
        <w:tc>
          <w:tcPr>
            <w:tcW w:w="4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Borders>
              <w:bottom w:val="single" w:sz="8" w:color="CFF0FC"/>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top w:val="single" w:sz="8" w:color="auto"/>
              <w:bottom w:val="single" w:sz="8" w:color="CFF0FC"/>
            </w:tcBorders>
          </w:tcPr>
          <w:p>
            <w:pPr>
              <w:spacing w:after="0"/>
              <w:rPr>
                <w:sz w:val="11"/>
                <w:szCs w:val="11"/>
                <w:color w:val="auto"/>
              </w:rPr>
            </w:pPr>
          </w:p>
        </w:tc>
        <w:tc>
          <w:tcPr>
            <w:tcW w:w="500" w:type="dxa"/>
            <w:vAlign w:val="bottom"/>
            <w:tcBorders>
              <w:top w:val="single" w:sz="8" w:color="auto"/>
              <w:bottom w:val="single" w:sz="8" w:color="auto"/>
            </w:tcBorders>
            <w:gridSpan w:val="2"/>
          </w:tcPr>
          <w:p>
            <w:pPr>
              <w:jc w:val="right"/>
              <w:ind w:right="22"/>
              <w:spacing w:after="0"/>
              <w:rPr>
                <w:sz w:val="20"/>
                <w:szCs w:val="20"/>
                <w:color w:val="auto"/>
              </w:rPr>
            </w:pPr>
            <w:r>
              <w:rPr>
                <w:rFonts w:ascii="Arial" w:cs="Arial" w:eastAsia="Arial" w:hAnsi="Arial"/>
                <w:sz w:val="11"/>
                <w:szCs w:val="11"/>
                <w:b w:val="1"/>
                <w:bCs w:val="1"/>
                <w:color w:val="auto"/>
                <w:w w:val="96"/>
              </w:rPr>
              <w:t>Amount</w:t>
            </w:r>
          </w:p>
        </w:tc>
        <w:tc>
          <w:tcPr>
            <w:tcW w:w="300" w:type="dxa"/>
            <w:vAlign w:val="bottom"/>
            <w:tcBorders>
              <w:bottom w:val="single" w:sz="8" w:color="CFF0FC"/>
            </w:tcBorders>
          </w:tcPr>
          <w:p>
            <w:pPr>
              <w:spacing w:after="0"/>
              <w:rPr>
                <w:sz w:val="11"/>
                <w:szCs w:val="11"/>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w w:val="92"/>
              </w:rPr>
              <w:t>Capital</w:t>
            </w: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8"/>
              </w:rPr>
              <w:t>Income (Loss)</w:t>
            </w:r>
          </w:p>
        </w:tc>
        <w:tc>
          <w:tcPr>
            <w:tcW w:w="4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1"/>
                <w:szCs w:val="11"/>
                <w:b w:val="1"/>
                <w:bCs w:val="1"/>
                <w:color w:val="auto"/>
              </w:rPr>
              <w:t>Deficit</w:t>
            </w: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w w:val="92"/>
              </w:rPr>
              <w:t>(Deficit)</w:t>
            </w:r>
          </w:p>
        </w:tc>
        <w:tc>
          <w:tcPr>
            <w:tcW w:w="40" w:type="dxa"/>
            <w:vAlign w:val="bottom"/>
            <w:tcBorders>
              <w:bottom w:val="single" w:sz="8" w:color="CFF0FC"/>
            </w:tcBorders>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BALANCE--January 1, 2015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6,105,956</w:t>
            </w: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146,853</w:t>
            </w: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700,435</w:t>
            </w:r>
          </w:p>
        </w:tc>
        <w:tc>
          <w:tcPr>
            <w:tcW w:w="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7,231</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58,517</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30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(159,801)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(152,569)</w:t>
            </w:r>
          </w:p>
        </w:tc>
      </w:tr>
      <w:tr>
        <w:trPr>
          <w:trHeight w:val="142"/>
        </w:trPr>
        <w:tc>
          <w:tcPr>
            <w:tcW w:w="2560" w:type="dxa"/>
            <w:vAlign w:val="bottom"/>
            <w:gridSpan w:val="2"/>
          </w:tcPr>
          <w:p>
            <w:pPr>
              <w:spacing w:after="0"/>
              <w:rPr>
                <w:sz w:val="20"/>
                <w:szCs w:val="20"/>
                <w:color w:val="auto"/>
              </w:rPr>
            </w:pPr>
            <w:r>
              <w:rPr>
                <w:rFonts w:ascii="Arial" w:cs="Arial" w:eastAsia="Arial" w:hAnsi="Arial"/>
                <w:sz w:val="12"/>
                <w:szCs w:val="12"/>
                <w:color w:val="auto"/>
                <w:w w:val="95"/>
              </w:rPr>
              <w:t>Issuance of Series B-1 convertible preferred 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2540" w:type="dxa"/>
            <w:vAlign w:val="bottom"/>
          </w:tcPr>
          <w:p>
            <w:pPr>
              <w:ind w:left="80"/>
              <w:spacing w:after="0" w:line="135" w:lineRule="exact"/>
              <w:rPr>
                <w:sz w:val="20"/>
                <w:szCs w:val="20"/>
                <w:color w:val="auto"/>
              </w:rPr>
            </w:pPr>
            <w:r>
              <w:rPr>
                <w:rFonts w:ascii="Arial" w:cs="Arial" w:eastAsia="Arial" w:hAnsi="Arial"/>
                <w:sz w:val="12"/>
                <w:szCs w:val="12"/>
                <w:color w:val="auto"/>
              </w:rPr>
              <w:t>in January 2015 in conjunction with KHK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1"/>
        </w:trPr>
        <w:tc>
          <w:tcPr>
            <w:tcW w:w="2560" w:type="dxa"/>
            <w:vAlign w:val="bottom"/>
            <w:gridSpan w:val="2"/>
          </w:tcPr>
          <w:p>
            <w:pPr>
              <w:spacing w:after="0"/>
              <w:rPr>
                <w:sz w:val="20"/>
                <w:szCs w:val="20"/>
                <w:color w:val="auto"/>
              </w:rPr>
            </w:pPr>
            <w:r>
              <w:rPr>
                <w:rFonts w:ascii="Arial" w:cs="Arial" w:eastAsia="Arial" w:hAnsi="Arial"/>
                <w:sz w:val="12"/>
                <w:szCs w:val="12"/>
                <w:color w:val="auto"/>
              </w:rPr>
              <w:t>Agreement</w:t>
            </w:r>
          </w:p>
        </w:tc>
        <w:tc>
          <w:tcPr>
            <w:tcW w:w="660" w:type="dxa"/>
            <w:vAlign w:val="bottom"/>
          </w:tcPr>
          <w:p>
            <w:pPr>
              <w:jc w:val="right"/>
              <w:spacing w:after="0"/>
              <w:rPr>
                <w:sz w:val="20"/>
                <w:szCs w:val="20"/>
                <w:color w:val="auto"/>
              </w:rPr>
            </w:pPr>
            <w:r>
              <w:rPr>
                <w:rFonts w:ascii="Arial" w:cs="Arial" w:eastAsia="Arial" w:hAnsi="Arial"/>
                <w:sz w:val="12"/>
                <w:szCs w:val="12"/>
                <w:color w:val="auto"/>
              </w:rPr>
              <w:t>536,049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7,713</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42"/>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w w:val="94"/>
              </w:rPr>
              <w:t>Issuance of Series C-1 convertible preferred stock</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2540" w:type="dxa"/>
            <w:vAlign w:val="bottom"/>
            <w:shd w:val="clear" w:color="auto" w:fill="CFF0FC"/>
          </w:tcPr>
          <w:p>
            <w:pPr>
              <w:spacing w:after="0" w:line="135" w:lineRule="exact"/>
              <w:rPr>
                <w:sz w:val="20"/>
                <w:szCs w:val="20"/>
                <w:color w:val="auto"/>
              </w:rPr>
            </w:pPr>
            <w:r>
              <w:rPr>
                <w:rFonts w:ascii="Arial" w:cs="Arial" w:eastAsia="Arial" w:hAnsi="Arial"/>
                <w:sz w:val="12"/>
                <w:szCs w:val="12"/>
                <w:color w:val="auto"/>
              </w:rPr>
              <w:t>in</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1"/>
        </w:trPr>
        <w:tc>
          <w:tcPr>
            <w:tcW w:w="20" w:type="dxa"/>
            <w:vAlign w:val="bottom"/>
          </w:tcPr>
          <w:p>
            <w:pPr>
              <w:spacing w:after="0"/>
              <w:rPr>
                <w:sz w:val="12"/>
                <w:szCs w:val="12"/>
                <w:color w:val="auto"/>
              </w:rPr>
            </w:pPr>
          </w:p>
        </w:tc>
        <w:tc>
          <w:tcPr>
            <w:tcW w:w="2540" w:type="dxa"/>
            <w:vAlign w:val="bottom"/>
            <w:shd w:val="clear" w:color="auto" w:fill="CFF0FC"/>
          </w:tcPr>
          <w:p>
            <w:pPr>
              <w:ind w:left="80"/>
              <w:spacing w:after="0"/>
              <w:rPr>
                <w:sz w:val="20"/>
                <w:szCs w:val="20"/>
                <w:color w:val="auto"/>
              </w:rPr>
            </w:pPr>
            <w:r>
              <w:rPr>
                <w:rFonts w:ascii="Arial" w:cs="Arial" w:eastAsia="Arial" w:hAnsi="Arial"/>
                <w:sz w:val="12"/>
                <w:szCs w:val="12"/>
                <w:color w:val="auto"/>
                <w:w w:val="96"/>
              </w:rPr>
              <w:t>June 2015, net of issuance costs of $0.2 million</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1,340,113</w:t>
            </w: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18,526</w:t>
            </w: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rPr>
              <w:t>Conversion of 2014 Notes into Series C-1</w:t>
            </w:r>
          </w:p>
        </w:tc>
        <w:tc>
          <w:tcPr>
            <w:tcW w:w="660" w:type="dxa"/>
            <w:vAlign w:val="bottom"/>
          </w:tcPr>
          <w:p>
            <w:pPr>
              <w:jc w:val="right"/>
              <w:spacing w:after="0"/>
              <w:rPr>
                <w:sz w:val="20"/>
                <w:szCs w:val="20"/>
                <w:color w:val="auto"/>
              </w:rPr>
            </w:pPr>
            <w:r>
              <w:rPr>
                <w:rFonts w:ascii="Arial" w:cs="Arial" w:eastAsia="Arial" w:hAnsi="Arial"/>
                <w:sz w:val="12"/>
                <w:szCs w:val="12"/>
                <w:color w:val="auto"/>
              </w:rPr>
              <w:t>372,446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5,211</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42"/>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w w:val="94"/>
              </w:rPr>
              <w:t>Issuance of Series C-1 convertible preferred stock</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2540" w:type="dxa"/>
            <w:vAlign w:val="bottom"/>
            <w:shd w:val="clear" w:color="auto" w:fill="CFF0FC"/>
          </w:tcPr>
          <w:p>
            <w:pPr>
              <w:ind w:left="80"/>
              <w:spacing w:after="0" w:line="135" w:lineRule="exact"/>
              <w:rPr>
                <w:sz w:val="20"/>
                <w:szCs w:val="20"/>
                <w:color w:val="auto"/>
              </w:rPr>
            </w:pPr>
            <w:r>
              <w:rPr>
                <w:rFonts w:ascii="Arial" w:cs="Arial" w:eastAsia="Arial" w:hAnsi="Arial"/>
                <w:sz w:val="12"/>
                <w:szCs w:val="12"/>
                <w:color w:val="auto"/>
              </w:rPr>
              <w:t>in August 2015, net of issuance costs of $0.2</w:t>
            </w:r>
          </w:p>
        </w:tc>
        <w:tc>
          <w:tcPr>
            <w:tcW w:w="6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6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300" w:type="dxa"/>
            <w:vAlign w:val="bottom"/>
            <w:tcBorders>
              <w:right w:val="single" w:sz="8" w:color="CFF0FC"/>
            </w:tcBorders>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4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r>
      <w:tr>
        <w:trPr>
          <w:trHeight w:val="141"/>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million</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4,377,902</w:t>
            </w: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61,084</w:t>
            </w: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r>
      <w:tr>
        <w:trPr>
          <w:trHeight w:val="142"/>
        </w:trPr>
        <w:tc>
          <w:tcPr>
            <w:tcW w:w="2560" w:type="dxa"/>
            <w:vAlign w:val="bottom"/>
            <w:gridSpan w:val="2"/>
          </w:tcPr>
          <w:p>
            <w:pPr>
              <w:spacing w:after="0"/>
              <w:rPr>
                <w:sz w:val="20"/>
                <w:szCs w:val="20"/>
                <w:color w:val="auto"/>
              </w:rPr>
            </w:pPr>
            <w:r>
              <w:rPr>
                <w:rFonts w:ascii="Arial" w:cs="Arial" w:eastAsia="Arial" w:hAnsi="Arial"/>
                <w:sz w:val="12"/>
                <w:szCs w:val="12"/>
                <w:color w:val="auto"/>
              </w:rPr>
              <w:t>Accretion of convertible preferred stock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1"/>
        </w:trPr>
        <w:tc>
          <w:tcPr>
            <w:tcW w:w="2560" w:type="dxa"/>
            <w:vAlign w:val="bottom"/>
            <w:gridSpan w:val="2"/>
          </w:tcPr>
          <w:p>
            <w:pPr>
              <w:spacing w:after="0"/>
              <w:rPr>
                <w:sz w:val="20"/>
                <w:szCs w:val="20"/>
                <w:color w:val="auto"/>
              </w:rPr>
            </w:pPr>
            <w:r>
              <w:rPr>
                <w:rFonts w:ascii="Arial" w:cs="Arial" w:eastAsia="Arial" w:hAnsi="Arial"/>
                <w:sz w:val="12"/>
                <w:szCs w:val="12"/>
                <w:color w:val="auto"/>
              </w:rPr>
              <w:t>redemption value</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69,715</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(69,592)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(69,715)</w:t>
            </w:r>
          </w:p>
        </w:tc>
      </w:tr>
      <w:tr>
        <w:trPr>
          <w:trHeight w:val="142"/>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Accretion for convertible preferred stock</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dividends</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10,011</w:t>
            </w: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(3,848)</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(6,163)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(10,011)</w:t>
            </w: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rPr>
              <w:t>Exercise of stock options</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24,876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75</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Vesting of restricted stock</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2,047</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w:t>
            </w:r>
          </w:p>
        </w:tc>
        <w:tc>
          <w:tcPr>
            <w:tcW w:w="40" w:type="dxa"/>
            <w:vAlign w:val="bottom"/>
            <w:shd w:val="clear" w:color="auto" w:fill="CFF0FC"/>
          </w:tcPr>
          <w:p>
            <w:pPr>
              <w:spacing w:after="0"/>
              <w:rPr>
                <w:sz w:val="12"/>
                <w:szCs w:val="12"/>
                <w:color w:val="auto"/>
              </w:rPr>
            </w:pP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rPr>
              <w:t>Stock-based compensation expense</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3,882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3,882</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Unrealized gain on short-term investments</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40" w:type="dxa"/>
            <w:vAlign w:val="bottom"/>
            <w:shd w:val="clear" w:color="auto" w:fill="CFF0FC"/>
          </w:tcPr>
          <w:p>
            <w:pPr>
              <w:spacing w:after="0"/>
              <w:rPr>
                <w:sz w:val="12"/>
                <w:szCs w:val="12"/>
                <w:color w:val="auto"/>
              </w:rPr>
            </w:pP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(24,119)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(24,119)</w:t>
            </w:r>
          </w:p>
        </w:tc>
      </w:tr>
      <w:tr>
        <w:trPr>
          <w:trHeight w:val="20"/>
        </w:trPr>
        <w:tc>
          <w:tcPr>
            <w:tcW w:w="20" w:type="dxa"/>
            <w:vAlign w:val="bottom"/>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BALANCE—December 31, 2015</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12,732,466</w:t>
            </w: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319,113</w:t>
            </w: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700,435</w:t>
            </w:r>
          </w:p>
        </w:tc>
        <w:tc>
          <w:tcPr>
            <w:tcW w:w="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3"/>
              </w:rPr>
              <w:t>7,231</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85,440</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(259,675)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(252,415)</w:t>
            </w:r>
          </w:p>
        </w:tc>
      </w:tr>
      <w:tr>
        <w:trPr>
          <w:trHeight w:val="142"/>
        </w:trPr>
        <w:tc>
          <w:tcPr>
            <w:tcW w:w="2560" w:type="dxa"/>
            <w:vAlign w:val="bottom"/>
            <w:gridSpan w:val="2"/>
          </w:tcPr>
          <w:p>
            <w:pPr>
              <w:spacing w:after="0"/>
              <w:rPr>
                <w:sz w:val="20"/>
                <w:szCs w:val="20"/>
                <w:color w:val="auto"/>
              </w:rPr>
            </w:pPr>
            <w:r>
              <w:rPr>
                <w:rFonts w:ascii="Arial" w:cs="Arial" w:eastAsia="Arial" w:hAnsi="Arial"/>
                <w:sz w:val="12"/>
                <w:szCs w:val="12"/>
                <w:color w:val="auto"/>
              </w:rPr>
              <w:t>Accretion for convertible preferred 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1"/>
        </w:trPr>
        <w:tc>
          <w:tcPr>
            <w:tcW w:w="2560" w:type="dxa"/>
            <w:vAlign w:val="bottom"/>
            <w:gridSpan w:val="2"/>
          </w:tcPr>
          <w:p>
            <w:pPr>
              <w:spacing w:after="0"/>
              <w:rPr>
                <w:sz w:val="20"/>
                <w:szCs w:val="20"/>
                <w:color w:val="auto"/>
              </w:rPr>
            </w:pPr>
            <w:r>
              <w:rPr>
                <w:rFonts w:ascii="Arial" w:cs="Arial" w:eastAsia="Arial" w:hAnsi="Arial"/>
                <w:sz w:val="12"/>
                <w:szCs w:val="12"/>
                <w:color w:val="auto"/>
              </w:rPr>
              <w:t>dividends</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2,598</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(1,452)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(1,146)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(2,598)</w:t>
            </w:r>
          </w:p>
        </w:tc>
      </w:tr>
      <w:tr>
        <w:trPr>
          <w:trHeight w:val="142"/>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Proceeds from initial public offering,</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2540" w:type="dxa"/>
            <w:vAlign w:val="bottom"/>
            <w:shd w:val="clear" w:color="auto" w:fill="CFF0FC"/>
          </w:tcPr>
          <w:p>
            <w:pPr>
              <w:ind w:left="80"/>
              <w:spacing w:after="0"/>
              <w:rPr>
                <w:sz w:val="20"/>
                <w:szCs w:val="20"/>
                <w:color w:val="auto"/>
              </w:rPr>
            </w:pPr>
            <w:r>
              <w:rPr>
                <w:rFonts w:ascii="Arial" w:cs="Arial" w:eastAsia="Arial" w:hAnsi="Arial"/>
                <w:sz w:val="12"/>
                <w:szCs w:val="12"/>
                <w:color w:val="auto"/>
              </w:rPr>
              <w:t>net of offering costs of $7,186</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4,809,475</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50,527</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50,527</w:t>
            </w:r>
          </w:p>
        </w:tc>
        <w:tc>
          <w:tcPr>
            <w:tcW w:w="40" w:type="dxa"/>
            <w:vAlign w:val="bottom"/>
            <w:shd w:val="clear" w:color="auto" w:fill="CFF0FC"/>
          </w:tcPr>
          <w:p>
            <w:pPr>
              <w:spacing w:after="0"/>
              <w:rPr>
                <w:sz w:val="12"/>
                <w:szCs w:val="12"/>
                <w:color w:val="auto"/>
              </w:rPr>
            </w:pP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w w:val="97"/>
              </w:rPr>
              <w:t>Conversion of preferred stock into common stock</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w w:val="99"/>
              </w:rPr>
              <w:t>(12,732,466)</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2"/>
                <w:szCs w:val="12"/>
                <w:color w:val="auto"/>
                <w:w w:val="93"/>
              </w:rPr>
              <w:t>(321,711)</w:t>
            </w:r>
          </w:p>
        </w:tc>
        <w:tc>
          <w:tcPr>
            <w:tcW w:w="1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(700,435)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(7,231)</w:t>
            </w: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12,872,551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w w:val="96"/>
              </w:rPr>
              <w:t>328,941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321,711</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w w:val="96"/>
              </w:rPr>
              <w:t>Reclassification of common stock warrant liability</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4,551</w:t>
            </w:r>
          </w:p>
        </w:tc>
        <w:tc>
          <w:tcPr>
            <w:tcW w:w="40" w:type="dxa"/>
            <w:vAlign w:val="bottom"/>
            <w:shd w:val="clear" w:color="auto" w:fill="CFF0FC"/>
          </w:tcPr>
          <w:p>
            <w:pPr>
              <w:spacing w:after="0"/>
              <w:rPr>
                <w:sz w:val="12"/>
                <w:szCs w:val="12"/>
                <w:color w:val="auto"/>
              </w:rPr>
            </w:pP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rPr>
              <w:t>Exercise of stock options</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441,573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2,058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2,058</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Vesting of restricted stock</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6,142</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w:t>
            </w:r>
          </w:p>
        </w:tc>
        <w:tc>
          <w:tcPr>
            <w:tcW w:w="40" w:type="dxa"/>
            <w:vAlign w:val="bottom"/>
            <w:shd w:val="clear" w:color="auto" w:fill="CFF0FC"/>
          </w:tcPr>
          <w:p>
            <w:pPr>
              <w:spacing w:after="0"/>
              <w:rPr>
                <w:sz w:val="12"/>
                <w:szCs w:val="12"/>
                <w:color w:val="auto"/>
              </w:rPr>
            </w:pP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rPr>
              <w:t>Stock-based compensation expense</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4,708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4,708</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Unrealized gain on short-term investments</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w:t>
            </w:r>
          </w:p>
        </w:tc>
        <w:tc>
          <w:tcPr>
            <w:tcW w:w="40" w:type="dxa"/>
            <w:vAlign w:val="bottom"/>
            <w:shd w:val="clear" w:color="auto" w:fill="CFF0FC"/>
          </w:tcPr>
          <w:p>
            <w:pPr>
              <w:spacing w:after="0"/>
              <w:rPr>
                <w:sz w:val="12"/>
                <w:szCs w:val="12"/>
                <w:color w:val="auto"/>
              </w:rPr>
            </w:pPr>
          </w:p>
        </w:tc>
      </w:tr>
      <w:tr>
        <w:trPr>
          <w:trHeight w:val="142"/>
        </w:trPr>
        <w:tc>
          <w:tcPr>
            <w:tcW w:w="2560" w:type="dxa"/>
            <w:vAlign w:val="bottom"/>
            <w:gridSpan w:val="2"/>
          </w:tcPr>
          <w:p>
            <w:pPr>
              <w:spacing w:after="0"/>
              <w:rPr>
                <w:sz w:val="20"/>
                <w:szCs w:val="20"/>
                <w:color w:val="auto"/>
              </w:rPr>
            </w:pPr>
            <w:r>
              <w:rPr>
                <w:rFonts w:ascii="Arial" w:cs="Arial" w:eastAsia="Arial" w:hAnsi="Arial"/>
                <w:sz w:val="12"/>
                <w:szCs w:val="12"/>
                <w:color w:val="auto"/>
              </w:rPr>
              <w:t>Repurchase of fractional shares resulting</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2540" w:type="dxa"/>
            <w:vAlign w:val="bottom"/>
          </w:tcPr>
          <w:p>
            <w:pPr>
              <w:ind w:left="80"/>
              <w:spacing w:after="0"/>
              <w:rPr>
                <w:sz w:val="20"/>
                <w:szCs w:val="20"/>
                <w:color w:val="auto"/>
              </w:rPr>
            </w:pPr>
            <w:r>
              <w:rPr>
                <w:rFonts w:ascii="Arial" w:cs="Arial" w:eastAsia="Arial" w:hAnsi="Arial"/>
                <w:sz w:val="12"/>
                <w:szCs w:val="12"/>
                <w:color w:val="auto"/>
              </w:rPr>
              <w:t>from reverse stock splits</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7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(1)</w:t>
            </w:r>
          </w:p>
        </w:tc>
      </w:tr>
      <w:tr>
        <w:trPr>
          <w:trHeight w:val="149"/>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(44,472)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(44,472)</w:t>
            </w:r>
          </w:p>
        </w:tc>
      </w:tr>
      <w:tr>
        <w:trPr>
          <w:trHeight w:val="20"/>
        </w:trPr>
        <w:tc>
          <w:tcPr>
            <w:tcW w:w="25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2560" w:type="dxa"/>
            <w:vAlign w:val="bottom"/>
            <w:gridSpan w:val="2"/>
          </w:tcPr>
          <w:p>
            <w:pPr>
              <w:spacing w:after="0"/>
              <w:rPr>
                <w:sz w:val="20"/>
                <w:szCs w:val="20"/>
                <w:color w:val="auto"/>
              </w:rPr>
            </w:pPr>
            <w:r>
              <w:rPr>
                <w:rFonts w:ascii="Arial" w:cs="Arial" w:eastAsia="Arial" w:hAnsi="Arial"/>
                <w:sz w:val="12"/>
                <w:szCs w:val="12"/>
                <w:color w:val="auto"/>
              </w:rPr>
              <w:t>Balance—December 31, 2016</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9"/>
                <w:szCs w:val="9"/>
                <w:color w:val="auto"/>
                <w:w w:val="78"/>
              </w:rPr>
              <w:t>$</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18,215,181</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w:t>
            </w:r>
          </w:p>
        </w:tc>
        <w:tc>
          <w:tcPr>
            <w:tcW w:w="300" w:type="dxa"/>
            <w:vAlign w:val="bottom"/>
          </w:tcPr>
          <w:p>
            <w:pPr>
              <w:ind w:left="240"/>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6"/>
              </w:rPr>
              <w:t>389,374</w:t>
            </w:r>
          </w:p>
        </w:tc>
        <w:tc>
          <w:tcPr>
            <w:tcW w:w="140" w:type="dxa"/>
            <w:vAlign w:val="bottom"/>
          </w:tcPr>
          <w:p>
            <w:pPr>
              <w:spacing w:after="0"/>
              <w:rPr>
                <w:sz w:val="12"/>
                <w:szCs w:val="12"/>
                <w:color w:val="auto"/>
              </w:rPr>
            </w:pPr>
          </w:p>
        </w:tc>
        <w:tc>
          <w:tcPr>
            <w:tcW w:w="220" w:type="dxa"/>
            <w:vAlign w:val="bottom"/>
            <w:gridSpan w:val="2"/>
          </w:tcPr>
          <w:p>
            <w:pPr>
              <w:jc w:val="right"/>
              <w:ind w:right="6"/>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56</w:t>
            </w:r>
          </w:p>
        </w:tc>
        <w:tc>
          <w:tcPr>
            <w:tcW w:w="4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(305,293)</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84,139</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w w:val="99"/>
              </w:rPr>
              <w:t>Proceeds from follow on offering, net of offering</w:t>
            </w:r>
          </w:p>
        </w:tc>
        <w:tc>
          <w:tcPr>
            <w:tcW w:w="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cost of $3,665</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3,950,190</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48,675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48,675</w:t>
            </w:r>
          </w:p>
        </w:tc>
        <w:tc>
          <w:tcPr>
            <w:tcW w:w="40" w:type="dxa"/>
            <w:vAlign w:val="bottom"/>
            <w:shd w:val="clear" w:color="auto" w:fill="CFF0FC"/>
          </w:tcPr>
          <w:p>
            <w:pPr>
              <w:spacing w:after="0"/>
              <w:rPr>
                <w:sz w:val="12"/>
                <w:szCs w:val="12"/>
                <w:color w:val="auto"/>
              </w:rPr>
            </w:pP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rPr>
              <w:t>Proceeds from exercise of stock options</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46,680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277</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Vesting of restricted stock</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8,543</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w:t>
            </w:r>
          </w:p>
        </w:tc>
        <w:tc>
          <w:tcPr>
            <w:tcW w:w="40" w:type="dxa"/>
            <w:vAlign w:val="bottom"/>
            <w:shd w:val="clear" w:color="auto" w:fill="CFF0FC"/>
          </w:tcPr>
          <w:p>
            <w:pPr>
              <w:spacing w:after="0"/>
              <w:rPr>
                <w:sz w:val="12"/>
                <w:szCs w:val="12"/>
                <w:color w:val="auto"/>
              </w:rPr>
            </w:pP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rPr>
              <w:t>Stock-based compensation expense</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5,450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5,450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Proceeds from "At-the-market" offering, net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148,421</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1,705</w:t>
            </w:r>
          </w:p>
        </w:tc>
        <w:tc>
          <w:tcPr>
            <w:tcW w:w="40" w:type="dxa"/>
            <w:vAlign w:val="bottom"/>
            <w:shd w:val="clear" w:color="auto" w:fill="CFF0FC"/>
          </w:tcPr>
          <w:p>
            <w:pPr>
              <w:spacing w:after="0"/>
              <w:rPr>
                <w:sz w:val="12"/>
                <w:szCs w:val="12"/>
                <w:color w:val="auto"/>
              </w:rPr>
            </w:pP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rPr>
              <w:t>Unrealized losses on short-term investments</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50"/>
              <w:spacing w:after="0"/>
              <w:rPr>
                <w:sz w:val="20"/>
                <w:szCs w:val="20"/>
                <w:color w:val="auto"/>
              </w:rPr>
            </w:pPr>
            <w:r>
              <w:rPr>
                <w:rFonts w:ascii="Arial" w:cs="Arial" w:eastAsia="Arial" w:hAnsi="Arial"/>
                <w:sz w:val="12"/>
                <w:szCs w:val="12"/>
                <w:color w:val="auto"/>
              </w:rPr>
              <w:t>(199)</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(199)</w:t>
            </w:r>
          </w:p>
        </w:tc>
      </w:tr>
      <w:tr>
        <w:trPr>
          <w:trHeight w:val="149"/>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Employee withholdings ESPP</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40" w:type="dxa"/>
            <w:vAlign w:val="bottom"/>
            <w:shd w:val="clear" w:color="auto" w:fill="CFF0FC"/>
          </w:tcPr>
          <w:p>
            <w:pPr>
              <w:spacing w:after="0"/>
              <w:rPr>
                <w:sz w:val="12"/>
                <w:szCs w:val="12"/>
                <w:color w:val="auto"/>
              </w:rPr>
            </w:pPr>
          </w:p>
        </w:tc>
      </w:tr>
      <w:tr>
        <w:trPr>
          <w:trHeight w:val="142"/>
        </w:trPr>
        <w:tc>
          <w:tcPr>
            <w:tcW w:w="2560" w:type="dxa"/>
            <w:vAlign w:val="bottom"/>
            <w:gridSpan w:val="2"/>
          </w:tcPr>
          <w:p>
            <w:pPr>
              <w:spacing w:after="0"/>
              <w:rPr>
                <w:sz w:val="20"/>
                <w:szCs w:val="20"/>
                <w:color w:val="auto"/>
              </w:rPr>
            </w:pPr>
            <w:r>
              <w:rPr>
                <w:rFonts w:ascii="Arial" w:cs="Arial" w:eastAsia="Arial" w:hAnsi="Arial"/>
                <w:sz w:val="12"/>
                <w:szCs w:val="12"/>
                <w:color w:val="auto"/>
              </w:rPr>
              <w:t>Cumulative effect adjustment of adoption ASU</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1"/>
        </w:trPr>
        <w:tc>
          <w:tcPr>
            <w:tcW w:w="2560" w:type="dxa"/>
            <w:vAlign w:val="bottom"/>
            <w:gridSpan w:val="2"/>
          </w:tcPr>
          <w:p>
            <w:pPr>
              <w:spacing w:after="0"/>
              <w:rPr>
                <w:sz w:val="20"/>
                <w:szCs w:val="20"/>
                <w:color w:val="auto"/>
              </w:rPr>
            </w:pPr>
            <w:r>
              <w:rPr>
                <w:rFonts w:ascii="Arial" w:cs="Arial" w:eastAsia="Arial" w:hAnsi="Arial"/>
                <w:sz w:val="12"/>
                <w:szCs w:val="12"/>
                <w:color w:val="auto"/>
              </w:rPr>
              <w:t>2016-09</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49"/>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Proceeds from direct stock placement, net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740" w:type="dxa"/>
            <w:vAlign w:val="bottom"/>
            <w:tcBorders>
              <w:right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2,021,018</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right w:val="single" w:sz="8" w:color="CFF0FC"/>
            </w:tcBorders>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24,918</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24,918</w:t>
            </w:r>
          </w:p>
        </w:tc>
        <w:tc>
          <w:tcPr>
            <w:tcW w:w="40" w:type="dxa"/>
            <w:vAlign w:val="bottom"/>
            <w:shd w:val="clear" w:color="auto" w:fill="CFF0FC"/>
          </w:tcPr>
          <w:p>
            <w:pPr>
              <w:spacing w:after="0"/>
              <w:rPr>
                <w:sz w:val="12"/>
                <w:szCs w:val="12"/>
                <w:color w:val="auto"/>
              </w:rPr>
            </w:pPr>
          </w:p>
        </w:tc>
      </w:tr>
      <w:tr>
        <w:trPr>
          <w:trHeight w:val="149"/>
        </w:trPr>
        <w:tc>
          <w:tcPr>
            <w:tcW w:w="256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(60,802 )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(60,802)</w:t>
            </w:r>
          </w:p>
        </w:tc>
      </w:tr>
      <w:tr>
        <w:trPr>
          <w:trHeight w:val="20"/>
        </w:trPr>
        <w:tc>
          <w:tcPr>
            <w:tcW w:w="20" w:type="dxa"/>
            <w:vAlign w:val="bottom"/>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2"/>
                <w:szCs w:val="12"/>
                <w:color w:val="auto"/>
              </w:rPr>
              <w:t>Balance—December 31, 2017</w:t>
            </w: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24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9"/>
              </w:rPr>
              <w:t>24,390,033</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420" w:type="dxa"/>
            <w:vAlign w:val="bottom"/>
            <w:shd w:val="clear" w:color="auto" w:fill="CFF0FC"/>
          </w:tcPr>
          <w:p>
            <w:pPr>
              <w:jc w:val="right"/>
              <w:ind w:right="282"/>
              <w:spacing w:after="0"/>
              <w:rPr>
                <w:sz w:val="20"/>
                <w:szCs w:val="20"/>
                <w:color w:val="auto"/>
              </w:rPr>
            </w:pPr>
            <w:r>
              <w:rPr>
                <w:rFonts w:ascii="Arial" w:cs="Arial" w:eastAsia="Arial" w:hAnsi="Arial"/>
                <w:sz w:val="12"/>
                <w:szCs w:val="12"/>
                <w:color w:val="auto"/>
                <w:w w:val="89"/>
              </w:rPr>
              <w:t>2</w:t>
            </w:r>
          </w:p>
        </w:tc>
        <w:tc>
          <w:tcPr>
            <w:tcW w:w="30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5"/>
                <w:szCs w:val="5"/>
                <w:color w:val="auto"/>
                <w:w w:val="70"/>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2"/>
              </w:rPr>
              <w:t>470,571</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
              <w:spacing w:after="0"/>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ind w:right="302"/>
              <w:spacing w:after="0"/>
              <w:rPr>
                <w:sz w:val="20"/>
                <w:szCs w:val="20"/>
                <w:color w:val="auto"/>
              </w:rPr>
            </w:pPr>
            <w:r>
              <w:rPr>
                <w:rFonts w:ascii="Arial" w:cs="Arial" w:eastAsia="Arial" w:hAnsi="Arial"/>
                <w:sz w:val="12"/>
                <w:szCs w:val="12"/>
                <w:color w:val="auto"/>
                <w:w w:val="99"/>
              </w:rPr>
              <w:t>(143</w:t>
            </w:r>
          </w:p>
        </w:tc>
        <w:tc>
          <w:tcPr>
            <w:tcW w:w="440" w:type="dxa"/>
            <w:vAlign w:val="bottom"/>
            <w:tcBorders>
              <w:right w:val="single" w:sz="8" w:color="CFF0FC"/>
            </w:tcBorders>
            <w:shd w:val="clear" w:color="auto" w:fill="CFF0FC"/>
          </w:tcPr>
          <w:p>
            <w:pPr>
              <w:jc w:val="right"/>
              <w:ind w:right="350"/>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CFF0FC"/>
          </w:tcPr>
          <w:p>
            <w:pPr>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w w:val="96"/>
              </w:rPr>
              <w:t>(366,111  )</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center"/>
              <w:ind w:right="42"/>
              <w:spacing w:after="0"/>
              <w:rPr>
                <w:sz w:val="20"/>
                <w:szCs w:val="20"/>
                <w:color w:val="auto"/>
              </w:rPr>
            </w:pPr>
            <w:r>
              <w:rPr>
                <w:rFonts w:ascii="Arial" w:cs="Arial" w:eastAsia="Arial" w:hAnsi="Arial"/>
                <w:sz w:val="12"/>
                <w:szCs w:val="12"/>
                <w:color w:val="auto"/>
                <w:w w:val="87"/>
              </w:rPr>
              <w:t>104,319</w:t>
            </w:r>
          </w:p>
        </w:tc>
        <w:tc>
          <w:tcPr>
            <w:tcW w:w="40" w:type="dxa"/>
            <w:vAlign w:val="bottom"/>
            <w:shd w:val="clear" w:color="auto" w:fill="CFF0FC"/>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337" w:right="299" w:bottom="1440" w:gutter="0" w:footer="0" w:header="0"/>
        </w:sectPr>
      </w:pPr>
    </w:p>
    <w:bookmarkStart w:id="103" w:name="page104"/>
    <w:bookmarkEnd w:id="103"/>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December 31,</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1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FLOWS FROM OPERATING ACTIVITIES:</w:t>
            </w:r>
          </w:p>
        </w:tc>
        <w:tc>
          <w:tcPr>
            <w:tcW w:w="240" w:type="dxa"/>
            <w:vAlign w:val="bottom"/>
            <w:shd w:val="clear" w:color="auto" w:fill="CFF0FC"/>
          </w:tcPr>
          <w:p>
            <w:pPr>
              <w:spacing w:after="0"/>
              <w:rPr>
                <w:sz w:val="14"/>
                <w:szCs w:val="14"/>
                <w:color w:val="auto"/>
              </w:rPr>
            </w:pPr>
          </w:p>
        </w:tc>
        <w:tc>
          <w:tcPr>
            <w:tcW w:w="98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Net loss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(60,802)</w:t>
            </w:r>
          </w:p>
        </w:tc>
        <w:tc>
          <w:tcPr>
            <w:tcW w:w="5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(44,472)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(24,119)</w:t>
            </w: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Adjustments to reconcile net loss to net cash used in operating</w:t>
            </w:r>
          </w:p>
        </w:tc>
        <w:tc>
          <w:tcPr>
            <w:tcW w:w="240" w:type="dxa"/>
            <w:vAlign w:val="bottom"/>
            <w:shd w:val="clear" w:color="auto" w:fill="CFF0FC"/>
          </w:tcPr>
          <w:p>
            <w:pPr>
              <w:spacing w:after="0"/>
              <w:rPr>
                <w:sz w:val="14"/>
                <w:szCs w:val="14"/>
                <w:color w:val="auto"/>
              </w:rPr>
            </w:pPr>
          </w:p>
        </w:tc>
        <w:tc>
          <w:tcPr>
            <w:tcW w:w="98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activities:</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500"/>
              <w:spacing w:after="0"/>
              <w:rPr>
                <w:sz w:val="20"/>
                <w:szCs w:val="20"/>
                <w:color w:val="auto"/>
              </w:rPr>
            </w:pPr>
            <w:r>
              <w:rPr>
                <w:rFonts w:ascii="Arial" w:cs="Arial" w:eastAsia="Arial" w:hAnsi="Arial"/>
                <w:sz w:val="15"/>
                <w:szCs w:val="15"/>
                <w:color w:val="auto"/>
              </w:rPr>
              <w:t>Depreciation</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Amortization of debt discount and debt issuance costs</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500"/>
              <w:spacing w:after="0"/>
              <w:rPr>
                <w:sz w:val="20"/>
                <w:szCs w:val="20"/>
                <w:color w:val="auto"/>
              </w:rPr>
            </w:pPr>
            <w:r>
              <w:rPr>
                <w:rFonts w:ascii="Arial" w:cs="Arial" w:eastAsia="Arial" w:hAnsi="Arial"/>
                <w:sz w:val="15"/>
                <w:szCs w:val="15"/>
                <w:color w:val="auto"/>
              </w:rPr>
              <w:t>Amortization and accretion of investments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(126)</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Stock-based compensation</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5,450</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4,708</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500"/>
              <w:spacing w:after="0"/>
              <w:rPr>
                <w:sz w:val="20"/>
                <w:szCs w:val="20"/>
                <w:color w:val="auto"/>
              </w:rPr>
            </w:pPr>
            <w:r>
              <w:rPr>
                <w:rFonts w:ascii="Arial" w:cs="Arial" w:eastAsia="Arial" w:hAnsi="Arial"/>
                <w:sz w:val="15"/>
                <w:szCs w:val="15"/>
                <w:color w:val="auto"/>
              </w:rPr>
              <w:t>Change in fair value of warrants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1,703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50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500"/>
              <w:spacing w:after="0"/>
              <w:rPr>
                <w:sz w:val="20"/>
                <w:szCs w:val="20"/>
                <w:color w:val="auto"/>
              </w:rPr>
            </w:pPr>
            <w:r>
              <w:rPr>
                <w:rFonts w:ascii="Arial" w:cs="Arial" w:eastAsia="Arial" w:hAnsi="Arial"/>
                <w:sz w:val="15"/>
                <w:szCs w:val="15"/>
                <w:color w:val="auto"/>
              </w:rPr>
              <w:t>Changes in operating assets and liabilities: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Prepaid expenses and other assets</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(329)</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(1,629)</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(1,205)</w:t>
            </w:r>
          </w:p>
        </w:tc>
        <w:tc>
          <w:tcPr>
            <w:tcW w:w="0" w:type="dxa"/>
            <w:vAlign w:val="bottom"/>
          </w:tcPr>
          <w:p>
            <w:pPr>
              <w:spacing w:after="0"/>
              <w:rPr>
                <w:sz w:val="1"/>
                <w:szCs w:val="1"/>
                <w:color w:val="auto"/>
              </w:rPr>
            </w:pPr>
          </w:p>
        </w:tc>
      </w:tr>
      <w:tr>
        <w:trPr>
          <w:trHeight w:val="176"/>
        </w:trPr>
        <w:tc>
          <w:tcPr>
            <w:tcW w:w="7160" w:type="dxa"/>
            <w:vAlign w:val="bottom"/>
          </w:tcPr>
          <w:p>
            <w:pPr>
              <w:ind w:left="740"/>
              <w:spacing w:after="0"/>
              <w:rPr>
                <w:sz w:val="20"/>
                <w:szCs w:val="20"/>
                <w:color w:val="auto"/>
              </w:rPr>
            </w:pPr>
            <w:r>
              <w:rPr>
                <w:rFonts w:ascii="Arial" w:cs="Arial" w:eastAsia="Arial" w:hAnsi="Arial"/>
                <w:sz w:val="15"/>
                <w:szCs w:val="15"/>
                <w:color w:val="auto"/>
              </w:rPr>
              <w:t>Accounts payable</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923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740"/>
              <w:spacing w:after="0"/>
              <w:rPr>
                <w:sz w:val="20"/>
                <w:szCs w:val="20"/>
                <w:color w:val="auto"/>
              </w:rPr>
            </w:pPr>
            <w:r>
              <w:rPr>
                <w:rFonts w:ascii="Arial" w:cs="Arial" w:eastAsia="Arial" w:hAnsi="Arial"/>
                <w:sz w:val="15"/>
                <w:szCs w:val="15"/>
                <w:color w:val="auto"/>
              </w:rPr>
              <w:t>Deferred revenue</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2,892</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(1,220)</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740"/>
              <w:spacing w:after="0"/>
              <w:rPr>
                <w:sz w:val="20"/>
                <w:szCs w:val="20"/>
                <w:color w:val="auto"/>
              </w:rPr>
            </w:pPr>
            <w:r>
              <w:rPr>
                <w:rFonts w:ascii="Arial" w:cs="Arial" w:eastAsia="Arial" w:hAnsi="Arial"/>
                <w:sz w:val="15"/>
                <w:szCs w:val="15"/>
                <w:color w:val="auto"/>
              </w:rPr>
              <w:t>Accrued expenses and other liabilities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5,305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4,842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(1,940)</w:t>
            </w:r>
          </w:p>
        </w:tc>
        <w:tc>
          <w:tcPr>
            <w:tcW w:w="0" w:type="dxa"/>
            <w:vAlign w:val="bottom"/>
          </w:tcPr>
          <w:p>
            <w:pPr>
              <w:spacing w:after="0"/>
              <w:rPr>
                <w:sz w:val="1"/>
                <w:szCs w:val="1"/>
                <w:color w:val="auto"/>
              </w:rPr>
            </w:pPr>
          </w:p>
        </w:tc>
      </w:tr>
      <w:tr>
        <w:trPr>
          <w:trHeight w:val="20"/>
        </w:trPr>
        <w:tc>
          <w:tcPr>
            <w:tcW w:w="7160" w:type="dxa"/>
            <w:vAlign w:val="bottom"/>
            <w:vMerge w:val="restart"/>
            <w:shd w:val="clear" w:color="auto" w:fill="CFF0FC"/>
          </w:tcPr>
          <w:p>
            <w:pPr>
              <w:ind w:left="740"/>
              <w:spacing w:after="0"/>
              <w:rPr>
                <w:sz w:val="20"/>
                <w:szCs w:val="20"/>
                <w:color w:val="auto"/>
              </w:rPr>
            </w:pPr>
            <w:r>
              <w:rPr>
                <w:rFonts w:ascii="Arial" w:cs="Arial" w:eastAsia="Arial" w:hAnsi="Arial"/>
                <w:sz w:val="15"/>
                <w:szCs w:val="15"/>
                <w:color w:val="auto"/>
              </w:rPr>
              <w:t>Net cash used in operating activities</w:t>
            </w:r>
          </w:p>
        </w:tc>
        <w:tc>
          <w:tcPr>
            <w:tcW w:w="24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tcBorders>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(47,371)</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(35,157)</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(2,428)</w:t>
            </w:r>
          </w:p>
        </w:tc>
        <w:tc>
          <w:tcPr>
            <w:tcW w:w="0" w:type="dxa"/>
            <w:vAlign w:val="bottom"/>
          </w:tcPr>
          <w:p>
            <w:pPr>
              <w:spacing w:after="0"/>
              <w:rPr>
                <w:sz w:val="1"/>
                <w:szCs w:val="1"/>
                <w:color w:val="auto"/>
              </w:rPr>
            </w:pPr>
          </w:p>
        </w:tc>
      </w:tr>
      <w:tr>
        <w:trPr>
          <w:trHeight w:val="169"/>
        </w:trPr>
        <w:tc>
          <w:tcPr>
            <w:tcW w:w="7160" w:type="dxa"/>
            <w:vAlign w:val="bottom"/>
          </w:tcPr>
          <w:p>
            <w:pPr>
              <w:spacing w:after="0" w:line="169" w:lineRule="exact"/>
              <w:rPr>
                <w:sz w:val="20"/>
                <w:szCs w:val="20"/>
                <w:color w:val="auto"/>
              </w:rPr>
            </w:pPr>
            <w:r>
              <w:rPr>
                <w:rFonts w:ascii="Arial" w:cs="Arial" w:eastAsia="Arial" w:hAnsi="Arial"/>
                <w:sz w:val="15"/>
                <w:szCs w:val="15"/>
                <w:b w:val="1"/>
                <w:bCs w:val="1"/>
                <w:color w:val="auto"/>
              </w:rPr>
              <w:t>CASH FLOWS FROM INVESTING ACTIVITIES:</w:t>
            </w: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property and equipment</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(84)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(261)</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Change in restricted cash</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(97)</w:t>
            </w: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Purchases of short-term investments</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(152,263)</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(158,319)</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(102,008)</w:t>
            </w:r>
          </w:p>
        </w:tc>
        <w:tc>
          <w:tcPr>
            <w:tcW w:w="0" w:type="dxa"/>
            <w:vAlign w:val="bottom"/>
          </w:tcPr>
          <w:p>
            <w:pPr>
              <w:spacing w:after="0"/>
              <w:rPr>
                <w:sz w:val="1"/>
                <w:szCs w:val="1"/>
                <w:color w:val="auto"/>
              </w:rPr>
            </w:pPr>
          </w:p>
        </w:tc>
      </w:tr>
      <w:tr>
        <w:trPr>
          <w:trHeight w:val="176"/>
        </w:trPr>
        <w:tc>
          <w:tcPr>
            <w:tcW w:w="71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Proceeds from sales and maturities of short-term investments</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135,275</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140,297</w:t>
            </w:r>
          </w:p>
        </w:tc>
        <w:tc>
          <w:tcPr>
            <w:tcW w:w="3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40,506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Net cash used in investing activities</w:t>
            </w:r>
          </w:p>
        </w:tc>
        <w:tc>
          <w:tcPr>
            <w:tcW w:w="240" w:type="dxa"/>
            <w:vAlign w:val="bottom"/>
            <w:shd w:val="clear" w:color="auto" w:fill="CFF0FC"/>
          </w:tcPr>
          <w:p>
            <w:pPr>
              <w:spacing w:after="0"/>
              <w:rPr>
                <w:sz w:val="14"/>
                <w:szCs w:val="14"/>
                <w:color w:val="auto"/>
              </w:rPr>
            </w:pPr>
          </w:p>
        </w:tc>
        <w:tc>
          <w:tcPr>
            <w:tcW w:w="980" w:type="dxa"/>
            <w:vAlign w:val="bottom"/>
            <w:tcBorders>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(17,027)</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(18,380)</w:t>
            </w:r>
          </w:p>
        </w:tc>
        <w:tc>
          <w:tcPr>
            <w:tcW w:w="2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(61,669)</w:t>
            </w:r>
          </w:p>
        </w:tc>
        <w:tc>
          <w:tcPr>
            <w:tcW w:w="0" w:type="dxa"/>
            <w:vAlign w:val="bottom"/>
          </w:tcPr>
          <w:p>
            <w:pPr>
              <w:spacing w:after="0"/>
              <w:rPr>
                <w:sz w:val="1"/>
                <w:szCs w:val="1"/>
                <w:color w:val="auto"/>
              </w:rPr>
            </w:pPr>
          </w:p>
        </w:tc>
      </w:tr>
      <w:tr>
        <w:trPr>
          <w:trHeight w:val="169"/>
        </w:trPr>
        <w:tc>
          <w:tcPr>
            <w:tcW w:w="7160" w:type="dxa"/>
            <w:vAlign w:val="bottom"/>
          </w:tcPr>
          <w:p>
            <w:pPr>
              <w:spacing w:after="0" w:line="169" w:lineRule="exact"/>
              <w:rPr>
                <w:sz w:val="20"/>
                <w:szCs w:val="20"/>
                <w:color w:val="auto"/>
              </w:rPr>
            </w:pPr>
            <w:r>
              <w:rPr>
                <w:rFonts w:ascii="Arial" w:cs="Arial" w:eastAsia="Arial" w:hAnsi="Arial"/>
                <w:sz w:val="15"/>
                <w:szCs w:val="15"/>
                <w:b w:val="1"/>
                <w:bCs w:val="1"/>
                <w:color w:val="auto"/>
              </w:rPr>
              <w:t>CASH FLOWS FROM FINANCING ACTIVITIES:</w:t>
            </w:r>
          </w:p>
        </w:tc>
        <w:tc>
          <w:tcPr>
            <w:tcW w:w="2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Proceeds from issuance of common stock in initial</w:t>
            </w:r>
          </w:p>
        </w:tc>
        <w:tc>
          <w:tcPr>
            <w:tcW w:w="240" w:type="dxa"/>
            <w:vAlign w:val="bottom"/>
            <w:shd w:val="clear" w:color="auto" w:fill="CFF0FC"/>
          </w:tcPr>
          <w:p>
            <w:pPr>
              <w:spacing w:after="0"/>
              <w:rPr>
                <w:sz w:val="14"/>
                <w:szCs w:val="14"/>
                <w:color w:val="auto"/>
              </w:rPr>
            </w:pPr>
          </w:p>
        </w:tc>
        <w:tc>
          <w:tcPr>
            <w:tcW w:w="98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public offering, net</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52,148</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160" w:type="dxa"/>
            <w:vAlign w:val="bottom"/>
          </w:tcPr>
          <w:p>
            <w:pPr>
              <w:ind w:left="260"/>
              <w:spacing w:after="0" w:line="162" w:lineRule="exact"/>
              <w:rPr>
                <w:sz w:val="20"/>
                <w:szCs w:val="20"/>
                <w:color w:val="auto"/>
              </w:rPr>
            </w:pPr>
            <w:r>
              <w:rPr>
                <w:rFonts w:ascii="Arial" w:cs="Arial" w:eastAsia="Arial" w:hAnsi="Arial"/>
                <w:sz w:val="15"/>
                <w:szCs w:val="15"/>
                <w:color w:val="auto"/>
              </w:rPr>
              <w:t>Proceeds from issuance of common stock in follow on</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60" w:type="dxa"/>
            <w:vAlign w:val="bottom"/>
          </w:tcPr>
          <w:p>
            <w:pPr>
              <w:ind w:left="360"/>
              <w:spacing w:after="0"/>
              <w:rPr>
                <w:sz w:val="20"/>
                <w:szCs w:val="20"/>
                <w:color w:val="auto"/>
              </w:rPr>
            </w:pPr>
            <w:r>
              <w:rPr>
                <w:rFonts w:ascii="Arial" w:cs="Arial" w:eastAsia="Arial" w:hAnsi="Arial"/>
                <w:sz w:val="15"/>
                <w:szCs w:val="15"/>
                <w:color w:val="auto"/>
              </w:rPr>
              <w:t>public offering, net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48,675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Proceeds from issuance of common stock in at-the-market</w:t>
            </w:r>
          </w:p>
        </w:tc>
        <w:tc>
          <w:tcPr>
            <w:tcW w:w="240" w:type="dxa"/>
            <w:vAlign w:val="bottom"/>
            <w:shd w:val="clear" w:color="auto" w:fill="CFF0FC"/>
          </w:tcPr>
          <w:p>
            <w:pPr>
              <w:spacing w:after="0"/>
              <w:rPr>
                <w:sz w:val="14"/>
                <w:szCs w:val="14"/>
                <w:color w:val="auto"/>
              </w:rPr>
            </w:pPr>
          </w:p>
        </w:tc>
        <w:tc>
          <w:tcPr>
            <w:tcW w:w="980" w:type="dxa"/>
            <w:vAlign w:val="bottom"/>
            <w:tcBorders>
              <w:right w:val="single" w:sz="8" w:color="CFF0FC"/>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60" w:type="dxa"/>
            <w:vAlign w:val="bottom"/>
            <w:shd w:val="clear" w:color="auto" w:fill="CFF0FC"/>
          </w:tcPr>
          <w:p>
            <w:pPr>
              <w:ind w:left="360"/>
              <w:spacing w:after="0"/>
              <w:rPr>
                <w:sz w:val="20"/>
                <w:szCs w:val="20"/>
                <w:color w:val="auto"/>
              </w:rPr>
            </w:pPr>
            <w:r>
              <w:rPr>
                <w:rFonts w:ascii="Arial" w:cs="Arial" w:eastAsia="Arial" w:hAnsi="Arial"/>
                <w:sz w:val="15"/>
                <w:szCs w:val="15"/>
                <w:color w:val="auto"/>
              </w:rPr>
              <w:t>offering, net</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1,755</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160" w:type="dxa"/>
            <w:vAlign w:val="bottom"/>
          </w:tcPr>
          <w:p>
            <w:pPr>
              <w:ind w:left="260"/>
              <w:spacing w:after="0" w:line="162" w:lineRule="exact"/>
              <w:rPr>
                <w:sz w:val="20"/>
                <w:szCs w:val="20"/>
                <w:color w:val="auto"/>
              </w:rPr>
            </w:pPr>
            <w:r>
              <w:rPr>
                <w:rFonts w:ascii="Arial" w:cs="Arial" w:eastAsia="Arial" w:hAnsi="Arial"/>
                <w:sz w:val="15"/>
                <w:szCs w:val="15"/>
                <w:color w:val="auto"/>
              </w:rPr>
              <w:t>Proceeds from issuance of common stock in direct placement</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160" w:type="dxa"/>
            <w:vAlign w:val="bottom"/>
          </w:tcPr>
          <w:p>
            <w:pPr>
              <w:ind w:left="360"/>
              <w:spacing w:after="0"/>
              <w:rPr>
                <w:sz w:val="20"/>
                <w:szCs w:val="20"/>
                <w:color w:val="auto"/>
              </w:rPr>
            </w:pPr>
            <w:r>
              <w:rPr>
                <w:rFonts w:ascii="Arial" w:cs="Arial" w:eastAsia="Arial" w:hAnsi="Arial"/>
                <w:sz w:val="15"/>
                <w:szCs w:val="15"/>
                <w:color w:val="auto"/>
              </w:rPr>
              <w:t>offering, net</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24,918</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Employee Stock Purchase Plan</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97</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277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2,058</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issuance of convertible preferred stock, net</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87,323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Deferred issuance costs</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(1,245)</w:t>
            </w: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Payments on term loans</w:t>
            </w:r>
          </w:p>
        </w:tc>
        <w:tc>
          <w:tcPr>
            <w:tcW w:w="240" w:type="dxa"/>
            <w:vAlign w:val="bottom"/>
            <w:shd w:val="clear" w:color="auto" w:fill="CFF0FC"/>
          </w:tcPr>
          <w:p>
            <w:pPr>
              <w:spacing w:after="0"/>
              <w:rPr>
                <w:sz w:val="15"/>
                <w:szCs w:val="15"/>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(9,000)</w:t>
            </w:r>
          </w:p>
        </w:tc>
        <w:tc>
          <w:tcPr>
            <w:tcW w:w="0" w:type="dxa"/>
            <w:vAlign w:val="bottom"/>
          </w:tcPr>
          <w:p>
            <w:pPr>
              <w:spacing w:after="0"/>
              <w:rPr>
                <w:sz w:val="1"/>
                <w:szCs w:val="1"/>
                <w:color w:val="auto"/>
              </w:rPr>
            </w:pPr>
          </w:p>
        </w:tc>
      </w:tr>
      <w:tr>
        <w:trPr>
          <w:trHeight w:val="176"/>
        </w:trPr>
        <w:tc>
          <w:tcPr>
            <w:tcW w:w="7160" w:type="dxa"/>
            <w:vAlign w:val="bottom"/>
          </w:tcPr>
          <w:p>
            <w:pPr>
              <w:ind w:left="260"/>
              <w:spacing w:after="0"/>
              <w:rPr>
                <w:sz w:val="20"/>
                <w:szCs w:val="20"/>
                <w:color w:val="auto"/>
              </w:rPr>
            </w:pPr>
            <w:r>
              <w:rPr>
                <w:rFonts w:ascii="Arial" w:cs="Arial" w:eastAsia="Arial" w:hAnsi="Arial"/>
                <w:sz w:val="15"/>
                <w:szCs w:val="15"/>
                <w:color w:val="auto"/>
              </w:rPr>
              <w:t>Other</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9"/>
        </w:trPr>
        <w:tc>
          <w:tcPr>
            <w:tcW w:w="716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75,722</w:t>
            </w:r>
          </w:p>
        </w:tc>
        <w:tc>
          <w:tcPr>
            <w:tcW w:w="26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54,202</w:t>
            </w:r>
          </w:p>
        </w:tc>
        <w:tc>
          <w:tcPr>
            <w:tcW w:w="30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77,267</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160" w:type="dxa"/>
            <w:vAlign w:val="bottom"/>
          </w:tcPr>
          <w:p>
            <w:pPr>
              <w:spacing w:after="0" w:line="169" w:lineRule="exact"/>
              <w:rPr>
                <w:sz w:val="20"/>
                <w:szCs w:val="20"/>
                <w:color w:val="auto"/>
              </w:rPr>
            </w:pPr>
            <w:r>
              <w:rPr>
                <w:rFonts w:ascii="Arial" w:cs="Arial" w:eastAsia="Arial" w:hAnsi="Arial"/>
                <w:sz w:val="15"/>
                <w:szCs w:val="15"/>
                <w:color w:val="auto"/>
              </w:rPr>
              <w:t>NET INCREASE IN CASH AND CASH EQUIVALENTS</w:t>
            </w:r>
          </w:p>
        </w:tc>
        <w:tc>
          <w:tcPr>
            <w:tcW w:w="24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11,324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665</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13,170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16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EQUIVALENTS—beginning of year</w:t>
            </w:r>
          </w:p>
        </w:tc>
        <w:tc>
          <w:tcPr>
            <w:tcW w:w="24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23,844</w:t>
            </w:r>
          </w:p>
        </w:tc>
        <w:tc>
          <w:tcPr>
            <w:tcW w:w="2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23,179</w:t>
            </w:r>
          </w:p>
        </w:tc>
        <w:tc>
          <w:tcPr>
            <w:tcW w:w="30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10,009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160" w:type="dxa"/>
            <w:vAlign w:val="bottom"/>
          </w:tcPr>
          <w:p>
            <w:pPr>
              <w:spacing w:after="0" w:line="169" w:lineRule="exact"/>
              <w:rPr>
                <w:sz w:val="20"/>
                <w:szCs w:val="20"/>
                <w:color w:val="auto"/>
              </w:rPr>
            </w:pPr>
            <w:r>
              <w:rPr>
                <w:rFonts w:ascii="Arial" w:cs="Arial" w:eastAsia="Arial" w:hAnsi="Arial"/>
                <w:sz w:val="15"/>
                <w:szCs w:val="15"/>
                <w:color w:val="auto"/>
              </w:rPr>
              <w:t>CASH AND CASH EQUIVALENTS—end of year</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69" w:lineRule="exact"/>
              <w:rPr>
                <w:sz w:val="20"/>
                <w:szCs w:val="20"/>
                <w:color w:val="auto"/>
              </w:rPr>
            </w:pPr>
            <w:r>
              <w:rPr>
                <w:rFonts w:ascii="Arial" w:cs="Arial" w:eastAsia="Arial" w:hAnsi="Arial"/>
                <w:sz w:val="15"/>
                <w:szCs w:val="15"/>
                <w:color w:val="auto"/>
              </w:rPr>
              <w:t>35,168</w:t>
            </w:r>
          </w:p>
        </w:tc>
        <w:tc>
          <w:tcPr>
            <w:tcW w:w="5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23,844</w:t>
            </w:r>
          </w:p>
        </w:tc>
        <w:tc>
          <w:tcPr>
            <w:tcW w:w="300" w:type="dxa"/>
            <w:vAlign w:val="bottom"/>
          </w:tcPr>
          <w:p>
            <w:pPr>
              <w:spacing w:after="0"/>
              <w:rPr>
                <w:sz w:val="14"/>
                <w:szCs w:val="14"/>
                <w:color w:val="auto"/>
              </w:rPr>
            </w:pPr>
          </w:p>
        </w:tc>
        <w:tc>
          <w:tcPr>
            <w:tcW w:w="260" w:type="dxa"/>
            <w:vAlign w:val="bottom"/>
          </w:tcPr>
          <w:p>
            <w:pPr>
              <w:jc w:val="right"/>
              <w:ind w:right="103"/>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23,179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disclosures of cash flow information (Note 17).</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Syndax Pharmaceuticals, Inc. (the Company) is a clinical stage biopharmaceutical company developing an innovative pipeline of cancer therapies. The Company is developing its lead product candidate, entinostat, a once-weekly, oral, small molecule, Class I HDAC inhibitor, in combination with exemestane and several approved PD-1/PD-L1 antagonists. The Company’s pipeline also includes SNDX-6352, a monoclonal antibody that blocks the colony stimulating factor 1 (CSF-1) receptor, as well as a portfolio of potent and selective inhibitors targeting the binding interaction of Menin with MLLr. The Company plans to continue to leverage the technical and business expertise of our management team and scientific collaborators to license, acquire and develop additional cancer therapies to expand our pipeline.</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March 2016, the Company completed its initial public offering (“IPO”) whereby it sold 4,809,475 shares of common stock at the initial public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offering price of $12.00 per share, which included 409,475 shares issued pursuant to the underwriters’ partial exercise of their over-allotment option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purchase additional shares of common stock. The aggregate net proceeds received by the Company from the offering were $50.5 million, net of underwriting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discounts and commissions of $4.0 million and offering expenses of $3.1 million. Upon the closing of the IPO, all outstanding shares of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convertible preferred stock converted into 12,872,551 shares of common stock; and the Company’s outstanding warrant liability to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357,840 shares of the Company’s common stock valued at $4.6 million was reclassified to additional paid-in capital. The shares trade on the Nasdaq Global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Select Market under the symbol “SNDX.” In connection with the closing of the Company’s IPO, the Company filed an amended and restated certificate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incorporation and adopted amended and restated bylaws, both of which were approved by the Company’s board of directors and stockholders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28, 2015 and February 24, 2016, respectively. Pursuant to the amended and restated certificate of incorporation, the Company is now authorized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 100,000,000 shares of common stock and 10,000,000 shares of preferred stock.</w:t>
      </w:r>
    </w:p>
    <w:p>
      <w:pPr>
        <w:spacing w:after="0" w:line="211"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In April 2017, the Company entered into a sales agreement with Cowen and Company, LLC (“Cowen”) under which the Company may issue and sell shares of our common stock having aggregate sales proceeds of up to $50.0 million from time to time through Cowen, acting as agent, in a series of one or more at-the-market (“ATM”) equity offerings. Cowen is not required to sell any specific amount but acts as our sales agent using commercially reasonable efforts consistent with its normal trading and sales practices. Shares sold pursuant to the sales agreement will be sold pursuant to a shelf registration statement, which became effective on April 20, 2017. Our common stock will be sold at prevailing market prices at the time of the sale; and as a result, prices may vary. We will pay Cowen up to 3% of the gross proceeds from any common stock sold through the sales agreement. In 2017, the Company sold 148,421 shares of Common Stock pursuant to the ATM program, at an average price of $12.45 per share for gross proceeds of $1.8 million, resulting in net proceeds of $1.7 million after deducting sales commissions and offering expenses. As of December 31, 2017, $48.2 million of Common Stock remained available for sale under the ATM program.</w:t>
      </w:r>
    </w:p>
    <w:p>
      <w:pPr>
        <w:spacing w:after="0" w:line="18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May 2017, the Company completed a follow-on public offering whereby the Company sold 3,950,190 shares of common stock at a price of $13.25 per share, which included 200,190 shares issued pursuant to the underwriters’ partial exercise of their option to purchase additional shares of common stock. The aggregate net proceeds received by the Company from the offering were approximately $48.7 million, net of underwriting discounts and commissions and estimated offering expenses payable by the Company.</w:t>
      </w:r>
    </w:p>
    <w:p>
      <w:pPr>
        <w:spacing w:after="0" w:line="187"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On October 13, 2017, the Company entered into a license agreement with Vitae Pharmaceuticals, Inc., a subsidiary of Allergan plc (“Allergan”), under which Allergan granted to the Company a worldwide, sublicenseable, exclusive license to a portfolio of preclinical, orally-available, small molecule inhibitors of the interaction of Menin with the Mixed Lineage Leukemia (“MLL”) protein (the “Menin Assets”). The Company made a nonrefundable upfront payment of $5.0 million to Allergan in the fourth quarter of 2017. The Company is developing the Menin Assets to potentially treat MLL-r driven malignancies and believes that the Menin Assets have the potential to be used to treat a genetically-defined subset of acute leukemias with chromosomal rearrangements in the MLL gene (“MLL-r”). The Company is in the process of performing a number of pre-clinical studies related to the Menin Assets.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5" w:name="page106"/>
    <w:bookmarkEnd w:id="105"/>
    <w:p>
      <w:pPr>
        <w:ind w:right="160" w:firstLine="598"/>
        <w:spacing w:after="0" w:line="302" w:lineRule="auto"/>
        <w:rPr>
          <w:sz w:val="20"/>
          <w:szCs w:val="20"/>
          <w:color w:val="auto"/>
        </w:rPr>
      </w:pPr>
      <w:r>
        <w:rPr>
          <w:rFonts w:ascii="Arial" w:cs="Arial" w:eastAsia="Arial" w:hAnsi="Arial"/>
          <w:sz w:val="16"/>
          <w:szCs w:val="16"/>
          <w:color w:val="auto"/>
        </w:rPr>
        <w:t>On October 17, 2017, the Company entered into a purchase agreement with Biotech Value Fund, L.P. (“BVF”) and certain entities affiliated with BVF (the “Purchase Agreement”). Pursuant to the Purchase Agreement, the Company issued directly to BVF in a registered direct offering (the “Offering”), 2,021,018 shares of the Company’s common stock at a price of $12.37 per share, representing the closing price of the Company’s shares on the Nasdaq Global Select Market on Friday, October 13, 2017. The net proceeds from the Offering, after deducting estimated expenses, were $24.9 million.</w:t>
      </w:r>
    </w:p>
    <w:p>
      <w:pPr>
        <w:spacing w:after="0" w:line="154"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Since its inception, the Company has devoted its efforts principally to research and development and raising capital. The 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develop and market its product candidates, expand its oncology drug pipeline, earn revenue, obtain additional capital when needed, and ultimately, achieve profitable operations. The Company anticipates that it will be several years before any of its product candidates is approved, if ever, and the Company begins to generate revenue from sales of such product candidates. Accordingly, management expects to incur substantial losses on the ongoing development of its product candidates and does not expect to achieve positive cash flow from operations for the foreseeable future, if ever.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6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 Company’s management believes that the cash, cash equivalents, short-term and long-term investments balances as of December 31, 2017 should enable the Company to maintain its planned operations for at least twelve months from the date these financial statements were issued. The Company’s ability to fund all of its planned operations internally beyond that date, including the completion of its ongoing and planned clinical trial activities, may be substantially dependent upon whether the Company can obtain sufficient funding on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Company has prepared the accompanying consolidated financial statements in conformity with accounting principles generally accepted in the United States of America (“U.S. GAAP”).</w:t>
      </w:r>
    </w:p>
    <w:p>
      <w:pPr>
        <w:spacing w:after="0" w:line="170" w:lineRule="exact"/>
        <w:rPr>
          <w:sz w:val="20"/>
          <w:szCs w:val="20"/>
          <w:color w:val="auto"/>
        </w:rPr>
      </w:pPr>
    </w:p>
    <w:p>
      <w:pPr>
        <w:jc w:val="both"/>
        <w:ind w:right="200" w:firstLine="598"/>
        <w:spacing w:after="0" w:line="286" w:lineRule="auto"/>
        <w:rPr>
          <w:sz w:val="20"/>
          <w:szCs w:val="20"/>
          <w:color w:val="auto"/>
        </w:rPr>
      </w:pPr>
      <w:r>
        <w:rPr>
          <w:rFonts w:ascii="Arial" w:cs="Arial" w:eastAsia="Arial" w:hAnsi="Arial"/>
          <w:sz w:val="17"/>
          <w:szCs w:val="17"/>
          <w:color w:val="auto"/>
        </w:rPr>
        <w:t>In 2011, the Company established a wholly owned subsidiary in the United Kingdom. There have been no activities for this entity to date. In 2014, the Company established a wholly owned U.S. subsidiary, Syndax Securities Corporation. The consolidated financial statements include the accounts of the Company and its wholly owned subsidiaries. All intercompany balances and transactions have been eliminated in consolidation.</w:t>
      </w:r>
    </w:p>
    <w:p>
      <w:pPr>
        <w:spacing w:after="0" w:line="270" w:lineRule="exact"/>
        <w:rPr>
          <w:sz w:val="20"/>
          <w:szCs w:val="20"/>
          <w:color w:val="auto"/>
        </w:rPr>
      </w:pPr>
    </w:p>
    <w:p>
      <w:pPr>
        <w:ind w:left="600" w:right="7860" w:hanging="592"/>
        <w:spacing w:after="0" w:line="378" w:lineRule="auto"/>
        <w:tabs>
          <w:tab w:leader="none" w:pos="18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ind w:right="260" w:firstLine="598"/>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06" w:name="page107"/>
    <w:bookmarkEnd w:id="106"/>
    <w:p>
      <w:pPr>
        <w:ind w:left="60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Cash equivalents include all highly liquid investments maturing within 90 days or less from the date of purchase. Cash equivalents include money market funds, corporate debt securities, U.S. government agency notes, and overnight deposits.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Company classifies as restricted cash all cash pledged as collateral to secure long-term obligations and all cash whose use is otherwise limited by contractual provisions. Amounts are reported as non-current unless restrictions are expected to be released in the next 12 months.</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Short-term investments include marketable securities with maturities of less than one year or where management’s intent is to use the investments to fund current operations or to make them available for current operations. Long-term investments include marketable securities with remaining maturities greater than one year or that are due after one year from the balance sheet date. All investments in marketable securities are classified as available-for-sale and are reported at fair value with unrealized gains and losses excluded from earnings and reported net of tax in accumulated other comprehensive income, which is a component of stockholders’ equity (deficit).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 maker, or decision-making group, in making decisions regarding resource allocation and assessing performance. The Company has one operating segment.</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assets consist of deferred issuance costs, long-term security deposits, and noncurrent restricted cash.</w:t>
      </w:r>
    </w:p>
    <w:p>
      <w:pPr>
        <w:spacing w:after="0" w:line="33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160" w:firstLine="598"/>
        <w:spacing w:after="0" w:line="293" w:lineRule="auto"/>
        <w:rPr>
          <w:sz w:val="20"/>
          <w:szCs w:val="20"/>
          <w:color w:val="auto"/>
        </w:rPr>
      </w:pPr>
      <w:r>
        <w:rPr>
          <w:rFonts w:ascii="Arial" w:cs="Arial" w:eastAsia="Arial" w:hAnsi="Arial"/>
          <w:sz w:val="16"/>
          <w:szCs w:val="16"/>
          <w:color w:val="auto"/>
        </w:rPr>
        <w:t>Cash and cash equivalents, restricted cash, and short-term and long-term investments are financial instruments that potentially subject the Company to concentrations of credit risk. Substantially all of the Company’s cash, cash equivalents, and short-term and long-term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U.S. Treasury securities, U.S. government agency securities, corporate debt securities, certificates of deposit and overnight deposits and potentially subject the Company to concentrations of credit risk.</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420" w:firstLine="598"/>
        <w:spacing w:after="0" w:line="286" w:lineRule="auto"/>
        <w:rPr>
          <w:sz w:val="20"/>
          <w:szCs w:val="20"/>
          <w:color w:val="auto"/>
        </w:rPr>
      </w:pPr>
      <w:r>
        <w:rPr>
          <w:rFonts w:ascii="Arial" w:cs="Arial" w:eastAsia="Arial" w:hAnsi="Arial"/>
          <w:sz w:val="17"/>
          <w:szCs w:val="17"/>
          <w:color w:val="auto"/>
        </w:rPr>
        <w:t>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7" w:name="page108"/>
    <w:bookmarkEnd w:id="107"/>
    <w:p>
      <w:pPr>
        <w:ind w:left="6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The Company enters into license agreements for the development and commercialization of its product candidates. License agreements may include non-refundable upfront payments, contingent payments based on the occurrence of specified events under the Company’s license arrangements, partial or complete reimbursement of research and development expenses, license fees and royalties on sales of entinostat if they are successfully approved and commercialized. The Company’s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 with the collaboration partners.</w:t>
      </w:r>
    </w:p>
    <w:p>
      <w:pPr>
        <w:spacing w:after="0" w:line="193" w:lineRule="exact"/>
        <w:rPr>
          <w:sz w:val="20"/>
          <w:szCs w:val="20"/>
          <w:color w:val="auto"/>
        </w:rPr>
      </w:pPr>
    </w:p>
    <w:p>
      <w:pPr>
        <w:ind w:right="320" w:firstLine="598"/>
        <w:spacing w:after="0" w:line="272" w:lineRule="auto"/>
        <w:rPr>
          <w:sz w:val="20"/>
          <w:szCs w:val="20"/>
          <w:color w:val="auto"/>
        </w:rPr>
      </w:pPr>
      <w:r>
        <w:rPr>
          <w:rFonts w:ascii="Arial" w:cs="Arial" w:eastAsia="Arial" w:hAnsi="Arial"/>
          <w:sz w:val="17"/>
          <w:szCs w:val="17"/>
          <w:color w:val="auto"/>
        </w:rPr>
        <w:t>Revenue is recognized when (i) persuasive evidence of an arrangement exists, (ii) transfer of technology has been completed, services have been performed or products have been delivered, (iii) the fee is fixed and determinable, and (iv) collection is reasonably assured. For revenue agreements with multiple-elements, the Company identifies the deliverables included within the agreement and evaluates which deliverables represent separate units of accounting based on the achievement of certain criteria including whether the deliverable has stand-alone value. Upfront payments received in connection with licenses of the Company’s technology rights are deferred if facts and circumstances dictate that the license does not have stand-alone value and are recognized as license revenue over the estimated period of performance that is generally consistent with the terms of the research and development obligations contained in the specific license agreement.</w:t>
      </w:r>
    </w:p>
    <w:p>
      <w:pPr>
        <w:spacing w:after="0" w:line="178"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Company periodically reviews its estimated periods of performance based on the progress under each arrangement and accounts for the impact of any changes in estimated periods of performance on a prospective basis. At the inception of each agreement that includes milestone payments, the Company evaluates whether each milestone is substantive and at risk to both parties on the basis of the contingent nature of the milestone. The Company evaluates factors such as the scientific, regulatory, commercial and other risks that must be overcome to achieve the respective milestone, the level of effort and investment required to achieve the respective milestone and whether the milestone consideration is reasonable relative to all deliverables and payment terms in the arrangement in making this assessment. Non-refundable payments that are contingent upon achievement of a substantive milestone are recognized in their entirety in the period in which the milestone is achieved, assuming all other revenue recognition criteria are met. Other contingent payments in which a portion of the milestone consideration is refundable or adjusts based on future performance or non-performance (e.g., through a penalty or claw-back provision) are not considered to relate solely to past performance, and therefore, not considered substantive. Amounts that are not recognized as revenue due to the uncertainty as to whether they will be retained or because they are expected to be refunded are recorded as a liability. The Company recognizes non-substantive milestone payments over the estimated period of performance once the milestone is achieved. Contingent payments associated with the achievement of specific objectives in certain contracts that are not considered substantive because the Company does not contribute effort to the achievement of such milestones are recognized as revenue upon achievement of the objective, as long as there are no undelivered elements remaining and no continuing performance obligations by the Company, assuming all other revenue recognition criteria are met.</w:t>
      </w:r>
    </w:p>
    <w:p>
      <w:pPr>
        <w:spacing w:after="0" w:line="28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8" w:name="page109"/>
    <w:bookmarkEnd w:id="108"/>
    <w:p>
      <w:pPr>
        <w:spacing w:after="0" w:line="277" w:lineRule="auto"/>
        <w:rPr>
          <w:sz w:val="20"/>
          <w:szCs w:val="20"/>
          <w:color w:val="auto"/>
        </w:rPr>
      </w:pPr>
      <w:r>
        <w:rPr>
          <w:rFonts w:ascii="Arial" w:cs="Arial" w:eastAsia="Arial" w:hAnsi="Arial"/>
          <w:sz w:val="18"/>
          <w:szCs w:val="18"/>
          <w:color w:val="auto"/>
        </w:rPr>
        <w:t>services are provided. The Company expense upfront license payments related to acquired technologies that have not yet reached technological feasibility and have no alternative future use.</w:t>
      </w:r>
    </w:p>
    <w:p>
      <w:pPr>
        <w:spacing w:after="0" w:line="170"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In instances where the Company enters into cost-sharing arrangements, all research and development costs reimbursed by the collaborators are accounted for as reductions to research and development expense. During the year ended December 31, 2017, the Company incurred $3.0 million in external costs related to cost-sharing collaborations, of which $1.4 million has been recorded as a reduction to research and development expense. During the year ended December 31, 2016, the Company incurred $0.5 million in external costs related to cost-sharing collaborations, of which $0.3 million has been recorded as a reduction to research and development expense. There were no cost-sharing agreements in 2015.</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Clinical Trial Costs</w:t>
      </w:r>
    </w:p>
    <w:p>
      <w:pPr>
        <w:spacing w:after="0" w:line="11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activations, or other information provided to us by our vendors.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1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16) that require it to indemnify the landlord against all costs, expenses, fines, suits, claims, demands, liabilities, and actions directly resulting from any breach, violation, or nonperformance of any covenant or condition of the Company’s lease. Through December 31, 2017,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Company accounts for all stock option awards granted to employees and non-employees using a fair value method. Stock-based compensation is measured at the grant date fair value of employee stock option grants and is recognized over the requisite service period of the awards (usually the vesting period) on a straight-line basis. Stock option awards to non-employees are subject to periodic revaluation over their vesting terms. The Company accounts for forfeitures as they occur.</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Upon closing of the IPO, all of the outstanding shares of the Company’s outstanding convertible preferred stock converted into shares of the common stock. Prior to the IPO, the Company had classified certain series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9" w:name="page110"/>
    <w:bookmarkEnd w:id="109"/>
    <w:p>
      <w:pPr>
        <w:spacing w:after="0" w:line="279" w:lineRule="auto"/>
        <w:rPr>
          <w:sz w:val="20"/>
          <w:szCs w:val="20"/>
          <w:color w:val="auto"/>
        </w:rPr>
      </w:pPr>
      <w:r>
        <w:rPr>
          <w:rFonts w:ascii="Arial" w:cs="Arial" w:eastAsia="Arial" w:hAnsi="Arial"/>
          <w:sz w:val="17"/>
          <w:szCs w:val="17"/>
          <w:color w:val="auto"/>
        </w:rPr>
        <w:t>convertible preferred stock as temporary equity in the consolidated balance sheets due to certain change in control events that were outside of the Company’s control, including liquidation, sale, or transfer of control of the Company, as holders of the convertible preferred stock could cause redemption of the shares in these situations. The carrying value of the convertible preferred stock was presented at its maximum redemption value. As of December 31, 2015, the Series A preferred stock had no liquidation preference and was presented in permanent equity.</w:t>
      </w:r>
    </w:p>
    <w:p>
      <w:pPr>
        <w:spacing w:after="0" w:line="28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The Company records potential payments that would be made to lenders upon certain triggering events as derivative financial liabilities. The derivative liability is initially valued at fair value using a probability-weighted expected return model. Gains and losses arising from changes in fair value are recognized in other income (expense) in the consolidated statement of operations at each period end while such liabilities are outstanding.</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The Company has recorded common stock warrants issued with license agreements as derivative financial liabilities, as the terms of the warrants are not fixed due to potential adjustments in the exercise price and/or the number of shares issuable under the warrants. The common stock warrants are initially recorded at fair value, with gains and losses arising from changes in fair value recognized in other income (expense) in the consolidated statement of operations at each period end while such instruments are outstanding. The warrant liabilities were valued using a Black-Scholes option-pricing model. Upon the closing of the IPO, the Company’s outstanding warrant liability was reclassified to additional paid-in capital.</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right="40" w:firstLine="598"/>
        <w:spacing w:after="0" w:line="266" w:lineRule="auto"/>
        <w:rPr>
          <w:sz w:val="20"/>
          <w:szCs w:val="20"/>
          <w:color w:val="auto"/>
        </w:rPr>
      </w:pPr>
      <w:r>
        <w:rPr>
          <w:rFonts w:ascii="Arial" w:cs="Arial" w:eastAsia="Arial" w:hAnsi="Arial"/>
          <w:sz w:val="17"/>
          <w:szCs w:val="17"/>
          <w:color w:val="auto"/>
        </w:rPr>
        <w:t xml:space="preserve">In May 2017, the Financial Accounting Standards Board (“FASB”) issued Accounting Standards Update (“ASU”) 2017-09,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(Topic 718): Scope of Modification Accounting </w:t>
      </w:r>
      <w:r>
        <w:rPr>
          <w:rFonts w:ascii="Arial" w:cs="Arial" w:eastAsia="Arial" w:hAnsi="Arial"/>
          <w:sz w:val="17"/>
          <w:szCs w:val="17"/>
          <w:color w:val="auto"/>
        </w:rPr>
        <w:t>(“ASU 2017-09”). ASU 2017-09 provides guidance about which changes to the terms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a share-based payment award require an entity to apply modification accounting in Topic 718. An entity should account for the effects of a modification unless all of the following are met: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ASU 2017-09 will be effective for the Company on January 1, 2018. The Company does not expect the adoption of this standard to have a material impact on its consolidated financial statements</w:t>
      </w:r>
    </w:p>
    <w:p>
      <w:pPr>
        <w:spacing w:after="0" w:line="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November 2016, the FASB issued ASU 2016-18, “Statement of Cash Flows (Topic 230): Restricted Cash” (“ASU 2016-18”). ASU 2016-18 requires that restricted cash and restricted cash equivalents be included with cash and cash equivalents when reconciling the beginning-of-period and end-of-period total amounts shown on the statement of cash flows. The statement of cash flows must also explain the change during the period in the total of cash, cash equivalents, and restricted cash or restricted cash equivalents. ASU 2016-18 will be effective for the Company on January 1, 2018. The Company does not expect the adoption of this standard to have a material impact on its consolidated financial statements.</w:t>
      </w:r>
    </w:p>
    <w:p>
      <w:pPr>
        <w:spacing w:after="0" w:line="179"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2016-09”). ASU 2016-09 simplifies several aspects related to the accounting for share-based payment transactions,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forfeitures, statutory tax withholding requirements and classification on the statement of cash flows. The Company adopted ASU 2016-09 on January 1, 2017, and it did not have a material impact on its condensed consolidated balance sheet, condensed consolidated statement of comprehensive loss and condensed statement of cash flows. As part of the adoption of this guidance, the Company adopted a policy to account for forfeitures as they occur.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0" w:name="page111"/>
    <w:bookmarkEnd w:id="110"/>
    <w:p>
      <w:pPr>
        <w:ind w:right="80" w:firstLine="598"/>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ASU 2016-02, lessees will be required to recognize, for all leases of 12 months or more, a liability to make lease payments and a right-of-use asset representing the right to use the underlying asset for the lease term. Additionally, the guidance requires improved disclosures to help users of financial statements better understand the nature of an entity’s leasing activities. This ASU is effective for public reporting companies for interim and annual periods beginning after December 15, 2018, with early adoption permitted, and must be adopted using a modified retrospective approach. The standard will be effective for the Company on January 1, 2019. The Company is in the process of evaluating the effect of the new guidance on the Company’s consolidated financial statements and related disclosures.</w:t>
      </w:r>
    </w:p>
    <w:p>
      <w:pPr>
        <w:spacing w:after="0" w:line="178"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(“ASU 2014-09”). ASU 2014-09 supersedes the revenue recognition requirements of FASB Accounting Standards Codification (“ASC”) Topic 605, Revenue Recognition and most industry-specific guidance throughout the Accounting Standards Codification, resulting in the creation of FASB ASC Topic 606, Revenue from Contracts with Customers. ASU 2014-09 requires entities to recognize revenue in a way that depicts the transfer of promised goods or services to customers in an amount that reflects the consideration to which the entity expects to be entitled to in exchange for those goods or services. Adoption will be permitted using either a retrospective or modified retrospective approach. The Company currently has one revenue arrangement and will adopt the guidance on January 1, 2018 using the modified retrospective transition approach. The adoption of ASC 606 will result in the acceleration of revenue recognition related to the Company’s license agreement with Kyowa Hakko Kirin Co., Ltd. (see Note 5) due to the unbundling of certain performance obligations and a change in the performance period. The Company determined the accelerated recognition of license revenues will result in a cumulative adjustment to revenues of approximately $0.6 million as of the adoption date. The Company will also significantly expand its financial statement disclosures in future filings as a result of adoption.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 Attributable to Common Stockholders</w:t>
      </w:r>
    </w:p>
    <w:p>
      <w:pPr>
        <w:spacing w:after="0" w:line="121"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Basic net loss attributable to common stockholders per share is computed by dividing the net loss attributable to common stockholders by the weighted-average number of common shares outstanding for the period. Because the Company has reported a net loss for the three years ended December 31, 2017, 2016, and 2015, diluted net loss per common share is the same as basic net loss per common share for those periods. The following table summarizes the computation of basic and diluted net loss per share attributable to common stockholders of the Company (in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3"/>
              </w:rPr>
              <w:t>Years Ended December 31,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(60,802)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(44,472)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Accretion of convertible preferred stock dividends</w:t>
            </w: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(2,598)</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(69,715)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Net loss attributable to common stockholders--basic and diluted</w:t>
            </w:r>
          </w:p>
        </w:tc>
        <w:tc>
          <w:tcPr>
            <w:tcW w:w="24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(60,802</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(47,070</w:t>
            </w:r>
          </w:p>
        </w:tc>
        <w:tc>
          <w:tcPr>
            <w:tcW w:w="480" w:type="dxa"/>
            <w:vAlign w:val="bottom"/>
            <w:tcBorders>
              <w:top w:val="single" w:sz="8" w:color="CFF0FC"/>
              <w:bottom w:val="single" w:sz="8" w:color="CFF0FC"/>
            </w:tcBorders>
            <w:shd w:val="clear" w:color="auto" w:fill="CFF0FC"/>
          </w:tcPr>
          <w:p>
            <w:pPr>
              <w:jc w:val="right"/>
              <w:ind w:right="3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(103,845</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5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FF0FC"/>
            </w:tcBorders>
            <w:vMerge w:val="continue"/>
          </w:tcPr>
          <w:p>
            <w:pPr>
              <w:spacing w:after="0"/>
              <w:rPr>
                <w:sz w:val="21"/>
                <w:szCs w:val="21"/>
                <w:color w:val="auto"/>
              </w:rPr>
            </w:pPr>
          </w:p>
        </w:tc>
        <w:tc>
          <w:tcPr>
            <w:tcW w:w="24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4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(1,519.27</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Denominator—basic and diluted:</w:t>
            </w:r>
          </w:p>
        </w:tc>
        <w:tc>
          <w:tcPr>
            <w:tcW w:w="2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Pr>
          <w:p>
            <w:pPr>
              <w:spacing w:after="0"/>
              <w:rPr>
                <w:sz w:val="20"/>
                <w:szCs w:val="20"/>
                <w:color w:val="auto"/>
              </w:rPr>
            </w:pPr>
            <w:r>
              <w:rPr>
                <w:rFonts w:ascii="Arial" w:cs="Arial" w:eastAsia="Arial" w:hAnsi="Arial"/>
                <w:sz w:val="18"/>
                <w:szCs w:val="18"/>
                <w:color w:val="auto"/>
                <w:w w:val="98"/>
              </w:rPr>
              <w:t>Weighted-average common shares used to compute net loss per</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share—basic and diluted</w:t>
            </w:r>
          </w:p>
        </w:tc>
        <w:tc>
          <w:tcPr>
            <w:tcW w:w="2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20,997,211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14,619,716</w:t>
            </w: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80" w:type="dxa"/>
            <w:vAlign w:val="bottom"/>
          </w:tcPr>
          <w:p>
            <w:pPr>
              <w:spacing w:after="0"/>
              <w:rPr>
                <w:sz w:val="24"/>
                <w:szCs w:val="24"/>
                <w:color w:val="auto"/>
              </w:rPr>
            </w:pPr>
          </w:p>
        </w:tc>
        <w:tc>
          <w:tcPr>
            <w:tcW w:w="2520" w:type="dxa"/>
            <w:vAlign w:val="bottom"/>
            <w:gridSpan w:val="2"/>
          </w:tcPr>
          <w:p>
            <w:pPr>
              <w:jc w:val="right"/>
              <w:ind w:right="1630"/>
              <w:spacing w:after="0"/>
              <w:rPr>
                <w:sz w:val="20"/>
                <w:szCs w:val="20"/>
                <w:color w:val="auto"/>
              </w:rPr>
            </w:pPr>
            <w:r>
              <w:rPr>
                <w:rFonts w:ascii="Arial" w:cs="Arial" w:eastAsia="Arial" w:hAnsi="Arial"/>
                <w:sz w:val="18"/>
                <w:szCs w:val="18"/>
                <w:color w:val="auto"/>
              </w:rPr>
              <w:t>F-14</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1" w:name="page112"/>
    <w:bookmarkEnd w:id="111"/>
    <w:p>
      <w:pPr>
        <w:ind w:right="160" w:firstLine="59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12,872,551</w:t>
            </w: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3,391,832</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2,560,737</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2,606,195</w:t>
            </w:r>
          </w:p>
        </w:tc>
        <w:tc>
          <w:tcPr>
            <w:tcW w:w="120" w:type="dxa"/>
            <w:vAlign w:val="bottom"/>
          </w:tcPr>
          <w:p>
            <w:pPr>
              <w:spacing w:after="0"/>
              <w:rPr>
                <w:sz w:val="19"/>
                <w:szCs w:val="19"/>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357,840</w:t>
            </w:r>
          </w:p>
        </w:tc>
        <w:tc>
          <w:tcPr>
            <w:tcW w:w="4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357,840</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277,486</w:t>
            </w: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Restricted stock subject to future vesting</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8,542</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14,684</w:t>
            </w:r>
          </w:p>
        </w:tc>
        <w:tc>
          <w:tcPr>
            <w:tcW w:w="120" w:type="dxa"/>
            <w:vAlign w:val="bottom"/>
          </w:tcPr>
          <w:p>
            <w:pPr>
              <w:spacing w:after="0"/>
              <w:rPr>
                <w:sz w:val="20"/>
                <w:szCs w:val="20"/>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Significant Agreements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Vitae Pharmaceuticals, Inc.</w:t>
      </w:r>
    </w:p>
    <w:p>
      <w:pPr>
        <w:spacing w:after="0" w:line="117" w:lineRule="exact"/>
        <w:rPr>
          <w:sz w:val="20"/>
          <w:szCs w:val="20"/>
          <w:color w:val="auto"/>
        </w:rPr>
      </w:pPr>
    </w:p>
    <w:p>
      <w:pPr>
        <w:ind w:right="60" w:firstLine="598"/>
        <w:spacing w:after="0" w:line="268" w:lineRule="auto"/>
        <w:rPr>
          <w:sz w:val="20"/>
          <w:szCs w:val="20"/>
          <w:color w:val="auto"/>
        </w:rPr>
      </w:pPr>
      <w:r>
        <w:rPr>
          <w:rFonts w:ascii="Arial" w:cs="Arial" w:eastAsia="Arial" w:hAnsi="Arial"/>
          <w:sz w:val="17"/>
          <w:szCs w:val="17"/>
          <w:color w:val="auto"/>
        </w:rPr>
        <w:t>In October 2017, the Company entered into a license agreement with Vitae Pharmaceuticals, Inc., a subsidiary of Allergan (the “Allergan License Agreement”), under which Allergan granted the Company an exclusive, sublicenseable, worldwide license to, the Menin Assets. The Company made a nonrefundable upfront payment of $5.0 million to Allergan in the fourth quarter of 2017. Additionally, subject to the achievement of certain milestone events, the Company may be required to pay Allergan up to $99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83"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of these findings, the upfront payment of $5.0 million has been recorded as research and development expense in the consolidated statements of operations.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UCB Biopharma Sprl</w:t>
      </w:r>
    </w:p>
    <w:p>
      <w:pPr>
        <w:spacing w:after="0" w:line="117"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In July 2016, the Company entered into a license agreement (the “UCB License Agreement”) with UCB Biopharma Sprl (“UCB”), under which UCB granted to the Company a worldwide, sublicenseable, exclusive license to UCB6352, which the Company refers to as SNDX-6352, an IND-ready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SNDX-6352,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will be solely responsible for the development and commercialization of SNDX-6352, except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12" w:name="page113"/>
    <w:bookmarkEnd w:id="112"/>
    <w:p>
      <w:pPr>
        <w:ind w:right="20"/>
        <w:spacing w:after="0" w:line="255" w:lineRule="auto"/>
        <w:rPr>
          <w:sz w:val="20"/>
          <w:szCs w:val="20"/>
          <w:color w:val="auto"/>
        </w:rPr>
      </w:pPr>
      <w:r>
        <w:rPr>
          <w:rFonts w:ascii="Arial" w:cs="Arial" w:eastAsia="Arial" w:hAnsi="Arial"/>
          <w:sz w:val="18"/>
          <w:szCs w:val="18"/>
          <w:color w:val="auto"/>
        </w:rPr>
        <w:t>that UCB is performing a limited set of transitional chemistry, manufacturing and control tasks related to SNDX-6352.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189"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of these findings, the upfront payment of $5.0 million has been recorded as research and development expense in the consolidated statements of operations.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Kyowa Hakko Kirin Co., Ltd.</w:t>
      </w:r>
    </w:p>
    <w:p>
      <w:pPr>
        <w:spacing w:after="0" w:line="117" w:lineRule="exact"/>
        <w:rPr>
          <w:sz w:val="20"/>
          <w:szCs w:val="20"/>
          <w:color w:val="auto"/>
        </w:rPr>
      </w:pPr>
    </w:p>
    <w:p>
      <w:pPr>
        <w:ind w:right="20" w:firstLine="598"/>
        <w:spacing w:after="0" w:line="268" w:lineRule="auto"/>
        <w:rPr>
          <w:sz w:val="20"/>
          <w:szCs w:val="20"/>
          <w:color w:val="auto"/>
        </w:rPr>
      </w:pPr>
      <w:r>
        <w:rPr>
          <w:rFonts w:ascii="Arial" w:cs="Arial" w:eastAsia="Arial" w:hAnsi="Arial"/>
          <w:sz w:val="17"/>
          <w:szCs w:val="17"/>
          <w:color w:val="auto"/>
        </w:rPr>
        <w:t>On December 19, 2014 (the “Effective Date”), the Company entered into a license agreement (the “KHK License Agreement”) with Kyowa Hakko Kirin Co., Ltd. (“KHK”),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of 536,049 shares of Series B-1 convertible preferred stock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8"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purchase of the Series B-1 and the up-front payment of the license fee were accounted for separately. The Company allocated the amount of consideration related to Series B-1 equal to the fair value of the Series B-1 shares on the Effective Date based on a share price of $14.39 per share, which resulted in $7.7 million of proceeds allocated to the Series B-1 and the remaining consideration of $17.3 million allocated to the up-front license fee. The fair value of the Series B-1 of $14.39 per share was based on a contemporaneous valuation. The Company received $7.5 million and issued the Series B-1 in January 2015 and received the remaining $17.5 million in February 2015. On the date of issuance, the Company recorded accretion of $5.4 million to record the Series B-1 at its redemption value.</w:t>
      </w:r>
    </w:p>
    <w:p>
      <w:pPr>
        <w:spacing w:after="0" w:line="193"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 xml:space="preserve">The Company has concluded that this agreement is within the scope of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w:t>
      </w:r>
    </w:p>
    <w:p>
      <w:pPr>
        <w:spacing w:after="0" w:line="2" w:lineRule="exact"/>
        <w:rPr>
          <w:sz w:val="20"/>
          <w:szCs w:val="20"/>
          <w:color w:val="auto"/>
        </w:rPr>
      </w:pPr>
    </w:p>
    <w:p>
      <w:pPr>
        <w:ind w:right="80" w:firstLine="8"/>
        <w:spacing w:after="0" w:line="255" w:lineRule="auto"/>
        <w:tabs>
          <w:tab w:leader="none" w:pos="21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was allocated to the license unit of accounting.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3" w:name="page114"/>
    <w:bookmarkEnd w:id="113"/>
    <w:p>
      <w:pPr>
        <w:ind w:firstLine="598"/>
        <w:spacing w:after="0" w:line="290" w:lineRule="auto"/>
        <w:rPr>
          <w:sz w:val="20"/>
          <w:szCs w:val="20"/>
          <w:color w:val="auto"/>
        </w:rPr>
      </w:pPr>
      <w:r>
        <w:rPr>
          <w:rFonts w:ascii="Arial" w:cs="Arial" w:eastAsia="Arial" w:hAnsi="Arial"/>
          <w:sz w:val="16"/>
          <w:szCs w:val="16"/>
          <w:color w:val="auto"/>
        </w:rPr>
        <w:t>The arrangement consideration allocated to the license unit of accounting will be recognized as revenue ratably over the Company’s expected services period (currently expected to be through 2029) commencing on the date of the first delivery of the clinical trial materials. In June 2015, the Company began delivering clinical materials to KHK and commenced recognizing revenue from the upfront consideration of $17.3 million. In October 2017, KHK enrolled the first Japanese patient into a local pivotal study of entinostat for the treatment of hormone receptor positive, human epidermal growth factor receptor 2 negative breast cancer. In accordance with the terms of the KHK License Agreement, in December 2017 the Company received a $5.0 million milestone payment from KHK for achievement of the development milestone. The Company determined that the milestone is not substantive as the achievement was dependent upon the counterparty. Therefore, during the fourth quarter of 2017, the Company recorded $0.9 million as license fee revenue and has deferred the remaining $4.1 million to be recognized over the remaining performance period coinciding with the license unit of accounting.</w:t>
      </w:r>
    </w:p>
    <w:p>
      <w:pPr>
        <w:spacing w:after="0" w:line="166" w:lineRule="exact"/>
        <w:rPr>
          <w:sz w:val="20"/>
          <w:szCs w:val="20"/>
          <w:color w:val="auto"/>
        </w:rPr>
      </w:pPr>
    </w:p>
    <w:p>
      <w:pPr>
        <w:jc w:val="both"/>
        <w:ind w:right="280" w:firstLine="598"/>
        <w:spacing w:after="0" w:line="264" w:lineRule="auto"/>
        <w:rPr>
          <w:sz w:val="20"/>
          <w:szCs w:val="20"/>
          <w:color w:val="auto"/>
        </w:rPr>
      </w:pPr>
      <w:r>
        <w:rPr>
          <w:rFonts w:ascii="Arial" w:cs="Arial" w:eastAsia="Arial" w:hAnsi="Arial"/>
          <w:sz w:val="18"/>
          <w:szCs w:val="18"/>
          <w:color w:val="auto"/>
        </w:rPr>
        <w:t>During the years ended December 31, 2017, 2016, and 2015 the Company recognized $2.1 million, $1.2 million and $0.6 million, respectively, of revenue associated with the KHK License Agreement. As of December 31, 2017, there was $18.3 million of deferred revenue related to the KHK License Agreement, which is classified as current or long-term in the consolidated balance sheets.</w:t>
      </w:r>
    </w:p>
    <w:p>
      <w:pPr>
        <w:spacing w:after="0" w:line="18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In October 2016, the Company entered into a clinical trial co-funding agreement with KHK under which the Company will expand its clinical trial agreement with Eastern Cooperative Oncology Group (the “ECOG Agreement”) to include enrollments from sites in Korea.</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Eastern Cooperative Oncology Group</w:t>
      </w:r>
    </w:p>
    <w:p>
      <w:pPr>
        <w:spacing w:after="0" w:line="117" w:lineRule="exact"/>
        <w:rPr>
          <w:sz w:val="20"/>
          <w:szCs w:val="20"/>
          <w:color w:val="auto"/>
        </w:rPr>
      </w:pPr>
    </w:p>
    <w:p>
      <w:pPr>
        <w:ind w:right="40" w:firstLine="598"/>
        <w:spacing w:after="0" w:line="253" w:lineRule="auto"/>
        <w:rPr>
          <w:sz w:val="20"/>
          <w:szCs w:val="20"/>
          <w:color w:val="auto"/>
        </w:rPr>
      </w:pPr>
      <w:r>
        <w:rPr>
          <w:rFonts w:ascii="Arial" w:cs="Arial" w:eastAsia="Arial" w:hAnsi="Arial"/>
          <w:sz w:val="18"/>
          <w:szCs w:val="18"/>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will provide a fixed level of financial support for the clinical trial through an upfront payment of $695,000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During the first quarter of 2017, the ECOG Agreement was amended to expand the study to include enrollments from sites in Korea and to provide additional study activities and the contractual obligation increased by $2.0 million. As of December 31, 2017, the Company’s aggregate payment obligations under this agreement were approximately $24.3 million; and as of December 31, 2017, the Company’s remaining payment obligations are approximately $13.0 million over an estimated period of approximately four years.</w:t>
      </w:r>
    </w:p>
    <w:p>
      <w:pPr>
        <w:spacing w:after="0" w:line="193"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FDA or NCI withdraws the authorization to perform the clinical trial in the United States. The parties may jointly terminate the ECOG Agreement if the parties agree that safety-related issues support termination of the clinical trial.</w:t>
      </w:r>
    </w:p>
    <w:p>
      <w:pPr>
        <w:spacing w:after="0" w:line="178" w:lineRule="exact"/>
        <w:rPr>
          <w:sz w:val="20"/>
          <w:szCs w:val="20"/>
          <w:color w:val="auto"/>
        </w:rPr>
      </w:pPr>
    </w:p>
    <w:p>
      <w:pPr>
        <w:ind w:right="80" w:firstLine="598"/>
        <w:spacing w:after="0" w:line="302" w:lineRule="auto"/>
        <w:rPr>
          <w:sz w:val="20"/>
          <w:szCs w:val="20"/>
          <w:color w:val="auto"/>
        </w:rPr>
      </w:pPr>
      <w:r>
        <w:rPr>
          <w:rFonts w:ascii="Arial" w:cs="Arial" w:eastAsia="Arial" w:hAnsi="Arial"/>
          <w:sz w:val="16"/>
          <w:szCs w:val="16"/>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14" w:name="page115"/>
    <w:bookmarkEnd w:id="114"/>
    <w:p>
      <w:pPr>
        <w:ind w:left="600"/>
        <w:spacing w:after="0"/>
        <w:rPr>
          <w:sz w:val="20"/>
          <w:szCs w:val="20"/>
          <w:color w:val="auto"/>
        </w:rPr>
      </w:pPr>
      <w:r>
        <w:rPr>
          <w:rFonts w:ascii="Arial" w:cs="Arial" w:eastAsia="Arial" w:hAnsi="Arial"/>
          <w:sz w:val="18"/>
          <w:szCs w:val="18"/>
          <w:b w:val="1"/>
          <w:bCs w:val="1"/>
          <w:i w:val="1"/>
          <w:iCs w:val="1"/>
          <w:color w:val="auto"/>
        </w:rPr>
        <w:t>Bayer Pharma AG (formerly known as Bayer Schering Pharma AG)</w:t>
      </w:r>
    </w:p>
    <w:p>
      <w:pPr>
        <w:spacing w:after="0" w:line="11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78" w:lineRule="exact"/>
        <w:rPr>
          <w:sz w:val="20"/>
          <w:szCs w:val="20"/>
          <w:color w:val="auto"/>
        </w:rPr>
      </w:pPr>
    </w:p>
    <w:p>
      <w:pPr>
        <w:ind w:right="100" w:firstLine="598"/>
        <w:spacing w:after="0" w:line="269" w:lineRule="auto"/>
        <w:rPr>
          <w:sz w:val="20"/>
          <w:szCs w:val="20"/>
          <w:color w:val="auto"/>
        </w:rPr>
      </w:pPr>
      <w:r>
        <w:rPr>
          <w:rFonts w:ascii="Arial" w:cs="Arial" w:eastAsia="Arial" w:hAnsi="Arial"/>
          <w:sz w:val="17"/>
          <w:szCs w:val="17"/>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IPO. Upon the closing of the IPO, the total number of shares of the Company’s common stock issuable upon exercise of the warrant was set at 357,840. Prior to the closing of the IPO, the warrant contained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$1.54 per share and expires upon the earlier of the 10-year anniversary of the closing of the IPO or the date of the consummation of a disposition transaction. The warrant was classified as a long-term liability and recorded at fair value with the changes in the fair value recorded in other expense. The Company used the Black-Scholes option-pricing model to determine the fair value of the warrant. Upon the closing of the IPO, the anti-dilution protection for the warrant expired, resulting in the reclassification of the warrant liability to additional paid-in capital. The warrant was re-measured on March 8, 2016, using current assumptions just prior to the reclassification.</w:t>
      </w:r>
    </w:p>
    <w:p>
      <w:pPr>
        <w:spacing w:after="0" w:line="183"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total shares exercisable under the warrant, the fair value associated with the warrant and the Black-Scholes option-pricing model assumptions used to value the shares of common stock issuable pursuant to the warrant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0"/>
              </w:rPr>
              <w:t>Estimated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Total Shares of</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90"/>
              </w:rPr>
              <w:t>Fair Value</w:t>
            </w: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Remaining</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Fair</w:t>
            </w:r>
          </w:p>
        </w:tc>
      </w:tr>
      <w:tr>
        <w:trPr>
          <w:trHeight w:val="135"/>
        </w:trPr>
        <w:tc>
          <w:tcPr>
            <w:tcW w:w="2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 Stock</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5"/>
              </w:rPr>
              <w:t>Average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1"/>
              </w:rPr>
              <w:t>of</w:t>
            </w: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1"/>
              </w:rPr>
              <w:t>Risk-Free</w:t>
            </w:r>
          </w:p>
        </w:tc>
        <w:tc>
          <w:tcPr>
            <w:tcW w:w="122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0"/>
              </w:rPr>
              <w:t>Estimated</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Contractual</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212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Issuable Under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82"/>
              </w:rPr>
              <w:t>Exercise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8"/>
              </w:rPr>
              <w:t>Common</w:t>
            </w:r>
          </w:p>
        </w:tc>
        <w:tc>
          <w:tcPr>
            <w:tcW w:w="12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Estimated</w:t>
            </w:r>
          </w:p>
        </w:tc>
        <w:tc>
          <w:tcPr>
            <w:tcW w:w="12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Interest</w:t>
            </w:r>
          </w:p>
        </w:tc>
        <w:tc>
          <w:tcPr>
            <w:tcW w:w="122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7"/>
              </w:rPr>
              <w:t>Dividend</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Life</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Warrant</w:t>
            </w:r>
          </w:p>
        </w:tc>
      </w:tr>
      <w:tr>
        <w:trPr>
          <w:trHeight w:val="153"/>
        </w:trPr>
        <w:tc>
          <w:tcPr>
            <w:tcW w:w="21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the Warrant</w:t>
            </w:r>
          </w:p>
        </w:tc>
        <w:tc>
          <w:tcPr>
            <w:tcW w:w="3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7"/>
              </w:rPr>
              <w:t>Price</w:t>
            </w:r>
          </w:p>
        </w:tc>
        <w:tc>
          <w:tcPr>
            <w:tcW w:w="3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Volatility</w:t>
            </w:r>
          </w:p>
        </w:tc>
        <w:tc>
          <w:tcPr>
            <w:tcW w:w="3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3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Yield</w:t>
            </w:r>
          </w:p>
        </w:tc>
        <w:tc>
          <w:tcPr>
            <w:tcW w:w="3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3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3"/>
              </w:rPr>
              <w:t>Liability</w:t>
            </w:r>
          </w:p>
        </w:tc>
        <w:tc>
          <w:tcPr>
            <w:tcW w:w="100" w:type="dxa"/>
            <w:vAlign w:val="bottom"/>
            <w:tcBorders>
              <w:bottom w:val="single" w:sz="8" w:color="CFF0FC"/>
            </w:tcBorders>
          </w:tcPr>
          <w:p>
            <w:pPr>
              <w:spacing w:after="0"/>
              <w:rPr>
                <w:sz w:val="13"/>
                <w:szCs w:val="13"/>
                <w:color w:val="auto"/>
              </w:rPr>
            </w:pPr>
          </w:p>
        </w:tc>
      </w:tr>
      <w:tr>
        <w:trPr>
          <w:trHeight w:val="210"/>
        </w:trPr>
        <w:tc>
          <w:tcPr>
            <w:tcW w:w="2120" w:type="dxa"/>
            <w:vAlign w:val="bottom"/>
            <w:shd w:val="clear" w:color="auto" w:fill="CFF0FC"/>
          </w:tcPr>
          <w:p>
            <w:pPr>
              <w:spacing w:after="0"/>
              <w:rPr>
                <w:sz w:val="20"/>
                <w:szCs w:val="20"/>
                <w:color w:val="auto"/>
              </w:rPr>
            </w:pPr>
            <w:r>
              <w:rPr>
                <w:rFonts w:ascii="Arial" w:cs="Arial" w:eastAsia="Arial" w:hAnsi="Arial"/>
                <w:sz w:val="16"/>
                <w:szCs w:val="16"/>
                <w:color w:val="auto"/>
              </w:rPr>
              <w:t>March 8, 2016</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357,840</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w:t>
            </w: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69%</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1.82%</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0.0%</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4,551</w:t>
            </w:r>
          </w:p>
        </w:tc>
        <w:tc>
          <w:tcPr>
            <w:tcW w:w="100" w:type="dxa"/>
            <w:vAlign w:val="bottom"/>
            <w:shd w:val="clear" w:color="auto" w:fill="CFF0FC"/>
          </w:tcPr>
          <w:p>
            <w:pPr>
              <w:spacing w:after="0"/>
              <w:rPr>
                <w:sz w:val="18"/>
                <w:szCs w:val="18"/>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6"/>
                <w:szCs w:val="16"/>
                <w:color w:val="auto"/>
              </w:rPr>
              <w:t>December 31, 2015</w:t>
            </w:r>
          </w:p>
        </w:tc>
        <w:tc>
          <w:tcPr>
            <w:tcW w:w="840" w:type="dxa"/>
            <w:vAlign w:val="bottom"/>
          </w:tcPr>
          <w:p>
            <w:pPr>
              <w:jc w:val="right"/>
              <w:spacing w:after="0"/>
              <w:rPr>
                <w:sz w:val="20"/>
                <w:szCs w:val="20"/>
                <w:color w:val="auto"/>
              </w:rPr>
            </w:pPr>
            <w:r>
              <w:rPr>
                <w:rFonts w:ascii="Arial" w:cs="Arial" w:eastAsia="Arial" w:hAnsi="Arial"/>
                <w:sz w:val="16"/>
                <w:szCs w:val="16"/>
                <w:color w:val="auto"/>
              </w:rPr>
              <w:t>277,486</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1.54</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11.13</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73%</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2.15%</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0.0%</w:t>
            </w:r>
          </w:p>
        </w:tc>
        <w:tc>
          <w:tcPr>
            <w:tcW w:w="840" w:type="dxa"/>
            <w:vAlign w:val="bottom"/>
          </w:tcPr>
          <w:p>
            <w:pPr>
              <w:jc w:val="right"/>
              <w:spacing w:after="0"/>
              <w:rPr>
                <w:sz w:val="20"/>
                <w:szCs w:val="20"/>
                <w:color w:val="auto"/>
              </w:rPr>
            </w:pPr>
            <w:r>
              <w:rPr>
                <w:rFonts w:ascii="Arial" w:cs="Arial" w:eastAsia="Arial" w:hAnsi="Arial"/>
                <w:sz w:val="16"/>
                <w:szCs w:val="16"/>
                <w:color w:val="auto"/>
              </w:rPr>
              <w:t>8.06</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Pr>
          <w:p>
            <w:pPr>
              <w:spacing w:after="0"/>
              <w:rPr>
                <w:sz w:val="18"/>
                <w:szCs w:val="18"/>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27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Office and computer equipment</w:t>
            </w:r>
          </w:p>
        </w:tc>
        <w:tc>
          <w:tcPr>
            <w:tcW w:w="27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Office equipment under capital lease</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7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3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2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w:t>
            </w:r>
          </w:p>
        </w:tc>
        <w:tc>
          <w:tcPr>
            <w:tcW w:w="1740" w:type="dxa"/>
            <w:vAlign w:val="bottom"/>
          </w:tcPr>
          <w:p>
            <w:pPr>
              <w:spacing w:after="0"/>
              <w:rPr>
                <w:sz w:val="19"/>
                <w:szCs w:val="19"/>
                <w:color w:val="auto"/>
              </w:rPr>
            </w:pPr>
          </w:p>
        </w:tc>
      </w:tr>
      <w:tr>
        <w:trPr>
          <w:trHeight w:val="223"/>
        </w:trPr>
        <w:tc>
          <w:tcPr>
            <w:tcW w:w="4960" w:type="dxa"/>
            <w:vAlign w:val="bottom"/>
            <w:gridSpan w:val="2"/>
          </w:tcPr>
          <w:p>
            <w:pPr>
              <w:ind w:left="1720"/>
              <w:spacing w:after="0"/>
              <w:rPr>
                <w:sz w:val="20"/>
                <w:szCs w:val="20"/>
                <w:color w:val="auto"/>
              </w:rPr>
            </w:pPr>
            <w:r>
              <w:rPr>
                <w:rFonts w:ascii="Arial" w:cs="Arial" w:eastAsia="Arial" w:hAnsi="Arial"/>
                <w:sz w:val="18"/>
                <w:szCs w:val="18"/>
                <w:color w:val="auto"/>
              </w:rPr>
              <w:t>Property and equipment, net</w:t>
            </w:r>
          </w:p>
        </w:tc>
        <w:tc>
          <w:tcPr>
            <w:tcW w:w="2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80" w:type="dxa"/>
            <w:vAlign w:val="bottom"/>
            <w:gridSpan w:val="2"/>
          </w:tcPr>
          <w:p>
            <w:pPr>
              <w:jc w:val="right"/>
              <w:ind w:right="1870"/>
              <w:spacing w:after="0"/>
              <w:rPr>
                <w:sz w:val="20"/>
                <w:szCs w:val="20"/>
                <w:color w:val="auto"/>
              </w:rPr>
            </w:pPr>
            <w:r>
              <w:rPr>
                <w:rFonts w:ascii="Arial" w:cs="Arial" w:eastAsia="Arial" w:hAnsi="Arial"/>
                <w:sz w:val="18"/>
                <w:szCs w:val="18"/>
                <w:color w:val="auto"/>
              </w:rPr>
              <w:t>F-18</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that are accessible at the market date for identical unrestricted assets or liabilities.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 prices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right="320" w:firstLine="598"/>
        <w:spacing w:after="0" w:line="264" w:lineRule="auto"/>
        <w:rPr>
          <w:sz w:val="20"/>
          <w:szCs w:val="20"/>
          <w:color w:val="auto"/>
        </w:rPr>
      </w:pPr>
      <w:r>
        <w:rPr>
          <w:rFonts w:ascii="Arial" w:cs="Arial" w:eastAsia="Arial" w:hAnsi="Arial"/>
          <w:sz w:val="18"/>
          <w:szCs w:val="18"/>
          <w:color w:val="auto"/>
        </w:rPr>
        <w:t>During the years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during the years ended December 31, 2017, 2016 and 2015.</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 (in thousands):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33" w:lineRule="exact"/>
              <w:rPr>
                <w:sz w:val="20"/>
                <w:szCs w:val="20"/>
                <w:color w:val="auto"/>
              </w:rPr>
            </w:pPr>
            <w:r>
              <w:rPr>
                <w:rFonts w:ascii="Arial" w:cs="Arial" w:eastAsia="Arial" w:hAnsi="Arial"/>
                <w:sz w:val="14"/>
                <w:szCs w:val="14"/>
                <w:b w:val="1"/>
                <w:bCs w:val="1"/>
                <w:color w:val="auto"/>
                <w:w w:val="93"/>
              </w:rPr>
              <w:t>Quoted</w:t>
            </w:r>
          </w:p>
        </w:tc>
        <w:tc>
          <w:tcPr>
            <w:tcW w:w="380" w:type="dxa"/>
            <w:vAlign w:val="bottom"/>
          </w:tcPr>
          <w:p>
            <w:pPr>
              <w:spacing w:after="0"/>
              <w:rPr>
                <w:sz w:val="11"/>
                <w:szCs w:val="11"/>
                <w:color w:val="auto"/>
              </w:rPr>
            </w:pPr>
          </w:p>
        </w:tc>
        <w:tc>
          <w:tcPr>
            <w:tcW w:w="7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2"/>
              </w:rPr>
              <w:t>Significant</w:t>
            </w:r>
          </w:p>
        </w:tc>
        <w:tc>
          <w:tcPr>
            <w:tcW w:w="380" w:type="dxa"/>
            <w:vAlign w:val="bottom"/>
          </w:tcPr>
          <w:p>
            <w:pPr>
              <w:spacing w:after="0"/>
              <w:rPr>
                <w:sz w:val="11"/>
                <w:szCs w:val="11"/>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9"/>
              </w:rPr>
              <w:t>Total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Prices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Other</w:t>
            </w:r>
          </w:p>
        </w:tc>
        <w:tc>
          <w:tcPr>
            <w:tcW w:w="3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 Active</w:t>
            </w:r>
          </w:p>
        </w:tc>
        <w:tc>
          <w:tcPr>
            <w:tcW w:w="3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3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8"/>
              </w:rPr>
              <w:t>Markets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54"/>
              <w:spacing w:after="0"/>
              <w:rPr>
                <w:sz w:val="20"/>
                <w:szCs w:val="20"/>
                <w:color w:val="auto"/>
              </w:rPr>
            </w:pPr>
            <w:r>
              <w:rPr>
                <w:rFonts w:ascii="Arial" w:cs="Arial" w:eastAsia="Arial" w:hAnsi="Arial"/>
                <w:sz w:val="14"/>
                <w:szCs w:val="14"/>
                <w:b w:val="1"/>
                <w:bCs w:val="1"/>
                <w:color w:val="auto"/>
                <w:w w:val="90"/>
              </w:rPr>
              <w:t>Value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44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7"/>
              </w:rPr>
              <w:t>December 31, 2017</w:t>
            </w:r>
          </w:p>
        </w:tc>
        <w:tc>
          <w:tcPr>
            <w:tcW w:w="2460" w:type="dxa"/>
            <w:vAlign w:val="bottom"/>
            <w:tcBorders>
              <w:top w:val="single" w:sz="8" w:color="CFF0FC"/>
              <w:bottom w:val="single" w:sz="8" w:color="CFF0FC"/>
            </w:tcBorders>
            <w:shd w:val="clear" w:color="auto" w:fill="CFF0FC"/>
          </w:tcPr>
          <w:p>
            <w:pPr>
              <w:spacing w:after="0"/>
              <w:rPr>
                <w:sz w:val="17"/>
                <w:szCs w:val="17"/>
                <w:color w:val="auto"/>
              </w:rPr>
            </w:pPr>
          </w:p>
        </w:tc>
        <w:tc>
          <w:tcPr>
            <w:tcW w:w="20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CFF0FC"/>
            </w:tcBorders>
            <w:shd w:val="clear" w:color="auto" w:fill="CFF0FC"/>
          </w:tcPr>
          <w:p>
            <w:pPr>
              <w:spacing w:after="0"/>
              <w:rPr>
                <w:sz w:val="17"/>
                <w:szCs w:val="17"/>
                <w:color w:val="auto"/>
              </w:rPr>
            </w:pP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CFF0FC"/>
            </w:tcBorders>
            <w:shd w:val="clear" w:color="auto" w:fill="CFF0FC"/>
          </w:tcPr>
          <w:p>
            <w:pPr>
              <w:spacing w:after="0"/>
              <w:rPr>
                <w:sz w:val="17"/>
                <w:szCs w:val="17"/>
                <w:color w:val="auto"/>
              </w:rPr>
            </w:pPr>
          </w:p>
        </w:tc>
        <w:tc>
          <w:tcPr>
            <w:tcW w:w="660" w:type="dxa"/>
            <w:vAlign w:val="bottom"/>
            <w:tcBorders>
              <w:top w:val="single" w:sz="8" w:color="auto"/>
              <w:bottom w:val="single" w:sz="8" w:color="CFF0FC"/>
            </w:tcBorders>
            <w:shd w:val="clear" w:color="auto" w:fill="CFF0FC"/>
          </w:tcPr>
          <w:p>
            <w:pPr>
              <w:spacing w:after="0"/>
              <w:rPr>
                <w:sz w:val="17"/>
                <w:szCs w:val="17"/>
                <w:color w:val="auto"/>
              </w:rPr>
            </w:pP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Cash equivalents</w:t>
            </w:r>
          </w:p>
        </w:tc>
        <w:tc>
          <w:tcPr>
            <w:tcW w:w="2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35,168</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24,972</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10,196</w:t>
            </w:r>
          </w:p>
        </w:tc>
        <w:tc>
          <w:tcPr>
            <w:tcW w:w="5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94,806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94,806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Long-term investments</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20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133,220</w:t>
            </w:r>
          </w:p>
        </w:tc>
        <w:tc>
          <w:tcPr>
            <w:tcW w:w="3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24,972</w:t>
            </w:r>
          </w:p>
        </w:tc>
        <w:tc>
          <w:tcPr>
            <w:tcW w:w="3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108,248</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7"/>
              </w:rPr>
              <w:t>December 31, 2016</w:t>
            </w:r>
          </w:p>
        </w:tc>
        <w:tc>
          <w:tcPr>
            <w:tcW w:w="2460" w:type="dxa"/>
            <w:vAlign w:val="bottom"/>
            <w:tcBorders>
              <w:bottom w:val="single" w:sz="8" w:color="CFF0FC"/>
            </w:tcBorders>
            <w:shd w:val="clear" w:color="auto" w:fill="CFF0FC"/>
          </w:tcPr>
          <w:p>
            <w:pPr>
              <w:spacing w:after="0"/>
              <w:rPr>
                <w:sz w:val="18"/>
                <w:szCs w:val="18"/>
                <w:color w:val="auto"/>
              </w:rPr>
            </w:pPr>
          </w:p>
        </w:tc>
        <w:tc>
          <w:tcPr>
            <w:tcW w:w="2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Cash equivalents</w:t>
            </w:r>
          </w:p>
        </w:tc>
        <w:tc>
          <w:tcPr>
            <w:tcW w:w="2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17,089</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6,755</w:t>
            </w:r>
          </w:p>
        </w:tc>
        <w:tc>
          <w:tcPr>
            <w:tcW w:w="5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81,486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81,486</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assets</w:t>
            </w:r>
          </w:p>
        </w:tc>
        <w:tc>
          <w:tcPr>
            <w:tcW w:w="20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105,330</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17,089</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88,241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Cash equivalents of $25.0 million as of December 31, 2017 and $17.1 million as of December 31, 2016 consisted of overnight investments, money market funds and highly rated corporate bonds and are classified within Level 1 of the fair value hierarchy because they are valued using quoted market prices in active markets. Cash equivalents of $10.2 million as of December 31, 2017 and $6.8 million as of December 31, 2016 consisted of highly rated corporate bonds and commercial paper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93"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Short-term investments of $94.8 million as of December 31, 2017 and $81.5 million as of December 31, 2016, and long-term investments of $3.2 million as of December 31, 2017 consisted of commercial paper and highly rated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6" w:name="page117"/>
    <w:bookmarkEnd w:id="116"/>
    <w:p>
      <w:pPr>
        <w:ind w:right="180"/>
        <w:spacing w:after="0" w:line="342" w:lineRule="auto"/>
        <w:rPr>
          <w:sz w:val="20"/>
          <w:szCs w:val="20"/>
          <w:color w:val="auto"/>
        </w:rPr>
      </w:pPr>
      <w:r>
        <w:rPr>
          <w:rFonts w:ascii="Arial" w:cs="Arial" w:eastAsia="Arial" w:hAnsi="Arial"/>
          <w:sz w:val="16"/>
          <w:szCs w:val="16"/>
          <w:color w:val="auto"/>
        </w:rPr>
        <w:t>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24"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short-term and long-term investments are classified as available-for-sale securities. As of December 31, 2017, the remaining contractual maturities of the available-for-sale securities were less than 15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years ended December 31, 2017. As a result, the Company did not reclassify any amounts out of accumulated other comprehensive income for the same periods. The Company has a limited number of available-for-sale securities in insignificant loss positions as of December 31, 2017, which the Company does not intend to sell and has concluded it will not be required to sell before recovery of the amortized cost for the investment at maturity. The following table summarizes the available-for-sale securities (in thousands):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3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r>
      <w:tr>
        <w:trPr>
          <w:trHeight w:val="171"/>
        </w:trPr>
        <w:tc>
          <w:tcPr>
            <w:tcW w:w="1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13"/>
              <w:spacing w:after="0"/>
              <w:rPr>
                <w:sz w:val="20"/>
                <w:szCs w:val="20"/>
                <w:color w:val="auto"/>
              </w:rPr>
            </w:pPr>
            <w:r>
              <w:rPr>
                <w:rFonts w:ascii="Arial" w:cs="Arial" w:eastAsia="Arial" w:hAnsi="Arial"/>
                <w:sz w:val="14"/>
                <w:szCs w:val="14"/>
                <w:b w:val="1"/>
                <w:bCs w:val="1"/>
                <w:color w:val="auto"/>
              </w:rPr>
              <w:t>Gains</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r>
      <w:tr>
        <w:trPr>
          <w:trHeight w:val="203"/>
        </w:trPr>
        <w:tc>
          <w:tcPr>
            <w:tcW w:w="146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December 31, 2017</w:t>
            </w:r>
          </w:p>
        </w:tc>
        <w:tc>
          <w:tcPr>
            <w:tcW w:w="2320" w:type="dxa"/>
            <w:vAlign w:val="bottom"/>
            <w:tcBorders>
              <w:top w:val="single" w:sz="8" w:color="CFF0FC"/>
              <w:bottom w:val="single" w:sz="8" w:color="CFF0FC"/>
            </w:tcBorders>
            <w:shd w:val="clear" w:color="auto" w:fill="CFF0FC"/>
          </w:tcPr>
          <w:p>
            <w:pPr>
              <w:spacing w:after="0"/>
              <w:rPr>
                <w:sz w:val="17"/>
                <w:szCs w:val="17"/>
                <w:color w:val="auto"/>
              </w:rPr>
            </w:pPr>
          </w:p>
        </w:tc>
        <w:tc>
          <w:tcPr>
            <w:tcW w:w="220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CFF0FC"/>
            </w:tcBorders>
            <w:shd w:val="clear" w:color="auto" w:fill="CFF0FC"/>
          </w:tcPr>
          <w:p>
            <w:pPr>
              <w:spacing w:after="0"/>
              <w:rPr>
                <w:sz w:val="17"/>
                <w:szCs w:val="17"/>
                <w:color w:val="auto"/>
              </w:rPr>
            </w:pP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36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30"/>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36,567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36,527</w:t>
            </w:r>
          </w:p>
        </w:tc>
        <w:tc>
          <w:tcPr>
            <w:tcW w:w="120" w:type="dxa"/>
            <w:vAlign w:val="bottom"/>
          </w:tcPr>
          <w:p>
            <w:pPr>
              <w:spacing w:after="0"/>
              <w:rPr>
                <w:sz w:val="19"/>
                <w:szCs w:val="19"/>
                <w:color w:val="auto"/>
              </w:rPr>
            </w:pPr>
          </w:p>
        </w:tc>
      </w:tr>
      <w:tr>
        <w:trPr>
          <w:trHeight w:val="230"/>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2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71,824</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71,721</w:t>
            </w:r>
          </w:p>
        </w:tc>
        <w:tc>
          <w:tcPr>
            <w:tcW w:w="120" w:type="dxa"/>
            <w:vAlign w:val="bottom"/>
            <w:shd w:val="clear" w:color="auto" w:fill="CFF0FC"/>
          </w:tcPr>
          <w:p>
            <w:pPr>
              <w:spacing w:after="0"/>
              <w:rPr>
                <w:sz w:val="19"/>
                <w:szCs w:val="19"/>
                <w:color w:val="auto"/>
              </w:rPr>
            </w:pPr>
          </w:p>
        </w:tc>
      </w:tr>
      <w:tr>
        <w:trPr>
          <w:trHeight w:val="263"/>
        </w:trPr>
        <w:tc>
          <w:tcPr>
            <w:tcW w:w="1460" w:type="dxa"/>
            <w:vAlign w:val="bottom"/>
            <w:tcBorders>
              <w:bottom w:val="single" w:sz="8" w:color="CFF0FC"/>
            </w:tcBorders>
          </w:tcPr>
          <w:p>
            <w:pPr>
              <w:spacing w:after="0"/>
              <w:rPr>
                <w:sz w:val="22"/>
                <w:szCs w:val="22"/>
                <w:color w:val="auto"/>
              </w:rPr>
            </w:pPr>
          </w:p>
        </w:tc>
        <w:tc>
          <w:tcPr>
            <w:tcW w:w="2320" w:type="dxa"/>
            <w:vAlign w:val="bottom"/>
            <w:tcBorders>
              <w:bottom w:val="single" w:sz="8" w:color="CFF0FC"/>
            </w:tcBorders>
          </w:tcPr>
          <w:p>
            <w:pPr>
              <w:spacing w:after="0"/>
              <w:rPr>
                <w:sz w:val="22"/>
                <w:szCs w:val="22"/>
                <w:color w:val="auto"/>
              </w:rPr>
            </w:pPr>
          </w:p>
        </w:tc>
        <w:tc>
          <w:tcPr>
            <w:tcW w:w="2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108,391</w:t>
            </w:r>
          </w:p>
        </w:tc>
        <w:tc>
          <w:tcPr>
            <w:tcW w:w="3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108,248</w:t>
            </w:r>
          </w:p>
        </w:tc>
        <w:tc>
          <w:tcPr>
            <w:tcW w:w="120" w:type="dxa"/>
            <w:vAlign w:val="bottom"/>
            <w:tcBorders>
              <w:bottom w:val="single" w:sz="8" w:color="CFF0FC"/>
            </w:tcBorders>
          </w:tcPr>
          <w:p>
            <w:pPr>
              <w:spacing w:after="0"/>
              <w:rPr>
                <w:sz w:val="22"/>
                <w:szCs w:val="22"/>
                <w:color w:val="auto"/>
              </w:rPr>
            </w:pPr>
          </w:p>
        </w:tc>
      </w:tr>
      <w:tr>
        <w:trPr>
          <w:trHeight w:val="190"/>
        </w:trPr>
        <w:tc>
          <w:tcPr>
            <w:tcW w:w="1460" w:type="dxa"/>
            <w:vAlign w:val="bottom"/>
            <w:tcBorders>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88"/>
              </w:rPr>
              <w:t>December 31, 2016</w:t>
            </w:r>
          </w:p>
        </w:tc>
        <w:tc>
          <w:tcPr>
            <w:tcW w:w="2320" w:type="dxa"/>
            <w:vAlign w:val="bottom"/>
            <w:tcBorders>
              <w:bottom w:val="single" w:sz="8" w:color="CFF0FC"/>
            </w:tcBorders>
            <w:shd w:val="clear" w:color="auto" w:fill="CFF0FC"/>
          </w:tcPr>
          <w:p>
            <w:pPr>
              <w:spacing w:after="0"/>
              <w:rPr>
                <w:sz w:val="16"/>
                <w:szCs w:val="16"/>
                <w:color w:val="auto"/>
              </w:rPr>
            </w:pPr>
          </w:p>
        </w:tc>
        <w:tc>
          <w:tcPr>
            <w:tcW w:w="2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30"/>
        </w:trPr>
        <w:tc>
          <w:tcPr>
            <w:tcW w:w="378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30,125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30,186</w:t>
            </w:r>
          </w:p>
        </w:tc>
        <w:tc>
          <w:tcPr>
            <w:tcW w:w="120" w:type="dxa"/>
            <w:vAlign w:val="bottom"/>
          </w:tcPr>
          <w:p>
            <w:pPr>
              <w:spacing w:after="0"/>
              <w:rPr>
                <w:sz w:val="19"/>
                <w:szCs w:val="19"/>
                <w:color w:val="auto"/>
              </w:rPr>
            </w:pPr>
          </w:p>
        </w:tc>
      </w:tr>
      <w:tr>
        <w:trPr>
          <w:trHeight w:val="230"/>
        </w:trPr>
        <w:tc>
          <w:tcPr>
            <w:tcW w:w="3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2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51,305</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51,300</w:t>
            </w:r>
          </w:p>
        </w:tc>
        <w:tc>
          <w:tcPr>
            <w:tcW w:w="120" w:type="dxa"/>
            <w:vAlign w:val="bottom"/>
            <w:shd w:val="clear" w:color="auto" w:fill="CFF0FC"/>
          </w:tcPr>
          <w:p>
            <w:pPr>
              <w:spacing w:after="0"/>
              <w:rPr>
                <w:sz w:val="19"/>
                <w:szCs w:val="19"/>
                <w:color w:val="auto"/>
              </w:rPr>
            </w:pPr>
          </w:p>
        </w:tc>
      </w:tr>
      <w:tr>
        <w:trPr>
          <w:trHeight w:val="223"/>
        </w:trPr>
        <w:tc>
          <w:tcPr>
            <w:tcW w:w="1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81,430</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81,486</w:t>
            </w:r>
          </w:p>
        </w:tc>
        <w:tc>
          <w:tcPr>
            <w:tcW w:w="120" w:type="dxa"/>
            <w:vAlign w:val="bottom"/>
          </w:tcPr>
          <w:p>
            <w:pPr>
              <w:spacing w:after="0"/>
              <w:rPr>
                <w:sz w:val="19"/>
                <w:szCs w:val="19"/>
                <w:color w:val="auto"/>
              </w:rPr>
            </w:pPr>
          </w:p>
        </w:tc>
      </w:tr>
      <w:tr>
        <w:trPr>
          <w:trHeight w:val="20"/>
        </w:trPr>
        <w:tc>
          <w:tcPr>
            <w:tcW w:w="1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A roll-forward of the recurring fair value measurements of the common stock warrant liability and the derivative liability categorized with Level 3 inputs are as follows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Derivative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Warrant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Liability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Balance—January 1, 2015</w:t>
            </w:r>
          </w:p>
        </w:tc>
        <w:tc>
          <w:tcPr>
            <w:tcW w:w="2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Change in fair value</w:t>
            </w:r>
          </w:p>
        </w:tc>
        <w:tc>
          <w:tcPr>
            <w:tcW w:w="2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Balance—December 31, 2015</w:t>
            </w:r>
          </w:p>
        </w:tc>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Reclassification</w:t>
            </w:r>
          </w:p>
        </w:tc>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(4,551)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Balance—December 31, 2016</w:t>
            </w:r>
          </w:p>
        </w:tc>
        <w:tc>
          <w:tcPr>
            <w:tcW w:w="2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 was considered a Level 3 measurement. Upon the closing of the IPO, the warrant was reclassified to additional paid-in capital. See Note 5 for further discussion of the accounting for the Bayer common stock warrant as well as for a summary of the significant inputs and assumptions used to determine the fair value of the warrant.</w:t>
      </w:r>
    </w:p>
    <w:p>
      <w:pPr>
        <w:spacing w:after="0" w:line="173"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The derivative liability related to the contingent success fee owed under the term loans. Upon the completion of an IPO or upon the occurrence of certain change of control or liquidation events, the Company was required to pay a $0.2 million success fee. The Company had recorded the success fee as a derivative financial liability. The initial fair value of the derivative of $0.1 million had been recorded as a debt discount. The term loans were paid in full in October 2015; however, the liability for the success fee survived the repayment of the term loans. Upon completion of the IPO this is no longer accounted for as a derivative. The success fee of $0.2 million was paid in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8. Prepaid Expenses and Other Current Assets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Short-term deposits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1,630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Prepaid clinical supplies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Reimbursable costs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168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w:t>
            </w: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7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gridSpan w:val="2"/>
          </w:tcPr>
          <w:p>
            <w:pPr>
              <w:ind w:left="60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9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Accrued compensation and related costs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costs</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9,177</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11,993</w:t>
            </w:r>
          </w:p>
        </w:tc>
        <w:tc>
          <w:tcPr>
            <w:tcW w:w="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Notes</w:t>
      </w:r>
    </w:p>
    <w:p>
      <w:pPr>
        <w:spacing w:after="0" w:line="121" w:lineRule="exact"/>
        <w:rPr>
          <w:sz w:val="20"/>
          <w:szCs w:val="20"/>
          <w:color w:val="auto"/>
        </w:rPr>
      </w:pPr>
    </w:p>
    <w:p>
      <w:pPr>
        <w:jc w:val="both"/>
        <w:ind w:right="220" w:firstLine="598"/>
        <w:spacing w:after="0" w:line="293" w:lineRule="auto"/>
        <w:rPr>
          <w:sz w:val="20"/>
          <w:szCs w:val="20"/>
          <w:color w:val="auto"/>
        </w:rPr>
      </w:pPr>
      <w:r>
        <w:rPr>
          <w:rFonts w:ascii="Arial" w:cs="Arial" w:eastAsia="Arial" w:hAnsi="Arial"/>
          <w:sz w:val="16"/>
          <w:szCs w:val="16"/>
          <w:color w:val="auto"/>
        </w:rPr>
        <w:t>In September 2014, the Company entered into a bridge loan financing with various investors, in which it issued convertible unsecured promissory notes for an aggregate principal amount of $5.0 million (the “2014 Notes”), in two closings. The first closing occurred in September 2014 and $4.9 million was received, and the balance of $0.1 million was received in October 2014. The 2014 Notes accrued interest at 6% per annum and had a maturity date of September 30, 2015 (the “Maturity Date”). The 2014 Notes were convertible upon the occurrence of the certain events during the period that the loans are outstanding. In June 2015, in conjunction with the Series C-1 financing, the outstanding principal of $5.0 million of the 2014 Notes and the related accrued interest of $0.2 million were converted into 372,446 shares of Series C-1 at $14.00 per share, which was the same price paid by Series C-1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Solar Capital, Ltd, Term Loan</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 June 2014, the Company entered into a loan and security agreement with Solar Capital Ltd. (“Solar”), as collateral agent and lender, consisting of a $15.0 million senior secured term loan facility. The loan was secured by substantially all of the Company’s existing and after-acquired assets except its intellectual property, but including right of payment with respect to any such intellectual property and all proceeds from the disposition of any such intellectual property. The intellectual property of the Company was subject to a negative pledge. In September and December 2014, the Company amended the term loan facility. The term loan facility had a maturity date of June 13,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8" w:name="page119"/>
    <w:bookmarkEnd w:id="118"/>
    <w:p>
      <w:pPr>
        <w:ind w:right="40" w:firstLine="598"/>
        <w:spacing w:after="0" w:line="257" w:lineRule="auto"/>
        <w:rPr>
          <w:sz w:val="20"/>
          <w:szCs w:val="20"/>
          <w:color w:val="auto"/>
        </w:rPr>
      </w:pPr>
      <w:r>
        <w:rPr>
          <w:rFonts w:ascii="Arial" w:cs="Arial" w:eastAsia="Arial" w:hAnsi="Arial"/>
          <w:sz w:val="18"/>
          <w:szCs w:val="18"/>
          <w:color w:val="auto"/>
        </w:rPr>
        <w:t>In September 2014, the initial term loan (the “Term A Loan”), in the aggregate principal amount of $5.0 million was funded; and in December 2014, a second term loan (the “Term C Loan”) in the aggregate principal amount of $4.0 million was funded with the following post-closing conditions: pursuant to the KHK License Agreement, the Company was required to receive $7.5 million in net equity proceeds no later than January 9, 2015 and was required to receive $17.5 million in license-related proceeds no later than February 13, 2015, or return the $4.0 million of proceeds from Term Loan C to Solar. The Company achieved the post-closing conditions.</w:t>
      </w:r>
    </w:p>
    <w:p>
      <w:pPr>
        <w:spacing w:after="0" w:line="188" w:lineRule="exact"/>
        <w:rPr>
          <w:sz w:val="20"/>
          <w:szCs w:val="20"/>
          <w:color w:val="auto"/>
        </w:rPr>
      </w:pPr>
    </w:p>
    <w:p>
      <w:pPr>
        <w:ind w:right="160" w:firstLine="598"/>
        <w:spacing w:after="0" w:line="272" w:lineRule="auto"/>
        <w:rPr>
          <w:sz w:val="20"/>
          <w:szCs w:val="20"/>
          <w:color w:val="auto"/>
        </w:rPr>
      </w:pPr>
      <w:r>
        <w:rPr>
          <w:rFonts w:ascii="Arial" w:cs="Arial" w:eastAsia="Arial" w:hAnsi="Arial"/>
          <w:sz w:val="17"/>
          <w:szCs w:val="17"/>
          <w:color w:val="auto"/>
        </w:rPr>
        <w:t>Interest accrued at a floating rate per annum equal to LIBOR plus 8.8%, payable monthly in arrears. The Company was required to make interest-only payments on any term loans funded under the term loan facility until July 1, 2015. Beginning on July 1, 2015, it was required to make payments of principal plus accrued interest in equal monthly installments until the maturity date. In addition, the Company was required to pay a final fee equal to 4% of the amount of term loans funded that was due on the earlier of the maturity date of the term loan facility or upon the occurrence of certain change of control or liquidity events. The Company accrued the final fee of $0.4 million on the outstanding term loans through interest expense using the effective-interest method over the period that the debt was outstanding. The Company incurred $0.3 million of debt issuance costs for this term loan facility, which were amortized as interest expense over the period that the related debt was outstanding.</w:t>
      </w:r>
    </w:p>
    <w:p>
      <w:pPr>
        <w:spacing w:after="0" w:line="178"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The Company had the option to prepay the term loans provided it paid a prepayment fee equal to 2% of the outstanding principal if paid prior to the one-year anniversary and 1% of the outstanding principal if paid after the one-year anniversary of the funding. In October 2015, the Company prepaid the outstanding balance on the term loans of $8.3 million plus accrued interest of $0.1 million and a final fee and prepayment penalty of $0.4 million. In conjunction with this prepayment, the Company recorded an expense of $0.3 million for the final fee and prepayment penalty and wrote off $0.3 million of unamortized debt discount and deferred issuance costs related to the term loans.</w:t>
      </w:r>
    </w:p>
    <w:p>
      <w:pPr>
        <w:spacing w:after="0" w:line="188"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With the completion of the IPO in 2016, the Company was required to pay a $0.2 million success fee that was due on the earlier of the maturity date of the term loan facility or upon the occurrence of certain change of control or liquidity events. The Company initially recorded the success fee as a derivative financial liability. The initial fair value of the derivative of $0.1 million was recorded as a debt discount. The term loans were paid in full in October 2015; however, the liability for the success fee survived the repayment of the term loans. Upon completion of the IPO in 2016, the success fee was no longer considered a derivative liability. The success fee of $0.2 million was paid in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Convertible Preferred Stock</w:t>
      </w:r>
    </w:p>
    <w:p>
      <w:pPr>
        <w:spacing w:after="0" w:line="12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Upon the closing of the IPO, all of the outstanding shares of the Company’s convertible preferred stock were converted into 12,872,551 shares of its common stock. As of December 31, 2017, the Company does not have any convertible preferred stock issued or outstanding. In connection with the closing of the Company’s IPO, the Company filed an amended and restated certificate of incorporation and adopted amended and restated bylaws; and pursuant to the amended and restated certificate of incorporation, the Company is now authorized to issue 10,000,000 shares of preferred stock in one or more series and to fix the powers, designations, preferences and relative participating option or other rights thereof, including dividend rights, conversion rights, voting rights, redemption terms, liquidation preferences and the number of shares constituting any series, without any further vote or action by the Company’s shareholders.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w:t>
      </w:r>
    </w:p>
    <w:p>
      <w:pPr>
        <w:spacing w:after="0" w:line="121"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In connection with the closing of the Company’s IPO, the Company filed an amended and restated certificate of incorporation and adopted amended and restated bylaws; and pursuant to the amended and restated certificate of incorporation, the Company is now authorized to issue 100,000,000 shares of common stock. The holders of each share of common stock are entitled to one vote per share held and are entitled to receive dividends, if and when declared by the Board, and to share ratably in the Company’s assets available for distribution to stockholders, in the event of liquidation.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9" w:name="page120"/>
    <w:bookmarkEnd w:id="119"/>
    <w:p>
      <w:pPr>
        <w:ind w:right="480" w:firstLine="598"/>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future vesting of restricted stock, exercise of stock options, and the employee stock purchase plan:</w:t>
      </w:r>
    </w:p>
    <w:p>
      <w:pPr>
        <w:spacing w:after="0" w:line="257"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 2017</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issuable under Bayer warrant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357,840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4,708,233</w:t>
            </w:r>
          </w:p>
        </w:tc>
        <w:tc>
          <w:tcPr>
            <w:tcW w:w="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432,237</w:t>
            </w:r>
          </w:p>
        </w:tc>
        <w:tc>
          <w:tcPr>
            <w:tcW w:w="6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5,498,310</w:t>
            </w: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In September 2015, the Company’s board of directors adopted its 2015 Omnibus Incentive Plan (“2015 Plan”), which was subsequently approved by its stockholders and became effective upon the closing of the IPO on March 8, 2016. The 2015 Plan replaced the 2007 Stock Plan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 outstanding and effective.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As of December 31, 2017, there were 1,316,401 shares available for issuance under the 2015 Plan.</w:t>
      </w:r>
    </w:p>
    <w:p>
      <w:pPr>
        <w:spacing w:after="0" w:line="182"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2018, the shares available for issuance under the 2015 Plan were increased to 2,292,002.</w:t>
      </w:r>
    </w:p>
    <w:p>
      <w:pPr>
        <w:spacing w:after="0" w:line="18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Company recognized stock-based compensation expense related to the issuance of stock option awards to employees and non-employees and related to the Employee Stock Purchase Plan in the consolidated statements of operations as follows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9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w:t>
            </w:r>
          </w:p>
        </w:tc>
        <w:tc>
          <w:tcPr>
            <w:tcW w:w="3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3,789</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3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4,708</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As of December 31, 2017, there was $8.7 million of unrecognized compensation cost related to employee and non-employee unvested stock options granted under the 2007 and 2015 Plans, which is expected to be recognized over a weighted-average remaining service period of 2.4 years. Stock compensation costs have not been capitalized by the Company.</w:t>
      </w:r>
    </w:p>
    <w:p>
      <w:pPr>
        <w:spacing w:after="0" w:line="222"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Our stock-based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Compensation expense related to awards to non-employees with service-based vesting conditions is recognized on the then-current fair value at each financial reporting date prior to the measurement date over the associated service period of the award, which is generally the vesting term, using the accelerated attribution method. Compensation expense related to awards to employees with performance-based vesting conditions 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0" w:name="page121"/>
    <w:bookmarkEnd w:id="120"/>
    <w:p>
      <w:pPr>
        <w:ind w:right="200"/>
        <w:spacing w:after="0" w:line="342" w:lineRule="auto"/>
        <w:rPr>
          <w:sz w:val="20"/>
          <w:szCs w:val="20"/>
          <w:color w:val="auto"/>
        </w:rPr>
      </w:pPr>
      <w:r>
        <w:rPr>
          <w:rFonts w:ascii="Arial" w:cs="Arial" w:eastAsia="Arial" w:hAnsi="Arial"/>
          <w:sz w:val="16"/>
          <w:szCs w:val="16"/>
          <w:color w:val="auto"/>
        </w:rPr>
        <w:t>recognized based on the grant date fair value over the requisite service period using the straight-line method to the extent achievement of the performance condition is probable. To date, the Company has granted 60,000 options with performance conditions, none of which have vested as of December 31, 2017.</w:t>
      </w:r>
    </w:p>
    <w:p>
      <w:pPr>
        <w:spacing w:after="0" w:line="124"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a peer group of similar public companies. The Company estimated the expected term of its employee stock options using the “simplified” method, whereby, the expected term equals the average of the vesting term and the original contractual term of the option.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Company accounts for forfeitures when they occur. The grant date fair values of options issued to employees and non-employees were estimated using the Black-Scholes option-pricing model with the following assumptions:</w:t>
      </w:r>
    </w:p>
    <w:p>
      <w:pPr>
        <w:spacing w:after="0" w:line="26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4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Volatility rate</w:t>
            </w:r>
          </w:p>
        </w:tc>
        <w:tc>
          <w:tcPr>
            <w:tcW w:w="920" w:type="dxa"/>
            <w:vAlign w:val="bottom"/>
          </w:tcPr>
          <w:p>
            <w:pPr>
              <w:jc w:val="right"/>
              <w:spacing w:after="0"/>
              <w:rPr>
                <w:sz w:val="20"/>
                <w:szCs w:val="20"/>
                <w:color w:val="auto"/>
              </w:rPr>
            </w:pPr>
            <w:r>
              <w:rPr>
                <w:rFonts w:ascii="Arial" w:cs="Arial" w:eastAsia="Arial" w:hAnsi="Arial"/>
                <w:sz w:val="18"/>
                <w:szCs w:val="18"/>
                <w:color w:val="auto"/>
              </w:rPr>
              <w:t>73.86%</w:t>
            </w:r>
          </w:p>
        </w:tc>
        <w:tc>
          <w:tcPr>
            <w:tcW w:w="28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71.40%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69.92%</w:t>
            </w: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1.41%</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w:t>
            </w: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2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determining the exercise prices for options granted, the Board has considered the fair value of the common stock as of each grant date. Prior to the Company’s IPO, the fair value of the common stock underlying the stock options was determined by the Board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clinical and management team, an evaluation or benchmark of the Company’s competition, the current business climate in the marketplace, the illiquid nature of the common stock, arm’s-length sales of the Company’s capital stock (including convertible preferred stock), the effect of the rights and preferences of the preferred stockholders, and the prospects of a liquidity event, among others.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summary of employee and non-employee option activity under the Company’s equity award plans is presented below (in thousands, except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ind w:right="45"/>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55"/>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860" w:type="dxa"/>
            <w:vAlign w:val="bottom"/>
            <w:gridSpan w:val="2"/>
            <w:vMerge w:val="restart"/>
          </w:tcPr>
          <w:p>
            <w:pPr>
              <w:jc w:val="center"/>
              <w:ind w:right="3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left="7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0"/>
              </w:rPr>
              <w:t>Exercise</w:t>
            </w:r>
          </w:p>
        </w:tc>
        <w:tc>
          <w:tcPr>
            <w:tcW w:w="28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14"/>
                <w:szCs w:val="14"/>
                <w:color w:val="auto"/>
              </w:rPr>
            </w:pPr>
          </w:p>
        </w:tc>
        <w:tc>
          <w:tcPr>
            <w:tcW w:w="860" w:type="dxa"/>
            <w:vAlign w:val="bottom"/>
          </w:tcPr>
          <w:p>
            <w:pPr>
              <w:jc w:val="center"/>
              <w:ind w:right="45"/>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Outstanding—January 1, 2017</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2,560,737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8.97</w:t>
            </w:r>
          </w:p>
        </w:tc>
        <w:tc>
          <w:tcPr>
            <w:tcW w:w="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8"/>
                <w:szCs w:val="18"/>
                <w:color w:val="auto"/>
              </w:rPr>
              <w:t>8.4</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967,490</w:t>
            </w:r>
          </w:p>
        </w:tc>
        <w:tc>
          <w:tcPr>
            <w:tcW w:w="2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10.22</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(46,680)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5.93</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Canceled or forfeited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(89,715)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12.03</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Outstanding—December 31, 2017</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3,391,832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9.28</w:t>
            </w:r>
          </w:p>
        </w:tc>
        <w:tc>
          <w:tcPr>
            <w:tcW w:w="1140" w:type="dxa"/>
            <w:vAlign w:val="bottom"/>
            <w:tcBorders>
              <w:top w:val="single" w:sz="8" w:color="CFF0FC"/>
              <w:bottom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7.7</w:t>
            </w:r>
          </w:p>
        </w:tc>
        <w:tc>
          <w:tcPr>
            <w:tcW w:w="3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Exercisable—December 31, 2017</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5"/>
              <w:spacing w:after="0"/>
              <w:rPr>
                <w:sz w:val="20"/>
                <w:szCs w:val="20"/>
                <w:color w:val="auto"/>
              </w:rPr>
            </w:pPr>
            <w:r>
              <w:rPr>
                <w:rFonts w:ascii="Arial" w:cs="Arial" w:eastAsia="Arial" w:hAnsi="Arial"/>
                <w:sz w:val="18"/>
                <w:szCs w:val="18"/>
                <w:color w:val="auto"/>
              </w:rPr>
              <w:t>8.66</w:t>
            </w:r>
          </w:p>
        </w:tc>
        <w:tc>
          <w:tcPr>
            <w:tcW w:w="1140" w:type="dxa"/>
            <w:vAlign w:val="bottom"/>
            <w:gridSpan w:val="2"/>
            <w:vMerge w:val="restart"/>
          </w:tcPr>
          <w:p>
            <w:pPr>
              <w:jc w:val="right"/>
              <w:ind w:right="45"/>
              <w:spacing w:after="0"/>
              <w:rPr>
                <w:sz w:val="20"/>
                <w:szCs w:val="20"/>
                <w:color w:val="auto"/>
              </w:rPr>
            </w:pPr>
            <w:r>
              <w:rPr>
                <w:rFonts w:ascii="Arial" w:cs="Arial" w:eastAsia="Arial" w:hAnsi="Arial"/>
                <w:sz w:val="18"/>
                <w:szCs w:val="18"/>
                <w:color w:val="auto"/>
              </w:rPr>
              <w:t>7.0</w:t>
            </w: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36"/>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FF0FC"/>
            </w:tcBorders>
            <w:vMerge w:val="continue"/>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1,943,661</w:t>
            </w:r>
          </w:p>
        </w:tc>
        <w:tc>
          <w:tcPr>
            <w:tcW w:w="2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gridSpan w:val="2"/>
            <w:vMerge w:val="continue"/>
          </w:tcPr>
          <w:p>
            <w:pPr>
              <w:spacing w:after="0"/>
              <w:rPr>
                <w:sz w:val="21"/>
                <w:szCs w:val="21"/>
                <w:color w:val="auto"/>
              </w:rPr>
            </w:pPr>
          </w:p>
        </w:tc>
        <w:tc>
          <w:tcPr>
            <w:tcW w:w="760" w:type="dxa"/>
            <w:vAlign w:val="bottom"/>
            <w:tcBorders>
              <w:bottom w:val="single" w:sz="8" w:color="CFF0FC"/>
            </w:tcBorders>
            <w:vMerge w:val="continue"/>
          </w:tcPr>
          <w:p>
            <w:pPr>
              <w:spacing w:after="0"/>
              <w:rPr>
                <w:sz w:val="21"/>
                <w:szCs w:val="21"/>
                <w:color w:val="auto"/>
              </w:rPr>
            </w:pPr>
          </w:p>
        </w:tc>
        <w:tc>
          <w:tcPr>
            <w:tcW w:w="1140" w:type="dxa"/>
            <w:vAlign w:val="bottom"/>
            <w:tcBorders>
              <w:bottom w:val="single" w:sz="8" w:color="CFF0FC"/>
            </w:tcBorders>
            <w:gridSpan w:val="2"/>
            <w:vMerge w:val="continue"/>
          </w:tcPr>
          <w:p>
            <w:pPr>
              <w:spacing w:after="0"/>
              <w:rPr>
                <w:sz w:val="21"/>
                <w:szCs w:val="21"/>
                <w:color w:val="auto"/>
              </w:rPr>
            </w:pPr>
          </w:p>
        </w:tc>
        <w:tc>
          <w:tcPr>
            <w:tcW w:w="380" w:type="dxa"/>
            <w:vAlign w:val="bottom"/>
            <w:tcBorders>
              <w:bottom w:val="single" w:sz="8" w:color="CFF0FC"/>
            </w:tcBorders>
            <w:gridSpan w:val="2"/>
            <w:vMerge w:val="continue"/>
          </w:tcPr>
          <w:p>
            <w:pPr>
              <w:spacing w:after="0"/>
              <w:rPr>
                <w:sz w:val="21"/>
                <w:szCs w:val="21"/>
                <w:color w:val="auto"/>
              </w:rPr>
            </w:pPr>
          </w:p>
        </w:tc>
        <w:tc>
          <w:tcPr>
            <w:tcW w:w="76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Options vested, exercisable or expected to</w:t>
            </w: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vest—December 31, 2017</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3,371,831</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9.27</w:t>
            </w:r>
          </w:p>
        </w:tc>
        <w:tc>
          <w:tcPr>
            <w:tcW w:w="1140" w:type="dxa"/>
            <w:vAlign w:val="bottom"/>
            <w:tcBorders>
              <w:bottom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weighted-average grant date fair value of options granted during the years ended December 31, 2017, 2016 and 2015, was $6.68, $7.94,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$5.74 per share, respectively. The fair value is being expensed over the vesting period of the options (usually three to four years) on a straight-line basis as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are being provided.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21" w:name="page122"/>
    <w:bookmarkEnd w:id="121"/>
    <w:p>
      <w:pPr>
        <w:ind w:right="100" w:firstLine="598"/>
        <w:spacing w:after="0" w:line="284" w:lineRule="auto"/>
        <w:rPr>
          <w:sz w:val="20"/>
          <w:szCs w:val="20"/>
          <w:color w:val="auto"/>
        </w:rPr>
      </w:pPr>
      <w:r>
        <w:rPr>
          <w:rFonts w:ascii="Arial" w:cs="Arial" w:eastAsia="Arial" w:hAnsi="Arial"/>
          <w:sz w:val="17"/>
          <w:szCs w:val="17"/>
          <w:color w:val="auto"/>
        </w:rPr>
        <w:t>There were 46,680 options exercised for the year ended December 31, 2017, resulting in total proceeds of $0.3 million; and 441,573 options exercised for the year ended December 31, 2016, resulting in total proceeds of $2.1 million; and 41,607 options exercised for the year ended December 31, 2015, resulting in total proceeds of $0.2 million, including 16,731 shares subject to repurchase by the Company. The intrinsic value of options exercised during the years ended December 31, 2017, 2016 and 2015 was $0.2 million, $3.8 million, and $0.2 million, respectively. In accordance with the Company’s policy, the shares were issued from a pool of shares reserved for issuance under the 2007 and 2015 Plans.</w:t>
      </w:r>
    </w:p>
    <w:p>
      <w:pPr>
        <w:spacing w:after="0" w:line="167"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Upon the closing of the IPO in March 2016, the Company recorded $0.7 million of additional stock compensation expense related to certain options granted to two of the Company’s executives.</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September 2015, the Company’s Board adopted the Employee Stock Purchase Plan (the “ESPP”), which was subsequently approved by the Company’s stockholders in February 2016 and became effective upon the closing of the IPO on March 8, 2016. The ESPP authorizes the initial issuance of up to a total of 250,000 shares of common stock to the Company’s employees. On January 1, 2018, the shares of common stock reserved for issuance under the ESPP was increased to 676,137. Under the terms of the ESPP, eligible employees can elect to acquire shares of the Company’s common stock through periodic payroll deductions during a series of six month offering periods. Purchases under the ESPP are effected on the last business day of each offering period at a 15% discount to the lower of closing price on that day or the closing price on the first day of the offering period. The first offering period began on August 1, 2017.</w:t>
      </w:r>
    </w:p>
    <w:p>
      <w:pPr>
        <w:spacing w:after="0" w:line="189" w:lineRule="exact"/>
        <w:rPr>
          <w:sz w:val="20"/>
          <w:szCs w:val="20"/>
          <w:color w:val="auto"/>
        </w:rPr>
      </w:pPr>
    </w:p>
    <w:p>
      <w:pPr>
        <w:ind w:right="180" w:firstLine="598"/>
        <w:spacing w:after="0" w:line="308" w:lineRule="auto"/>
        <w:rPr>
          <w:sz w:val="20"/>
          <w:szCs w:val="20"/>
          <w:color w:val="auto"/>
        </w:rPr>
      </w:pPr>
      <w:r>
        <w:rPr>
          <w:rFonts w:ascii="Arial" w:cs="Arial" w:eastAsia="Arial" w:hAnsi="Arial"/>
          <w:sz w:val="17"/>
          <w:szCs w:val="17"/>
          <w:color w:val="auto"/>
        </w:rPr>
        <w:t>The ESPP is considered a compensatory plan with the related compensation cost expensed over the six-month offering period. In 2017 we recorded $42,000 of stock-based compensation related to the ESPP. There was zero expense for the years ended December 31, 2016 and 2015.</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2017, 2016 and 2015, the Company made $106,000, $72,000 and $33,000 contributions to the plan,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jc w:val="both"/>
        <w:ind w:right="60" w:firstLine="598"/>
        <w:spacing w:after="0" w:line="259"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 The Company’s loss before income tax for the periods presented was generated entirely in the United States.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2" w:name="page123"/>
    <w:bookmarkEnd w:id="122"/>
    <w:p>
      <w:pPr>
        <w:ind w:left="600"/>
        <w:spacing w:after="0"/>
        <w:rPr>
          <w:sz w:val="20"/>
          <w:szCs w:val="20"/>
          <w:color w:val="auto"/>
        </w:rPr>
      </w:pPr>
      <w:r>
        <w:rPr>
          <w:rFonts w:ascii="Arial" w:cs="Arial" w:eastAsia="Arial" w:hAnsi="Arial"/>
          <w:sz w:val="18"/>
          <w:szCs w:val="18"/>
          <w:color w:val="auto"/>
        </w:rPr>
        <w:t>The significant components of the Company’s deferred tax are as follows (in thousands):</w:t>
      </w:r>
    </w:p>
    <w:p>
      <w:pPr>
        <w:spacing w:after="0" w:line="230"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Years Ended</w:t>
      </w:r>
    </w:p>
    <w:p>
      <w:pPr>
        <w:ind w:left="82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9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(liabilities):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11,091</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13,744</w:t>
            </w:r>
          </w:p>
        </w:tc>
        <w:tc>
          <w:tcPr>
            <w:tcW w:w="80" w:type="dxa"/>
            <w:vAlign w:val="bottom"/>
          </w:tcPr>
          <w:p>
            <w:pPr>
              <w:spacing w:after="0"/>
              <w:rPr>
                <w:sz w:val="19"/>
                <w:szCs w:val="19"/>
                <w:color w:val="auto"/>
              </w:rPr>
            </w:pPr>
          </w:p>
        </w:tc>
      </w:tr>
      <w:tr>
        <w:trPr>
          <w:trHeight w:val="230"/>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FF0FC"/>
          </w:tcPr>
          <w:p>
            <w:pPr>
              <w:spacing w:after="0"/>
              <w:rPr>
                <w:sz w:val="19"/>
                <w:szCs w:val="19"/>
                <w:color w:val="auto"/>
              </w:rPr>
            </w:pPr>
          </w:p>
        </w:tc>
      </w:tr>
      <w:tr>
        <w:trPr>
          <w:trHeight w:val="215"/>
        </w:trPr>
        <w:tc>
          <w:tcPr>
            <w:tcW w:w="5940" w:type="dxa"/>
            <w:vAlign w:val="bottom"/>
          </w:tcPr>
          <w:p>
            <w:pPr>
              <w:ind w:left="240"/>
              <w:spacing w:after="0"/>
              <w:rPr>
                <w:sz w:val="20"/>
                <w:szCs w:val="20"/>
                <w:color w:val="auto"/>
              </w:rPr>
            </w:pPr>
            <w:r>
              <w:rPr>
                <w:rFonts w:ascii="Arial" w:cs="Arial" w:eastAsia="Arial" w:hAnsi="Arial"/>
                <w:sz w:val="18"/>
                <w:szCs w:val="18"/>
                <w:color w:val="auto"/>
              </w:rPr>
              <w:t>Capitalized start-up and research and development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43,282</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47,048</w:t>
            </w:r>
          </w:p>
        </w:tc>
        <w:tc>
          <w:tcPr>
            <w:tcW w:w="80" w:type="dxa"/>
            <w:vAlign w:val="bottom"/>
          </w:tcPr>
          <w:p>
            <w:pPr>
              <w:spacing w:after="0"/>
              <w:rPr>
                <w:sz w:val="20"/>
                <w:szCs w:val="20"/>
                <w:color w:val="auto"/>
              </w:rPr>
            </w:pPr>
          </w:p>
        </w:tc>
      </w:tr>
      <w:tr>
        <w:trPr>
          <w:trHeight w:val="230"/>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w:t>
            </w:r>
          </w:p>
        </w:tc>
        <w:tc>
          <w:tcPr>
            <w:tcW w:w="80" w:type="dxa"/>
            <w:vAlign w:val="bottom"/>
            <w:shd w:val="clear" w:color="auto" w:fill="CFF0FC"/>
          </w:tcPr>
          <w:p>
            <w:pPr>
              <w:spacing w:after="0"/>
              <w:rPr>
                <w:sz w:val="19"/>
                <w:szCs w:val="19"/>
                <w:color w:val="auto"/>
              </w:rPr>
            </w:pPr>
          </w:p>
        </w:tc>
      </w:tr>
      <w:tr>
        <w:trPr>
          <w:trHeight w:val="230"/>
        </w:trPr>
        <w:tc>
          <w:tcPr>
            <w:tcW w:w="59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(8,610)</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(10,530)</w:t>
            </w:r>
          </w:p>
        </w:tc>
      </w:tr>
      <w:tr>
        <w:trPr>
          <w:trHeight w:val="230"/>
        </w:trPr>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Accruals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FF0FC"/>
          </w:tcPr>
          <w:p>
            <w:pPr>
              <w:spacing w:after="0"/>
              <w:rPr>
                <w:sz w:val="19"/>
                <w:szCs w:val="19"/>
                <w:color w:val="auto"/>
              </w:rPr>
            </w:pPr>
          </w:p>
        </w:tc>
      </w:tr>
      <w:tr>
        <w:trPr>
          <w:trHeight w:val="230"/>
        </w:trPr>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temporary differences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w:t>
            </w:r>
          </w:p>
        </w:tc>
        <w:tc>
          <w:tcPr>
            <w:tcW w:w="80" w:type="dxa"/>
            <w:vAlign w:val="bottom"/>
            <w:tcBorders>
              <w:bottom w:val="single" w:sz="8" w:color="CFF0FC"/>
            </w:tcBorders>
          </w:tcPr>
          <w:p>
            <w:pPr>
              <w:spacing w:after="0"/>
              <w:rPr>
                <w:sz w:val="19"/>
                <w:szCs w:val="19"/>
                <w:color w:val="auto"/>
              </w:rPr>
            </w:pPr>
          </w:p>
        </w:tc>
      </w:tr>
      <w:tr>
        <w:trPr>
          <w:trHeight w:val="223"/>
        </w:trPr>
        <w:tc>
          <w:tcPr>
            <w:tcW w:w="59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tax assets before valuation allowance</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54,447</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60,323</w:t>
            </w:r>
          </w:p>
        </w:tc>
        <w:tc>
          <w:tcPr>
            <w:tcW w:w="80" w:type="dxa"/>
            <w:vAlign w:val="bottom"/>
            <w:shd w:val="clear" w:color="auto" w:fill="CFF0FC"/>
          </w:tcPr>
          <w:p>
            <w:pPr>
              <w:spacing w:after="0"/>
              <w:rPr>
                <w:sz w:val="19"/>
                <w:szCs w:val="19"/>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Valuation allowances</w:t>
            </w:r>
          </w:p>
        </w:tc>
        <w:tc>
          <w:tcPr>
            <w:tcW w:w="1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(54,447)</w:t>
            </w:r>
          </w:p>
        </w:tc>
        <w:tc>
          <w:tcPr>
            <w:tcW w:w="16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(60,323)</w:t>
            </w:r>
          </w:p>
        </w:tc>
      </w:tr>
      <w:tr>
        <w:trPr>
          <w:trHeight w:val="223"/>
        </w:trPr>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Company has provided a valuation allowance for the full amount of the net deferred tax assets as the realization of the deferred tax assets is not determined to be more likely than not. The valuation allowance increased by $13.0 million in 2016, due to the increase in deferred tax assets, primarily due to net operating loss carryforwards and capitalized research and development costs, and decreased by $5.9 million in 2017 due to the decrease in the federal tax rate.</w:t>
      </w:r>
    </w:p>
    <w:p>
      <w:pPr>
        <w:spacing w:after="0" w:line="18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As of December 31, 2017, the Company had approximately $44.9 million and $26.0 million in federal and state Net Operating Losses (“NOLs”), respectively, which expire at various dates through 2037. As of December 31, 2017, the Company had federal and state research credits of $1.6 million and $1.0 million, respectively, which begin to expire in 2021.</w:t>
      </w:r>
    </w:p>
    <w:p>
      <w:pPr>
        <w:spacing w:after="0" w:line="18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The Tax Cuts and Jobs Act was enacted on December 22, 2017. The Act reduces the US federal corporate tax rate from 34% to 21%, requires companies to pay a one-time transition tax on earnings of certain foreign subsidiaries that were previously tax deferred and creates new taxes on certain foreign sourced earnings. At December 31, 2017, we have not completed our accounting for the tax effects of enactment of the Act; however, we have made a reasonable estimate of the effects on our existing deferred tax balances and the one-time transition tax. For the year ended December 31, 2017, we recognized no transition tax.</w:t>
      </w:r>
    </w:p>
    <w:p>
      <w:pPr>
        <w:spacing w:after="0" w:line="188" w:lineRule="exact"/>
        <w:rPr>
          <w:sz w:val="20"/>
          <w:szCs w:val="20"/>
          <w:color w:val="auto"/>
        </w:rPr>
      </w:pPr>
    </w:p>
    <w:p>
      <w:pPr>
        <w:ind w:right="140" w:firstLine="598"/>
        <w:spacing w:after="0" w:line="302" w:lineRule="auto"/>
        <w:rPr>
          <w:sz w:val="20"/>
          <w:szCs w:val="20"/>
          <w:color w:val="auto"/>
        </w:rPr>
      </w:pPr>
      <w:r>
        <w:rPr>
          <w:rFonts w:ascii="Arial" w:cs="Arial" w:eastAsia="Arial" w:hAnsi="Arial"/>
          <w:sz w:val="16"/>
          <w:szCs w:val="16"/>
          <w:color w:val="auto"/>
        </w:rPr>
        <w:t>As a result of the Act, we re-measured certain deferred tax assets and liabilities based on the rates at which they are anticipated to reverse in the future, which is generally 21%. However, we are still examining certain aspects of the Act and refining our calculations, which could potentially affect the measurement of these balances or potentially give rise to new deferred tax amounts. The provisional amount recorded related to the re-measurement of our deferred tax asset balance was a decrease of $28.8 million, with a corresponding reduction to the valuation allowance of $28.8 million for a net effect of $0.</w:t>
      </w:r>
    </w:p>
    <w:p>
      <w:pPr>
        <w:spacing w:after="0" w:line="154"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may have limited, or may limit in the future, the amount of net operating loss carryforwards which could be used annually to offset future taxable income. The Company completed an analysis through March 8, 2016 and determined that on March 30, 2007 and August 21, 2015, ownership changes had occurred. The Company may also experience ownership changes in the future as a result of subsequent shifts in our stock ownership, some of which may be outside the Company’s control. As a result, the Company’s ability to use our pre-change NOLs to offset U.S. federal taxable income may be subject to limitations, which could potentially result in increased future tax liability to the Company. In addition, at the state level, there may be periods during which the use of NOLs is suspended or otherwise limited, which could accelerate or permanently increase state taxes owed.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3" w:name="page124"/>
    <w:bookmarkEnd w:id="123"/>
    <w:p>
      <w:pPr>
        <w:ind w:right="80" w:firstLine="598"/>
        <w:spacing w:after="0" w:line="273" w:lineRule="auto"/>
        <w:rPr>
          <w:sz w:val="20"/>
          <w:szCs w:val="20"/>
          <w:color w:val="auto"/>
        </w:rPr>
      </w:pPr>
      <w:r>
        <w:rPr>
          <w:rFonts w:ascii="Arial" w:cs="Arial" w:eastAsia="Arial" w:hAnsi="Arial"/>
          <w:sz w:val="17"/>
          <w:szCs w:val="17"/>
          <w:color w:val="auto"/>
        </w:rPr>
        <w:t>As of December 31, 2017 and 2016, the Company had uncertain tax positions of $0.2 million related to capitalized research and development costs and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2017, 2016 and 2015. The Company expects none of the unrecognized tax benefits to decrease within the next 12 months related to expired statutes or settlement with the taxing authorities. Due to the Company’s valuation allowance as of December 31, 2017, none of the Company’s unrecognized tax benefits, if recognized, would affect the effective tax rate.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59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benefit--beginning of year</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Decreases related to prior period positions</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tax benefit--end of year</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98"/>
        <w:spacing w:after="0" w:line="279" w:lineRule="auto"/>
        <w:rPr>
          <w:sz w:val="20"/>
          <w:szCs w:val="20"/>
          <w:color w:val="auto"/>
        </w:rPr>
      </w:pPr>
      <w:r>
        <w:rPr>
          <w:rFonts w:ascii="Arial" w:cs="Arial" w:eastAsia="Arial" w:hAnsi="Arial"/>
          <w:sz w:val="17"/>
          <w:szCs w:val="17"/>
          <w:color w:val="auto"/>
        </w:rPr>
        <w:t>The Company files tax returns in the United States, Massachusetts, California, Pennsylvania, New Jersey and New York.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100" w:firstLine="598"/>
        <w:spacing w:after="0" w:line="287" w:lineRule="auto"/>
        <w:rPr>
          <w:sz w:val="20"/>
          <w:szCs w:val="20"/>
          <w:color w:val="auto"/>
        </w:rPr>
      </w:pPr>
      <w:r>
        <w:rPr>
          <w:rFonts w:ascii="Arial" w:cs="Arial" w:eastAsia="Arial" w:hAnsi="Arial"/>
          <w:sz w:val="16"/>
          <w:szCs w:val="16"/>
          <w:color w:val="auto"/>
        </w:rPr>
        <w:t>NovaMedica—In August 2013, in connection with the third tranche of its Series B-1 financing, the Company entered into a Technology Transfer Agreement (the “Tech Transfer Agreement”) with Domain Russia Investments Limited (“DRI”). Pursuant to the Tech Transfer Agreement, in exchange for nominal payment, the Company assigned to DRI certain patent applications and granted to DRI a license to develop and commercialize entinostat in certain Eastern European countries (the “Covered Territory”). The Company concurrently entered into a sublicense agreement with DRI (the “DRI Sublicense”) and a sublicense agreement (the “NovaMedica Sublicense”) with NovaMedica LLC (“NovaMedica”), which is jointly owned by Rusnano Medinvest LLC and DRI. Pursuant to the DRI Sublicense, the Company granted to DRI an exclusive sublicense to develop, manufacture and commercialize entinostat in the Russian Federation. Pursuant to the NovaMedica Sublicense, the Company granted to NovaMedica an exclusive sublicense to develop, manufacture and commercialize entinostat in the rest of the Covered Territory. Immediately thereafter, the Company, DRI and NovaMedica executed an assignment and assumption agreement, pursuant to which the assigned patents and all of DRI’s rights and obligations under the Tech Transfer Agreement and the DRI Sublicense were transferred to NovaMedica. Under the Tech Transfer Agreement, in certain cases, the Company is required to assist NovaMedica, and NovaMedica is required to reimburse the Company for any out-of-pocket expenses incurred in providing this assistance, including travel-related expenses.</w:t>
      </w:r>
    </w:p>
    <w:p>
      <w:pPr>
        <w:spacing w:after="0" w:line="173"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Eddingpharm—In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4" w:name="page125"/>
    <w:bookmarkEnd w:id="124"/>
    <w:p>
      <w:pPr>
        <w:ind w:left="60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September 2016, the Company entered into a new five-year operating lease for 12,207 square feet of office space in Waltham, Massachusetts, with a lease commencement date of March 1, 2017, and an option to extend the lease term once for an additional three years. The Company also has an option to cancel the lease after three years with the termination fee consisting of $55,000. The lease has monthly lease payments of $25,000 the first 12 months with annual rent escalations thereafter and provides a rent abatement of $0.2 million for the first year. The Company recorded the lease abatement as deferred rent and will amortize these amounts on a straight-line basis as a reduction of rent expense over the lease term. The Company paid the landlord a security deposit of $0.1 million in 2016, which will be returned without interest at the end of the lease. The Company recorded the security deposit as a long-term deposit on its consolidated balance sheet.</w:t>
      </w:r>
    </w:p>
    <w:p>
      <w:pPr>
        <w:spacing w:after="0" w:line="189"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In December 2015, the Company entered into a new 62-month operating lease for 4,039 square feet of space in New York, New York, which commenced on January 1, 2016. The lease has monthly lease payments of $18,000 the first 12 months with an annual rent escalation each year thereafter and provides a rent abatement of $18,000 per month for the first two months. The Company also has an option to cancel the lease after three years with the termination fee consisting of three months of rent. The Company recorded the lease abatement as deferred rent and will amortize these amounts on a straight-line basis as a reduction of rent expense over the lease term. In accordance with the lease, in December 2015, the Company entered into a cash-collateralized irrevocable standby letter of credit in the amount of $0.1 million naming the landlord as beneficiary.</w:t>
      </w:r>
    </w:p>
    <w:p>
      <w:pPr>
        <w:spacing w:after="0" w:line="178"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In November 2017, the Company entered into a new one-year office lease of approximately 160 square feet of space in San Diego, California, which commenced on January 1, 2018. The lease has monthly lease payments of $2,100.</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also leases office equipment, which is accounted for as a capital lease and included in property and equipment at cost.</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Future annual minimum lease payments as of December 31, 2017, are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1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Leases</w:t>
            </w:r>
          </w:p>
        </w:tc>
        <w:tc>
          <w:tcPr>
            <w:tcW w:w="2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For the years ended December 31,</w:t>
            </w: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2018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549</w:t>
            </w:r>
          </w:p>
        </w:tc>
        <w:tc>
          <w:tcPr>
            <w:tcW w:w="3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2023 and thereafter</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3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CFF0FC"/>
            </w:tcBorders>
          </w:tcPr>
          <w:p>
            <w:pPr>
              <w:spacing w:after="0"/>
              <w:rPr>
                <w:sz w:val="22"/>
                <w:szCs w:val="22"/>
                <w:color w:val="auto"/>
              </w:rPr>
            </w:pPr>
          </w:p>
        </w:tc>
        <w:tc>
          <w:tcPr>
            <w:tcW w:w="68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amounts representing interest</w:t>
            </w: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ind w:left="240"/>
              <w:spacing w:after="0"/>
              <w:rPr>
                <w:sz w:val="20"/>
                <w:szCs w:val="20"/>
                <w:color w:val="auto"/>
              </w:rPr>
            </w:pPr>
            <w:r>
              <w:rPr>
                <w:rFonts w:ascii="Arial" w:cs="Arial" w:eastAsia="Arial" w:hAnsi="Arial"/>
                <w:sz w:val="18"/>
                <w:szCs w:val="18"/>
                <w:color w:val="auto"/>
              </w:rPr>
              <w:t>Present value of net minimum lease payments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Rent expense recognized under all operating leases, including additional rent charges for utilities, maintenance, and real estate taxes, is calculated on a straight-line basis and amounted to $0.8 million, $0.4 million and $0.1 million for the years ended December 31, 2017, 2016, and 2015, respectively.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17. Supplemental Cash Flow Information</w:t>
      </w:r>
    </w:p>
    <w:p>
      <w:pPr>
        <w:spacing w:after="0" w:line="31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72"/>
              <w:spacing w:after="0" w:line="155"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1"/>
              </w:rPr>
              <w:t>(In thousands)</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FLOW INFORMATION:</w:t>
            </w:r>
          </w:p>
        </w:tc>
        <w:tc>
          <w:tcPr>
            <w:tcW w:w="10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paid</w:t>
            </w:r>
          </w:p>
        </w:tc>
        <w:tc>
          <w:tcPr>
            <w:tcW w:w="16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CASH INVESTING AND FINANCING</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ACTIVITIES:</w:t>
            </w:r>
          </w:p>
        </w:tc>
        <w:tc>
          <w:tcPr>
            <w:tcW w:w="10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Accretion of convertible preferred stock to</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redemption value</w:t>
            </w:r>
          </w:p>
        </w:tc>
        <w:tc>
          <w:tcPr>
            <w:tcW w:w="16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69,715</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Accretion of dividends on convertible preferred stock</w:t>
            </w:r>
          </w:p>
        </w:tc>
        <w:tc>
          <w:tcPr>
            <w:tcW w:w="164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2,598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10,011</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Conversion of convertible notes and accrued interest</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into Series C-1 convertible preferred stock</w:t>
            </w:r>
          </w:p>
        </w:tc>
        <w:tc>
          <w:tcPr>
            <w:tcW w:w="16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5,211</w:t>
            </w:r>
          </w:p>
        </w:tc>
        <w:tc>
          <w:tcPr>
            <w:tcW w:w="8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Issuance costs included in accounts payable and</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expenses</w:t>
            </w:r>
          </w:p>
        </w:tc>
        <w:tc>
          <w:tcPr>
            <w:tcW w:w="164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and equipment purchases included in</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6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w:t>
            </w:r>
          </w:p>
        </w:tc>
        <w:tc>
          <w:tcPr>
            <w:tcW w:w="164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Reclassification of common stock warrant liability to</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2"/>
              <w:spacing w:after="0"/>
              <w:rPr>
                <w:sz w:val="20"/>
                <w:szCs w:val="20"/>
                <w:color w:val="auto"/>
              </w:rPr>
            </w:pPr>
            <w:r>
              <w:rPr>
                <w:rFonts w:ascii="Arial" w:cs="Arial" w:eastAsia="Arial" w:hAnsi="Arial"/>
                <w:sz w:val="18"/>
                <w:szCs w:val="18"/>
                <w:color w:val="auto"/>
              </w:rPr>
              <w:t>4,551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Conversion of preferred stock to common stock upon</w:t>
            </w:r>
          </w:p>
        </w:tc>
        <w:tc>
          <w:tcPr>
            <w:tcW w:w="10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closing of initial public offering</w:t>
            </w:r>
          </w:p>
        </w:tc>
        <w:tc>
          <w:tcPr>
            <w:tcW w:w="1640" w:type="dxa"/>
            <w:vAlign w:val="bottom"/>
            <w:gridSpan w:val="2"/>
            <w:shd w:val="clear" w:color="auto" w:fill="CFF0FC"/>
          </w:tcPr>
          <w:p>
            <w:pPr>
              <w:jc w:val="right"/>
              <w:ind w:right="4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32"/>
              <w:spacing w:after="0"/>
              <w:rPr>
                <w:sz w:val="20"/>
                <w:szCs w:val="20"/>
                <w:color w:val="auto"/>
              </w:rPr>
            </w:pPr>
            <w:r>
              <w:rPr>
                <w:rFonts w:ascii="Arial" w:cs="Arial" w:eastAsia="Arial" w:hAnsi="Arial"/>
                <w:sz w:val="18"/>
                <w:szCs w:val="18"/>
                <w:color w:val="auto"/>
                <w:w w:val="92"/>
              </w:rPr>
              <w:t>328,941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Related-Party Transactions</w:t>
      </w:r>
    </w:p>
    <w:p>
      <w:pPr>
        <w:spacing w:after="0" w:line="121"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In June 2015, the Company hired a Chief Executive Officer who was also appointed as a member of the Board. This individual is also a managing director at MPM Asset Management, LLC, which holds an investment in the Company’s common stock.</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June 2015, in conjunction with the Series C-1 financing, the Company issued 1,130,740 shares of Series C-1 convertible preferred stock for total gross proceeds, including 2014 Notes conversion and cash purchase price, of $12.7 million to existing stockholders of the Company; and in August 2015 in conjunction with the Series C-1 financing, the Company issued 474,628 shares of Series C-1 convertible preferred stock for total gross proceeds of $5.3 million to an existing stockholder of the Company. See Note 12 for further discussion.</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661" w:right="4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19. Quarterly financial information (unaudited)</w:t>
      </w:r>
    </w:p>
    <w:p>
      <w:pPr>
        <w:spacing w:after="0" w:line="12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The following table contains quarterly financial information for 2017 and 2016.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774"/>
              <w:spacing w:after="0" w:line="155"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c>
          <w:tcPr>
            <w:tcW w:w="114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License fees </w:t>
            </w:r>
            <w:r>
              <w:rPr>
                <w:rFonts w:ascii="Arial" w:cs="Arial" w:eastAsia="Arial" w:hAnsi="Arial"/>
                <w:sz w:val="15"/>
                <w:szCs w:val="15"/>
                <w:color w:val="auto"/>
              </w:rPr>
              <w:t>(1)</w:t>
            </w:r>
          </w:p>
        </w:tc>
        <w:tc>
          <w:tcPr>
            <w:tcW w:w="1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(2)</w:t>
            </w: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9,862</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14,147</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(13,842)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(12,971</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(13,639</w:t>
            </w:r>
          </w:p>
        </w:tc>
        <w:tc>
          <w:tcPr>
            <w:tcW w:w="340" w:type="dxa"/>
            <w:vAlign w:val="bottom"/>
            <w:tcBorders>
              <w:bottom w:val="single" w:sz="8" w:color="CFF0FC"/>
            </w:tcBorders>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(19,104</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(0.70)</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shares--basic and diluted</w:t>
            </w:r>
          </w:p>
        </w:tc>
        <w:tc>
          <w:tcPr>
            <w:tcW w:w="1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18,231,602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19,497,581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22,239,996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23,943,241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774"/>
              <w:spacing w:after="0" w:line="155"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3"/>
                <w:szCs w:val="13"/>
                <w:color w:val="auto"/>
              </w:rPr>
            </w:pPr>
          </w:p>
        </w:tc>
        <w:tc>
          <w:tcPr>
            <w:tcW w:w="114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 fees</w:t>
            </w:r>
          </w:p>
        </w:tc>
        <w:tc>
          <w:tcPr>
            <w:tcW w:w="1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(3)</w:t>
            </w: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3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expenses</w:t>
            </w:r>
          </w:p>
        </w:tc>
        <w:tc>
          <w:tcPr>
            <w:tcW w:w="1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8,939</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15,543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(8,358)</w:t>
            </w:r>
          </w:p>
        </w:tc>
        <w:tc>
          <w:tcPr>
            <w:tcW w:w="3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(14,969</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stockholders—basic and diluted</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(0.47)</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shares--basic and diluted</w:t>
            </w:r>
          </w:p>
        </w:tc>
        <w:tc>
          <w:tcPr>
            <w:tcW w:w="1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4,541,536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17,769,514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17,899,481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18,193,027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0" w:hanging="592"/>
        <w:spacing w:after="0" w:line="211" w:lineRule="auto"/>
        <w:tabs>
          <w:tab w:leader="none" w:pos="600" w:val="left"/>
        </w:tabs>
        <w:numPr>
          <w:ilvl w:val="0"/>
          <w:numId w:val="54"/>
        </w:numPr>
        <w:rPr>
          <w:rFonts w:ascii="Arial" w:cs="Arial" w:eastAsia="Arial" w:hAnsi="Arial"/>
          <w:sz w:val="26"/>
          <w:szCs w:val="26"/>
          <w:color w:val="auto"/>
          <w:vertAlign w:val="superscript"/>
        </w:rPr>
      </w:pPr>
      <w:r>
        <w:rPr>
          <w:rFonts w:ascii="Arial" w:cs="Arial" w:eastAsia="Arial" w:hAnsi="Arial"/>
          <w:sz w:val="18"/>
          <w:szCs w:val="18"/>
          <w:color w:val="auto"/>
        </w:rPr>
        <w:t>License fee for the three months ended December 31, 2017 included $0.9 million for the partial recognition of the $5.0 million milestone received under the KHK License Agreement</w:t>
      </w:r>
    </w:p>
    <w:p>
      <w:pPr>
        <w:spacing w:after="0" w:line="1" w:lineRule="exact"/>
        <w:rPr>
          <w:rFonts w:ascii="Arial" w:cs="Arial" w:eastAsia="Arial" w:hAnsi="Arial"/>
          <w:sz w:val="26"/>
          <w:szCs w:val="26"/>
          <w:color w:val="auto"/>
          <w:vertAlign w:val="superscript"/>
        </w:rPr>
      </w:pPr>
    </w:p>
    <w:p>
      <w:pPr>
        <w:ind w:left="600" w:right="220" w:hanging="592"/>
        <w:spacing w:after="0" w:line="204" w:lineRule="auto"/>
        <w:tabs>
          <w:tab w:leader="none" w:pos="600" w:val="left"/>
        </w:tabs>
        <w:numPr>
          <w:ilvl w:val="0"/>
          <w:numId w:val="54"/>
        </w:numPr>
        <w:rPr>
          <w:rFonts w:ascii="Arial" w:cs="Arial" w:eastAsia="Arial" w:hAnsi="Arial"/>
          <w:sz w:val="26"/>
          <w:szCs w:val="26"/>
          <w:color w:val="auto"/>
          <w:vertAlign w:val="superscript"/>
        </w:rPr>
      </w:pPr>
      <w:r>
        <w:rPr>
          <w:rFonts w:ascii="Arial" w:cs="Arial" w:eastAsia="Arial" w:hAnsi="Arial"/>
          <w:sz w:val="18"/>
          <w:szCs w:val="18"/>
          <w:color w:val="auto"/>
        </w:rPr>
        <w:t>Research and development expenses for three months ended December 31, 2017 included the $5.0 million upfront payment related to the Vitae License Agreement.</w:t>
      </w:r>
    </w:p>
    <w:p>
      <w:pPr>
        <w:spacing w:after="0" w:line="2" w:lineRule="exact"/>
        <w:rPr>
          <w:rFonts w:ascii="Arial" w:cs="Arial" w:eastAsia="Arial" w:hAnsi="Arial"/>
          <w:sz w:val="26"/>
          <w:szCs w:val="26"/>
          <w:color w:val="auto"/>
          <w:vertAlign w:val="superscript"/>
        </w:rPr>
      </w:pPr>
    </w:p>
    <w:p>
      <w:pPr>
        <w:ind w:left="600" w:right="200" w:hanging="592"/>
        <w:spacing w:after="0" w:line="204" w:lineRule="auto"/>
        <w:tabs>
          <w:tab w:leader="none" w:pos="600" w:val="left"/>
        </w:tabs>
        <w:numPr>
          <w:ilvl w:val="0"/>
          <w:numId w:val="54"/>
        </w:numPr>
        <w:rPr>
          <w:rFonts w:ascii="Arial" w:cs="Arial" w:eastAsia="Arial" w:hAnsi="Arial"/>
          <w:sz w:val="26"/>
          <w:szCs w:val="26"/>
          <w:color w:val="auto"/>
          <w:vertAlign w:val="superscript"/>
        </w:rPr>
      </w:pPr>
      <w:r>
        <w:rPr>
          <w:rFonts w:ascii="Arial" w:cs="Arial" w:eastAsia="Arial" w:hAnsi="Arial"/>
          <w:sz w:val="18"/>
          <w:szCs w:val="18"/>
          <w:color w:val="auto"/>
        </w:rPr>
        <w:t>Research and development expenses for three months ended September 30, 2016 included the $5.0 million upfront payment related to the UCB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-829945</wp:posOffset>
            </wp:positionV>
            <wp:extent cx="10547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ectPr>
          <w:pgSz w:w="11900" w:h="16838" w:orient="portrait"/>
          <w:cols w:equalWidth="0" w:num="1">
            <w:col w:w="11120"/>
          </w:cols>
          <w:pgMar w:left="240" w:top="661" w:right="539" w:bottom="1440" w:gutter="0" w:footer="0" w:header="0"/>
        </w:sectPr>
      </w:pPr>
    </w:p>
    <w:bookmarkStart w:id="127" w:name="page128"/>
    <w:bookmarkEnd w:id="127"/>
    <w:p>
      <w:pPr>
        <w:ind w:right="20" w:firstLine="18"/>
        <w:spacing w:after="0" w:line="268" w:lineRule="auto"/>
        <w:tabs>
          <w:tab w:leader="none" w:pos="306"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color w:val="auto"/>
        </w:rPr>
        <w:t>= Certain confidential information contained in this document, marked by brackets, is filed with the Securities and Exchange Commission pursuant to Rule 24b-2 of the Securities Exchange Act of 1934, as amended.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10.34</w:t>
      </w: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AMENDMENT NO. 9 TO CLINICAL</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TRIAL AGREEMENT BETWEEN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ECOG-ACRIN CANCER RESEARCH GROUP AND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SYNDAX PHARMACEUTICALS, INC.</w:t>
      </w:r>
    </w:p>
    <w:p>
      <w:pPr>
        <w:spacing w:after="0" w:line="227" w:lineRule="exact"/>
        <w:rPr>
          <w:sz w:val="20"/>
          <w:szCs w:val="20"/>
          <w:color w:val="auto"/>
        </w:rPr>
      </w:pPr>
    </w:p>
    <w:p>
      <w:pPr>
        <w:jc w:val="both"/>
        <w:ind w:left="140" w:right="200" w:hanging="1"/>
        <w:spacing w:after="0" w:line="249" w:lineRule="auto"/>
        <w:rPr>
          <w:sz w:val="20"/>
          <w:szCs w:val="20"/>
          <w:color w:val="auto"/>
        </w:rPr>
      </w:pPr>
      <w:r>
        <w:rPr>
          <w:rFonts w:ascii="Arial" w:cs="Arial" w:eastAsia="Arial" w:hAnsi="Arial"/>
          <w:sz w:val="21"/>
          <w:szCs w:val="21"/>
          <w:color w:val="auto"/>
        </w:rPr>
        <w:t>This Amendment No. 9 to Clinical Trial Agreement (the "Amendment" or "Amendment 9") is entered into as of November 22, 2017 (the "Effective Date"), by and between ECOG-ACRIN Cancer Research Group, on behalf of itself and its member hospitals, institutions and physicians (the "Group," "ECOG" or "ECOG-ACRIN"), and Syndax Pharmaceuticals, Inc. ("Company" or "Syndax").</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WITNESSETH:</w:t>
      </w:r>
    </w:p>
    <w:p>
      <w:pPr>
        <w:spacing w:after="0" w:line="272" w:lineRule="exact"/>
        <w:rPr>
          <w:sz w:val="20"/>
          <w:szCs w:val="20"/>
          <w:color w:val="auto"/>
        </w:rPr>
      </w:pPr>
    </w:p>
    <w:p>
      <w:pPr>
        <w:ind w:left="140" w:right="120" w:firstLine="842"/>
        <w:spacing w:after="0" w:line="289" w:lineRule="auto"/>
        <w:rPr>
          <w:sz w:val="20"/>
          <w:szCs w:val="20"/>
          <w:color w:val="auto"/>
        </w:rPr>
      </w:pPr>
      <w:r>
        <w:rPr>
          <w:rFonts w:ascii="Arial" w:cs="Arial" w:eastAsia="Arial" w:hAnsi="Arial"/>
          <w:sz w:val="20"/>
          <w:szCs w:val="20"/>
          <w:color w:val="auto"/>
        </w:rPr>
        <w:t>WHEREAS, pursuant to the Clinical Trial Agreement dated March 14, 2014 between the parties ("Agreement"), the parties agreed to certain terms specified therein for research services related to Group's performance of the Study; and</w:t>
      </w:r>
    </w:p>
    <w:p>
      <w:pPr>
        <w:spacing w:after="0" w:line="175" w:lineRule="exact"/>
        <w:rPr>
          <w:sz w:val="20"/>
          <w:szCs w:val="20"/>
          <w:color w:val="auto"/>
        </w:rPr>
      </w:pPr>
    </w:p>
    <w:p>
      <w:pPr>
        <w:ind w:left="160" w:right="140" w:firstLine="844"/>
        <w:spacing w:after="0" w:line="264" w:lineRule="auto"/>
        <w:rPr>
          <w:sz w:val="20"/>
          <w:szCs w:val="20"/>
          <w:color w:val="auto"/>
        </w:rPr>
      </w:pPr>
      <w:r>
        <w:rPr>
          <w:rFonts w:ascii="Arial" w:cs="Arial" w:eastAsia="Arial" w:hAnsi="Arial"/>
          <w:sz w:val="21"/>
          <w:szCs w:val="21"/>
          <w:color w:val="auto"/>
        </w:rPr>
        <w:t>WHEREAS, the parties agree to increase the support for the Study to offset the expenses of additional areas associated with [*] as set forth herein.</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1"/>
          <w:szCs w:val="21"/>
          <w:color w:val="auto"/>
        </w:rPr>
        <w:t>NOW, THEREFORE, the parties hereto, intending to be legally bound hereby, agree as follows:</w:t>
      </w:r>
    </w:p>
    <w:p>
      <w:pPr>
        <w:spacing w:after="0" w:line="272" w:lineRule="exact"/>
        <w:rPr>
          <w:sz w:val="20"/>
          <w:szCs w:val="20"/>
          <w:color w:val="auto"/>
        </w:rPr>
      </w:pPr>
    </w:p>
    <w:p>
      <w:pPr>
        <w:ind w:left="580" w:hanging="437"/>
        <w:spacing w:after="0"/>
        <w:tabs>
          <w:tab w:leader="none" w:pos="5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following is added to Section 1.G of the Agreement:</w:t>
      </w:r>
    </w:p>
    <w:p>
      <w:pPr>
        <w:spacing w:after="0" w:line="244" w:lineRule="exact"/>
        <w:rPr>
          <w:rFonts w:ascii="Arial" w:cs="Arial" w:eastAsia="Arial" w:hAnsi="Arial"/>
          <w:sz w:val="21"/>
          <w:szCs w:val="21"/>
          <w:color w:val="auto"/>
        </w:rPr>
      </w:pPr>
    </w:p>
    <w:p>
      <w:pPr>
        <w:jc w:val="both"/>
        <w:ind w:left="580" w:right="100"/>
        <w:spacing w:after="0" w:line="253" w:lineRule="auto"/>
        <w:rPr>
          <w:rFonts w:ascii="Arial" w:cs="Arial" w:eastAsia="Arial" w:hAnsi="Arial"/>
          <w:sz w:val="21"/>
          <w:szCs w:val="21"/>
          <w:color w:val="auto"/>
        </w:rPr>
      </w:pPr>
      <w:r>
        <w:rPr>
          <w:rFonts w:ascii="Arial" w:cs="Arial" w:eastAsia="Arial" w:hAnsi="Arial"/>
          <w:sz w:val="21"/>
          <w:szCs w:val="21"/>
          <w:color w:val="auto"/>
        </w:rPr>
        <w:t>The Company will provide financial support to the Group in the amount of $848,372 to support the activities associated with [*] for the Study as set forth in Exhibit E. The maximum financial support for the Agreement is increased from $23,448,570 by $848,372 to $24,654,424.</w:t>
      </w:r>
    </w:p>
    <w:p>
      <w:pPr>
        <w:spacing w:after="0" w:line="208" w:lineRule="exact"/>
        <w:rPr>
          <w:rFonts w:ascii="Arial" w:cs="Arial" w:eastAsia="Arial" w:hAnsi="Arial"/>
          <w:sz w:val="21"/>
          <w:szCs w:val="21"/>
          <w:color w:val="auto"/>
        </w:rPr>
      </w:pPr>
    </w:p>
    <w:p>
      <w:pPr>
        <w:ind w:left="580" w:hanging="423"/>
        <w:spacing w:after="0"/>
        <w:tabs>
          <w:tab w:leader="none" w:pos="5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Exhibit B of the Agreement is deleted in its entirety and replaced by Exhibit B attached hereto.</w:t>
      </w:r>
    </w:p>
    <w:p>
      <w:pPr>
        <w:spacing w:after="0" w:line="271" w:lineRule="exact"/>
        <w:rPr>
          <w:rFonts w:ascii="Arial" w:cs="Arial" w:eastAsia="Arial" w:hAnsi="Arial"/>
          <w:sz w:val="21"/>
          <w:szCs w:val="21"/>
          <w:color w:val="auto"/>
        </w:rPr>
      </w:pPr>
    </w:p>
    <w:p>
      <w:pPr>
        <w:ind w:left="580" w:hanging="423"/>
        <w:spacing w:after="0"/>
        <w:tabs>
          <w:tab w:leader="none" w:pos="5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Exhibit E attached hereto is hereby added as Exhibit E of the Agreement thereto.</w:t>
      </w:r>
    </w:p>
    <w:p>
      <w:pPr>
        <w:spacing w:after="0" w:line="244" w:lineRule="exact"/>
        <w:rPr>
          <w:rFonts w:ascii="Arial" w:cs="Arial" w:eastAsia="Arial" w:hAnsi="Arial"/>
          <w:sz w:val="21"/>
          <w:szCs w:val="21"/>
          <w:color w:val="auto"/>
        </w:rPr>
      </w:pPr>
    </w:p>
    <w:p>
      <w:pPr>
        <w:ind w:left="580" w:right="220" w:hanging="423"/>
        <w:spacing w:after="0" w:line="292" w:lineRule="auto"/>
        <w:tabs>
          <w:tab w:leader="none" w:pos="580"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This Amendment constitutes the full understanding of the parties and a complete and exclusive statement of the terms of their agreement with respect to the subject matter described herein, and no terms, conditions, understanding, or agreement purporting to modify or vary the terms of this Amendment shall be binding unless made in writing and signed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4" w:right="259" w:bottom="1440" w:gutter="0" w:footer="0" w:header="0"/>
        </w:sectPr>
      </w:pPr>
    </w:p>
    <w:bookmarkStart w:id="128" w:name="page129"/>
    <w:bookmarkEnd w:id="128"/>
    <w:p>
      <w:pPr>
        <w:ind w:left="572" w:hanging="423"/>
        <w:spacing w:after="0"/>
        <w:tabs>
          <w:tab w:leader="none" w:pos="572" w:val="left"/>
        </w:tabs>
        <w:numPr>
          <w:ilvl w:val="0"/>
          <w:numId w:val="57"/>
        </w:numPr>
        <w:rPr>
          <w:rFonts w:ascii="Arial" w:cs="Arial" w:eastAsia="Arial" w:hAnsi="Arial"/>
          <w:sz w:val="20"/>
          <w:szCs w:val="20"/>
          <w:color w:val="auto"/>
        </w:rPr>
      </w:pPr>
      <w:r>
        <w:rPr>
          <w:rFonts w:ascii="Arial" w:cs="Arial" w:eastAsia="Arial" w:hAnsi="Arial"/>
          <w:sz w:val="20"/>
          <w:szCs w:val="20"/>
          <w:color w:val="auto"/>
        </w:rPr>
        <w:t>Except to the extent amended herein, all of the terms and conditions of the Agreement remain in full force and effect.</w:t>
      </w:r>
    </w:p>
    <w:p>
      <w:pPr>
        <w:spacing w:after="0" w:line="256" w:lineRule="exact"/>
        <w:rPr>
          <w:rFonts w:ascii="Arial" w:cs="Arial" w:eastAsia="Arial" w:hAnsi="Arial"/>
          <w:sz w:val="20"/>
          <w:szCs w:val="20"/>
          <w:color w:val="auto"/>
        </w:rPr>
      </w:pPr>
    </w:p>
    <w:p>
      <w:pPr>
        <w:ind w:left="572" w:hanging="423"/>
        <w:spacing w:after="0"/>
        <w:tabs>
          <w:tab w:leader="none" w:pos="572" w:val="left"/>
        </w:tabs>
        <w:numPr>
          <w:ilvl w:val="0"/>
          <w:numId w:val="57"/>
        </w:numPr>
        <w:rPr>
          <w:rFonts w:ascii="Arial" w:cs="Arial" w:eastAsia="Arial" w:hAnsi="Arial"/>
          <w:sz w:val="21"/>
          <w:szCs w:val="21"/>
          <w:color w:val="auto"/>
        </w:rPr>
      </w:pPr>
      <w:r>
        <w:rPr>
          <w:rFonts w:ascii="Arial" w:cs="Arial" w:eastAsia="Arial" w:hAnsi="Arial"/>
          <w:sz w:val="21"/>
          <w:szCs w:val="21"/>
          <w:color w:val="auto"/>
        </w:rPr>
        <w:t>Capitalized terms herein that are not defined shall have the meaning ascribed to such terms in the Agreement.</w:t>
      </w:r>
    </w:p>
    <w:p>
      <w:pPr>
        <w:spacing w:after="0" w:line="244" w:lineRule="exact"/>
        <w:rPr>
          <w:rFonts w:ascii="Arial" w:cs="Arial" w:eastAsia="Arial" w:hAnsi="Arial"/>
          <w:sz w:val="21"/>
          <w:szCs w:val="21"/>
          <w:color w:val="auto"/>
        </w:rPr>
      </w:pPr>
    </w:p>
    <w:p>
      <w:pPr>
        <w:ind w:left="572" w:hanging="423"/>
        <w:spacing w:after="0" w:line="264" w:lineRule="auto"/>
        <w:tabs>
          <w:tab w:leader="none" w:pos="572"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This Amendment may be executed in one or more counterparts, each of which shall be deemed an original, but all of which shall be considered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
        <w:spacing w:after="0"/>
        <w:rPr>
          <w:sz w:val="20"/>
          <w:szCs w:val="20"/>
          <w:color w:val="auto"/>
        </w:rPr>
      </w:pPr>
      <w:r>
        <w:rPr>
          <w:rFonts w:ascii="Arial" w:cs="Arial" w:eastAsia="Arial" w:hAnsi="Arial"/>
          <w:sz w:val="19"/>
          <w:szCs w:val="19"/>
          <w:color w:val="111111"/>
        </w:rPr>
        <w:t>2</w:t>
      </w:r>
    </w:p>
    <w:p>
      <w:pPr>
        <w:spacing w:after="0" w:line="215" w:lineRule="exact"/>
        <w:rPr>
          <w:sz w:val="20"/>
          <w:szCs w:val="20"/>
          <w:color w:val="auto"/>
        </w:rPr>
      </w:pPr>
    </w:p>
    <w:p>
      <w:pPr>
        <w:ind w:left="-8" w:firstLine="8"/>
        <w:spacing w:after="0" w:line="251" w:lineRule="auto"/>
        <w:tabs>
          <w:tab w:leader="none" w:pos="298" w:val="left"/>
        </w:tabs>
        <w:numPr>
          <w:ilvl w:val="0"/>
          <w:numId w:val="58"/>
        </w:numPr>
        <w:rPr>
          <w:rFonts w:ascii="Arial" w:cs="Arial" w:eastAsia="Arial" w:hAnsi="Arial"/>
          <w:sz w:val="22"/>
          <w:szCs w:val="22"/>
          <w:color w:val="auto"/>
        </w:rPr>
      </w:pPr>
      <w:r>
        <w:rPr>
          <w:rFonts w:ascii="Arial" w:cs="Arial" w:eastAsia="Arial" w:hAnsi="Arial"/>
          <w:sz w:val="22"/>
          <w:szCs w:val="22"/>
          <w:color w:val="auto"/>
        </w:rPr>
        <w:t>= Certain confidential information contained in this document, marked by brackets, is filed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111125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12"/>
          </w:cols>
          <w:pgMar w:left="248" w:top="599" w:right="539" w:bottom="1440" w:gutter="0" w:footer="0" w:header="0"/>
        </w:sectPr>
      </w:pPr>
    </w:p>
    <w:bookmarkStart w:id="129" w:name="page130"/>
    <w:bookmarkEnd w:id="129"/>
    <w:p>
      <w:pPr>
        <w:ind w:left="632" w:right="600" w:firstLine="1"/>
        <w:spacing w:after="0" w:line="264" w:lineRule="auto"/>
        <w:rPr>
          <w:sz w:val="20"/>
          <w:szCs w:val="20"/>
          <w:color w:val="auto"/>
        </w:rPr>
      </w:pPr>
      <w:r>
        <w:rPr>
          <w:rFonts w:ascii="Arial" w:cs="Arial" w:eastAsia="Arial" w:hAnsi="Arial"/>
          <w:sz w:val="21"/>
          <w:szCs w:val="21"/>
          <w:color w:val="111111"/>
        </w:rPr>
        <w:t>IN WITNESS WHEREOF, the parties hereto have executed this Amendment, as of the Effective Date, by proper persons duly authorized.</w:t>
      </w:r>
    </w:p>
    <w:p>
      <w:pPr>
        <w:sectPr>
          <w:pgSz w:w="11900" w:h="16838" w:orient="portrait"/>
          <w:cols w:equalWidth="0" w:num="1">
            <w:col w:w="11112"/>
          </w:cols>
          <w:pgMar w:left="248" w:top="558" w:right="539" w:bottom="1440" w:gutter="0" w:footer="0" w:header="0"/>
        </w:sectPr>
      </w:pPr>
    </w:p>
    <w:p>
      <w:pPr>
        <w:spacing w:after="0" w:line="198" w:lineRule="exact"/>
        <w:rPr>
          <w:sz w:val="20"/>
          <w:szCs w:val="20"/>
          <w:color w:val="auto"/>
        </w:rPr>
      </w:pPr>
    </w:p>
    <w:p>
      <w:pPr>
        <w:jc w:val="center"/>
        <w:ind w:left="632"/>
        <w:spacing w:after="0"/>
        <w:rPr>
          <w:sz w:val="20"/>
          <w:szCs w:val="20"/>
          <w:color w:val="auto"/>
        </w:rPr>
      </w:pPr>
      <w:r>
        <w:rPr>
          <w:rFonts w:ascii="Arial" w:cs="Arial" w:eastAsia="Arial" w:hAnsi="Arial"/>
          <w:sz w:val="18"/>
          <w:szCs w:val="18"/>
          <w:color w:val="auto"/>
        </w:rPr>
        <w:t>ECOG-ACRIN Cancer Research Group</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Syndax Pharmaceuticals, Inc.</w:t>
      </w:r>
    </w:p>
    <w:p>
      <w:pPr>
        <w:spacing w:after="0" w:line="200" w:lineRule="exact"/>
        <w:rPr>
          <w:sz w:val="20"/>
          <w:szCs w:val="20"/>
          <w:color w:val="auto"/>
        </w:rPr>
      </w:pPr>
    </w:p>
    <w:p>
      <w:pPr>
        <w:sectPr>
          <w:pgSz w:w="11900" w:h="16838" w:orient="portrait"/>
          <w:cols w:equalWidth="0" w:num="2">
            <w:col w:w="3952" w:space="640"/>
            <w:col w:w="6520"/>
          </w:cols>
          <w:pgMar w:left="248" w:top="558" w:right="539" w:bottom="1440" w:gutter="0" w:footer="0" w:header="0"/>
          <w:type w:val="continuous"/>
        </w:sectPr>
      </w:pPr>
    </w:p>
    <w:p>
      <w:pPr>
        <w:spacing w:after="0" w:line="322" w:lineRule="exact"/>
        <w:rPr>
          <w:sz w:val="20"/>
          <w:szCs w:val="20"/>
          <w:color w:val="auto"/>
        </w:rPr>
      </w:pPr>
    </w:p>
    <w:p>
      <w:pPr>
        <w:ind w:left="632" w:right="3200"/>
        <w:spacing w:after="0" w:line="249" w:lineRule="auto"/>
        <w:rPr>
          <w:sz w:val="20"/>
          <w:szCs w:val="20"/>
          <w:color w:val="auto"/>
        </w:rPr>
      </w:pPr>
      <w:r>
        <w:rPr>
          <w:rFonts w:ascii="Arial" w:cs="Arial" w:eastAsia="Arial" w:hAnsi="Arial"/>
          <w:sz w:val="21"/>
          <w:szCs w:val="21"/>
          <w:color w:val="auto"/>
        </w:rPr>
        <w:t>/s/ Donna Marinucci /s/ Luke J. Albrecht ________________________________ ________________________________ Name: Donna Marinucci Name: Luke J. Albrecht Title: Executive Director Title: General Counsel</w:t>
      </w:r>
    </w:p>
    <w:p>
      <w:pPr>
        <w:sectPr>
          <w:pgSz w:w="11900" w:h="16838" w:orient="portrait"/>
          <w:cols w:equalWidth="0" w:num="1">
            <w:col w:w="11112"/>
          </w:cols>
          <w:pgMar w:left="248" w:top="558" w:right="5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52"/>
        <w:spacing w:after="0"/>
        <w:rPr>
          <w:sz w:val="20"/>
          <w:szCs w:val="20"/>
          <w:color w:val="auto"/>
        </w:rPr>
      </w:pPr>
      <w:r>
        <w:rPr>
          <w:rFonts w:ascii="Arial" w:cs="Arial" w:eastAsia="Arial" w:hAnsi="Arial"/>
          <w:sz w:val="19"/>
          <w:szCs w:val="19"/>
          <w:color w:val="111111"/>
        </w:rPr>
        <w:t>3</w:t>
      </w:r>
    </w:p>
    <w:p>
      <w:pPr>
        <w:spacing w:after="0" w:line="215" w:lineRule="exact"/>
        <w:rPr>
          <w:sz w:val="20"/>
          <w:szCs w:val="20"/>
          <w:color w:val="auto"/>
        </w:rPr>
      </w:pPr>
    </w:p>
    <w:p>
      <w:pPr>
        <w:ind w:left="-8" w:firstLine="8"/>
        <w:spacing w:after="0" w:line="251" w:lineRule="auto"/>
        <w:tabs>
          <w:tab w:leader="none" w:pos="298" w:val="left"/>
        </w:tabs>
        <w:numPr>
          <w:ilvl w:val="0"/>
          <w:numId w:val="59"/>
        </w:numPr>
        <w:rPr>
          <w:rFonts w:ascii="Arial" w:cs="Arial" w:eastAsia="Arial" w:hAnsi="Arial"/>
          <w:sz w:val="22"/>
          <w:szCs w:val="22"/>
          <w:color w:val="auto"/>
        </w:rPr>
      </w:pPr>
      <w:r>
        <w:rPr>
          <w:rFonts w:ascii="Arial" w:cs="Arial" w:eastAsia="Arial" w:hAnsi="Arial"/>
          <w:sz w:val="22"/>
          <w:szCs w:val="22"/>
          <w:color w:val="auto"/>
        </w:rPr>
        <w:t>= Certain confidential information contained in this document, marked by brackets, is filed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111125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12"/>
          </w:cols>
          <w:pgMar w:left="248" w:top="558" w:right="539" w:bottom="1440" w:gutter="0" w:footer="0" w:header="0"/>
          <w:type w:val="continuous"/>
        </w:sectPr>
      </w:pPr>
    </w:p>
    <w:bookmarkStart w:id="130" w:name="page131"/>
    <w:bookmarkEnd w:id="130"/>
    <w:p>
      <w:pPr>
        <w:jc w:val="center"/>
        <w:ind w:right="-319"/>
        <w:spacing w:after="0"/>
        <w:rPr>
          <w:sz w:val="20"/>
          <w:szCs w:val="20"/>
          <w:color w:val="auto"/>
        </w:rPr>
      </w:pPr>
      <w:r>
        <w:rPr>
          <w:rFonts w:ascii="Arial" w:cs="Arial" w:eastAsia="Arial" w:hAnsi="Arial"/>
          <w:sz w:val="20"/>
          <w:szCs w:val="20"/>
          <w:b w:val="1"/>
          <w:bCs w:val="1"/>
          <w:color w:val="auto"/>
        </w:rPr>
        <w:t>EXHIBITB</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u w:val="single" w:color="auto"/>
          <w:color w:val="auto"/>
        </w:rPr>
        <w:t>E2112 Budget &amp; Payment Schedule</w:t>
      </w:r>
    </w:p>
    <w:p>
      <w:pPr>
        <w:spacing w:after="0" w:line="200" w:lineRule="exact"/>
        <w:rPr>
          <w:sz w:val="20"/>
          <w:szCs w:val="20"/>
          <w:color w:val="auto"/>
        </w:rPr>
      </w:pPr>
    </w:p>
    <w:p>
      <w:pPr>
        <w:spacing w:after="0" w:line="259" w:lineRule="exact"/>
        <w:rPr>
          <w:sz w:val="20"/>
          <w:szCs w:val="20"/>
          <w:color w:val="auto"/>
        </w:rPr>
      </w:pPr>
    </w:p>
    <w:p>
      <w:pPr>
        <w:ind w:left="980" w:hanging="864"/>
        <w:spacing w:after="0"/>
        <w:tabs>
          <w:tab w:leader="none" w:pos="98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Budget Details</w:t>
      </w:r>
    </w:p>
    <w:p>
      <w:pPr>
        <w:spacing w:after="0" w:line="235" w:lineRule="exact"/>
        <w:rPr>
          <w:sz w:val="20"/>
          <w:szCs w:val="20"/>
          <w:color w:val="auto"/>
        </w:rPr>
      </w:pPr>
    </w:p>
    <w:p>
      <w:pPr>
        <w:ind w:left="980" w:hanging="864"/>
        <w:spacing w:after="0"/>
        <w:tabs>
          <w:tab w:leader="none" w:pos="9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Budget – Excluding Amendments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budget for this project is $19,406,948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980" w:hanging="864"/>
        <w:spacing w:after="0"/>
        <w:tabs>
          <w:tab w:leader="none" w:pos="9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Budget – Amendment 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budget for Amendment 1 is $1,200,000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980" w:hanging="864"/>
        <w:spacing w:after="0"/>
        <w:tabs>
          <w:tab w:leader="none" w:pos="9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Budget – Amendment 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budget for Amendment 3 ([*] Support) is $450,000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980" w:hanging="864"/>
        <w:spacing w:after="0"/>
        <w:tabs>
          <w:tab w:leader="none" w:pos="9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Budget – Amendment 4</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budget for Amendment 4 ([*]) is $7,908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980" w:hanging="864"/>
        <w:spacing w:after="0"/>
        <w:tabs>
          <w:tab w:leader="none" w:pos="9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Budget – Amendment 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budget for Amendment 5 is $30,121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280" w:hanging="272"/>
        <w:spacing w:after="0"/>
        <w:tabs>
          <w:tab w:leader="none" w:pos="2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services being provided through Amendment 5 is limited to [*] of [*] services plus [*] of Group [*].</w:t>
      </w:r>
    </w:p>
    <w:p>
      <w:pPr>
        <w:spacing w:after="0" w:line="229" w:lineRule="exact"/>
        <w:rPr>
          <w:rFonts w:ascii="Arial" w:cs="Arial" w:eastAsia="Arial" w:hAnsi="Arial"/>
          <w:sz w:val="20"/>
          <w:szCs w:val="20"/>
          <w:color w:val="auto"/>
        </w:rPr>
      </w:pPr>
    </w:p>
    <w:p>
      <w:pPr>
        <w:ind w:left="980" w:hanging="864"/>
        <w:spacing w:after="0"/>
        <w:tabs>
          <w:tab w:leader="none" w:pos="9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Budget – Amendment 6</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budget for Amendment 6 is $287,438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980" w:hanging="864"/>
        <w:spacing w:after="0"/>
        <w:tabs>
          <w:tab w:leader="none" w:pos="9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Budget – Amendment 7</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budget for Amendment 7 is $484,091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9"/>
          <w:szCs w:val="19"/>
          <w:color w:val="111111"/>
        </w:rPr>
        <w:t>4</w:t>
      </w:r>
    </w:p>
    <w:p>
      <w:pPr>
        <w:spacing w:after="0" w:line="215" w:lineRule="exact"/>
        <w:rPr>
          <w:sz w:val="20"/>
          <w:szCs w:val="20"/>
          <w:color w:val="auto"/>
        </w:rPr>
      </w:pPr>
    </w:p>
    <w:p>
      <w:pPr>
        <w:ind w:firstLine="8"/>
        <w:spacing w:after="0" w:line="251" w:lineRule="auto"/>
        <w:tabs>
          <w:tab w:leader="none" w:pos="306" w:val="left"/>
        </w:tabs>
        <w:numPr>
          <w:ilvl w:val="0"/>
          <w:numId w:val="68"/>
        </w:numPr>
        <w:rPr>
          <w:rFonts w:ascii="Arial" w:cs="Arial" w:eastAsia="Arial" w:hAnsi="Arial"/>
          <w:sz w:val="22"/>
          <w:szCs w:val="22"/>
          <w:color w:val="auto"/>
        </w:rPr>
      </w:pPr>
      <w:r>
        <w:rPr>
          <w:rFonts w:ascii="Arial" w:cs="Arial" w:eastAsia="Arial" w:hAnsi="Arial"/>
          <w:sz w:val="22"/>
          <w:szCs w:val="22"/>
          <w:color w:val="auto"/>
        </w:rPr>
        <w:t>= Certain confidential information contained in this document, marked by brackets, is filed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400" w:right="539" w:bottom="1440" w:gutter="0" w:footer="0" w:header="0"/>
        </w:sectPr>
      </w:pPr>
    </w:p>
    <w:bookmarkStart w:id="131" w:name="page132"/>
    <w:bookmarkEnd w:id="131"/>
    <w:p>
      <w:pPr>
        <w:ind w:left="980" w:hanging="864"/>
        <w:spacing w:after="0"/>
        <w:tabs>
          <w:tab w:leader="none" w:pos="980" w:val="left"/>
        </w:tabs>
        <w:numPr>
          <w:ilvl w:val="0"/>
          <w:numId w:val="69"/>
        </w:numPr>
        <w:rPr>
          <w:rFonts w:ascii="Arial" w:cs="Arial" w:eastAsia="Arial" w:hAnsi="Arial"/>
          <w:sz w:val="20"/>
          <w:szCs w:val="20"/>
          <w:color w:val="auto"/>
        </w:rPr>
      </w:pPr>
      <w:r>
        <w:rPr>
          <w:rFonts w:ascii="Arial" w:cs="Arial" w:eastAsia="Arial" w:hAnsi="Arial"/>
          <w:sz w:val="20"/>
          <w:szCs w:val="20"/>
          <w:color w:val="auto"/>
        </w:rPr>
        <w:t>Budget – Amendment 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budget for Amendment 8 is $1,582,064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980" w:hanging="864"/>
        <w:spacing w:after="0"/>
        <w:tabs>
          <w:tab w:leader="none" w:pos="9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Budget – Amendment 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budget for Amendment 9 is $357,482 which is itemized as follows: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980" w:hanging="864"/>
        <w:spacing w:after="0"/>
        <w:tabs>
          <w:tab w:leader="none" w:pos="980" w:val="left"/>
        </w:tabs>
        <w:numPr>
          <w:ilvl w:val="0"/>
          <w:numId w:val="71"/>
        </w:numPr>
        <w:rPr>
          <w:rFonts w:ascii="Arial" w:cs="Arial" w:eastAsia="Arial" w:hAnsi="Arial"/>
          <w:sz w:val="20"/>
          <w:szCs w:val="20"/>
          <w:color w:val="auto"/>
        </w:rPr>
      </w:pPr>
      <w:r>
        <w:rPr>
          <w:rFonts w:ascii="Arial" w:cs="Arial" w:eastAsia="Arial" w:hAnsi="Arial"/>
          <w:sz w:val="20"/>
          <w:szCs w:val="20"/>
          <w:color w:val="auto"/>
        </w:rPr>
        <w:t>Invoicing and Payments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Company will make payments within [*] of receipt of invoices from Group according to the Payment Schedule herein. Payments will be made to as set forth in Section 1.B of the Agreement as follows:</w:t>
      </w:r>
    </w:p>
    <w:p>
      <w:pPr>
        <w:spacing w:after="0" w:line="190"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ECOG Research and Education Foundation, Inc.</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Agent for ECOG-ACRIN Cancer Research Group</w:t>
      </w:r>
    </w:p>
    <w:p>
      <w:pPr>
        <w:ind w:left="1660"/>
        <w:spacing w:after="0"/>
        <w:rPr>
          <w:sz w:val="20"/>
          <w:szCs w:val="20"/>
          <w:color w:val="auto"/>
        </w:rPr>
      </w:pPr>
      <w:r>
        <w:rPr>
          <w:rFonts w:ascii="Arial" w:cs="Arial" w:eastAsia="Arial" w:hAnsi="Arial"/>
          <w:sz w:val="20"/>
          <w:szCs w:val="20"/>
          <w:color w:val="auto"/>
        </w:rPr>
        <w:t>Attn: Donna Marinucci</w:t>
      </w:r>
    </w:p>
    <w:p>
      <w:pPr>
        <w:ind w:left="1660"/>
        <w:spacing w:after="0"/>
        <w:rPr>
          <w:sz w:val="20"/>
          <w:szCs w:val="20"/>
          <w:color w:val="auto"/>
        </w:rPr>
      </w:pPr>
      <w:r>
        <w:rPr>
          <w:rFonts w:ascii="Arial" w:cs="Arial" w:eastAsia="Arial" w:hAnsi="Arial"/>
          <w:sz w:val="20"/>
          <w:szCs w:val="20"/>
          <w:color w:val="auto"/>
        </w:rPr>
        <w:t>1818 Market Street, Suite 1100</w:t>
      </w:r>
    </w:p>
    <w:p>
      <w:pPr>
        <w:ind w:left="1660"/>
        <w:spacing w:after="0"/>
        <w:rPr>
          <w:sz w:val="20"/>
          <w:szCs w:val="20"/>
          <w:color w:val="auto"/>
        </w:rPr>
      </w:pPr>
      <w:r>
        <w:rPr>
          <w:rFonts w:ascii="Arial" w:cs="Arial" w:eastAsia="Arial" w:hAnsi="Arial"/>
          <w:sz w:val="20"/>
          <w:szCs w:val="20"/>
          <w:color w:val="auto"/>
        </w:rPr>
        <w:t>Philadelphia, PA 19103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Group will send invoices to the following address:</w:t>
      </w:r>
    </w:p>
    <w:p>
      <w:pPr>
        <w:spacing w:after="0" w:line="22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Jeannette Hasapidis</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VP, Program Management</w:t>
      </w:r>
    </w:p>
    <w:p>
      <w:pPr>
        <w:ind w:left="1760"/>
        <w:spacing w:after="0"/>
        <w:rPr>
          <w:sz w:val="20"/>
          <w:szCs w:val="20"/>
          <w:color w:val="auto"/>
        </w:rPr>
      </w:pPr>
      <w:r>
        <w:rPr>
          <w:rFonts w:ascii="Arial" w:cs="Arial" w:eastAsia="Arial" w:hAnsi="Arial"/>
          <w:sz w:val="20"/>
          <w:szCs w:val="20"/>
          <w:color w:val="auto"/>
        </w:rPr>
        <w:t>Syndax Pharmaceuticals, Inc.</w:t>
      </w:r>
    </w:p>
    <w:p>
      <w:pPr>
        <w:ind w:left="1760"/>
        <w:spacing w:after="0"/>
        <w:rPr>
          <w:sz w:val="20"/>
          <w:szCs w:val="20"/>
          <w:color w:val="auto"/>
        </w:rPr>
      </w:pPr>
      <w:r>
        <w:rPr>
          <w:rFonts w:ascii="Arial" w:cs="Arial" w:eastAsia="Arial" w:hAnsi="Arial"/>
          <w:sz w:val="20"/>
          <w:szCs w:val="20"/>
          <w:color w:val="auto"/>
        </w:rPr>
        <w:t>35 Gatehouse Rive, Building D, 3</w:t>
      </w:r>
      <w:r>
        <w:rPr>
          <w:rFonts w:ascii="Arial" w:cs="Arial" w:eastAsia="Arial" w:hAnsi="Arial"/>
          <w:sz w:val="16"/>
          <w:szCs w:val="16"/>
          <w:color w:val="auto"/>
        </w:rPr>
        <w:t>rd</w:t>
      </w:r>
      <w:r>
        <w:rPr>
          <w:rFonts w:ascii="Arial" w:cs="Arial" w:eastAsia="Arial" w:hAnsi="Arial"/>
          <w:sz w:val="20"/>
          <w:szCs w:val="20"/>
          <w:color w:val="auto"/>
        </w:rPr>
        <w:t xml:space="preserve"> Flr</w:t>
      </w:r>
    </w:p>
    <w:p>
      <w:pPr>
        <w:ind w:left="1760"/>
        <w:spacing w:after="0"/>
        <w:rPr>
          <w:sz w:val="20"/>
          <w:szCs w:val="20"/>
          <w:color w:val="auto"/>
        </w:rPr>
      </w:pPr>
      <w:r>
        <w:rPr>
          <w:rFonts w:ascii="Arial" w:cs="Arial" w:eastAsia="Arial" w:hAnsi="Arial"/>
          <w:sz w:val="20"/>
          <w:szCs w:val="20"/>
          <w:color w:val="auto"/>
        </w:rPr>
        <w:t>Waltham, MA 02451</w:t>
      </w:r>
    </w:p>
    <w:p>
      <w:pPr>
        <w:spacing w:after="0" w:line="207" w:lineRule="exact"/>
        <w:rPr>
          <w:sz w:val="20"/>
          <w:szCs w:val="20"/>
          <w:color w:val="auto"/>
        </w:rPr>
      </w:pPr>
    </w:p>
    <w:p>
      <w:pPr>
        <w:ind w:left="980" w:hanging="864"/>
        <w:spacing w:after="0"/>
        <w:tabs>
          <w:tab w:leader="none" w:pos="980"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Excluding Amendments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ind w:left="980" w:hanging="864"/>
        <w:spacing w:after="0"/>
        <w:tabs>
          <w:tab w:leader="none" w:pos="98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1</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ind w:left="980" w:hanging="864"/>
        <w:spacing w:after="0"/>
        <w:tabs>
          <w:tab w:leader="none" w:pos="98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3 ([*])</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ind w:left="980" w:hanging="864"/>
        <w:spacing w:after="0"/>
        <w:tabs>
          <w:tab w:leader="none" w:pos="980"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4</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9"/>
          <w:szCs w:val="19"/>
          <w:color w:val="111111"/>
        </w:rPr>
        <w:t>5</w:t>
      </w:r>
    </w:p>
    <w:p>
      <w:pPr>
        <w:spacing w:after="0" w:line="215" w:lineRule="exact"/>
        <w:rPr>
          <w:sz w:val="20"/>
          <w:szCs w:val="20"/>
          <w:color w:val="auto"/>
        </w:rPr>
      </w:pPr>
    </w:p>
    <w:p>
      <w:pPr>
        <w:ind w:right="180" w:firstLine="8"/>
        <w:spacing w:after="0" w:line="251" w:lineRule="auto"/>
        <w:tabs>
          <w:tab w:leader="none" w:pos="306" w:val="left"/>
        </w:tabs>
        <w:numPr>
          <w:ilvl w:val="0"/>
          <w:numId w:val="76"/>
        </w:numPr>
        <w:rPr>
          <w:rFonts w:ascii="Arial" w:cs="Arial" w:eastAsia="Arial" w:hAnsi="Arial"/>
          <w:sz w:val="22"/>
          <w:szCs w:val="22"/>
          <w:color w:val="auto"/>
        </w:rPr>
      </w:pPr>
      <w:r>
        <w:rPr>
          <w:rFonts w:ascii="Arial" w:cs="Arial" w:eastAsia="Arial" w:hAnsi="Arial"/>
          <w:sz w:val="22"/>
          <w:szCs w:val="22"/>
          <w:color w:val="auto"/>
        </w:rPr>
        <w:t>= Certain confidential information contained in this document, marked by brackets, is filed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82" w:right="35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ind w:left="980" w:hanging="864"/>
        <w:spacing w:after="0"/>
        <w:tabs>
          <w:tab w:leader="none" w:pos="98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5</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ind w:left="980" w:hanging="864"/>
        <w:spacing w:after="0"/>
        <w:tabs>
          <w:tab w:leader="none" w:pos="980" w:val="left"/>
        </w:tabs>
        <w:numPr>
          <w:ilvl w:val="0"/>
          <w:numId w:val="78"/>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6</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3" w:lineRule="exact"/>
        <w:rPr>
          <w:sz w:val="20"/>
          <w:szCs w:val="20"/>
          <w:color w:val="auto"/>
        </w:rPr>
      </w:pPr>
    </w:p>
    <w:p>
      <w:pPr>
        <w:ind w:left="980" w:hanging="864"/>
        <w:spacing w:after="0"/>
        <w:tabs>
          <w:tab w:leader="none" w:pos="98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7</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77" w:lineRule="exact"/>
        <w:rPr>
          <w:sz w:val="20"/>
          <w:szCs w:val="20"/>
          <w:color w:val="auto"/>
        </w:rPr>
      </w:pPr>
    </w:p>
    <w:p>
      <w:pPr>
        <w:ind w:left="980" w:hanging="864"/>
        <w:spacing w:after="0"/>
        <w:tabs>
          <w:tab w:leader="none" w:pos="98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8</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31" w:lineRule="exact"/>
        <w:rPr>
          <w:sz w:val="20"/>
          <w:szCs w:val="20"/>
          <w:color w:val="auto"/>
        </w:rPr>
      </w:pPr>
    </w:p>
    <w:p>
      <w:pPr>
        <w:ind w:left="980" w:hanging="864"/>
        <w:spacing w:after="0"/>
        <w:tabs>
          <w:tab w:leader="none" w:pos="98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Payment Schedule – Amendment 9</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Group will submit invoices to Company in accordance with the following Payment Schedule:</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9"/>
          <w:szCs w:val="19"/>
          <w:color w:val="111111"/>
        </w:rPr>
        <w:t>6</w:t>
      </w:r>
    </w:p>
    <w:p>
      <w:pPr>
        <w:spacing w:after="0" w:line="215" w:lineRule="exact"/>
        <w:rPr>
          <w:sz w:val="20"/>
          <w:szCs w:val="20"/>
          <w:color w:val="auto"/>
        </w:rPr>
      </w:pPr>
    </w:p>
    <w:p>
      <w:pPr>
        <w:ind w:firstLine="8"/>
        <w:spacing w:after="0" w:line="251" w:lineRule="auto"/>
        <w:tabs>
          <w:tab w:leader="none" w:pos="306" w:val="left"/>
        </w:tabs>
        <w:numPr>
          <w:ilvl w:val="0"/>
          <w:numId w:val="82"/>
        </w:numPr>
        <w:rPr>
          <w:rFonts w:ascii="Arial" w:cs="Arial" w:eastAsia="Arial" w:hAnsi="Arial"/>
          <w:sz w:val="22"/>
          <w:szCs w:val="22"/>
          <w:color w:val="auto"/>
        </w:rPr>
      </w:pPr>
      <w:r>
        <w:rPr>
          <w:rFonts w:ascii="Arial" w:cs="Arial" w:eastAsia="Arial" w:hAnsi="Arial"/>
          <w:sz w:val="22"/>
          <w:szCs w:val="22"/>
          <w:color w:val="auto"/>
        </w:rPr>
        <w:t>= Certain confidential information contained in this document, marked by brackets, is filed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582" w:right="539" w:bottom="1440" w:gutter="0" w:footer="0" w:header="0"/>
        </w:sectPr>
      </w:pPr>
    </w:p>
    <w:bookmarkStart w:id="133" w:name="page134"/>
    <w:bookmarkEnd w:id="133"/>
    <w:p>
      <w:pPr>
        <w:jc w:val="center"/>
        <w:ind w:right="-799"/>
        <w:spacing w:after="0"/>
        <w:rPr>
          <w:sz w:val="20"/>
          <w:szCs w:val="20"/>
          <w:color w:val="auto"/>
        </w:rPr>
      </w:pPr>
      <w:r>
        <w:rPr>
          <w:rFonts w:ascii="Arial" w:cs="Arial" w:eastAsia="Arial" w:hAnsi="Arial"/>
          <w:sz w:val="22"/>
          <w:szCs w:val="22"/>
          <w:b w:val="1"/>
          <w:bCs w:val="1"/>
          <w:color w:val="auto"/>
        </w:rPr>
        <w:t>EXHIBIT 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u w:val="single" w:color="auto"/>
          <w:color w:val="auto"/>
        </w:rPr>
        <w:t>E2112 Scope of Work - Amendment 9</w:t>
      </w:r>
    </w:p>
    <w:p>
      <w:pPr>
        <w:spacing w:after="0" w:line="275" w:lineRule="exact"/>
        <w:rPr>
          <w:sz w:val="20"/>
          <w:szCs w:val="20"/>
          <w:color w:val="auto"/>
        </w:rPr>
      </w:pPr>
    </w:p>
    <w:p>
      <w:pPr>
        <w:ind w:left="160" w:right="280" w:firstLine="2"/>
        <w:spacing w:after="0" w:line="258" w:lineRule="auto"/>
        <w:rPr>
          <w:sz w:val="20"/>
          <w:szCs w:val="20"/>
          <w:color w:val="auto"/>
        </w:rPr>
      </w:pPr>
      <w:r>
        <w:rPr>
          <w:rFonts w:ascii="Arial" w:cs="Arial" w:eastAsia="Arial" w:hAnsi="Arial"/>
          <w:sz w:val="16"/>
          <w:szCs w:val="16"/>
          <w:b w:val="1"/>
          <w:bCs w:val="1"/>
          <w:color w:val="auto"/>
        </w:rPr>
        <w:t xml:space="preserve">Protocol Title: </w:t>
      </w:r>
      <w:r>
        <w:rPr>
          <w:rFonts w:ascii="Arial" w:cs="Arial" w:eastAsia="Arial" w:hAnsi="Arial"/>
          <w:sz w:val="17"/>
          <w:szCs w:val="17"/>
          <w:color w:val="auto"/>
        </w:rPr>
        <w:t>A Randomized Phase Ill Trial of Endocrine Therapy plus Entinostat/Placebo in Patients with Hormone Receptor-Positive</w:t>
      </w:r>
      <w:r>
        <w:rPr>
          <w:rFonts w:ascii="Arial" w:cs="Arial" w:eastAsia="Arial" w:hAnsi="Arial"/>
          <w:sz w:val="16"/>
          <w:szCs w:val="16"/>
          <w:b w:val="1"/>
          <w:bCs w:val="1"/>
          <w:color w:val="auto"/>
        </w:rPr>
        <w:t xml:space="preserve"> </w:t>
      </w:r>
      <w:r>
        <w:rPr>
          <w:rFonts w:ascii="Arial" w:cs="Arial" w:eastAsia="Arial" w:hAnsi="Arial"/>
          <w:sz w:val="17"/>
          <w:szCs w:val="17"/>
          <w:color w:val="auto"/>
        </w:rPr>
        <w:t>Advanced Breast Cancer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9"/>
          <w:szCs w:val="19"/>
          <w:color w:val="111111"/>
        </w:rPr>
        <w:t>7</w:t>
      </w:r>
    </w:p>
    <w:p>
      <w:pPr>
        <w:spacing w:after="0" w:line="215" w:lineRule="exact"/>
        <w:rPr>
          <w:sz w:val="20"/>
          <w:szCs w:val="20"/>
          <w:color w:val="auto"/>
        </w:rPr>
      </w:pPr>
    </w:p>
    <w:p>
      <w:pPr>
        <w:ind w:firstLine="8"/>
        <w:spacing w:after="0" w:line="328" w:lineRule="auto"/>
        <w:tabs>
          <w:tab w:leader="none" w:pos="306" w:val="left"/>
        </w:tabs>
        <w:numPr>
          <w:ilvl w:val="0"/>
          <w:numId w:val="83"/>
        </w:numPr>
        <w:rPr>
          <w:rFonts w:ascii="Arial" w:cs="Arial" w:eastAsia="Arial" w:hAnsi="Arial"/>
          <w:sz w:val="19"/>
          <w:szCs w:val="19"/>
          <w:color w:val="auto"/>
        </w:rPr>
      </w:pPr>
      <w:r>
        <w:rPr>
          <w:rFonts w:ascii="Arial" w:cs="Arial" w:eastAsia="Arial" w:hAnsi="Arial"/>
          <w:sz w:val="19"/>
          <w:szCs w:val="19"/>
          <w:color w:val="auto"/>
        </w:rPr>
        <w:t>= One page of confidential information contained in this document, marked by brackets, is filed with the Securities and Exchange Commission pursuant to Rule 24b-2 of the Securities Exchange Act of 1934, as amended</w:t>
      </w:r>
    </w:p>
    <w:p>
      <w:pPr>
        <w:sectPr>
          <w:pgSz w:w="11900" w:h="16838" w:orient="portrait"/>
          <w:cols w:equalWidth="0" w:num="1">
            <w:col w:w="10620"/>
          </w:cols>
          <w:pgMar w:left="240" w:top="391" w:right="1039" w:bottom="1440" w:gutter="0" w:footer="0" w:header="0"/>
        </w:sectPr>
      </w:pPr>
    </w:p>
    <w:bookmarkStart w:id="134" w:name="page135"/>
    <w:bookmarkEnd w:id="134"/>
    <w:p>
      <w:pPr>
        <w:ind w:left="9780"/>
        <w:spacing w:after="0"/>
        <w:rPr>
          <w:sz w:val="20"/>
          <w:szCs w:val="20"/>
          <w:color w:val="auto"/>
        </w:rPr>
      </w:pPr>
      <w:r>
        <w:rPr>
          <w:rFonts w:ascii="Arial" w:cs="Arial" w:eastAsia="Arial" w:hAnsi="Arial"/>
          <w:sz w:val="22"/>
          <w:szCs w:val="22"/>
          <w:b w:val="1"/>
          <w:bCs w:val="1"/>
          <w:i w:val="1"/>
          <w:iCs w:val="1"/>
          <w:color w:val="auto"/>
        </w:rPr>
        <w:t>CONFIDENTIAL</w:t>
      </w:r>
    </w:p>
    <w:p>
      <w:pPr>
        <w:spacing w:after="0" w:line="9" w:lineRule="exact"/>
        <w:rPr>
          <w:sz w:val="20"/>
          <w:szCs w:val="20"/>
          <w:color w:val="auto"/>
        </w:rPr>
      </w:pPr>
    </w:p>
    <w:p>
      <w:pPr>
        <w:ind w:left="978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34" w:lineRule="exact"/>
        <w:rPr>
          <w:sz w:val="20"/>
          <w:szCs w:val="20"/>
          <w:color w:val="auto"/>
        </w:rPr>
      </w:pPr>
    </w:p>
    <w:p>
      <w:pPr>
        <w:ind w:firstLine="8"/>
        <w:spacing w:after="0" w:line="328" w:lineRule="auto"/>
        <w:tabs>
          <w:tab w:leader="none" w:pos="317" w:val="left"/>
        </w:tabs>
        <w:numPr>
          <w:ilvl w:val="0"/>
          <w:numId w:val="84"/>
        </w:numPr>
        <w:rPr>
          <w:rFonts w:ascii="Arial" w:cs="Arial" w:eastAsia="Arial" w:hAnsi="Arial"/>
          <w:sz w:val="19"/>
          <w:szCs w:val="19"/>
          <w:color w:val="auto"/>
        </w:rPr>
      </w:pPr>
      <w:r>
        <w:rPr>
          <w:rFonts w:ascii="Arial" w:cs="Arial" w:eastAsia="Arial" w:hAnsi="Arial"/>
          <w:sz w:val="19"/>
          <w:szCs w:val="19"/>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w:t>
      </w:r>
      <w:r>
        <w:rPr>
          <w:rFonts w:ascii="Arial" w:cs="Arial" w:eastAsia="Arial" w:hAnsi="Arial"/>
          <w:sz w:val="14"/>
          <w:szCs w:val="14"/>
          <w:color w:val="auto"/>
        </w:rPr>
        <w:t>ICENSE</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r>
        <w:rPr>
          <w:rFonts w:ascii="Arial" w:cs="Arial" w:eastAsia="Arial" w:hAnsi="Arial"/>
          <w:sz w:val="14"/>
          <w:szCs w:val="14"/>
          <w:color w:val="auto"/>
        </w:rPr>
        <w:t>ITAE</w:t>
      </w:r>
      <w:r>
        <w:rPr>
          <w:rFonts w:ascii="Arial" w:cs="Arial" w:eastAsia="Arial" w:hAnsi="Arial"/>
          <w:sz w:val="22"/>
          <w:szCs w:val="22"/>
          <w:color w:val="auto"/>
        </w:rPr>
        <w:t xml:space="preserve"> P</w:t>
      </w:r>
      <w:r>
        <w:rPr>
          <w:rFonts w:ascii="Arial" w:cs="Arial" w:eastAsia="Arial" w:hAnsi="Arial"/>
          <w:sz w:val="14"/>
          <w:szCs w:val="14"/>
          <w:color w:val="auto"/>
        </w:rPr>
        <w:t>HARMACEUTICALS</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YNDAX</w:t>
      </w:r>
      <w:r>
        <w:rPr>
          <w:rFonts w:ascii="Arial" w:cs="Arial" w:eastAsia="Arial" w:hAnsi="Arial"/>
          <w:sz w:val="22"/>
          <w:szCs w:val="22"/>
          <w:color w:val="auto"/>
        </w:rPr>
        <w:t xml:space="preserve"> P</w:t>
      </w:r>
      <w:r>
        <w:rPr>
          <w:rFonts w:ascii="Arial" w:cs="Arial" w:eastAsia="Arial" w:hAnsi="Arial"/>
          <w:sz w:val="14"/>
          <w:szCs w:val="14"/>
          <w:color w:val="auto"/>
        </w:rPr>
        <w:t>HARMACEUTICALS</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54"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______________________________________</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October 13, 2017</w:t>
      </w:r>
    </w:p>
    <w:p>
      <w:pPr>
        <w:spacing w:after="0" w:line="16"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00" w:lineRule="exact"/>
        <w:rPr>
          <w:sz w:val="20"/>
          <w:szCs w:val="20"/>
          <w:color w:val="auto"/>
        </w:rPr>
      </w:pPr>
    </w:p>
    <w:p>
      <w:pPr>
        <w:spacing w:after="0" w:line="228"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ARTICLE 1.</w:t>
      </w:r>
      <w:r>
        <w:rPr>
          <w:sz w:val="20"/>
          <w:szCs w:val="20"/>
          <w:color w:val="auto"/>
        </w:rPr>
        <w:tab/>
      </w:r>
      <w:r>
        <w:rPr>
          <w:rFonts w:ascii="Arial" w:cs="Arial" w:eastAsia="Arial" w:hAnsi="Arial"/>
          <w:sz w:val="19"/>
          <w:szCs w:val="19"/>
          <w:color w:val="auto"/>
        </w:rPr>
        <w:t>DEFINITIONS1</w:t>
      </w:r>
    </w:p>
    <w:p>
      <w:pPr>
        <w:spacing w:after="0" w:line="8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ARTICLE 2.</w:t>
      </w:r>
      <w:r>
        <w:rPr>
          <w:sz w:val="20"/>
          <w:szCs w:val="20"/>
          <w:color w:val="auto"/>
        </w:rPr>
        <w:tab/>
      </w:r>
      <w:r>
        <w:rPr>
          <w:rFonts w:ascii="Arial" w:cs="Arial" w:eastAsia="Arial" w:hAnsi="Arial"/>
          <w:sz w:val="19"/>
          <w:szCs w:val="19"/>
          <w:color w:val="auto"/>
        </w:rPr>
        <w:t>LICENSE GRANT14</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Exclusive License Grant14</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Sublicense Rights14</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Subcontractors16</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Retained Rights16</w:t>
      </w:r>
    </w:p>
    <w:p>
      <w:pPr>
        <w:spacing w:after="0" w:line="8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ARTICLE 3.</w:t>
      </w:r>
      <w:r>
        <w:rPr>
          <w:sz w:val="20"/>
          <w:szCs w:val="20"/>
          <w:color w:val="auto"/>
        </w:rPr>
        <w:tab/>
      </w:r>
      <w:r>
        <w:rPr>
          <w:rFonts w:ascii="Arial" w:cs="Arial" w:eastAsia="Arial" w:hAnsi="Arial"/>
          <w:sz w:val="19"/>
          <w:szCs w:val="19"/>
          <w:color w:val="auto"/>
        </w:rPr>
        <w:t>TRANSFER ACTIVITIES16</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Licensed Compound and Transfer16</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Licensor Materials Disclaimer17</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Contact Persons17</w:t>
      </w:r>
    </w:p>
    <w:p>
      <w:pPr>
        <w:spacing w:after="0" w:line="8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ARTICLE 4.</w:t>
      </w:r>
      <w:r>
        <w:rPr>
          <w:sz w:val="20"/>
          <w:szCs w:val="20"/>
          <w:color w:val="auto"/>
        </w:rPr>
        <w:tab/>
      </w:r>
      <w:r>
        <w:rPr>
          <w:rFonts w:ascii="Arial" w:cs="Arial" w:eastAsia="Arial" w:hAnsi="Arial"/>
          <w:sz w:val="21"/>
          <w:szCs w:val="21"/>
          <w:color w:val="auto"/>
        </w:rPr>
        <w:t>DEVELOPMENT, MANUFACTURING, AND COMMERCIALIZATION18</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General Responsibilities18</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Diligence Obligations18</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Development Plan18</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Development Reporting18</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color w:val="auto"/>
        </w:rPr>
        <w:t>Commercialization Reporting19</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Priority Review Voucher19</w:t>
      </w:r>
    </w:p>
    <w:p>
      <w:pPr>
        <w:spacing w:after="0" w:line="85"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ARTICLE 5.</w:t>
      </w:r>
      <w:r>
        <w:rPr>
          <w:sz w:val="20"/>
          <w:szCs w:val="20"/>
          <w:color w:val="auto"/>
        </w:rPr>
        <w:tab/>
      </w:r>
      <w:r>
        <w:rPr>
          <w:rFonts w:ascii="Arial" w:cs="Arial" w:eastAsia="Arial" w:hAnsi="Arial"/>
          <w:sz w:val="21"/>
          <w:szCs w:val="21"/>
          <w:color w:val="auto"/>
        </w:rPr>
        <w:t>CONSIDERATION AND FINANCIAL TERMS20</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Upfront Payment20</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Reimbursement of Patent Expenses20</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Development Milestones20</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Sales Milestones22</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Royalty Payments23</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Income from Sublicensees25</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color w:val="auto"/>
        </w:rPr>
        <w:t>Payment Reports; Payments26</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color w:val="auto"/>
        </w:rPr>
        <w:t>Other Payments26</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color w:val="auto"/>
        </w:rPr>
        <w:t>No Refunds; Offsets27</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color w:val="auto"/>
        </w:rPr>
        <w:t>Exchange Rate27</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8"/>
          <w:szCs w:val="18"/>
          <w:color w:val="auto"/>
        </w:rPr>
        <w:t>Taxes27</w:t>
      </w:r>
    </w:p>
    <w:p>
      <w:pPr>
        <w:spacing w:after="0" w:line="85"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color w:val="auto"/>
        </w:rPr>
        <w:t>Audit28</w:t>
      </w:r>
    </w:p>
    <w:p>
      <w:pPr>
        <w:spacing w:after="0" w:line="3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i -</w:t>
      </w:r>
    </w:p>
    <w:p>
      <w:pPr>
        <w:spacing w:after="0" w:line="12" w:lineRule="exact"/>
        <w:rPr>
          <w:sz w:val="20"/>
          <w:szCs w:val="20"/>
          <w:color w:val="auto"/>
        </w:rPr>
      </w:pPr>
    </w:p>
    <w:p>
      <w:pPr>
        <w:ind w:right="740" w:firstLine="8"/>
        <w:spacing w:after="0" w:line="226"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75"/>
        </w:trPr>
        <w:tc>
          <w:tcPr>
            <w:tcW w:w="1460" w:type="dxa"/>
            <w:vAlign w:val="bottom"/>
          </w:tcPr>
          <w:p>
            <w:pPr>
              <w:ind w:left="880"/>
              <w:spacing w:after="0"/>
              <w:rPr>
                <w:sz w:val="20"/>
                <w:szCs w:val="20"/>
                <w:color w:val="auto"/>
              </w:rPr>
            </w:pPr>
            <w:r>
              <w:rPr>
                <w:rFonts w:ascii="Arial" w:cs="Arial" w:eastAsia="Arial" w:hAnsi="Arial"/>
                <w:sz w:val="22"/>
                <w:szCs w:val="22"/>
                <w:color w:val="auto"/>
              </w:rPr>
              <w:t>5.13.</w:t>
            </w:r>
          </w:p>
        </w:tc>
        <w:tc>
          <w:tcPr>
            <w:tcW w:w="8480" w:type="dxa"/>
            <w:vAlign w:val="bottom"/>
          </w:tcPr>
          <w:p>
            <w:pPr>
              <w:ind w:left="280"/>
              <w:spacing w:after="0"/>
              <w:rPr>
                <w:sz w:val="20"/>
                <w:szCs w:val="20"/>
                <w:color w:val="auto"/>
              </w:rPr>
            </w:pPr>
            <w:r>
              <w:rPr>
                <w:rFonts w:ascii="Arial" w:cs="Arial" w:eastAsia="Arial" w:hAnsi="Arial"/>
                <w:sz w:val="22"/>
                <w:szCs w:val="22"/>
                <w:color w:val="auto"/>
              </w:rPr>
              <w:t>Manner of Payment; Late Payment28</w:t>
            </w:r>
          </w:p>
        </w:tc>
      </w:tr>
      <w:tr>
        <w:trPr>
          <w:trHeight w:val="338"/>
        </w:trPr>
        <w:tc>
          <w:tcPr>
            <w:tcW w:w="1460" w:type="dxa"/>
            <w:vAlign w:val="bottom"/>
          </w:tcPr>
          <w:p>
            <w:pPr>
              <w:spacing w:after="0"/>
              <w:rPr>
                <w:sz w:val="20"/>
                <w:szCs w:val="20"/>
                <w:color w:val="auto"/>
              </w:rPr>
            </w:pPr>
            <w:r>
              <w:rPr>
                <w:rFonts w:ascii="Arial" w:cs="Arial" w:eastAsia="Arial" w:hAnsi="Arial"/>
                <w:sz w:val="22"/>
                <w:szCs w:val="22"/>
                <w:color w:val="auto"/>
              </w:rPr>
              <w:t>ARTICLE 6.</w:t>
            </w:r>
          </w:p>
        </w:tc>
        <w:tc>
          <w:tcPr>
            <w:tcW w:w="8480" w:type="dxa"/>
            <w:vAlign w:val="bottom"/>
          </w:tcPr>
          <w:p>
            <w:pPr>
              <w:ind w:left="160"/>
              <w:spacing w:after="0"/>
              <w:rPr>
                <w:sz w:val="20"/>
                <w:szCs w:val="20"/>
                <w:color w:val="auto"/>
              </w:rPr>
            </w:pPr>
            <w:r>
              <w:rPr>
                <w:rFonts w:ascii="Arial" w:cs="Arial" w:eastAsia="Arial" w:hAnsi="Arial"/>
                <w:sz w:val="22"/>
                <w:szCs w:val="22"/>
                <w:color w:val="auto"/>
              </w:rPr>
              <w:t>INTELLECTUAL PROPERTY RIGHTS28</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6.1.</w:t>
            </w:r>
          </w:p>
        </w:tc>
        <w:tc>
          <w:tcPr>
            <w:tcW w:w="8480" w:type="dxa"/>
            <w:vAlign w:val="bottom"/>
          </w:tcPr>
          <w:p>
            <w:pPr>
              <w:ind w:left="280"/>
              <w:spacing w:after="0"/>
              <w:rPr>
                <w:sz w:val="20"/>
                <w:szCs w:val="20"/>
                <w:color w:val="auto"/>
              </w:rPr>
            </w:pPr>
            <w:r>
              <w:rPr>
                <w:rFonts w:ascii="Arial" w:cs="Arial" w:eastAsia="Arial" w:hAnsi="Arial"/>
                <w:sz w:val="22"/>
                <w:szCs w:val="22"/>
                <w:color w:val="auto"/>
              </w:rPr>
              <w:t>Ownership28</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6.2.</w:t>
            </w:r>
          </w:p>
        </w:tc>
        <w:tc>
          <w:tcPr>
            <w:tcW w:w="8480" w:type="dxa"/>
            <w:vAlign w:val="bottom"/>
          </w:tcPr>
          <w:p>
            <w:pPr>
              <w:ind w:left="280"/>
              <w:spacing w:after="0"/>
              <w:rPr>
                <w:sz w:val="20"/>
                <w:szCs w:val="20"/>
                <w:color w:val="auto"/>
              </w:rPr>
            </w:pPr>
            <w:r>
              <w:rPr>
                <w:rFonts w:ascii="Arial" w:cs="Arial" w:eastAsia="Arial" w:hAnsi="Arial"/>
                <w:sz w:val="22"/>
                <w:szCs w:val="22"/>
                <w:color w:val="auto"/>
              </w:rPr>
              <w:t>Prosecution of Patent Rights29</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6.3.</w:t>
            </w:r>
          </w:p>
        </w:tc>
        <w:tc>
          <w:tcPr>
            <w:tcW w:w="8480" w:type="dxa"/>
            <w:vAlign w:val="bottom"/>
          </w:tcPr>
          <w:p>
            <w:pPr>
              <w:ind w:left="280"/>
              <w:spacing w:after="0"/>
              <w:rPr>
                <w:sz w:val="20"/>
                <w:szCs w:val="20"/>
                <w:color w:val="auto"/>
              </w:rPr>
            </w:pPr>
            <w:r>
              <w:rPr>
                <w:rFonts w:ascii="Arial" w:cs="Arial" w:eastAsia="Arial" w:hAnsi="Arial"/>
                <w:sz w:val="22"/>
                <w:szCs w:val="22"/>
                <w:color w:val="auto"/>
              </w:rPr>
              <w:t>Patent Term Extensions29</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6.4.</w:t>
            </w:r>
          </w:p>
        </w:tc>
        <w:tc>
          <w:tcPr>
            <w:tcW w:w="8480" w:type="dxa"/>
            <w:vAlign w:val="bottom"/>
          </w:tcPr>
          <w:p>
            <w:pPr>
              <w:ind w:left="280"/>
              <w:spacing w:after="0"/>
              <w:rPr>
                <w:sz w:val="20"/>
                <w:szCs w:val="20"/>
                <w:color w:val="auto"/>
              </w:rPr>
            </w:pPr>
            <w:r>
              <w:rPr>
                <w:rFonts w:ascii="Arial" w:cs="Arial" w:eastAsia="Arial" w:hAnsi="Arial"/>
                <w:sz w:val="22"/>
                <w:szCs w:val="22"/>
                <w:color w:val="auto"/>
              </w:rPr>
              <w:t>Infringement of Patent Rights by Third Parties29</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6.5.</w:t>
            </w:r>
          </w:p>
        </w:tc>
        <w:tc>
          <w:tcPr>
            <w:tcW w:w="8480" w:type="dxa"/>
            <w:vAlign w:val="bottom"/>
          </w:tcPr>
          <w:p>
            <w:pPr>
              <w:ind w:left="280"/>
              <w:spacing w:after="0"/>
              <w:rPr>
                <w:sz w:val="20"/>
                <w:szCs w:val="20"/>
                <w:color w:val="auto"/>
              </w:rPr>
            </w:pPr>
            <w:r>
              <w:rPr>
                <w:rFonts w:ascii="Arial" w:cs="Arial" w:eastAsia="Arial" w:hAnsi="Arial"/>
                <w:sz w:val="22"/>
                <w:szCs w:val="22"/>
                <w:color w:val="auto"/>
              </w:rPr>
              <w:t>Patent Challenges31</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6.6.</w:t>
            </w:r>
          </w:p>
        </w:tc>
        <w:tc>
          <w:tcPr>
            <w:tcW w:w="8480" w:type="dxa"/>
            <w:vAlign w:val="bottom"/>
          </w:tcPr>
          <w:p>
            <w:pPr>
              <w:ind w:left="280"/>
              <w:spacing w:after="0"/>
              <w:rPr>
                <w:sz w:val="20"/>
                <w:szCs w:val="20"/>
                <w:color w:val="auto"/>
              </w:rPr>
            </w:pPr>
            <w:r>
              <w:rPr>
                <w:rFonts w:ascii="Arial" w:cs="Arial" w:eastAsia="Arial" w:hAnsi="Arial"/>
                <w:sz w:val="22"/>
                <w:szCs w:val="22"/>
                <w:color w:val="auto"/>
              </w:rPr>
              <w:t>Common Interest31</w:t>
            </w:r>
          </w:p>
        </w:tc>
      </w:tr>
      <w:tr>
        <w:trPr>
          <w:trHeight w:val="338"/>
        </w:trPr>
        <w:tc>
          <w:tcPr>
            <w:tcW w:w="1460" w:type="dxa"/>
            <w:vAlign w:val="bottom"/>
          </w:tcPr>
          <w:p>
            <w:pPr>
              <w:spacing w:after="0"/>
              <w:rPr>
                <w:sz w:val="20"/>
                <w:szCs w:val="20"/>
                <w:color w:val="auto"/>
              </w:rPr>
            </w:pPr>
            <w:r>
              <w:rPr>
                <w:rFonts w:ascii="Arial" w:cs="Arial" w:eastAsia="Arial" w:hAnsi="Arial"/>
                <w:sz w:val="22"/>
                <w:szCs w:val="22"/>
                <w:color w:val="auto"/>
              </w:rPr>
              <w:t>ARTICLE 7.</w:t>
            </w:r>
          </w:p>
        </w:tc>
        <w:tc>
          <w:tcPr>
            <w:tcW w:w="8480" w:type="dxa"/>
            <w:vAlign w:val="bottom"/>
          </w:tcPr>
          <w:p>
            <w:pPr>
              <w:ind w:left="160"/>
              <w:spacing w:after="0"/>
              <w:rPr>
                <w:sz w:val="20"/>
                <w:szCs w:val="20"/>
                <w:color w:val="auto"/>
              </w:rPr>
            </w:pPr>
            <w:r>
              <w:rPr>
                <w:rFonts w:ascii="Arial" w:cs="Arial" w:eastAsia="Arial" w:hAnsi="Arial"/>
                <w:sz w:val="22"/>
                <w:szCs w:val="22"/>
                <w:color w:val="auto"/>
              </w:rPr>
              <w:t>CONFIDENTIALITY31</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7.1.</w:t>
            </w:r>
          </w:p>
        </w:tc>
        <w:tc>
          <w:tcPr>
            <w:tcW w:w="8480" w:type="dxa"/>
            <w:vAlign w:val="bottom"/>
          </w:tcPr>
          <w:p>
            <w:pPr>
              <w:ind w:left="280"/>
              <w:spacing w:after="0"/>
              <w:rPr>
                <w:sz w:val="20"/>
                <w:szCs w:val="20"/>
                <w:color w:val="auto"/>
              </w:rPr>
            </w:pPr>
            <w:r>
              <w:rPr>
                <w:rFonts w:ascii="Arial" w:cs="Arial" w:eastAsia="Arial" w:hAnsi="Arial"/>
                <w:sz w:val="22"/>
                <w:szCs w:val="22"/>
                <w:color w:val="auto"/>
              </w:rPr>
              <w:t>Confidential Information31</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7.2.</w:t>
            </w:r>
          </w:p>
        </w:tc>
        <w:tc>
          <w:tcPr>
            <w:tcW w:w="8480" w:type="dxa"/>
            <w:vAlign w:val="bottom"/>
          </w:tcPr>
          <w:p>
            <w:pPr>
              <w:ind w:left="280"/>
              <w:spacing w:after="0"/>
              <w:rPr>
                <w:sz w:val="20"/>
                <w:szCs w:val="20"/>
                <w:color w:val="auto"/>
              </w:rPr>
            </w:pPr>
            <w:r>
              <w:rPr>
                <w:rFonts w:ascii="Arial" w:cs="Arial" w:eastAsia="Arial" w:hAnsi="Arial"/>
                <w:sz w:val="22"/>
                <w:szCs w:val="22"/>
                <w:color w:val="auto"/>
              </w:rPr>
              <w:t>Publicity33</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7.3.</w:t>
            </w:r>
          </w:p>
        </w:tc>
        <w:tc>
          <w:tcPr>
            <w:tcW w:w="8480" w:type="dxa"/>
            <w:vAlign w:val="bottom"/>
          </w:tcPr>
          <w:p>
            <w:pPr>
              <w:ind w:left="280"/>
              <w:spacing w:after="0"/>
              <w:rPr>
                <w:sz w:val="20"/>
                <w:szCs w:val="20"/>
                <w:color w:val="auto"/>
              </w:rPr>
            </w:pPr>
            <w:r>
              <w:rPr>
                <w:rFonts w:ascii="Arial" w:cs="Arial" w:eastAsia="Arial" w:hAnsi="Arial"/>
                <w:sz w:val="22"/>
                <w:szCs w:val="22"/>
                <w:color w:val="auto"/>
              </w:rPr>
              <w:t>Publications33</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7.4.</w:t>
            </w:r>
          </w:p>
        </w:tc>
        <w:tc>
          <w:tcPr>
            <w:tcW w:w="8480" w:type="dxa"/>
            <w:vAlign w:val="bottom"/>
          </w:tcPr>
          <w:p>
            <w:pPr>
              <w:ind w:left="280"/>
              <w:spacing w:after="0"/>
              <w:rPr>
                <w:sz w:val="20"/>
                <w:szCs w:val="20"/>
                <w:color w:val="auto"/>
              </w:rPr>
            </w:pPr>
            <w:r>
              <w:rPr>
                <w:rFonts w:ascii="Arial" w:cs="Arial" w:eastAsia="Arial" w:hAnsi="Arial"/>
                <w:sz w:val="22"/>
                <w:szCs w:val="22"/>
                <w:color w:val="auto"/>
              </w:rPr>
              <w:t>No Use of Name34</w:t>
            </w:r>
          </w:p>
        </w:tc>
      </w:tr>
      <w:tr>
        <w:trPr>
          <w:trHeight w:val="338"/>
        </w:trPr>
        <w:tc>
          <w:tcPr>
            <w:tcW w:w="1460" w:type="dxa"/>
            <w:vAlign w:val="bottom"/>
          </w:tcPr>
          <w:p>
            <w:pPr>
              <w:spacing w:after="0"/>
              <w:rPr>
                <w:sz w:val="20"/>
                <w:szCs w:val="20"/>
                <w:color w:val="auto"/>
              </w:rPr>
            </w:pPr>
            <w:r>
              <w:rPr>
                <w:rFonts w:ascii="Arial" w:cs="Arial" w:eastAsia="Arial" w:hAnsi="Arial"/>
                <w:sz w:val="22"/>
                <w:szCs w:val="22"/>
                <w:color w:val="auto"/>
              </w:rPr>
              <w:t>ARTICLE 8.</w:t>
            </w:r>
          </w:p>
        </w:tc>
        <w:tc>
          <w:tcPr>
            <w:tcW w:w="8480" w:type="dxa"/>
            <w:vAlign w:val="bottom"/>
          </w:tcPr>
          <w:p>
            <w:pPr>
              <w:ind w:left="160"/>
              <w:spacing w:after="0"/>
              <w:rPr>
                <w:sz w:val="20"/>
                <w:szCs w:val="20"/>
                <w:color w:val="auto"/>
              </w:rPr>
            </w:pPr>
            <w:r>
              <w:rPr>
                <w:rFonts w:ascii="Arial" w:cs="Arial" w:eastAsia="Arial" w:hAnsi="Arial"/>
                <w:sz w:val="22"/>
                <w:szCs w:val="22"/>
                <w:color w:val="auto"/>
              </w:rPr>
              <w:t>REPRESENTATIONS, WARRANTIES, AND COVENANTS34</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8.1.</w:t>
            </w:r>
          </w:p>
        </w:tc>
        <w:tc>
          <w:tcPr>
            <w:tcW w:w="8480" w:type="dxa"/>
            <w:vAlign w:val="bottom"/>
          </w:tcPr>
          <w:p>
            <w:pPr>
              <w:ind w:left="280"/>
              <w:spacing w:after="0"/>
              <w:rPr>
                <w:sz w:val="20"/>
                <w:szCs w:val="20"/>
                <w:color w:val="auto"/>
              </w:rPr>
            </w:pPr>
            <w:r>
              <w:rPr>
                <w:rFonts w:ascii="Arial" w:cs="Arial" w:eastAsia="Arial" w:hAnsi="Arial"/>
                <w:sz w:val="22"/>
                <w:szCs w:val="22"/>
                <w:color w:val="auto"/>
              </w:rPr>
              <w:t>Mutual Representations and Warranties34</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8.2.</w:t>
            </w:r>
          </w:p>
        </w:tc>
        <w:tc>
          <w:tcPr>
            <w:tcW w:w="8480" w:type="dxa"/>
            <w:vAlign w:val="bottom"/>
          </w:tcPr>
          <w:p>
            <w:pPr>
              <w:ind w:left="280"/>
              <w:spacing w:after="0"/>
              <w:rPr>
                <w:sz w:val="20"/>
                <w:szCs w:val="20"/>
                <w:color w:val="auto"/>
              </w:rPr>
            </w:pPr>
            <w:r>
              <w:rPr>
                <w:rFonts w:ascii="Arial" w:cs="Arial" w:eastAsia="Arial" w:hAnsi="Arial"/>
                <w:sz w:val="22"/>
                <w:szCs w:val="22"/>
                <w:color w:val="auto"/>
              </w:rPr>
              <w:t>Additional Representations and Warranties of Licensor35</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8.3.</w:t>
            </w:r>
          </w:p>
        </w:tc>
        <w:tc>
          <w:tcPr>
            <w:tcW w:w="8480" w:type="dxa"/>
            <w:vAlign w:val="bottom"/>
          </w:tcPr>
          <w:p>
            <w:pPr>
              <w:ind w:left="280"/>
              <w:spacing w:after="0"/>
              <w:rPr>
                <w:sz w:val="20"/>
                <w:szCs w:val="20"/>
                <w:color w:val="auto"/>
              </w:rPr>
            </w:pPr>
            <w:r>
              <w:rPr>
                <w:rFonts w:ascii="Arial" w:cs="Arial" w:eastAsia="Arial" w:hAnsi="Arial"/>
                <w:sz w:val="22"/>
                <w:szCs w:val="22"/>
                <w:color w:val="auto"/>
              </w:rPr>
              <w:t>Licensee Covenants. Licensee covenants to Licensor that:37</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8.4.</w:t>
            </w:r>
          </w:p>
        </w:tc>
        <w:tc>
          <w:tcPr>
            <w:tcW w:w="8480" w:type="dxa"/>
            <w:vAlign w:val="bottom"/>
          </w:tcPr>
          <w:p>
            <w:pPr>
              <w:ind w:left="280"/>
              <w:spacing w:after="0"/>
              <w:rPr>
                <w:sz w:val="20"/>
                <w:szCs w:val="20"/>
                <w:color w:val="auto"/>
              </w:rPr>
            </w:pPr>
            <w:r>
              <w:rPr>
                <w:rFonts w:ascii="Arial" w:cs="Arial" w:eastAsia="Arial" w:hAnsi="Arial"/>
                <w:sz w:val="22"/>
                <w:szCs w:val="22"/>
                <w:color w:val="auto"/>
              </w:rPr>
              <w:t>No False Statements37</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8.5.</w:t>
            </w:r>
          </w:p>
        </w:tc>
        <w:tc>
          <w:tcPr>
            <w:tcW w:w="8480" w:type="dxa"/>
            <w:vAlign w:val="bottom"/>
          </w:tcPr>
          <w:p>
            <w:pPr>
              <w:ind w:left="280"/>
              <w:spacing w:after="0"/>
              <w:rPr>
                <w:sz w:val="20"/>
                <w:szCs w:val="20"/>
                <w:color w:val="auto"/>
              </w:rPr>
            </w:pPr>
            <w:r>
              <w:rPr>
                <w:rFonts w:ascii="Arial" w:cs="Arial" w:eastAsia="Arial" w:hAnsi="Arial"/>
                <w:sz w:val="22"/>
                <w:szCs w:val="22"/>
                <w:color w:val="auto"/>
              </w:rPr>
              <w:t>No Other Warranties38</w:t>
            </w:r>
          </w:p>
        </w:tc>
      </w:tr>
      <w:tr>
        <w:trPr>
          <w:trHeight w:val="338"/>
        </w:trPr>
        <w:tc>
          <w:tcPr>
            <w:tcW w:w="1460" w:type="dxa"/>
            <w:vAlign w:val="bottom"/>
          </w:tcPr>
          <w:p>
            <w:pPr>
              <w:spacing w:after="0"/>
              <w:rPr>
                <w:sz w:val="20"/>
                <w:szCs w:val="20"/>
                <w:color w:val="auto"/>
              </w:rPr>
            </w:pPr>
            <w:r>
              <w:rPr>
                <w:rFonts w:ascii="Arial" w:cs="Arial" w:eastAsia="Arial" w:hAnsi="Arial"/>
                <w:sz w:val="22"/>
                <w:szCs w:val="22"/>
                <w:color w:val="auto"/>
              </w:rPr>
              <w:t>ARTICLE 9.</w:t>
            </w:r>
          </w:p>
        </w:tc>
        <w:tc>
          <w:tcPr>
            <w:tcW w:w="8480" w:type="dxa"/>
            <w:vAlign w:val="bottom"/>
          </w:tcPr>
          <w:p>
            <w:pPr>
              <w:ind w:left="160"/>
              <w:spacing w:after="0"/>
              <w:rPr>
                <w:sz w:val="20"/>
                <w:szCs w:val="20"/>
                <w:color w:val="auto"/>
              </w:rPr>
            </w:pPr>
            <w:r>
              <w:rPr>
                <w:rFonts w:ascii="Arial" w:cs="Arial" w:eastAsia="Arial" w:hAnsi="Arial"/>
                <w:sz w:val="22"/>
                <w:szCs w:val="22"/>
                <w:color w:val="auto"/>
              </w:rPr>
              <w:t>TERM; TERMINATION38</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9.1.</w:t>
            </w:r>
          </w:p>
        </w:tc>
        <w:tc>
          <w:tcPr>
            <w:tcW w:w="8480" w:type="dxa"/>
            <w:vAlign w:val="bottom"/>
          </w:tcPr>
          <w:p>
            <w:pPr>
              <w:ind w:left="280"/>
              <w:spacing w:after="0"/>
              <w:rPr>
                <w:sz w:val="20"/>
                <w:szCs w:val="20"/>
                <w:color w:val="auto"/>
              </w:rPr>
            </w:pPr>
            <w:r>
              <w:rPr>
                <w:rFonts w:ascii="Arial" w:cs="Arial" w:eastAsia="Arial" w:hAnsi="Arial"/>
                <w:sz w:val="22"/>
                <w:szCs w:val="22"/>
                <w:color w:val="auto"/>
              </w:rPr>
              <w:t>Term38</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9.2.</w:t>
            </w:r>
          </w:p>
        </w:tc>
        <w:tc>
          <w:tcPr>
            <w:tcW w:w="8480" w:type="dxa"/>
            <w:vAlign w:val="bottom"/>
          </w:tcPr>
          <w:p>
            <w:pPr>
              <w:ind w:left="280"/>
              <w:spacing w:after="0"/>
              <w:rPr>
                <w:sz w:val="20"/>
                <w:szCs w:val="20"/>
                <w:color w:val="auto"/>
              </w:rPr>
            </w:pPr>
            <w:r>
              <w:rPr>
                <w:rFonts w:ascii="Arial" w:cs="Arial" w:eastAsia="Arial" w:hAnsi="Arial"/>
                <w:sz w:val="22"/>
                <w:szCs w:val="22"/>
                <w:color w:val="auto"/>
                <w:w w:val="89"/>
              </w:rPr>
              <w:t>Mutual Termination. This Agreement may be terminated by written agreement of each Party38</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9.3.</w:t>
            </w:r>
          </w:p>
        </w:tc>
        <w:tc>
          <w:tcPr>
            <w:tcW w:w="8480" w:type="dxa"/>
            <w:vAlign w:val="bottom"/>
          </w:tcPr>
          <w:p>
            <w:pPr>
              <w:ind w:left="280"/>
              <w:spacing w:after="0"/>
              <w:rPr>
                <w:sz w:val="20"/>
                <w:szCs w:val="20"/>
                <w:color w:val="auto"/>
              </w:rPr>
            </w:pPr>
            <w:r>
              <w:rPr>
                <w:rFonts w:ascii="Arial" w:cs="Arial" w:eastAsia="Arial" w:hAnsi="Arial"/>
                <w:sz w:val="22"/>
                <w:szCs w:val="22"/>
                <w:color w:val="auto"/>
              </w:rPr>
              <w:t>Termination at Will38</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9.4.</w:t>
            </w:r>
          </w:p>
        </w:tc>
        <w:tc>
          <w:tcPr>
            <w:tcW w:w="8480" w:type="dxa"/>
            <w:vAlign w:val="bottom"/>
          </w:tcPr>
          <w:p>
            <w:pPr>
              <w:ind w:left="280"/>
              <w:spacing w:after="0"/>
              <w:rPr>
                <w:sz w:val="20"/>
                <w:szCs w:val="20"/>
                <w:color w:val="auto"/>
              </w:rPr>
            </w:pPr>
            <w:r>
              <w:rPr>
                <w:rFonts w:ascii="Arial" w:cs="Arial" w:eastAsia="Arial" w:hAnsi="Arial"/>
                <w:sz w:val="22"/>
                <w:szCs w:val="22"/>
                <w:color w:val="auto"/>
              </w:rPr>
              <w:t>Termination for Cause38</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9.5.</w:t>
            </w:r>
          </w:p>
        </w:tc>
        <w:tc>
          <w:tcPr>
            <w:tcW w:w="8480" w:type="dxa"/>
            <w:vAlign w:val="bottom"/>
          </w:tcPr>
          <w:p>
            <w:pPr>
              <w:ind w:left="280"/>
              <w:spacing w:after="0"/>
              <w:rPr>
                <w:sz w:val="20"/>
                <w:szCs w:val="20"/>
                <w:color w:val="auto"/>
              </w:rPr>
            </w:pPr>
            <w:r>
              <w:rPr>
                <w:rFonts w:ascii="Arial" w:cs="Arial" w:eastAsia="Arial" w:hAnsi="Arial"/>
                <w:sz w:val="22"/>
                <w:szCs w:val="22"/>
                <w:color w:val="auto"/>
              </w:rPr>
              <w:t>Termination for Patent Challenges38</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9.6.</w:t>
            </w:r>
          </w:p>
        </w:tc>
        <w:tc>
          <w:tcPr>
            <w:tcW w:w="8480" w:type="dxa"/>
            <w:vAlign w:val="bottom"/>
          </w:tcPr>
          <w:p>
            <w:pPr>
              <w:ind w:left="280"/>
              <w:spacing w:after="0"/>
              <w:rPr>
                <w:sz w:val="20"/>
                <w:szCs w:val="20"/>
                <w:color w:val="auto"/>
              </w:rPr>
            </w:pPr>
            <w:r>
              <w:rPr>
                <w:rFonts w:ascii="Arial" w:cs="Arial" w:eastAsia="Arial" w:hAnsi="Arial"/>
                <w:sz w:val="22"/>
                <w:szCs w:val="22"/>
                <w:color w:val="auto"/>
              </w:rPr>
              <w:t>Termination for an Insolvency Event39</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9.7.</w:t>
            </w:r>
          </w:p>
        </w:tc>
        <w:tc>
          <w:tcPr>
            <w:tcW w:w="8480" w:type="dxa"/>
            <w:vAlign w:val="bottom"/>
          </w:tcPr>
          <w:p>
            <w:pPr>
              <w:ind w:left="280"/>
              <w:spacing w:after="0"/>
              <w:rPr>
                <w:sz w:val="20"/>
                <w:szCs w:val="20"/>
                <w:color w:val="auto"/>
              </w:rPr>
            </w:pPr>
            <w:r>
              <w:rPr>
                <w:rFonts w:ascii="Arial" w:cs="Arial" w:eastAsia="Arial" w:hAnsi="Arial"/>
                <w:sz w:val="22"/>
                <w:szCs w:val="22"/>
                <w:color w:val="auto"/>
              </w:rPr>
              <w:t>Effects of Termination39</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9.8.</w:t>
            </w:r>
          </w:p>
        </w:tc>
        <w:tc>
          <w:tcPr>
            <w:tcW w:w="8480" w:type="dxa"/>
            <w:vAlign w:val="bottom"/>
          </w:tcPr>
          <w:p>
            <w:pPr>
              <w:ind w:left="280"/>
              <w:spacing w:after="0"/>
              <w:rPr>
                <w:sz w:val="20"/>
                <w:szCs w:val="20"/>
                <w:color w:val="auto"/>
              </w:rPr>
            </w:pPr>
            <w:r>
              <w:rPr>
                <w:rFonts w:ascii="Arial" w:cs="Arial" w:eastAsia="Arial" w:hAnsi="Arial"/>
                <w:sz w:val="22"/>
                <w:szCs w:val="22"/>
                <w:color w:val="auto"/>
              </w:rPr>
              <w:t>Accrued Rights44</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9.9.</w:t>
            </w:r>
          </w:p>
        </w:tc>
        <w:tc>
          <w:tcPr>
            <w:tcW w:w="8480" w:type="dxa"/>
            <w:vAlign w:val="bottom"/>
          </w:tcPr>
          <w:p>
            <w:pPr>
              <w:ind w:left="280"/>
              <w:spacing w:after="0"/>
              <w:rPr>
                <w:sz w:val="20"/>
                <w:szCs w:val="20"/>
                <w:color w:val="auto"/>
              </w:rPr>
            </w:pPr>
            <w:r>
              <w:rPr>
                <w:rFonts w:ascii="Arial" w:cs="Arial" w:eastAsia="Arial" w:hAnsi="Arial"/>
                <w:sz w:val="22"/>
                <w:szCs w:val="22"/>
                <w:color w:val="auto"/>
              </w:rPr>
              <w:t>No Waiver45</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9.10.</w:t>
            </w:r>
          </w:p>
        </w:tc>
        <w:tc>
          <w:tcPr>
            <w:tcW w:w="8480" w:type="dxa"/>
            <w:vAlign w:val="bottom"/>
          </w:tcPr>
          <w:p>
            <w:pPr>
              <w:ind w:left="280"/>
              <w:spacing w:after="0"/>
              <w:rPr>
                <w:sz w:val="20"/>
                <w:szCs w:val="20"/>
                <w:color w:val="auto"/>
              </w:rPr>
            </w:pPr>
            <w:r>
              <w:rPr>
                <w:rFonts w:ascii="Arial" w:cs="Arial" w:eastAsia="Arial" w:hAnsi="Arial"/>
                <w:sz w:val="22"/>
                <w:szCs w:val="22"/>
                <w:color w:val="auto"/>
              </w:rPr>
              <w:t>Survival45</w:t>
            </w:r>
          </w:p>
        </w:tc>
      </w:tr>
      <w:tr>
        <w:trPr>
          <w:trHeight w:val="338"/>
        </w:trPr>
        <w:tc>
          <w:tcPr>
            <w:tcW w:w="1460" w:type="dxa"/>
            <w:vAlign w:val="bottom"/>
          </w:tcPr>
          <w:p>
            <w:pPr>
              <w:spacing w:after="0"/>
              <w:rPr>
                <w:sz w:val="20"/>
                <w:szCs w:val="20"/>
                <w:color w:val="auto"/>
              </w:rPr>
            </w:pPr>
            <w:r>
              <w:rPr>
                <w:rFonts w:ascii="Arial" w:cs="Arial" w:eastAsia="Arial" w:hAnsi="Arial"/>
                <w:sz w:val="22"/>
                <w:szCs w:val="22"/>
                <w:color w:val="auto"/>
              </w:rPr>
              <w:t>ARTICLE 10.</w:t>
            </w:r>
          </w:p>
        </w:tc>
        <w:tc>
          <w:tcPr>
            <w:tcW w:w="8480" w:type="dxa"/>
            <w:vAlign w:val="bottom"/>
          </w:tcPr>
          <w:p>
            <w:pPr>
              <w:ind w:left="160"/>
              <w:spacing w:after="0"/>
              <w:rPr>
                <w:sz w:val="20"/>
                <w:szCs w:val="20"/>
                <w:color w:val="auto"/>
              </w:rPr>
            </w:pPr>
            <w:r>
              <w:rPr>
                <w:rFonts w:ascii="Arial" w:cs="Arial" w:eastAsia="Arial" w:hAnsi="Arial"/>
                <w:sz w:val="22"/>
                <w:szCs w:val="22"/>
                <w:color w:val="auto"/>
              </w:rPr>
              <w:t>DISPUTE RESOLUTION45</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10.1.</w:t>
            </w:r>
          </w:p>
        </w:tc>
        <w:tc>
          <w:tcPr>
            <w:tcW w:w="8480" w:type="dxa"/>
            <w:vAlign w:val="bottom"/>
          </w:tcPr>
          <w:p>
            <w:pPr>
              <w:ind w:left="280"/>
              <w:spacing w:after="0"/>
              <w:rPr>
                <w:sz w:val="20"/>
                <w:szCs w:val="20"/>
                <w:color w:val="auto"/>
              </w:rPr>
            </w:pPr>
            <w:r>
              <w:rPr>
                <w:rFonts w:ascii="Arial" w:cs="Arial" w:eastAsia="Arial" w:hAnsi="Arial"/>
                <w:sz w:val="22"/>
                <w:szCs w:val="22"/>
                <w:color w:val="auto"/>
              </w:rPr>
              <w:t>Exclusive Dispute Resolution Mechanism45</w:t>
            </w:r>
          </w:p>
        </w:tc>
      </w:tr>
      <w:tr>
        <w:trPr>
          <w:trHeight w:val="338"/>
        </w:trPr>
        <w:tc>
          <w:tcPr>
            <w:tcW w:w="1460" w:type="dxa"/>
            <w:vAlign w:val="bottom"/>
          </w:tcPr>
          <w:p>
            <w:pPr>
              <w:ind w:left="880"/>
              <w:spacing w:after="0"/>
              <w:rPr>
                <w:sz w:val="20"/>
                <w:szCs w:val="20"/>
                <w:color w:val="auto"/>
              </w:rPr>
            </w:pPr>
            <w:r>
              <w:rPr>
                <w:rFonts w:ascii="Arial" w:cs="Arial" w:eastAsia="Arial" w:hAnsi="Arial"/>
                <w:sz w:val="22"/>
                <w:szCs w:val="22"/>
                <w:color w:val="auto"/>
              </w:rPr>
              <w:t>10.2.</w:t>
            </w:r>
          </w:p>
        </w:tc>
        <w:tc>
          <w:tcPr>
            <w:tcW w:w="8480" w:type="dxa"/>
            <w:vAlign w:val="bottom"/>
          </w:tcPr>
          <w:p>
            <w:pPr>
              <w:ind w:left="280"/>
              <w:spacing w:after="0"/>
              <w:rPr>
                <w:sz w:val="20"/>
                <w:szCs w:val="20"/>
                <w:color w:val="auto"/>
              </w:rPr>
            </w:pPr>
            <w:r>
              <w:rPr>
                <w:rFonts w:ascii="Arial" w:cs="Arial" w:eastAsia="Arial" w:hAnsi="Arial"/>
                <w:sz w:val="22"/>
                <w:szCs w:val="22"/>
                <w:color w:val="auto"/>
              </w:rPr>
              <w:t>Resolution by Executive Officers45</w:t>
            </w:r>
          </w:p>
        </w:tc>
      </w:tr>
    </w:tbl>
    <w:p>
      <w:pPr>
        <w:spacing w:after="0" w:line="2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ii -</w:t>
      </w:r>
    </w:p>
    <w:p>
      <w:pPr>
        <w:spacing w:after="0" w:line="12" w:lineRule="exact"/>
        <w:rPr>
          <w:sz w:val="20"/>
          <w:szCs w:val="20"/>
          <w:color w:val="auto"/>
        </w:rPr>
      </w:pPr>
    </w:p>
    <w:p>
      <w:pPr>
        <w:ind w:firstLine="8"/>
        <w:spacing w:after="0" w:line="226"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80"/>
          </w:cols>
          <w:pgMar w:left="240" w:top="361" w:right="97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75"/>
        </w:trPr>
        <w:tc>
          <w:tcPr>
            <w:tcW w:w="1520" w:type="dxa"/>
            <w:vAlign w:val="bottom"/>
          </w:tcPr>
          <w:p>
            <w:pPr>
              <w:ind w:left="880"/>
              <w:spacing w:after="0"/>
              <w:rPr>
                <w:sz w:val="20"/>
                <w:szCs w:val="20"/>
                <w:color w:val="auto"/>
              </w:rPr>
            </w:pPr>
            <w:r>
              <w:rPr>
                <w:rFonts w:ascii="Arial" w:cs="Arial" w:eastAsia="Arial" w:hAnsi="Arial"/>
                <w:sz w:val="22"/>
                <w:szCs w:val="22"/>
                <w:color w:val="auto"/>
              </w:rPr>
              <w:t>10.3.</w:t>
            </w:r>
          </w:p>
        </w:tc>
        <w:tc>
          <w:tcPr>
            <w:tcW w:w="3920" w:type="dxa"/>
            <w:vAlign w:val="bottom"/>
          </w:tcPr>
          <w:p>
            <w:pPr>
              <w:ind w:left="220"/>
              <w:spacing w:after="0"/>
              <w:rPr>
                <w:sz w:val="20"/>
                <w:szCs w:val="20"/>
                <w:color w:val="auto"/>
              </w:rPr>
            </w:pPr>
            <w:r>
              <w:rPr>
                <w:rFonts w:ascii="Arial" w:cs="Arial" w:eastAsia="Arial" w:hAnsi="Arial"/>
                <w:sz w:val="22"/>
                <w:szCs w:val="22"/>
                <w:color w:val="auto"/>
              </w:rPr>
              <w:t>Litigation45</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10.4.</w:t>
            </w:r>
          </w:p>
        </w:tc>
        <w:tc>
          <w:tcPr>
            <w:tcW w:w="3920" w:type="dxa"/>
            <w:vAlign w:val="bottom"/>
          </w:tcPr>
          <w:p>
            <w:pPr>
              <w:ind w:left="220"/>
              <w:spacing w:after="0"/>
              <w:rPr>
                <w:sz w:val="20"/>
                <w:szCs w:val="20"/>
                <w:color w:val="auto"/>
              </w:rPr>
            </w:pPr>
            <w:r>
              <w:rPr>
                <w:rFonts w:ascii="Arial" w:cs="Arial" w:eastAsia="Arial" w:hAnsi="Arial"/>
                <w:sz w:val="22"/>
                <w:szCs w:val="22"/>
                <w:color w:val="auto"/>
              </w:rPr>
              <w:t>Jurisdiction45</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10.5.</w:t>
            </w:r>
          </w:p>
        </w:tc>
        <w:tc>
          <w:tcPr>
            <w:tcW w:w="3920" w:type="dxa"/>
            <w:vAlign w:val="bottom"/>
          </w:tcPr>
          <w:p>
            <w:pPr>
              <w:ind w:left="220"/>
              <w:spacing w:after="0"/>
              <w:rPr>
                <w:sz w:val="20"/>
                <w:szCs w:val="20"/>
                <w:color w:val="auto"/>
              </w:rPr>
            </w:pPr>
            <w:r>
              <w:rPr>
                <w:rFonts w:ascii="Arial" w:cs="Arial" w:eastAsia="Arial" w:hAnsi="Arial"/>
                <w:sz w:val="22"/>
                <w:szCs w:val="22"/>
                <w:color w:val="auto"/>
              </w:rPr>
              <w:t>Injunctive Relief46</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10.6.</w:t>
            </w:r>
          </w:p>
        </w:tc>
        <w:tc>
          <w:tcPr>
            <w:tcW w:w="3920" w:type="dxa"/>
            <w:vAlign w:val="bottom"/>
          </w:tcPr>
          <w:p>
            <w:pPr>
              <w:ind w:left="220"/>
              <w:spacing w:after="0"/>
              <w:rPr>
                <w:sz w:val="20"/>
                <w:szCs w:val="20"/>
                <w:color w:val="auto"/>
              </w:rPr>
            </w:pPr>
            <w:r>
              <w:rPr>
                <w:rFonts w:ascii="Arial" w:cs="Arial" w:eastAsia="Arial" w:hAnsi="Arial"/>
                <w:sz w:val="22"/>
                <w:szCs w:val="22"/>
                <w:color w:val="auto"/>
              </w:rPr>
              <w:t>Waiver of Right to Jury Trial46</w:t>
            </w:r>
          </w:p>
        </w:tc>
      </w:tr>
      <w:tr>
        <w:trPr>
          <w:trHeight w:val="338"/>
        </w:trPr>
        <w:tc>
          <w:tcPr>
            <w:tcW w:w="1520" w:type="dxa"/>
            <w:vAlign w:val="bottom"/>
          </w:tcPr>
          <w:p>
            <w:pPr>
              <w:spacing w:after="0"/>
              <w:rPr>
                <w:sz w:val="20"/>
                <w:szCs w:val="20"/>
                <w:color w:val="auto"/>
              </w:rPr>
            </w:pPr>
            <w:r>
              <w:rPr>
                <w:rFonts w:ascii="Arial" w:cs="Arial" w:eastAsia="Arial" w:hAnsi="Arial"/>
                <w:sz w:val="22"/>
                <w:szCs w:val="22"/>
                <w:color w:val="auto"/>
              </w:rPr>
              <w:t>ARTICLE 11.</w:t>
            </w:r>
          </w:p>
        </w:tc>
        <w:tc>
          <w:tcPr>
            <w:tcW w:w="3920" w:type="dxa"/>
            <w:vAlign w:val="bottom"/>
          </w:tcPr>
          <w:p>
            <w:pPr>
              <w:ind w:left="100"/>
              <w:spacing w:after="0"/>
              <w:rPr>
                <w:sz w:val="20"/>
                <w:szCs w:val="20"/>
                <w:color w:val="auto"/>
              </w:rPr>
            </w:pPr>
            <w:r>
              <w:rPr>
                <w:rFonts w:ascii="Arial" w:cs="Arial" w:eastAsia="Arial" w:hAnsi="Arial"/>
                <w:sz w:val="22"/>
                <w:szCs w:val="22"/>
                <w:color w:val="auto"/>
              </w:rPr>
              <w:t>INDEMNIFICATION; INSURANCE46</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11.1.</w:t>
            </w:r>
          </w:p>
        </w:tc>
        <w:tc>
          <w:tcPr>
            <w:tcW w:w="3920" w:type="dxa"/>
            <w:vAlign w:val="bottom"/>
          </w:tcPr>
          <w:p>
            <w:pPr>
              <w:ind w:left="220"/>
              <w:spacing w:after="0"/>
              <w:rPr>
                <w:sz w:val="20"/>
                <w:szCs w:val="20"/>
                <w:color w:val="auto"/>
              </w:rPr>
            </w:pPr>
            <w:r>
              <w:rPr>
                <w:rFonts w:ascii="Arial" w:cs="Arial" w:eastAsia="Arial" w:hAnsi="Arial"/>
                <w:sz w:val="22"/>
                <w:szCs w:val="22"/>
                <w:color w:val="auto"/>
              </w:rPr>
              <w:t>Indemnification by Licensee46</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11.2.</w:t>
            </w:r>
          </w:p>
        </w:tc>
        <w:tc>
          <w:tcPr>
            <w:tcW w:w="3920" w:type="dxa"/>
            <w:vAlign w:val="bottom"/>
          </w:tcPr>
          <w:p>
            <w:pPr>
              <w:ind w:left="220"/>
              <w:spacing w:after="0"/>
              <w:rPr>
                <w:sz w:val="20"/>
                <w:szCs w:val="20"/>
                <w:color w:val="auto"/>
              </w:rPr>
            </w:pPr>
            <w:r>
              <w:rPr>
                <w:rFonts w:ascii="Arial" w:cs="Arial" w:eastAsia="Arial" w:hAnsi="Arial"/>
                <w:sz w:val="22"/>
                <w:szCs w:val="22"/>
                <w:color w:val="auto"/>
              </w:rPr>
              <w:t>Indemnification by Licensor46</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11.3.</w:t>
            </w:r>
          </w:p>
        </w:tc>
        <w:tc>
          <w:tcPr>
            <w:tcW w:w="3920" w:type="dxa"/>
            <w:vAlign w:val="bottom"/>
          </w:tcPr>
          <w:p>
            <w:pPr>
              <w:ind w:left="220"/>
              <w:spacing w:after="0"/>
              <w:rPr>
                <w:sz w:val="20"/>
                <w:szCs w:val="20"/>
                <w:color w:val="auto"/>
              </w:rPr>
            </w:pPr>
            <w:r>
              <w:rPr>
                <w:rFonts w:ascii="Arial" w:cs="Arial" w:eastAsia="Arial" w:hAnsi="Arial"/>
                <w:sz w:val="22"/>
                <w:szCs w:val="22"/>
                <w:color w:val="auto"/>
              </w:rPr>
              <w:t>Indemnification Procedures47</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11.4.</w:t>
            </w:r>
          </w:p>
        </w:tc>
        <w:tc>
          <w:tcPr>
            <w:tcW w:w="3920" w:type="dxa"/>
            <w:vAlign w:val="bottom"/>
          </w:tcPr>
          <w:p>
            <w:pPr>
              <w:ind w:left="220"/>
              <w:spacing w:after="0"/>
              <w:rPr>
                <w:sz w:val="20"/>
                <w:szCs w:val="20"/>
                <w:color w:val="auto"/>
              </w:rPr>
            </w:pPr>
            <w:r>
              <w:rPr>
                <w:rFonts w:ascii="Arial" w:cs="Arial" w:eastAsia="Arial" w:hAnsi="Arial"/>
                <w:sz w:val="22"/>
                <w:szCs w:val="22"/>
                <w:color w:val="auto"/>
              </w:rPr>
              <w:t>Settlement48</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11.5.</w:t>
            </w:r>
          </w:p>
        </w:tc>
        <w:tc>
          <w:tcPr>
            <w:tcW w:w="3920" w:type="dxa"/>
            <w:vAlign w:val="bottom"/>
          </w:tcPr>
          <w:p>
            <w:pPr>
              <w:ind w:left="220"/>
              <w:spacing w:after="0"/>
              <w:rPr>
                <w:sz w:val="20"/>
                <w:szCs w:val="20"/>
                <w:color w:val="auto"/>
              </w:rPr>
            </w:pPr>
            <w:r>
              <w:rPr>
                <w:rFonts w:ascii="Arial" w:cs="Arial" w:eastAsia="Arial" w:hAnsi="Arial"/>
                <w:sz w:val="22"/>
                <w:szCs w:val="22"/>
                <w:color w:val="auto"/>
              </w:rPr>
              <w:t>Insurance48</w:t>
            </w:r>
          </w:p>
        </w:tc>
      </w:tr>
      <w:tr>
        <w:trPr>
          <w:trHeight w:val="338"/>
        </w:trPr>
        <w:tc>
          <w:tcPr>
            <w:tcW w:w="1520" w:type="dxa"/>
            <w:vAlign w:val="bottom"/>
          </w:tcPr>
          <w:p>
            <w:pPr>
              <w:spacing w:after="0"/>
              <w:rPr>
                <w:sz w:val="20"/>
                <w:szCs w:val="20"/>
                <w:color w:val="auto"/>
              </w:rPr>
            </w:pPr>
            <w:r>
              <w:rPr>
                <w:rFonts w:ascii="Arial" w:cs="Arial" w:eastAsia="Arial" w:hAnsi="Arial"/>
                <w:sz w:val="22"/>
                <w:szCs w:val="22"/>
                <w:color w:val="auto"/>
              </w:rPr>
              <w:t>ARTICLE 12.</w:t>
            </w:r>
          </w:p>
        </w:tc>
        <w:tc>
          <w:tcPr>
            <w:tcW w:w="3920" w:type="dxa"/>
            <w:vAlign w:val="bottom"/>
          </w:tcPr>
          <w:p>
            <w:pPr>
              <w:ind w:left="100"/>
              <w:spacing w:after="0"/>
              <w:rPr>
                <w:sz w:val="20"/>
                <w:szCs w:val="20"/>
                <w:color w:val="auto"/>
              </w:rPr>
            </w:pPr>
            <w:r>
              <w:rPr>
                <w:rFonts w:ascii="Arial" w:cs="Arial" w:eastAsia="Arial" w:hAnsi="Arial"/>
                <w:sz w:val="22"/>
                <w:szCs w:val="22"/>
                <w:color w:val="auto"/>
              </w:rPr>
              <w:t>MISCELLANEOUS48</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12.1.</w:t>
            </w:r>
          </w:p>
        </w:tc>
        <w:tc>
          <w:tcPr>
            <w:tcW w:w="3920" w:type="dxa"/>
            <w:vAlign w:val="bottom"/>
          </w:tcPr>
          <w:p>
            <w:pPr>
              <w:ind w:left="220"/>
              <w:spacing w:after="0"/>
              <w:rPr>
                <w:sz w:val="20"/>
                <w:szCs w:val="20"/>
                <w:color w:val="auto"/>
              </w:rPr>
            </w:pPr>
            <w:r>
              <w:rPr>
                <w:rFonts w:ascii="Arial" w:cs="Arial" w:eastAsia="Arial" w:hAnsi="Arial"/>
                <w:sz w:val="22"/>
                <w:szCs w:val="22"/>
                <w:color w:val="auto"/>
              </w:rPr>
              <w:t>Notice48</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12.2.</w:t>
            </w:r>
          </w:p>
        </w:tc>
        <w:tc>
          <w:tcPr>
            <w:tcW w:w="3920" w:type="dxa"/>
            <w:vAlign w:val="bottom"/>
          </w:tcPr>
          <w:p>
            <w:pPr>
              <w:ind w:left="220"/>
              <w:spacing w:after="0"/>
              <w:rPr>
                <w:sz w:val="20"/>
                <w:szCs w:val="20"/>
                <w:color w:val="auto"/>
              </w:rPr>
            </w:pPr>
            <w:r>
              <w:rPr>
                <w:rFonts w:ascii="Arial" w:cs="Arial" w:eastAsia="Arial" w:hAnsi="Arial"/>
                <w:sz w:val="22"/>
                <w:szCs w:val="22"/>
                <w:color w:val="auto"/>
              </w:rPr>
              <w:t>Non-Solicit49</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12.3.</w:t>
            </w:r>
          </w:p>
        </w:tc>
        <w:tc>
          <w:tcPr>
            <w:tcW w:w="3920" w:type="dxa"/>
            <w:vAlign w:val="bottom"/>
          </w:tcPr>
          <w:p>
            <w:pPr>
              <w:ind w:left="220"/>
              <w:spacing w:after="0"/>
              <w:rPr>
                <w:sz w:val="20"/>
                <w:szCs w:val="20"/>
                <w:color w:val="auto"/>
              </w:rPr>
            </w:pPr>
            <w:r>
              <w:rPr>
                <w:rFonts w:ascii="Arial" w:cs="Arial" w:eastAsia="Arial" w:hAnsi="Arial"/>
                <w:sz w:val="22"/>
                <w:szCs w:val="22"/>
                <w:color w:val="auto"/>
              </w:rPr>
              <w:t>Designation of Affiliates49</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12.4.</w:t>
            </w:r>
          </w:p>
        </w:tc>
        <w:tc>
          <w:tcPr>
            <w:tcW w:w="3920" w:type="dxa"/>
            <w:vAlign w:val="bottom"/>
          </w:tcPr>
          <w:p>
            <w:pPr>
              <w:ind w:left="220"/>
              <w:spacing w:after="0"/>
              <w:rPr>
                <w:sz w:val="20"/>
                <w:szCs w:val="20"/>
                <w:color w:val="auto"/>
              </w:rPr>
            </w:pPr>
            <w:r>
              <w:rPr>
                <w:rFonts w:ascii="Arial" w:cs="Arial" w:eastAsia="Arial" w:hAnsi="Arial"/>
                <w:sz w:val="22"/>
                <w:szCs w:val="22"/>
                <w:color w:val="auto"/>
              </w:rPr>
              <w:t>Assignment49</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12.5.</w:t>
            </w:r>
          </w:p>
        </w:tc>
        <w:tc>
          <w:tcPr>
            <w:tcW w:w="3920" w:type="dxa"/>
            <w:vAlign w:val="bottom"/>
          </w:tcPr>
          <w:p>
            <w:pPr>
              <w:ind w:left="220"/>
              <w:spacing w:after="0"/>
              <w:rPr>
                <w:sz w:val="20"/>
                <w:szCs w:val="20"/>
                <w:color w:val="auto"/>
              </w:rPr>
            </w:pPr>
            <w:r>
              <w:rPr>
                <w:rFonts w:ascii="Arial" w:cs="Arial" w:eastAsia="Arial" w:hAnsi="Arial"/>
                <w:sz w:val="22"/>
                <w:szCs w:val="22"/>
                <w:color w:val="auto"/>
              </w:rPr>
              <w:t>Limitation of Liability50</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12.6.</w:t>
            </w:r>
          </w:p>
        </w:tc>
        <w:tc>
          <w:tcPr>
            <w:tcW w:w="3920" w:type="dxa"/>
            <w:vAlign w:val="bottom"/>
          </w:tcPr>
          <w:p>
            <w:pPr>
              <w:ind w:left="220"/>
              <w:spacing w:after="0"/>
              <w:rPr>
                <w:sz w:val="20"/>
                <w:szCs w:val="20"/>
                <w:color w:val="auto"/>
              </w:rPr>
            </w:pPr>
            <w:r>
              <w:rPr>
                <w:rFonts w:ascii="Arial" w:cs="Arial" w:eastAsia="Arial" w:hAnsi="Arial"/>
                <w:sz w:val="22"/>
                <w:szCs w:val="22"/>
                <w:color w:val="auto"/>
              </w:rPr>
              <w:t>Severability50</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12.7.</w:t>
            </w:r>
          </w:p>
        </w:tc>
        <w:tc>
          <w:tcPr>
            <w:tcW w:w="3920" w:type="dxa"/>
            <w:vAlign w:val="bottom"/>
          </w:tcPr>
          <w:p>
            <w:pPr>
              <w:ind w:left="220"/>
              <w:spacing w:after="0"/>
              <w:rPr>
                <w:sz w:val="20"/>
                <w:szCs w:val="20"/>
                <w:color w:val="auto"/>
              </w:rPr>
            </w:pPr>
            <w:r>
              <w:rPr>
                <w:rFonts w:ascii="Arial" w:cs="Arial" w:eastAsia="Arial" w:hAnsi="Arial"/>
                <w:sz w:val="22"/>
                <w:szCs w:val="22"/>
                <w:color w:val="auto"/>
                <w:w w:val="89"/>
              </w:rPr>
              <w:t>Waiver and Non-Exclusion of Remedies50</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12.8.</w:t>
            </w:r>
          </w:p>
        </w:tc>
        <w:tc>
          <w:tcPr>
            <w:tcW w:w="3920" w:type="dxa"/>
            <w:vAlign w:val="bottom"/>
          </w:tcPr>
          <w:p>
            <w:pPr>
              <w:ind w:left="220"/>
              <w:spacing w:after="0"/>
              <w:rPr>
                <w:sz w:val="20"/>
                <w:szCs w:val="20"/>
                <w:color w:val="auto"/>
              </w:rPr>
            </w:pPr>
            <w:r>
              <w:rPr>
                <w:rFonts w:ascii="Arial" w:cs="Arial" w:eastAsia="Arial" w:hAnsi="Arial"/>
                <w:sz w:val="22"/>
                <w:szCs w:val="22"/>
                <w:color w:val="auto"/>
              </w:rPr>
              <w:t>Relationship of the Parties50</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12.9.</w:t>
            </w:r>
          </w:p>
        </w:tc>
        <w:tc>
          <w:tcPr>
            <w:tcW w:w="3920" w:type="dxa"/>
            <w:vAlign w:val="bottom"/>
          </w:tcPr>
          <w:p>
            <w:pPr>
              <w:ind w:left="220"/>
              <w:spacing w:after="0"/>
              <w:rPr>
                <w:sz w:val="20"/>
                <w:szCs w:val="20"/>
                <w:color w:val="auto"/>
              </w:rPr>
            </w:pPr>
            <w:r>
              <w:rPr>
                <w:rFonts w:ascii="Arial" w:cs="Arial" w:eastAsia="Arial" w:hAnsi="Arial"/>
                <w:sz w:val="22"/>
                <w:szCs w:val="22"/>
                <w:color w:val="auto"/>
              </w:rPr>
              <w:t>No Third Party Beneficiaries50</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12.10.</w:t>
            </w:r>
          </w:p>
        </w:tc>
        <w:tc>
          <w:tcPr>
            <w:tcW w:w="3920" w:type="dxa"/>
            <w:vAlign w:val="bottom"/>
          </w:tcPr>
          <w:p>
            <w:pPr>
              <w:ind w:left="220"/>
              <w:spacing w:after="0"/>
              <w:rPr>
                <w:sz w:val="20"/>
                <w:szCs w:val="20"/>
                <w:color w:val="auto"/>
              </w:rPr>
            </w:pPr>
            <w:r>
              <w:rPr>
                <w:rFonts w:ascii="Arial" w:cs="Arial" w:eastAsia="Arial" w:hAnsi="Arial"/>
                <w:sz w:val="22"/>
                <w:szCs w:val="22"/>
                <w:color w:val="auto"/>
                <w:w w:val="99"/>
              </w:rPr>
              <w:t>Construction; Rules of Construction51</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12.11.</w:t>
            </w:r>
          </w:p>
        </w:tc>
        <w:tc>
          <w:tcPr>
            <w:tcW w:w="3920" w:type="dxa"/>
            <w:vAlign w:val="bottom"/>
          </w:tcPr>
          <w:p>
            <w:pPr>
              <w:ind w:left="220"/>
              <w:spacing w:after="0"/>
              <w:rPr>
                <w:sz w:val="20"/>
                <w:szCs w:val="20"/>
                <w:color w:val="auto"/>
              </w:rPr>
            </w:pPr>
            <w:r>
              <w:rPr>
                <w:rFonts w:ascii="Arial" w:cs="Arial" w:eastAsia="Arial" w:hAnsi="Arial"/>
                <w:sz w:val="22"/>
                <w:szCs w:val="22"/>
                <w:color w:val="auto"/>
              </w:rPr>
              <w:t>Governing Law51</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12.12.</w:t>
            </w:r>
          </w:p>
        </w:tc>
        <w:tc>
          <w:tcPr>
            <w:tcW w:w="3920" w:type="dxa"/>
            <w:vAlign w:val="bottom"/>
          </w:tcPr>
          <w:p>
            <w:pPr>
              <w:ind w:left="220"/>
              <w:spacing w:after="0"/>
              <w:rPr>
                <w:sz w:val="20"/>
                <w:szCs w:val="20"/>
                <w:color w:val="auto"/>
              </w:rPr>
            </w:pPr>
            <w:r>
              <w:rPr>
                <w:rFonts w:ascii="Arial" w:cs="Arial" w:eastAsia="Arial" w:hAnsi="Arial"/>
                <w:sz w:val="22"/>
                <w:szCs w:val="22"/>
                <w:color w:val="auto"/>
              </w:rPr>
              <w:t>Entire Agreement51</w:t>
            </w:r>
          </w:p>
        </w:tc>
      </w:tr>
      <w:tr>
        <w:trPr>
          <w:trHeight w:val="338"/>
        </w:trPr>
        <w:tc>
          <w:tcPr>
            <w:tcW w:w="1520" w:type="dxa"/>
            <w:vAlign w:val="bottom"/>
          </w:tcPr>
          <w:p>
            <w:pPr>
              <w:ind w:left="880"/>
              <w:spacing w:after="0"/>
              <w:rPr>
                <w:sz w:val="20"/>
                <w:szCs w:val="20"/>
                <w:color w:val="auto"/>
              </w:rPr>
            </w:pPr>
            <w:r>
              <w:rPr>
                <w:rFonts w:ascii="Arial" w:cs="Arial" w:eastAsia="Arial" w:hAnsi="Arial"/>
                <w:sz w:val="22"/>
                <w:szCs w:val="22"/>
                <w:color w:val="auto"/>
              </w:rPr>
              <w:t>12.13.</w:t>
            </w:r>
          </w:p>
        </w:tc>
        <w:tc>
          <w:tcPr>
            <w:tcW w:w="3920" w:type="dxa"/>
            <w:vAlign w:val="bottom"/>
          </w:tcPr>
          <w:p>
            <w:pPr>
              <w:ind w:left="220"/>
              <w:spacing w:after="0"/>
              <w:rPr>
                <w:sz w:val="20"/>
                <w:szCs w:val="20"/>
                <w:color w:val="auto"/>
              </w:rPr>
            </w:pPr>
            <w:r>
              <w:rPr>
                <w:rFonts w:ascii="Arial" w:cs="Arial" w:eastAsia="Arial" w:hAnsi="Arial"/>
                <w:sz w:val="22"/>
                <w:szCs w:val="22"/>
                <w:color w:val="auto"/>
              </w:rPr>
              <w:t>Counterparts51</w:t>
            </w: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iii -</w:t>
      </w:r>
    </w:p>
    <w:p>
      <w:pPr>
        <w:spacing w:after="0" w:line="12" w:lineRule="exact"/>
        <w:rPr>
          <w:sz w:val="20"/>
          <w:szCs w:val="20"/>
          <w:color w:val="auto"/>
        </w:rPr>
      </w:pPr>
    </w:p>
    <w:p>
      <w:pPr>
        <w:ind w:firstLine="8"/>
        <w:spacing w:after="0" w:line="226"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80"/>
          </w:cols>
          <w:pgMar w:left="240" w:top="361" w:right="97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auto"/>
        </w:rPr>
        <w:t>LICENSE AGREEMENT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This L</w:t>
      </w:r>
      <w:r>
        <w:rPr>
          <w:rFonts w:ascii="Arial" w:cs="Arial" w:eastAsia="Arial" w:hAnsi="Arial"/>
          <w:sz w:val="13"/>
          <w:szCs w:val="13"/>
          <w:color w:val="auto"/>
        </w:rPr>
        <w:t>ICENSE</w:t>
      </w:r>
      <w:r>
        <w:rPr>
          <w:rFonts w:ascii="Arial" w:cs="Arial" w:eastAsia="Arial" w:hAnsi="Arial"/>
          <w:sz w:val="20"/>
          <w:szCs w:val="20"/>
          <w:color w:val="auto"/>
        </w:rPr>
        <w:t xml:space="preserve"> A</w:t>
      </w:r>
      <w:r>
        <w:rPr>
          <w:rFonts w:ascii="Arial" w:cs="Arial" w:eastAsia="Arial" w:hAnsi="Arial"/>
          <w:sz w:val="13"/>
          <w:szCs w:val="13"/>
          <w:color w:val="auto"/>
        </w:rPr>
        <w:t>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is made effective as of October 13, 2017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Vitae Pharmaceuticals, Inc., a Delaware corporation with a place of business at 400 Interpace Parkway, Parsippany, New Jersey 07054 (“</w:t>
      </w:r>
      <w:r>
        <w:rPr>
          <w:rFonts w:ascii="Arial" w:cs="Arial" w:eastAsia="Arial" w:hAnsi="Arial"/>
          <w:sz w:val="20"/>
          <w:szCs w:val="20"/>
          <w:b w:val="1"/>
          <w:bCs w:val="1"/>
          <w:color w:val="auto"/>
        </w:rPr>
        <w:t>Licensor</w:t>
      </w:r>
      <w:r>
        <w:rPr>
          <w:rFonts w:ascii="Arial" w:cs="Arial" w:eastAsia="Arial" w:hAnsi="Arial"/>
          <w:sz w:val="20"/>
          <w:szCs w:val="20"/>
          <w:color w:val="auto"/>
        </w:rPr>
        <w:t>”) and Syndax Pharmaceuticals, Inc., a Delaware corporation with a place of business at 35 Gatehouse Drive, Building D, Floor 3, Waltham, Massachusetts 02451 (“</w:t>
      </w:r>
      <w:r>
        <w:rPr>
          <w:rFonts w:ascii="Arial" w:cs="Arial" w:eastAsia="Arial" w:hAnsi="Arial"/>
          <w:sz w:val="20"/>
          <w:szCs w:val="20"/>
          <w:b w:val="1"/>
          <w:bCs w:val="1"/>
          <w:color w:val="auto"/>
        </w:rPr>
        <w:t>Licensee</w:t>
      </w:r>
      <w:r>
        <w:rPr>
          <w:rFonts w:ascii="Arial" w:cs="Arial" w:eastAsia="Arial" w:hAnsi="Arial"/>
          <w:sz w:val="20"/>
          <w:szCs w:val="20"/>
          <w:color w:val="auto"/>
        </w:rPr>
        <w:t>”). Licensor and Licensee are sometimes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WHEREAS, Licensor Controls certain Patent Rights, Know-How, and other Intellectual Property Rights related to the Licensed Compound; and</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WHEREAS, Licensee wishes to obtain, and Licensor desires to grant, a license under certain Patent Rights, Know-How, and other Intellectual Property Rights Controlled by Licensor to Exploit the Licensed Compounds and Licensed Products on the terms and conditions set forth herein.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NOW, THEREFORE, the Parties agree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97"/>
              </w:rPr>
              <w:t>Article 1.</w:t>
            </w:r>
          </w:p>
        </w:tc>
        <w:tc>
          <w:tcPr>
            <w:tcW w:w="10560" w:type="dxa"/>
            <w:vAlign w:val="bottom"/>
          </w:tcPr>
          <w:p>
            <w:pPr>
              <w:ind w:left="4820"/>
              <w:spacing w:after="0"/>
              <w:rPr>
                <w:sz w:val="20"/>
                <w:szCs w:val="20"/>
                <w:color w:val="auto"/>
              </w:rPr>
            </w:pPr>
            <w:r>
              <w:rPr>
                <w:rFonts w:ascii="Arial" w:cs="Arial" w:eastAsia="Arial" w:hAnsi="Arial"/>
                <w:sz w:val="20"/>
                <w:szCs w:val="20"/>
                <w:b w:val="1"/>
                <w:bCs w:val="1"/>
                <w:color w:val="auto"/>
              </w:rPr>
              <w:t>Definitions</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1.1.</w:t>
            </w:r>
          </w:p>
        </w:tc>
        <w:tc>
          <w:tcPr>
            <w:tcW w:w="10560" w:type="dxa"/>
            <w:vAlign w:val="bottom"/>
          </w:tcPr>
          <w:p>
            <w:pPr>
              <w:ind w:left="20"/>
              <w:spacing w:after="0"/>
              <w:rPr>
                <w:sz w:val="20"/>
                <w:szCs w:val="20"/>
                <w:color w:val="auto"/>
              </w:rPr>
            </w:pPr>
            <w:r>
              <w:rPr>
                <w:rFonts w:ascii="Arial" w:cs="Arial" w:eastAsia="Arial" w:hAnsi="Arial"/>
                <w:sz w:val="20"/>
                <w:szCs w:val="20"/>
                <w:color w:val="auto"/>
                <w:w w:val="93"/>
              </w:rPr>
              <w:t>“</w:t>
            </w:r>
            <w:r>
              <w:rPr>
                <w:rFonts w:ascii="Arial" w:cs="Arial" w:eastAsia="Arial" w:hAnsi="Arial"/>
                <w:sz w:val="20"/>
                <w:szCs w:val="20"/>
                <w:b w:val="1"/>
                <w:bCs w:val="1"/>
                <w:color w:val="auto"/>
                <w:w w:val="93"/>
              </w:rPr>
              <w:t>Accepted</w:t>
            </w:r>
            <w:r>
              <w:rPr>
                <w:rFonts w:ascii="Arial" w:cs="Arial" w:eastAsia="Arial" w:hAnsi="Arial"/>
                <w:sz w:val="20"/>
                <w:szCs w:val="20"/>
                <w:color w:val="auto"/>
                <w:w w:val="93"/>
              </w:rPr>
              <w:t>” means (a) with respect to any NDA, the date of which Licensee or its Affiliate or Sublicensee receives a notification</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7"/>
              </w:rPr>
              <w:t>from the applicable Regulatory Authority indicating that such NDA has been filed, and (b) with respect to any IND, 30 days</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5"/>
              </w:rPr>
              <w:t>following the filing of such IND if Licensee or its Affiliate or Sublicensee has not received any notice of a clinical hold from the</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2"/>
              </w:rPr>
              <w:t>applicable Regulatory Authority during such 30 day period; provided that, if Licensee or its Affiliate or Sublicensee does receive a</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7"/>
              </w:rPr>
              <w:t>notice of a clinical hold, then the applicable IND will be deemed “Accepted” on the date on which the applicable Regulatory</w:t>
            </w:r>
          </w:p>
        </w:tc>
      </w:tr>
      <w:tr>
        <w:trPr>
          <w:trHeight w:val="250"/>
        </w:trPr>
        <w:tc>
          <w:tcPr>
            <w:tcW w:w="860" w:type="dxa"/>
            <w:vAlign w:val="bottom"/>
          </w:tcPr>
          <w:p>
            <w:pPr>
              <w:spacing w:after="0"/>
              <w:rPr>
                <w:sz w:val="21"/>
                <w:szCs w:val="21"/>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rPr>
              <w:t>Authority lifts such clinical hold.</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1.2.</w:t>
            </w:r>
          </w:p>
        </w:tc>
        <w:tc>
          <w:tcPr>
            <w:tcW w:w="10560" w:type="dxa"/>
            <w:vAlign w:val="bottom"/>
          </w:tcPr>
          <w:p>
            <w:pPr>
              <w:ind w:left="2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color w:val="auto"/>
                <w:w w:val="92"/>
              </w:rPr>
              <w:t>Affiliate</w:t>
            </w:r>
            <w:r>
              <w:rPr>
                <w:rFonts w:ascii="Arial" w:cs="Arial" w:eastAsia="Arial" w:hAnsi="Arial"/>
                <w:sz w:val="20"/>
                <w:szCs w:val="20"/>
                <w:color w:val="auto"/>
                <w:w w:val="92"/>
              </w:rPr>
              <w:t>” means, with respect to a Person, any Person that, directly or indirectly, through one or more intermediaries, controls, is</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0"/>
              </w:rPr>
              <w:t>controlled by or is under common control with such first Person at any time for so long as such Person controls, is controlled by or is</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3"/>
              </w:rPr>
              <w:t>under common control with such first Person.  For purposes of this definition, “control” and, with correlative meanings, the terms</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7"/>
              </w:rPr>
              <w:t>“controlled by” and “under common control with” mean:  (a) the possession, directly or indirectly, of the power to direct the</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0"/>
              </w:rPr>
              <w:t>management or policies of a business entity, whether through the ownership of voting securities, by contract relating to voting rights</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1"/>
              </w:rPr>
              <w:t>or corporate governance or otherwise; or (b) the ownership, directly or indirectly, of more than 50% of the voting securities or other</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6"/>
              </w:rPr>
              <w:t>ownership interests of a business entity (or, with respect to a limited partnership or other similar entity, its general partner or</w:t>
            </w:r>
          </w:p>
        </w:tc>
      </w:tr>
      <w:tr>
        <w:trPr>
          <w:trHeight w:val="250"/>
        </w:trPr>
        <w:tc>
          <w:tcPr>
            <w:tcW w:w="860" w:type="dxa"/>
            <w:vAlign w:val="bottom"/>
          </w:tcPr>
          <w:p>
            <w:pPr>
              <w:spacing w:after="0"/>
              <w:rPr>
                <w:sz w:val="21"/>
                <w:szCs w:val="21"/>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rPr>
              <w:t>controlling entity). In the case of Licensor, Allergan is an Affiliate of Licensor.</w:t>
            </w:r>
          </w:p>
        </w:tc>
      </w:tr>
      <w:tr>
        <w:trPr>
          <w:trHeight w:val="446"/>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1.3.</w:t>
            </w:r>
          </w:p>
        </w:tc>
        <w:tc>
          <w:tcPr>
            <w:tcW w:w="10560" w:type="dxa"/>
            <w:vAlign w:val="bottom"/>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has the meaning set forth in the Preamble.</w:t>
            </w:r>
          </w:p>
        </w:tc>
      </w:tr>
      <w:tr>
        <w:trPr>
          <w:trHeight w:val="446"/>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1.4.</w:t>
            </w:r>
          </w:p>
        </w:tc>
        <w:tc>
          <w:tcPr>
            <w:tcW w:w="10560" w:type="dxa"/>
            <w:vAlign w:val="bottom"/>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Allergan</w:t>
            </w:r>
            <w:r>
              <w:rPr>
                <w:rFonts w:ascii="Arial" w:cs="Arial" w:eastAsia="Arial" w:hAnsi="Arial"/>
                <w:sz w:val="20"/>
                <w:szCs w:val="20"/>
                <w:color w:val="auto"/>
              </w:rPr>
              <w:t>” means Allergan, Inc., a Delaware corporation.</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1.5.</w:t>
            </w:r>
          </w:p>
        </w:tc>
        <w:tc>
          <w:tcPr>
            <w:tcW w:w="10560" w:type="dxa"/>
            <w:vAlign w:val="bottom"/>
          </w:tcPr>
          <w:p>
            <w:pPr>
              <w:ind w:left="2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Annual Net Sales</w:t>
            </w:r>
            <w:r>
              <w:rPr>
                <w:rFonts w:ascii="Arial" w:cs="Arial" w:eastAsia="Arial" w:hAnsi="Arial"/>
                <w:sz w:val="20"/>
                <w:szCs w:val="20"/>
                <w:color w:val="auto"/>
                <w:w w:val="91"/>
              </w:rPr>
              <w:t>” means, with respect to a given Calendar Year, the aggregate amount of Net Sales for all Licensed Products in</w:t>
            </w:r>
          </w:p>
        </w:tc>
      </w:tr>
      <w:tr>
        <w:trPr>
          <w:trHeight w:val="250"/>
        </w:trPr>
        <w:tc>
          <w:tcPr>
            <w:tcW w:w="860" w:type="dxa"/>
            <w:vAlign w:val="bottom"/>
          </w:tcPr>
          <w:p>
            <w:pPr>
              <w:spacing w:after="0"/>
              <w:rPr>
                <w:sz w:val="21"/>
                <w:szCs w:val="21"/>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rPr>
              <w:t>all countries in the Territory for such Calendar Year.</w:t>
            </w:r>
          </w:p>
        </w:tc>
      </w:tr>
    </w:tbl>
    <w:p>
      <w:pPr>
        <w:spacing w:after="0" w:line="200" w:lineRule="exact"/>
        <w:rPr>
          <w:sz w:val="20"/>
          <w:szCs w:val="20"/>
          <w:color w:val="auto"/>
        </w:rPr>
      </w:pPr>
    </w:p>
    <w:p>
      <w:pPr>
        <w:spacing w:after="0" w:line="2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- 1 -</w:t>
      </w:r>
    </w:p>
    <w:p>
      <w:pPr>
        <w:spacing w:after="0" w:line="12" w:lineRule="exact"/>
        <w:rPr>
          <w:sz w:val="20"/>
          <w:szCs w:val="20"/>
          <w:color w:val="auto"/>
        </w:rPr>
      </w:pPr>
    </w:p>
    <w:p>
      <w:pPr>
        <w:ind w:right="740" w:firstLine="8"/>
        <w:spacing w:after="0" w:line="226"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39" w:name="page140"/>
    <w:bookmarkEnd w:id="139"/>
    <w:p>
      <w:pPr>
        <w:jc w:val="both"/>
        <w:ind w:left="880" w:hanging="863"/>
        <w:spacing w:after="0" w:line="273" w:lineRule="auto"/>
        <w:tabs>
          <w:tab w:leader="none" w:pos="86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federal, state, local, municipal, foreign, or other law, statute, legislation, constitution, principle of common law, code, treaty ordinance, regulation, rule, or order of any kind whatsoever put into place under the authority of any Governmental Authority, including the FFDCA, Prescription Drug Marketing Act, the Generic Drug Enforcement Act of 1992 (21 U.S.C. §335a et seq.), U.S. Patent Act (35 U.S.C. §1 et seq.), Federal Civil False Claims Act (31 U.S.C. §3729 et seq.), and the Anti-Kickback Statute (42 U.S.C. §1320a-7b et seq.), all as amended from time-to-time, together with any rules, regulations, and compliance guidance promulgated thereunder. “Applicable Law” will include the applicable regulations and guidance of the FDA and European Union (and national implementations thereof) that constitute good laboratory practices (GLP), good manufacturing practices (GMP), and good clinical practices (GCP) (and, if and as appropriate under the circumstances, ICH guidance or other comparable regulation and guidance of any applicable Governmental Authority).</w:t>
      </w:r>
    </w:p>
    <w:p>
      <w:pPr>
        <w:spacing w:after="0" w:line="16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Breaching Party</w:t>
      </w:r>
      <w:r>
        <w:rPr>
          <w:rFonts w:ascii="Arial" w:cs="Arial" w:eastAsia="Arial" w:hAnsi="Arial"/>
          <w:sz w:val="18"/>
          <w:szCs w:val="18"/>
          <w:color w:val="auto"/>
        </w:rPr>
        <w:t>” has the meaning set forth in Section 9.4 (Cure Periods).</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20"/>
          <w:szCs w:val="20"/>
          <w:color w:val="auto"/>
        </w:rPr>
        <w:t>“[*]” means [*].</w:t>
      </w:r>
    </w:p>
    <w:p>
      <w:pPr>
        <w:spacing w:after="0" w:line="216" w:lineRule="exact"/>
        <w:rPr>
          <w:sz w:val="20"/>
          <w:szCs w:val="20"/>
          <w:color w:val="auto"/>
        </w:rPr>
      </w:pPr>
    </w:p>
    <w:p>
      <w:pPr>
        <w:jc w:val="both"/>
        <w:ind w:left="880" w:hanging="863"/>
        <w:spacing w:after="0" w:line="267" w:lineRule="auto"/>
        <w:tabs>
          <w:tab w:leader="none" w:pos="86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or Sunday or a day on which banking institutions in New York, New York are permitted or required to be closed.</w:t>
      </w:r>
    </w:p>
    <w:p>
      <w:pPr>
        <w:spacing w:after="0" w:line="164"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Calendar Quarter</w:t>
      </w:r>
      <w:r>
        <w:rPr>
          <w:rFonts w:ascii="Arial" w:cs="Arial" w:eastAsia="Arial" w:hAnsi="Arial"/>
          <w:sz w:val="20"/>
          <w:szCs w:val="20"/>
          <w:color w:val="auto"/>
        </w:rPr>
        <w:t>” means a period of three consecutive months corresponding to the calendar quarters commencing on the first day of January, April, July, or October, except that the first Calendar Quarter of the Term will commence on the Effective Date and end on the day immediately prior to the first to occur of January 1, April 1, July 1, or October 1 after the Effective Date and the last Calendar Quarter will end on the last day of the Term.</w:t>
      </w:r>
    </w:p>
    <w:p>
      <w:pPr>
        <w:spacing w:after="0" w:line="184"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Calendar Year</w:t>
      </w:r>
      <w:r>
        <w:rPr>
          <w:rFonts w:ascii="Arial" w:cs="Arial" w:eastAsia="Arial" w:hAnsi="Arial"/>
          <w:sz w:val="20"/>
          <w:szCs w:val="20"/>
          <w:color w:val="auto"/>
        </w:rPr>
        <w:t>” means a period of 12 consecutive months corresponding to the calendar year commencing on the first day of January, except that the first Calendar Year of the Term will commence on the Effective Date and end on December 31 of the year in which the Effective Date occurs and the last Calendar Year of the Term will commence on January 1 of the year in which the Term ends and end on the last day of the Term.</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CDA</w:t>
      </w:r>
      <w:r>
        <w:rPr>
          <w:rFonts w:ascii="Arial" w:cs="Arial" w:eastAsia="Arial" w:hAnsi="Arial"/>
          <w:sz w:val="18"/>
          <w:szCs w:val="18"/>
          <w:color w:val="auto"/>
        </w:rPr>
        <w:t>” has the meaning set forth in Section 12.13 (Entire Agreement).</w:t>
      </w:r>
    </w:p>
    <w:p>
      <w:pPr>
        <w:spacing w:after="0" w:line="216"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Challenge</w:t>
      </w:r>
      <w:r>
        <w:rPr>
          <w:rFonts w:ascii="Arial" w:cs="Arial" w:eastAsia="Arial" w:hAnsi="Arial"/>
          <w:sz w:val="20"/>
          <w:szCs w:val="20"/>
          <w:color w:val="auto"/>
        </w:rPr>
        <w:t>” means, with respect to any Licensor Patent Right, to contest the validity or enforceability of any such Licensor Patent Right, in whole or in part, in any court, arbitration proceeding or other tribunal, including the United States Patent and Trademark Office and the United States International Trade Commission. As used in this definition the term “contest” includes [*]; but excludes [*].</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has the meaning set forth in Section 11.1 (Indemnification by Licensee).</w:t>
      </w:r>
    </w:p>
    <w:p>
      <w:pPr>
        <w:spacing w:after="0" w:line="216"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Clinical Trial</w:t>
      </w:r>
      <w:r>
        <w:rPr>
          <w:rFonts w:ascii="Arial" w:cs="Arial" w:eastAsia="Arial" w:hAnsi="Arial"/>
          <w:sz w:val="20"/>
          <w:szCs w:val="20"/>
          <w:color w:val="auto"/>
        </w:rPr>
        <w:t>” means any clinical trial in humans that is designed to generate data in support or maintenance of any Regulatory Submission, including any Phase I Clinical Trial, Phase II Clinical Trial, Pivotal Clinical Trial, or any post-approval clinical trial in humans.</w:t>
      </w:r>
    </w:p>
    <w:p>
      <w:pPr>
        <w:spacing w:after="0" w:line="178"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Combination Product</w:t>
      </w:r>
      <w:r>
        <w:rPr>
          <w:rFonts w:ascii="Arial" w:cs="Arial" w:eastAsia="Arial" w:hAnsi="Arial"/>
          <w:sz w:val="20"/>
          <w:szCs w:val="20"/>
          <w:color w:val="auto"/>
        </w:rPr>
        <w:t>” means a Licensed Product that is comprised of or contains a Licensed Compound as an active ingredient together with one (1) or more other active ingredients and is sold either as a fixed dose/unit or as separate doses/units in a single package.</w:t>
      </w:r>
    </w:p>
    <w:p>
      <w:pPr>
        <w:spacing w:after="0" w:line="200" w:lineRule="exact"/>
        <w:rPr>
          <w:sz w:val="20"/>
          <w:szCs w:val="20"/>
          <w:color w:val="auto"/>
        </w:rPr>
      </w:pP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- 2 -</w:t>
      </w:r>
    </w:p>
    <w:p>
      <w:pPr>
        <w:spacing w:after="0" w:line="12" w:lineRule="exact"/>
        <w:rPr>
          <w:sz w:val="20"/>
          <w:szCs w:val="20"/>
          <w:color w:val="auto"/>
        </w:rPr>
      </w:pPr>
    </w:p>
    <w:p>
      <w:pPr>
        <w:ind w:right="740" w:firstLine="8"/>
        <w:spacing w:after="0" w:line="226"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0" w:name="page141"/>
    <w:bookmarkEnd w:id="140"/>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Commercialize</w:t>
      </w:r>
      <w:r>
        <w:rPr>
          <w:rFonts w:ascii="Arial" w:cs="Arial" w:eastAsia="Arial" w:hAnsi="Arial"/>
          <w:sz w:val="20"/>
          <w:szCs w:val="20"/>
          <w:color w:val="auto"/>
        </w:rPr>
        <w:t>” means, in respect of a product, any and all activities directed to the preparation for sale of, offering for sale of, or sale of such product, including activities related to marketing, promoting, distributing, and importing such product and interacting with Regulatory Authorities regarding any of the foregoing. When used as a verb, “Commercialize” means to engage in Commercialization activities.</w:t>
      </w:r>
    </w:p>
    <w:p>
      <w:pPr>
        <w:spacing w:after="0" w:line="184" w:lineRule="exact"/>
        <w:rPr>
          <w:sz w:val="20"/>
          <w:szCs w:val="20"/>
          <w:color w:val="auto"/>
        </w:rPr>
      </w:pPr>
    </w:p>
    <w:p>
      <w:pPr>
        <w:jc w:val="both"/>
        <w:ind w:left="880" w:hanging="863"/>
        <w:spacing w:after="0" w:line="271" w:lineRule="auto"/>
        <w:tabs>
          <w:tab w:leader="none" w:pos="86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Licensee’s obligations under the Agreement to Exploit the Licensed Compounds and Licensed Products, the level of efforts in carrying out such obligation in a sustained manner that is at least consistent with the efforts that a similarly situated biotechnology company would typically devote to compounds and products of similar commercial and scientific potential at a similar stage in their lifecycle, based on market conditions then prevailing and taking into account expected and actual cost and time to Exploit the Licensed Compounds and Licensed Products, the potential profitability of the Licensed Compounds and Licensed Products, the competitiveness of the marketplace, the performance of other products that are of similar market potential, the likely timing of other products’ entry into the market and all other relevant legal and technical factors. The expenditure of Commercially Reasonable Efforts requires, with respect to a particular task or activity in Exploiting the Licensed Compounds and Licensed Products, that Licensee: [*]. The expenditure of Commercially Reasonable Efforts requires Licensee to [*] given the commercial and scientific potential of the Licensed Compounds and Licensed Products, and [*] for purposes of determining Licensee’s expenditure of Commercially Reasonable Efforts.</w:t>
      </w:r>
    </w:p>
    <w:p>
      <w:pPr>
        <w:spacing w:after="0" w:line="171" w:lineRule="exact"/>
        <w:rPr>
          <w:sz w:val="20"/>
          <w:szCs w:val="20"/>
          <w:color w:val="auto"/>
        </w:rPr>
      </w:pPr>
    </w:p>
    <w:p>
      <w:pPr>
        <w:jc w:val="both"/>
        <w:ind w:left="880" w:hanging="863"/>
        <w:spacing w:after="0" w:line="256" w:lineRule="auto"/>
        <w:tabs>
          <w:tab w:leader="none" w:pos="86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non-public or proprietary information disclosed by a Party to the other Party under this Agreement, which may include ideas, inventions, discoveries, concepts, compounds, compositions, formulations, formulas, practices, procedures, processes, methods, knowledge, Know-How, trade secrets, technology, inventories, machines, techniques, development, designs, drawings, computer programs, skill, experience, documents, apparatus, results, clinical and regulatory strategies, regulatory documentation, information and submissions pertaining to or made in association with Regulatory Submissions, data (including pharmacological, toxicological, and clinical data, raw data, analytical and quality control data, manufacturing data and descriptions, patent and legal data, market data, financial data or descriptions), devices, assays, chemical formulations, specifications, material, product samples and other samples, physical, chemical and biological materials and compounds, and the like, without regard as to whether any of the foregoing is marked “confidential” or “proprietary,” or disclosed in oral, written, graphic, or electronic form.</w:t>
      </w:r>
    </w:p>
    <w:p>
      <w:pPr>
        <w:spacing w:after="0" w:line="181"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Contact Person</w:t>
      </w:r>
      <w:r>
        <w:rPr>
          <w:rFonts w:ascii="Arial" w:cs="Arial" w:eastAsia="Arial" w:hAnsi="Arial"/>
          <w:sz w:val="16"/>
          <w:szCs w:val="16"/>
          <w:color w:val="auto"/>
        </w:rPr>
        <w:t>” has the meaning set forth in Section 3.4 (Contact Persons).</w:t>
      </w:r>
    </w:p>
    <w:p>
      <w:pPr>
        <w:spacing w:after="0" w:line="216" w:lineRule="exact"/>
        <w:rPr>
          <w:sz w:val="20"/>
          <w:szCs w:val="20"/>
          <w:color w:val="auto"/>
        </w:rPr>
      </w:pPr>
    </w:p>
    <w:p>
      <w:pPr>
        <w:jc w:val="both"/>
        <w:ind w:left="880" w:hanging="863"/>
        <w:spacing w:after="0" w:line="272" w:lineRule="auto"/>
        <w:tabs>
          <w:tab w:leader="none" w:pos="86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any Intellectual Property Rights, Regulatory Submissions, Regulatory Approvals, or Materials (including compounds), ownership or possession by a Party, including its Affiliates, of the ability (without taking into account any rights granted by one Party to the other Party under the terms of this Agreement) to grant access, a license, or a sublicense (as the case may be) to such Intellectual Property Rights, Regulatory Submissions, Regulatory Approvals, or Materials, without (a) violating the terms of any agreement or other arrangement with, or (b) necessitating the consent of, in each case ((a) or (b)), any Third Party, at such time that the Party would be first required under this Agreement to grant the other Party such access, license, or sublicense. In addition, with respect to any Intellectual Property Rights, Regulatory Submissions, Regulatory Approvals, or Materials acquired or in-licensed by a Party after the Effective Date from a Third Party for which payments would be owed to a Third Party in order to grant access, a license or a sublicense hereunder, such Intellectual Property Rights, Regulatory Submissions, Regulatory Approvals, and Materials will not be treated as “Controlled” by the</w:t>
      </w:r>
    </w:p>
    <w:p>
      <w:pPr>
        <w:spacing w:after="0" w:line="39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- 3 -</w:t>
      </w:r>
    </w:p>
    <w:p>
      <w:pPr>
        <w:spacing w:after="0" w:line="12" w:lineRule="exact"/>
        <w:rPr>
          <w:sz w:val="20"/>
          <w:szCs w:val="20"/>
          <w:color w:val="auto"/>
        </w:rPr>
      </w:pPr>
    </w:p>
    <w:p>
      <w:pPr>
        <w:ind w:right="740" w:firstLine="8"/>
        <w:spacing w:after="0" w:line="226"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1" w:name="page142"/>
    <w:bookmarkEnd w:id="141"/>
    <w:p>
      <w:pPr>
        <w:jc w:val="both"/>
        <w:ind w:left="880"/>
        <w:spacing w:after="0" w:line="255" w:lineRule="auto"/>
        <w:rPr>
          <w:sz w:val="20"/>
          <w:szCs w:val="20"/>
          <w:color w:val="auto"/>
        </w:rPr>
      </w:pPr>
      <w:r>
        <w:rPr>
          <w:rFonts w:ascii="Arial" w:cs="Arial" w:eastAsia="Arial" w:hAnsi="Arial"/>
          <w:sz w:val="19"/>
          <w:szCs w:val="19"/>
          <w:color w:val="auto"/>
        </w:rPr>
        <w:t>granting Party if (i) the Party granting access, a license, or a sublicense discloses to the other Party all payments due to such Third Party in consideration for the sublicense to and arising out of the exercise of such rights by the other Party of such Intellectual Property Rights, Regulatory Submissions, Regulatory Approvals, or Materials and all obligations required to be passed on to a party to which a license, sublicense, or access is granted, and (ii) such other Party either declines to pay such payments or does not agree to comply with such obligations or, after failing to decline to pay such payments or comply with such obligations, later does not pay such payments in a timely manner or does not comply with such obligations. Notwithstanding anything to the contrary set forth in this Agreement, a Party (or Affiliate of a Party, as applicable) will not be deemed to Control any Intellectual Property Rights, Regulatory Submissions, Regulatory Approvals, or Materials if (i) such Intellectual Property Rights, Regulatory Submissions, Regulatory Approvals, or Materials are owned or in-licensed by a Third Party that becomes an Affiliate of such Party (or Affiliate of a Party, as applicable) after the Effective Date as a result of such Party (or Affiliate of a Party, as applicable) acquiring or being acquired by such Third Party, whether by merger, stock purchase, or purchase of assets and (ii) such Intellectual Property Rights, Regulatory Submissions, Regulatory Approvals, or Materials were not Controlled by such Party (or Affiliate of a Party, as applicable) prior to such acquisition.</w:t>
      </w:r>
    </w:p>
    <w:p>
      <w:pPr>
        <w:spacing w:after="0" w:line="177"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Cover</w:t>
      </w:r>
      <w:r>
        <w:rPr>
          <w:rFonts w:ascii="Arial" w:cs="Arial" w:eastAsia="Arial" w:hAnsi="Arial"/>
          <w:sz w:val="20"/>
          <w:szCs w:val="20"/>
          <w:color w:val="auto"/>
        </w:rPr>
        <w:t>” or “</w:t>
      </w:r>
      <w:r>
        <w:rPr>
          <w:rFonts w:ascii="Arial" w:cs="Arial" w:eastAsia="Arial" w:hAnsi="Arial"/>
          <w:sz w:val="20"/>
          <w:szCs w:val="20"/>
          <w:b w:val="1"/>
          <w:bCs w:val="1"/>
          <w:color w:val="auto"/>
        </w:rPr>
        <w:t>Covered</w:t>
      </w:r>
      <w:r>
        <w:rPr>
          <w:rFonts w:ascii="Arial" w:cs="Arial" w:eastAsia="Arial" w:hAnsi="Arial"/>
          <w:sz w:val="20"/>
          <w:szCs w:val="20"/>
          <w:color w:val="auto"/>
        </w:rPr>
        <w:t>” or “</w:t>
      </w:r>
      <w:r>
        <w:rPr>
          <w:rFonts w:ascii="Arial" w:cs="Arial" w:eastAsia="Arial" w:hAnsi="Arial"/>
          <w:sz w:val="20"/>
          <w:szCs w:val="20"/>
          <w:b w:val="1"/>
          <w:bCs w:val="1"/>
          <w:color w:val="auto"/>
        </w:rPr>
        <w:t>Covering</w:t>
      </w:r>
      <w:r>
        <w:rPr>
          <w:rFonts w:ascii="Arial" w:cs="Arial" w:eastAsia="Arial" w:hAnsi="Arial"/>
          <w:sz w:val="20"/>
          <w:szCs w:val="20"/>
          <w:color w:val="auto"/>
        </w:rPr>
        <w:t>” means, with respect to a given compound, product, or material and a given Patent Right, that the manufacture, use, sale, offer for sale, or importation of such compound, product, or material would infringe one or more claims of such Patent Right absent ownership of or a license under such Patent Right.</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Defense Action</w:t>
      </w:r>
      <w:r>
        <w:rPr>
          <w:rFonts w:ascii="Arial" w:cs="Arial" w:eastAsia="Arial" w:hAnsi="Arial"/>
          <w:sz w:val="18"/>
          <w:szCs w:val="18"/>
          <w:color w:val="auto"/>
        </w:rPr>
        <w:t>” has the meaning set forth in Section 6.4.1 (Notification).</w:t>
      </w:r>
    </w:p>
    <w:p>
      <w:pPr>
        <w:spacing w:after="0" w:line="216" w:lineRule="exact"/>
        <w:rPr>
          <w:sz w:val="20"/>
          <w:szCs w:val="20"/>
          <w:color w:val="auto"/>
        </w:rPr>
      </w:pPr>
    </w:p>
    <w:p>
      <w:pPr>
        <w:jc w:val="both"/>
        <w:ind w:left="880" w:hanging="863"/>
        <w:spacing w:after="0" w:line="266" w:lineRule="auto"/>
        <w:tabs>
          <w:tab w:leader="none" w:pos="86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w:t>
      </w:r>
      <w:r>
        <w:rPr>
          <w:rFonts w:ascii="Arial" w:cs="Arial" w:eastAsia="Arial" w:hAnsi="Arial"/>
          <w:sz w:val="19"/>
          <w:szCs w:val="19"/>
          <w:color w:val="auto"/>
        </w:rPr>
        <w:t>” or “</w:t>
      </w:r>
      <w:r>
        <w:rPr>
          <w:rFonts w:ascii="Arial" w:cs="Arial" w:eastAsia="Arial" w:hAnsi="Arial"/>
          <w:sz w:val="19"/>
          <w:szCs w:val="19"/>
          <w:b w:val="1"/>
          <w:bCs w:val="1"/>
          <w:color w:val="auto"/>
        </w:rPr>
        <w:t>Development</w:t>
      </w:r>
      <w:r>
        <w:rPr>
          <w:rFonts w:ascii="Arial" w:cs="Arial" w:eastAsia="Arial" w:hAnsi="Arial"/>
          <w:sz w:val="19"/>
          <w:szCs w:val="19"/>
          <w:color w:val="auto"/>
        </w:rPr>
        <w:t>” means any and all activities, including research, discovery, compound identification and generation, non-clinical, pre-clinical trials, and Clinical Trials, post approval studies, supporting Manufacturing, production process development and formulation, and related regulatory activities directed to obtaining and maintaining Regulatory Approval for a product for an Indication. When used as a verb, “Develop” means to engage in Development activities.</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Disclosing Party</w:t>
      </w:r>
      <w:r>
        <w:rPr>
          <w:rFonts w:ascii="Arial" w:cs="Arial" w:eastAsia="Arial" w:hAnsi="Arial"/>
          <w:sz w:val="16"/>
          <w:szCs w:val="16"/>
          <w:color w:val="auto"/>
        </w:rPr>
        <w:t>” has the meaning set forth in Section 7.1.1 (Nondisclosure and Non-Use).</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Disputes</w:t>
      </w:r>
      <w:r>
        <w:rPr>
          <w:rFonts w:ascii="Arial" w:cs="Arial" w:eastAsia="Arial" w:hAnsi="Arial"/>
          <w:sz w:val="18"/>
          <w:szCs w:val="18"/>
          <w:color w:val="auto"/>
        </w:rPr>
        <w:t>” has the meaning set forth in Section 10.1 (Exclusive Dispute Resolution Mechanism).</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Effective Date</w:t>
      </w:r>
      <w:r>
        <w:rPr>
          <w:rFonts w:ascii="Arial" w:cs="Arial" w:eastAsia="Arial" w:hAnsi="Arial"/>
          <w:sz w:val="16"/>
          <w:szCs w:val="16"/>
          <w:color w:val="auto"/>
        </w:rPr>
        <w:t>” has the meaning set forth in the Preamble.</w:t>
      </w:r>
    </w:p>
    <w:p>
      <w:pPr>
        <w:spacing w:after="0" w:line="216" w:lineRule="exact"/>
        <w:rPr>
          <w:sz w:val="20"/>
          <w:szCs w:val="20"/>
          <w:color w:val="auto"/>
        </w:rPr>
      </w:pPr>
    </w:p>
    <w:p>
      <w:pPr>
        <w:jc w:val="both"/>
        <w:ind w:left="880" w:right="2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EMA</w:t>
      </w:r>
      <w:r>
        <w:rPr>
          <w:rFonts w:ascii="Arial" w:cs="Arial" w:eastAsia="Arial" w:hAnsi="Arial"/>
          <w:sz w:val="20"/>
          <w:szCs w:val="20"/>
          <w:color w:val="auto"/>
        </w:rPr>
        <w:t>” means the European Medicines Agency, or any successor agency thereto having the administrative authority to regulate the marketing of human pharmaceutical products or biological therapeutic products, delivery systems, and devices in the European Union.</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Executive Officer</w:t>
      </w:r>
      <w:r>
        <w:rPr>
          <w:rFonts w:ascii="Arial" w:cs="Arial" w:eastAsia="Arial" w:hAnsi="Arial"/>
          <w:sz w:val="18"/>
          <w:szCs w:val="18"/>
          <w:color w:val="auto"/>
        </w:rPr>
        <w:t>” has the meaning set forth in Section 10.2 (Resolution by Executive Officers).</w:t>
      </w:r>
    </w:p>
    <w:p>
      <w:pPr>
        <w:spacing w:after="0" w:line="216"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b w:val="1"/>
          <w:bCs w:val="1"/>
          <w:color w:val="auto"/>
        </w:rPr>
        <w:t>1.30.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Exploit</w:t>
      </w:r>
      <w:r>
        <w:rPr>
          <w:rFonts w:ascii="Arial" w:cs="Arial" w:eastAsia="Arial" w:hAnsi="Arial"/>
          <w:sz w:val="20"/>
          <w:szCs w:val="20"/>
          <w:color w:val="auto"/>
        </w:rPr>
        <w:t>” means, in respect of a compound, product, or material, to make, have made, import, use, sell, or offer for sale, including to research, Develop, Commercialize, register, seek Regulatory Approval for, Manufacture, have Manufactured, hold or keep (whether for disposal or otherwise), have used, export, transport, distribute, promote, market, or have sold or otherwise dispose of such compound, product, or material. When used as a verb, “Exploit” and “Exploiting” means to engage in Exploitation and “Exploited” has a corresponding meaning.</w:t>
      </w:r>
    </w:p>
    <w:p>
      <w:pPr>
        <w:spacing w:after="0" w:line="200" w:lineRule="exact"/>
        <w:rPr>
          <w:sz w:val="20"/>
          <w:szCs w:val="20"/>
          <w:color w:val="auto"/>
        </w:rPr>
      </w:pPr>
    </w:p>
    <w:p>
      <w:pPr>
        <w:spacing w:after="0" w:line="21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- 4 -</w:t>
      </w:r>
    </w:p>
    <w:p>
      <w:pPr>
        <w:spacing w:after="0" w:line="12" w:lineRule="exact"/>
        <w:rPr>
          <w:sz w:val="20"/>
          <w:szCs w:val="20"/>
          <w:color w:val="auto"/>
        </w:rPr>
      </w:pPr>
    </w:p>
    <w:p>
      <w:pPr>
        <w:ind w:right="740" w:firstLine="8"/>
        <w:spacing w:after="0" w:line="226" w:lineRule="auto"/>
        <w:tabs>
          <w:tab w:leader="none" w:pos="2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42" w:name="page143"/>
    <w:bookmarkEnd w:id="142"/>
    <w:p>
      <w:pPr>
        <w:spacing w:after="0"/>
        <w:tabs>
          <w:tab w:leader="none" w:pos="86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agency thereto.</w:t>
      </w:r>
    </w:p>
    <w:p>
      <w:pPr>
        <w:spacing w:after="0" w:line="216"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FDASIA</w:t>
      </w:r>
      <w:r>
        <w:rPr>
          <w:rFonts w:ascii="Arial" w:cs="Arial" w:eastAsia="Arial" w:hAnsi="Arial"/>
          <w:sz w:val="20"/>
          <w:szCs w:val="20"/>
          <w:color w:val="auto"/>
        </w:rPr>
        <w:t>” means the Food and Drug Administration Safety and Innovation Act, as amended from time-to-time, together with any rules, regulations, and requirements promulgated thereunder (including all additions, supplements, extensions, and modifications thereto).</w:t>
      </w:r>
    </w:p>
    <w:p>
      <w:pPr>
        <w:spacing w:after="0" w:line="178"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FFDCA</w:t>
      </w:r>
      <w:r>
        <w:rPr>
          <w:rFonts w:ascii="Arial" w:cs="Arial" w:eastAsia="Arial" w:hAnsi="Arial"/>
          <w:sz w:val="20"/>
          <w:szCs w:val="20"/>
          <w:color w:val="auto"/>
        </w:rPr>
        <w:t>” means the Federal Food, Drug and Cosmetic Act under United States Code, Title 21, as amended from time-to-time, together with any rules, regulations, and requirements promulgated thereunder (including all additions, supplements, extensions, and modifications thereto).</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Field</w:t>
      </w:r>
      <w:r>
        <w:rPr>
          <w:rFonts w:ascii="Arial" w:cs="Arial" w:eastAsia="Arial" w:hAnsi="Arial"/>
          <w:sz w:val="16"/>
          <w:szCs w:val="16"/>
          <w:color w:val="auto"/>
        </w:rPr>
        <w:t>” means all therapeutic, prophylactic, and diagnostic uses in humans.</w:t>
      </w:r>
    </w:p>
    <w:p>
      <w:pPr>
        <w:spacing w:after="0" w:line="216" w:lineRule="exact"/>
        <w:rPr>
          <w:sz w:val="20"/>
          <w:szCs w:val="20"/>
          <w:color w:val="auto"/>
        </w:rPr>
      </w:pPr>
    </w:p>
    <w:p>
      <w:pPr>
        <w:jc w:val="both"/>
        <w:ind w:left="880" w:hanging="863"/>
        <w:spacing w:after="0" w:line="273" w:lineRule="auto"/>
        <w:tabs>
          <w:tab w:leader="none" w:pos="86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any Licensed Product and with respect to any country of the Territory, the first sale of such Licensed Product by Licensor or an Affiliate or Sublicensee of Licensor to a Third Party in such country after such Licensed Product has been granted Regulatory Approval by the appropriate Regulatory Authority in such country.</w:t>
      </w:r>
    </w:p>
    <w:p>
      <w:pPr>
        <w:spacing w:after="0" w:line="15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16"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Generic Competition Percentage</w:t>
      </w:r>
      <w:r>
        <w:rPr>
          <w:rFonts w:ascii="Arial" w:cs="Arial" w:eastAsia="Arial" w:hAnsi="Arial"/>
          <w:sz w:val="20"/>
          <w:szCs w:val="20"/>
          <w:color w:val="auto"/>
        </w:rPr>
        <w:t>” means, on a Licensed Product-by-Licensed Product and country-by-country basis, total aggregate [*] of the applicable Generic Product sold in a Calendar Year in such country divided by the sum of: (a) total aggregate [*] of the applicable Licensed Product sold in such Calendar Year in such country, and (b) total aggregate [*] of such Generic Product sold in such Calendar Year in such country, where, in each case ((a) and (b)), the total aggregate [*] of a Licensed Product and each Generic Product will be based on [*].</w:t>
      </w:r>
    </w:p>
    <w:p>
      <w:pPr>
        <w:spacing w:after="0" w:line="185" w:lineRule="exact"/>
        <w:rPr>
          <w:sz w:val="20"/>
          <w:szCs w:val="20"/>
          <w:color w:val="auto"/>
        </w:rPr>
      </w:pPr>
    </w:p>
    <w:p>
      <w:pPr>
        <w:jc w:val="both"/>
        <w:ind w:left="880" w:hanging="863"/>
        <w:spacing w:after="0" w:line="273" w:lineRule="auto"/>
        <w:tabs>
          <w:tab w:leader="none" w:pos="86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with respect to a given Licensed Product in a given country, any pharmaceutical product sold by a Third Party (other than as a Sublicensee) in such country that: (a) contains the [*], (b) is approved by the applicable Regulatory Authority in such country for [*], and (c) is [*] by the applicable Regulatory Authority in such country [*].</w:t>
      </w:r>
    </w:p>
    <w:p>
      <w:pPr>
        <w:spacing w:after="0" w:line="159"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federal, state, national, state, provincial or local government, or political subdivision thereof, or any supranational or multinational organization, quasi-governmental, private body, agency, instrumentality, court, body, board, committee, panel, commission, official or other authority entitled to exercise any administrative, executive, judicial, legislative, police, regulatory or tax authority or power, any court or tribunal (or any department, bureau or division thereof, governmental arbitrator or arbitral body).</w:t>
      </w:r>
    </w:p>
    <w:p>
      <w:pPr>
        <w:spacing w:after="0" w:line="185"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ICH</w:t>
      </w:r>
      <w:r>
        <w:rPr>
          <w:rFonts w:ascii="Arial" w:cs="Arial" w:eastAsia="Arial" w:hAnsi="Arial"/>
          <w:sz w:val="18"/>
          <w:szCs w:val="18"/>
          <w:color w:val="auto"/>
        </w:rPr>
        <w:t>” means International Conference on Harmonization.</w:t>
      </w:r>
    </w:p>
    <w:p>
      <w:pPr>
        <w:spacing w:after="0" w:line="216"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IND</w:t>
      </w:r>
      <w:r>
        <w:rPr>
          <w:rFonts w:ascii="Arial" w:cs="Arial" w:eastAsia="Arial" w:hAnsi="Arial"/>
          <w:sz w:val="20"/>
          <w:szCs w:val="20"/>
          <w:color w:val="auto"/>
        </w:rPr>
        <w:t>” means (a) an investigational new drug application filed with the FDA for authorization to commence clinical studies and its equivalent in other countries or regulatory jurisdictions, and (b) all supplements and amendments that may be filed with respect to the foregoing.</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set forth in Section 11.3.1 (Notice).</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11.3.1 (Notice).</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Independent Prices</w:t>
      </w:r>
      <w:r>
        <w:rPr>
          <w:rFonts w:ascii="Arial" w:cs="Arial" w:eastAsia="Arial" w:hAnsi="Arial"/>
          <w:sz w:val="16"/>
          <w:szCs w:val="16"/>
          <w:color w:val="auto"/>
        </w:rPr>
        <w:t>” has the meaning set forth in Section 1.68 (Net Sales).</w:t>
      </w:r>
    </w:p>
    <w:p>
      <w:pPr>
        <w:spacing w:after="0" w:line="200" w:lineRule="exact"/>
        <w:rPr>
          <w:sz w:val="20"/>
          <w:szCs w:val="20"/>
          <w:color w:val="auto"/>
        </w:rPr>
      </w:pPr>
    </w:p>
    <w:p>
      <w:pPr>
        <w:spacing w:after="0" w:line="2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- 5 -</w:t>
      </w:r>
    </w:p>
    <w:p>
      <w:pPr>
        <w:spacing w:after="0" w:line="12" w:lineRule="exact"/>
        <w:rPr>
          <w:sz w:val="20"/>
          <w:szCs w:val="20"/>
          <w:color w:val="auto"/>
        </w:rPr>
      </w:pPr>
    </w:p>
    <w:p>
      <w:pPr>
        <w:ind w:right="740" w:firstLine="8"/>
        <w:spacing w:after="0" w:line="226"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3" w:name="page144"/>
    <w:bookmarkEnd w:id="143"/>
    <w:p>
      <w:pPr>
        <w:jc w:val="both"/>
        <w:ind w:left="880" w:hanging="863"/>
        <w:spacing w:after="0" w:line="267" w:lineRule="auto"/>
        <w:tabs>
          <w:tab w:leader="none" w:pos="86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Indication</w:t>
      </w:r>
      <w:r>
        <w:rPr>
          <w:rFonts w:ascii="Arial" w:cs="Arial" w:eastAsia="Arial" w:hAnsi="Arial"/>
          <w:sz w:val="20"/>
          <w:szCs w:val="20"/>
          <w:color w:val="auto"/>
        </w:rPr>
        <w:t>” means the use of a pharmaceutical product for the treatment, prevention, cure, or control of a specific human disease, disorder, illness, or condition</w:t>
      </w:r>
    </w:p>
    <w:p>
      <w:pPr>
        <w:spacing w:after="0" w:line="164"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Intellectual Property Rights</w:t>
      </w:r>
      <w:r>
        <w:rPr>
          <w:rFonts w:ascii="Arial" w:cs="Arial" w:eastAsia="Arial" w:hAnsi="Arial"/>
          <w:sz w:val="20"/>
          <w:szCs w:val="20"/>
          <w:color w:val="auto"/>
        </w:rPr>
        <w:t>” means all rights in Patent Rights, Trademarks, copyrights, design rights, database rights, moral rights, Know-How, inventions (including Inventions), and any and all other intellectual property or proprietary rights (whether registered or unregistered) now known or hereafter recognized in any jurisdiction, and all applications and rights to apply for any of them, anywhere in the world.</w:t>
      </w:r>
    </w:p>
    <w:p>
      <w:pPr>
        <w:spacing w:after="0" w:line="184"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Inventions</w:t>
      </w:r>
      <w:r>
        <w:rPr>
          <w:rFonts w:ascii="Arial" w:cs="Arial" w:eastAsia="Arial" w:hAnsi="Arial"/>
          <w:sz w:val="20"/>
          <w:szCs w:val="20"/>
          <w:color w:val="auto"/>
        </w:rPr>
        <w:t>” means any and all inventions, improvements, discoveries, and developments, whether or not patentable, made, conceived, or reduced to practice in the course of performance of this Agreement whether made, conceived or reduced to practice by, or on behalf of, Licensor, Licensee, the Parties jointly, or any Affiliate of either Party.</w:t>
      </w:r>
    </w:p>
    <w:p>
      <w:pPr>
        <w:spacing w:after="0" w:line="178"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means all technical and scientific information, knowledge, technology, experimental protocols and procedures, methods, processes, practices, formulae, instructions, skills, techniques, procedures, ideas, concepts, designs, drawings, specifications, data, results, and other materials, including all physical, chemical, and biological materials, (together, in each case, with all improvements to any of the foregoing).</w:t>
      </w:r>
    </w:p>
    <w:p>
      <w:pPr>
        <w:spacing w:after="0" w:line="184" w:lineRule="exact"/>
        <w:rPr>
          <w:sz w:val="20"/>
          <w:szCs w:val="20"/>
          <w:color w:val="auto"/>
        </w:rPr>
      </w:pPr>
    </w:p>
    <w:p>
      <w:pPr>
        <w:jc w:val="both"/>
        <w:ind w:left="880" w:hanging="863"/>
        <w:spacing w:after="0" w:line="293" w:lineRule="auto"/>
        <w:tabs>
          <w:tab w:leader="none" w:pos="86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Knowledge</w:t>
      </w:r>
      <w:r>
        <w:rPr>
          <w:rFonts w:ascii="Arial" w:cs="Arial" w:eastAsia="Arial" w:hAnsi="Arial"/>
          <w:sz w:val="19"/>
          <w:szCs w:val="19"/>
          <w:color w:val="auto"/>
        </w:rPr>
        <w:t>” means (a) with respect to representations and warranties regarding [*], the [*] knowledge of [*], after [*] (but [*]), and (b) with respect to all other representations and warranties, the [*] knowledge of [*], or [*], in each case, [*].</w:t>
      </w:r>
    </w:p>
    <w:p>
      <w:pPr>
        <w:spacing w:after="0" w:line="142"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1.50.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Licensed Compound</w:t>
      </w:r>
      <w:r>
        <w:rPr>
          <w:rFonts w:ascii="Arial" w:cs="Arial" w:eastAsia="Arial" w:hAnsi="Arial"/>
          <w:sz w:val="20"/>
          <w:szCs w:val="20"/>
          <w:color w:val="auto"/>
        </w:rPr>
        <w:t>” means: (a) [*], (b) any compounds developed or acquired by Licensor during the Term, and Controlled by Licensor, that (A) [*], and (B) [*], or (c) any salts, esters, analogs, enantiomers, stereoisomers, prodrugs, solvates or polymorphs of any compound described in the foregoing clauses (a) and (b), in each case, to the extent [*].</w:t>
      </w:r>
    </w:p>
    <w:p>
      <w:pPr>
        <w:spacing w:after="0" w:line="178"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Licensed Product</w:t>
      </w:r>
      <w:r>
        <w:rPr>
          <w:rFonts w:ascii="Arial" w:cs="Arial" w:eastAsia="Arial" w:hAnsi="Arial"/>
          <w:sz w:val="20"/>
          <w:szCs w:val="20"/>
          <w:color w:val="auto"/>
        </w:rPr>
        <w:t>” means any pharmaceutical product containing a Licensed Compound, including all forms, presentations, strengths, doses, and formulations (including any method of delivery), whether as a single active ingredient or together with one or more other active ingredients.</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Product Infringement</w:t>
      </w:r>
      <w:r>
        <w:rPr>
          <w:rFonts w:ascii="Arial" w:cs="Arial" w:eastAsia="Arial" w:hAnsi="Arial"/>
          <w:sz w:val="18"/>
          <w:szCs w:val="18"/>
          <w:color w:val="auto"/>
        </w:rPr>
        <w:t>” has the meaning set forth in Section 6.4.2(a) (Licensee Right).</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Licensee</w:t>
      </w:r>
      <w:r>
        <w:rPr>
          <w:rFonts w:ascii="Arial" w:cs="Arial" w:eastAsia="Arial" w:hAnsi="Arial"/>
          <w:sz w:val="16"/>
          <w:szCs w:val="16"/>
          <w:color w:val="auto"/>
        </w:rPr>
        <w:t>” has the meaning set forth in the Preamble.</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Licensee Grantback Technology</w:t>
      </w:r>
      <w:r>
        <w:rPr>
          <w:rFonts w:ascii="Arial" w:cs="Arial" w:eastAsia="Arial" w:hAnsi="Arial"/>
          <w:sz w:val="16"/>
          <w:szCs w:val="16"/>
          <w:color w:val="auto"/>
        </w:rPr>
        <w:t>” has the meaning set forth in Section 9.7.4 (License Grant to Licensor).</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Licensee Indemnitee</w:t>
      </w:r>
      <w:r>
        <w:rPr>
          <w:rFonts w:ascii="Arial" w:cs="Arial" w:eastAsia="Arial" w:hAnsi="Arial"/>
          <w:sz w:val="18"/>
          <w:szCs w:val="18"/>
          <w:color w:val="auto"/>
        </w:rPr>
        <w:t>” has the meaning set forth in Section 11.2 (Indemnification by Licensor).</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Licensor Indemnitee</w:t>
      </w:r>
      <w:r>
        <w:rPr>
          <w:rFonts w:ascii="Arial" w:cs="Arial" w:eastAsia="Arial" w:hAnsi="Arial"/>
          <w:sz w:val="18"/>
          <w:szCs w:val="18"/>
          <w:color w:val="auto"/>
        </w:rPr>
        <w:t>” has the meaning set forth in Section 11.1 (Indemnification by Licensee).</w:t>
      </w:r>
    </w:p>
    <w:p>
      <w:pPr>
        <w:spacing w:after="0" w:line="216" w:lineRule="exact"/>
        <w:rPr>
          <w:sz w:val="20"/>
          <w:szCs w:val="20"/>
          <w:color w:val="auto"/>
        </w:rPr>
      </w:pPr>
    </w:p>
    <w:p>
      <w:pPr>
        <w:jc w:val="both"/>
        <w:ind w:left="880" w:hanging="863"/>
        <w:spacing w:after="0" w:line="266" w:lineRule="auto"/>
        <w:tabs>
          <w:tab w:leader="none" w:pos="860" w:val="left"/>
        </w:tabs>
        <w:rPr>
          <w:sz w:val="20"/>
          <w:szCs w:val="20"/>
          <w:color w:val="auto"/>
        </w:rPr>
      </w:pPr>
      <w:r>
        <w:rPr>
          <w:rFonts w:ascii="Arial" w:cs="Arial" w:eastAsia="Arial" w:hAnsi="Arial"/>
          <w:sz w:val="20"/>
          <w:szCs w:val="20"/>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 Know-How</w:t>
      </w:r>
      <w:r>
        <w:rPr>
          <w:rFonts w:ascii="Arial" w:cs="Arial" w:eastAsia="Arial" w:hAnsi="Arial"/>
          <w:sz w:val="19"/>
          <w:szCs w:val="19"/>
          <w:color w:val="auto"/>
        </w:rPr>
        <w:t>” means all Know-How solely relating to a Licensed Compound or Licensed Product (other than an active pharmaceutical ingredient in a Licensed Product that is not a Licensed Compound) that is (a) Controlled by Licensor or any of its Affiliates as of the Effective Date, or (b) invented, conceived, discovered, created, or otherwise developed solely by or on behalf of Licensor during the Term in the performance of Licensor’s obligations under this Agreement.</w:t>
      </w:r>
    </w:p>
    <w:p>
      <w:pPr>
        <w:spacing w:after="0" w:line="3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- 6 -</w:t>
      </w:r>
    </w:p>
    <w:p>
      <w:pPr>
        <w:spacing w:after="0" w:line="12" w:lineRule="exact"/>
        <w:rPr>
          <w:sz w:val="20"/>
          <w:szCs w:val="20"/>
          <w:color w:val="auto"/>
        </w:rPr>
      </w:pPr>
    </w:p>
    <w:p>
      <w:pPr>
        <w:ind w:right="740" w:firstLine="8"/>
        <w:spacing w:after="0" w:line="226" w:lineRule="auto"/>
        <w:tabs>
          <w:tab w:leader="none" w:pos="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4" w:name="page145"/>
    <w:bookmarkEnd w:id="144"/>
    <w:p>
      <w:pPr>
        <w:jc w:val="both"/>
        <w:ind w:left="880" w:right="20" w:hanging="863"/>
        <w:spacing w:after="0" w:line="267" w:lineRule="auto"/>
        <w:tabs>
          <w:tab w:leader="none" w:pos="860" w:val="left"/>
        </w:tabs>
        <w:rPr>
          <w:sz w:val="20"/>
          <w:szCs w:val="20"/>
          <w:color w:val="auto"/>
        </w:rPr>
      </w:pPr>
      <w:r>
        <w:rPr>
          <w:rFonts w:ascii="Arial" w:cs="Arial" w:eastAsia="Arial" w:hAnsi="Arial"/>
          <w:sz w:val="20"/>
          <w:szCs w:val="20"/>
          <w:b w:val="1"/>
          <w:bCs w:val="1"/>
          <w:color w:val="auto"/>
        </w:rPr>
        <w:t>1.58.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Licensor Materials</w:t>
      </w:r>
      <w:r>
        <w:rPr>
          <w:rFonts w:ascii="Arial" w:cs="Arial" w:eastAsia="Arial" w:hAnsi="Arial"/>
          <w:sz w:val="20"/>
          <w:szCs w:val="20"/>
          <w:color w:val="auto"/>
        </w:rPr>
        <w:t xml:space="preserve">” means (a) existing inventory of Licensed Compound set forth on </w:t>
      </w:r>
      <w:r>
        <w:rPr>
          <w:rFonts w:ascii="Arial" w:cs="Arial" w:eastAsia="Arial" w:hAnsi="Arial"/>
          <w:sz w:val="20"/>
          <w:szCs w:val="20"/>
          <w:u w:val="single" w:color="auto"/>
          <w:color w:val="auto"/>
        </w:rPr>
        <w:t>Schedule 3.1</w:t>
      </w:r>
      <w:r>
        <w:rPr>
          <w:rFonts w:ascii="Arial" w:cs="Arial" w:eastAsia="Arial" w:hAnsi="Arial"/>
          <w:sz w:val="20"/>
          <w:szCs w:val="20"/>
          <w:color w:val="auto"/>
        </w:rPr>
        <w:t>, and (b) any other Materials provided by Licensor in connection with the transfer of the Licensor Know-How.</w:t>
      </w:r>
    </w:p>
    <w:p>
      <w:pPr>
        <w:spacing w:after="0" w:line="164"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1.59.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Licensor Patent Rights</w:t>
      </w:r>
      <w:r>
        <w:rPr>
          <w:rFonts w:ascii="Arial" w:cs="Arial" w:eastAsia="Arial" w:hAnsi="Arial"/>
          <w:sz w:val="20"/>
          <w:szCs w:val="20"/>
          <w:color w:val="auto"/>
        </w:rPr>
        <w:t xml:space="preserve">” means (a) those Patent Rights set forth on </w:t>
      </w:r>
      <w:r>
        <w:rPr>
          <w:rFonts w:ascii="Arial" w:cs="Arial" w:eastAsia="Arial" w:hAnsi="Arial"/>
          <w:sz w:val="20"/>
          <w:szCs w:val="20"/>
          <w:u w:val="single" w:color="auto"/>
          <w:color w:val="auto"/>
        </w:rPr>
        <w:t>Schedule 1.59</w:t>
      </w:r>
      <w:r>
        <w:rPr>
          <w:rFonts w:ascii="Arial" w:cs="Arial" w:eastAsia="Arial" w:hAnsi="Arial"/>
          <w:sz w:val="20"/>
          <w:szCs w:val="20"/>
          <w:color w:val="auto"/>
        </w:rPr>
        <w:t>, and (b) all other Patent Rights Controlled by Licensor as of the Effective Date or during the Term, in each case, that Cover any Licensed Compound or the Exploitation of any Licensed Compound (but not to the extent any such Patent Rights Cover any active pharmaceutical ingredient that is not a Licensed Compound).</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Licensor Technology</w:t>
      </w:r>
      <w:r>
        <w:rPr>
          <w:rFonts w:ascii="Arial" w:cs="Arial" w:eastAsia="Arial" w:hAnsi="Arial"/>
          <w:sz w:val="18"/>
          <w:szCs w:val="18"/>
          <w:color w:val="auto"/>
        </w:rPr>
        <w:t>” means collectively, (a) Licensor Patent Rights, and (b) Licensor Know-How.</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has the meaning set forth in Section 11.1 (Indemnification by Licensee).</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Major EU Country</w:t>
      </w:r>
      <w:r>
        <w:rPr>
          <w:rFonts w:ascii="Arial" w:cs="Arial" w:eastAsia="Arial" w:hAnsi="Arial"/>
          <w:sz w:val="18"/>
          <w:szCs w:val="18"/>
          <w:color w:val="auto"/>
        </w:rPr>
        <w:t>” means any one of France, Germany, Italy, Spain, and the United Kingdom.</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Major Market Country</w:t>
      </w:r>
      <w:r>
        <w:rPr>
          <w:rFonts w:ascii="Arial" w:cs="Arial" w:eastAsia="Arial" w:hAnsi="Arial"/>
          <w:sz w:val="18"/>
          <w:szCs w:val="18"/>
          <w:color w:val="auto"/>
        </w:rPr>
        <w:t>” means any one of the [*].</w:t>
      </w:r>
    </w:p>
    <w:p>
      <w:pPr>
        <w:spacing w:after="0" w:line="216" w:lineRule="exact"/>
        <w:rPr>
          <w:sz w:val="20"/>
          <w:szCs w:val="20"/>
          <w:color w:val="auto"/>
        </w:rPr>
      </w:pPr>
    </w:p>
    <w:p>
      <w:pPr>
        <w:jc w:val="both"/>
        <w:ind w:left="880" w:hanging="863"/>
        <w:spacing w:after="0" w:line="259" w:lineRule="auto"/>
        <w:tabs>
          <w:tab w:leader="none" w:pos="86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or “</w:t>
      </w:r>
      <w:r>
        <w:rPr>
          <w:rFonts w:ascii="Arial" w:cs="Arial" w:eastAsia="Arial" w:hAnsi="Arial"/>
          <w:sz w:val="19"/>
          <w:szCs w:val="19"/>
          <w:b w:val="1"/>
          <w:bCs w:val="1"/>
          <w:color w:val="auto"/>
        </w:rPr>
        <w:t>Manufacturing</w:t>
      </w:r>
      <w:r>
        <w:rPr>
          <w:rFonts w:ascii="Arial" w:cs="Arial" w:eastAsia="Arial" w:hAnsi="Arial"/>
          <w:sz w:val="19"/>
          <w:szCs w:val="19"/>
          <w:color w:val="auto"/>
        </w:rPr>
        <w:t>” means all activities related to the manufacturing of a Licensed Compound or a Licensed Product, or any ingredient thereof, including test method development and stability testing, formulation, manufacturing scale-up, manufacturing for Development or Commercialization, labeling, filling, processing, packaging, in-process and finished Licensed Product testing, shipping, storing, or release of a Licensed Compound or a Licensed Product or any ingredient thereof, quality assurance and quality control activities related to manufacturing and release of a Licensed Compound or a Licensed Product, ongoing stability tests, and regulatory activities related to any of the foregoing. When used as a noun, “Manufacture” or “Manufacturing” means any and all activities involved in Manufacturing.</w:t>
      </w:r>
    </w:p>
    <w:p>
      <w:pPr>
        <w:spacing w:after="0" w:line="17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any tangible chemical, biological, or physical materials.</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Mono Product</w:t>
      </w:r>
      <w:r>
        <w:rPr>
          <w:rFonts w:ascii="Arial" w:cs="Arial" w:eastAsia="Arial" w:hAnsi="Arial"/>
          <w:sz w:val="18"/>
          <w:szCs w:val="18"/>
          <w:color w:val="auto"/>
        </w:rPr>
        <w:t>” has the meaning set forth in Section 1.68 (Net Sales).</w:t>
      </w:r>
    </w:p>
    <w:p>
      <w:pPr>
        <w:spacing w:after="0" w:line="216"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1.67.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NDA</w:t>
      </w:r>
      <w:r>
        <w:rPr>
          <w:rFonts w:ascii="Arial" w:cs="Arial" w:eastAsia="Arial" w:hAnsi="Arial"/>
          <w:sz w:val="20"/>
          <w:szCs w:val="20"/>
          <w:color w:val="auto"/>
        </w:rPr>
        <w:t>” means a (a) New Drug Application or supplemental New Drug Application as contemplated by Section 505(b) of the FFDCA, submitted to the FDA pursuant to 21 C.F.R. § 314, including any amendments thereto, or (b) any comparable applications filed in or for countries or jurisdictions outside of the United States to obtain Regulatory Approval to Commercialize a Licensed Product in that country or jurisdiction.</w:t>
      </w:r>
    </w:p>
    <w:p>
      <w:pPr>
        <w:spacing w:after="0" w:line="184"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1.68.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Net Sales</w:t>
      </w:r>
      <w:r>
        <w:rPr>
          <w:rFonts w:ascii="Arial" w:cs="Arial" w:eastAsia="Arial" w:hAnsi="Arial"/>
          <w:sz w:val="20"/>
          <w:szCs w:val="20"/>
          <w:color w:val="auto"/>
        </w:rPr>
        <w:t>” means, with respect to any Licensed Product, the gross amounts invoiced or received (whichever first occurs) by Licensee and its Affiliates and Sublicensees for sales of such Licensed Product to Third Parties, less the following deductions, to the extent such deductions are paid, incurred, or otherwise taken, reasonable and customary, provided to Third Parties, and actually allowed with respect to such sales:</w:t>
      </w:r>
    </w:p>
    <w:p>
      <w:pPr>
        <w:spacing w:after="0" w:line="190"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1760"/>
        <w:spacing w:after="0" w:line="291" w:lineRule="auto"/>
        <w:rPr>
          <w:sz w:val="20"/>
          <w:szCs w:val="20"/>
          <w:color w:val="auto"/>
        </w:rPr>
      </w:pPr>
      <w:r>
        <w:rPr>
          <w:rFonts w:ascii="Arial" w:cs="Arial" w:eastAsia="Arial" w:hAnsi="Arial"/>
          <w:sz w:val="18"/>
          <w:szCs w:val="18"/>
          <w:color w:val="auto"/>
        </w:rPr>
        <w:t>Notwithstanding anything to the contrary set forth in this Agreement, amounts received or invoiced by Licensee or its Affiliates or Sublicensees for the sale of such Licensed Product among Licensee or its Affiliates or Sublicensees for resale will not be included in the computation of Net Sales hereunder. In any event, any amounts received or invoiced by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- 7 -</w:t>
      </w:r>
    </w:p>
    <w:p>
      <w:pPr>
        <w:spacing w:after="0" w:line="12" w:lineRule="exact"/>
        <w:rPr>
          <w:sz w:val="20"/>
          <w:szCs w:val="20"/>
          <w:color w:val="auto"/>
        </w:rPr>
      </w:pPr>
    </w:p>
    <w:p>
      <w:pPr>
        <w:ind w:right="740" w:firstLine="8"/>
        <w:spacing w:after="0" w:line="226" w:lineRule="auto"/>
        <w:tabs>
          <w:tab w:leader="none" w:pos="2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5" w:name="page146"/>
    <w:bookmarkEnd w:id="145"/>
    <w:p>
      <w:pPr>
        <w:jc w:val="both"/>
        <w:ind w:left="1760"/>
        <w:spacing w:after="0" w:line="269" w:lineRule="auto"/>
        <w:rPr>
          <w:sz w:val="20"/>
          <w:szCs w:val="20"/>
          <w:color w:val="auto"/>
        </w:rPr>
      </w:pPr>
      <w:r>
        <w:rPr>
          <w:rFonts w:ascii="Arial" w:cs="Arial" w:eastAsia="Arial" w:hAnsi="Arial"/>
          <w:sz w:val="19"/>
          <w:szCs w:val="19"/>
          <w:color w:val="auto"/>
        </w:rPr>
        <w:t>Licensee or its Affiliates or Sublicensees will be accounted for only once. For purposes of determining Net Sales, a Licensed Product will be deemed to be sold when invoiced. Net Sales will be determined and accounted for in accordance with GAAP. A particular deduction may only be accounted for once in the calculation of Net Sales.</w:t>
      </w:r>
    </w:p>
    <w:p>
      <w:pPr>
        <w:spacing w:after="0" w:line="170" w:lineRule="exact"/>
        <w:rPr>
          <w:sz w:val="20"/>
          <w:szCs w:val="20"/>
          <w:color w:val="auto"/>
        </w:rPr>
      </w:pPr>
    </w:p>
    <w:p>
      <w:pPr>
        <w:jc w:val="both"/>
        <w:ind w:left="1760"/>
        <w:spacing w:after="0" w:line="244" w:lineRule="auto"/>
        <w:rPr>
          <w:sz w:val="20"/>
          <w:szCs w:val="20"/>
          <w:color w:val="auto"/>
        </w:rPr>
      </w:pPr>
      <w:r>
        <w:rPr>
          <w:rFonts w:ascii="Arial" w:cs="Arial" w:eastAsia="Arial" w:hAnsi="Arial"/>
          <w:sz w:val="20"/>
          <w:szCs w:val="20"/>
          <w:color w:val="auto"/>
        </w:rPr>
        <w:t>If consideration other than cash is paid to Licensee, its Affiliates, or any Sublicensees, then for purposes of determining Net Sales, the Parties will use the cash consideration that Licensee, its Affiliates, or any Sublicensees would realize from an unrelated buyer in an arm’s length sale of an identical item sold in the same quantity and at the time and place of the transaction, as determined jointly in good faith by Licensor and Licensee based on transactions of a similar type and standard industry practice, if any.</w:t>
      </w:r>
    </w:p>
    <w:p>
      <w:pPr>
        <w:spacing w:after="0" w:line="19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In the event that the Licensed Product is sold as part of a Combination Product, then:</w:t>
      </w:r>
    </w:p>
    <w:p>
      <w:pPr>
        <w:spacing w:after="0" w:line="216" w:lineRule="exact"/>
        <w:rPr>
          <w:sz w:val="20"/>
          <w:szCs w:val="20"/>
          <w:color w:val="auto"/>
        </w:rPr>
      </w:pPr>
    </w:p>
    <w:p>
      <w:pPr>
        <w:jc w:val="both"/>
        <w:ind w:left="1760" w:firstLine="746"/>
        <w:spacing w:after="0" w:line="270" w:lineRule="auto"/>
        <w:tabs>
          <w:tab w:leader="none" w:pos="33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(b) and (c) below, Net Sales of the Licensed Product, for the purposes of determining Royalty payments, shall be determined by multiplying the Net Sales of the Combination Product by the fraction, A / (A+B) where A is the wholesale acquisition cost charged by Licensee or its Affiliates or Sublicensees in such period and country for a Licensed Product containing the Licensed Compound(s) in the Combination Product as its sole active ingredients (the “</w:t>
      </w:r>
      <w:r>
        <w:rPr>
          <w:rFonts w:ascii="Arial" w:cs="Arial" w:eastAsia="Arial" w:hAnsi="Arial"/>
          <w:sz w:val="18"/>
          <w:szCs w:val="18"/>
          <w:b w:val="1"/>
          <w:bCs w:val="1"/>
          <w:color w:val="auto"/>
        </w:rPr>
        <w:t>Mono Product(s)</w:t>
      </w:r>
      <w:r>
        <w:rPr>
          <w:rFonts w:ascii="Arial" w:cs="Arial" w:eastAsia="Arial" w:hAnsi="Arial"/>
          <w:sz w:val="18"/>
          <w:szCs w:val="18"/>
          <w:color w:val="auto"/>
        </w:rPr>
        <w:t>”), if such Mono Product is sold separately by Licensee or its Affiliates or Sublicensees in such period and country (the “</w:t>
      </w:r>
      <w:r>
        <w:rPr>
          <w:rFonts w:ascii="Arial" w:cs="Arial" w:eastAsia="Arial" w:hAnsi="Arial"/>
          <w:sz w:val="18"/>
          <w:szCs w:val="18"/>
          <w:b w:val="1"/>
          <w:bCs w:val="1"/>
          <w:color w:val="auto"/>
        </w:rPr>
        <w:t>Independent Price(s)</w:t>
      </w:r>
      <w:r>
        <w:rPr>
          <w:rFonts w:ascii="Arial" w:cs="Arial" w:eastAsia="Arial" w:hAnsi="Arial"/>
          <w:sz w:val="18"/>
          <w:szCs w:val="18"/>
          <w:color w:val="auto"/>
        </w:rPr>
        <w:t>”), and B is the wholesale acquisition cost charged by Licensee or its Affiliates or Sublicensees product(s) containing as their sole active ingredient(s) those active ingredients that are not Licensed Compounds included in the Combination Product (“</w:t>
      </w:r>
      <w:r>
        <w:rPr>
          <w:rFonts w:ascii="Arial" w:cs="Arial" w:eastAsia="Arial" w:hAnsi="Arial"/>
          <w:sz w:val="18"/>
          <w:szCs w:val="18"/>
          <w:b w:val="1"/>
          <w:bCs w:val="1"/>
          <w:color w:val="auto"/>
        </w:rPr>
        <w:t>Other Product(s)</w:t>
      </w:r>
      <w:r>
        <w:rPr>
          <w:rFonts w:ascii="Arial" w:cs="Arial" w:eastAsia="Arial" w:hAnsi="Arial"/>
          <w:sz w:val="18"/>
          <w:szCs w:val="18"/>
          <w:color w:val="auto"/>
        </w:rPr>
        <w:t>”) if such Other Product(s) are sold separately by Licensee or its Affiliates or Sublicensees in such period and country, in each case for a quantity comparable to that used in such Combination Product and of substantially the same class, purity and potency or functionality, as applicable; provided that if any of such Other Product(s) are not sold separately by Licensee or its Affiliates or Sublicensees, but are independently marketed by one or more Third Parties, in such period and country, then such product(s) shall be deemed to be separately sold by Licensee or its Affiliates or Sublicensees at the average wholesale acquisition costs charged by such Third Parties for purposes of the calculations in this paragraph; or</w:t>
      </w:r>
    </w:p>
    <w:p>
      <w:pPr>
        <w:spacing w:after="0" w:line="170" w:lineRule="exact"/>
        <w:rPr>
          <w:rFonts w:ascii="Arial" w:cs="Arial" w:eastAsia="Arial" w:hAnsi="Arial"/>
          <w:sz w:val="18"/>
          <w:szCs w:val="18"/>
          <w:color w:val="auto"/>
        </w:rPr>
      </w:pPr>
    </w:p>
    <w:p>
      <w:pPr>
        <w:jc w:val="both"/>
        <w:ind w:left="1760" w:firstLine="746"/>
        <w:spacing w:after="0" w:line="276" w:lineRule="auto"/>
        <w:tabs>
          <w:tab w:leader="none" w:pos="3382"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calculation in subsection (a) cannot be made because the Other Products are not sold separately by Licensee or its Affiliates or Sublicensees in such period and country for a quantity comparable to that used in such Combination Product and of substantially the same class, purity and potency or functionality, as applicable, Net Sales of the Licensed Product, for the purposes of determining Royalty payments, shall be determined by multiplying the Net Sales of the Combination Product by the fraction, A / C where A is the Independent Price for a Mono Product, and C is the wholesale acquisition cost charged by Licensee or its Affiliates or Sublicensees for the Combination Product; or</w:t>
      </w:r>
    </w:p>
    <w:p>
      <w:pPr>
        <w:spacing w:after="0" w:line="165" w:lineRule="exact"/>
        <w:rPr>
          <w:rFonts w:ascii="Arial" w:cs="Arial" w:eastAsia="Arial" w:hAnsi="Arial"/>
          <w:sz w:val="18"/>
          <w:szCs w:val="18"/>
          <w:color w:val="auto"/>
        </w:rPr>
      </w:pPr>
    </w:p>
    <w:p>
      <w:pPr>
        <w:jc w:val="both"/>
        <w:ind w:left="1760" w:firstLine="746"/>
        <w:spacing w:after="0" w:line="291" w:lineRule="auto"/>
        <w:tabs>
          <w:tab w:leader="none" w:pos="33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calculation of Net Sales resulting from a Combination Product cannot be determined by either of the foregoing methods, Net Sales for such Combination Product shall be calculated based upon the relative value of the active components of such Combination Product as reasonably determined by the Parties in good faith.</w:t>
      </w:r>
    </w:p>
    <w:p>
      <w:pPr>
        <w:spacing w:after="0" w:line="14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1.69.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Non-Breaching Party</w:t>
      </w:r>
      <w:r>
        <w:rPr>
          <w:rFonts w:ascii="Arial" w:cs="Arial" w:eastAsia="Arial" w:hAnsi="Arial"/>
          <w:sz w:val="18"/>
          <w:szCs w:val="18"/>
          <w:color w:val="auto"/>
        </w:rPr>
        <w:t>” has the meaning set forth in Section 9.4 (Cure Periods).</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Products</w:t>
      </w:r>
      <w:r>
        <w:rPr>
          <w:rFonts w:ascii="Arial" w:cs="Arial" w:eastAsia="Arial" w:hAnsi="Arial"/>
          <w:sz w:val="16"/>
          <w:szCs w:val="16"/>
          <w:color w:val="auto"/>
        </w:rPr>
        <w:t>” has the meaning set forth in Section 1.68 (Net Sales).</w:t>
      </w:r>
    </w:p>
    <w:p>
      <w:pPr>
        <w:spacing w:after="0" w:line="200" w:lineRule="exact"/>
        <w:rPr>
          <w:sz w:val="20"/>
          <w:szCs w:val="20"/>
          <w:color w:val="auto"/>
        </w:rPr>
      </w:pPr>
    </w:p>
    <w:p>
      <w:pPr>
        <w:spacing w:after="0" w:line="2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- 8 -</w:t>
      </w:r>
    </w:p>
    <w:p>
      <w:pPr>
        <w:spacing w:after="0" w:line="12" w:lineRule="exact"/>
        <w:rPr>
          <w:sz w:val="20"/>
          <w:szCs w:val="20"/>
          <w:color w:val="auto"/>
        </w:rPr>
      </w:pPr>
    </w:p>
    <w:p>
      <w:pPr>
        <w:ind w:right="740" w:firstLine="8"/>
        <w:spacing w:after="0" w:line="226" w:lineRule="auto"/>
        <w:tabs>
          <w:tab w:leader="none" w:pos="2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46" w:name="page147"/>
    <w:bookmarkEnd w:id="146"/>
    <w:p>
      <w:pPr>
        <w:spacing w:after="0"/>
        <w:tabs>
          <w:tab w:leader="none" w:pos="86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jc w:val="both"/>
        <w:ind w:left="880" w:hanging="863"/>
        <w:spacing w:after="0" w:line="267" w:lineRule="auto"/>
        <w:tabs>
          <w:tab w:leader="none" w:pos="86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Patent Office</w:t>
      </w:r>
      <w:r>
        <w:rPr>
          <w:rFonts w:ascii="Arial" w:cs="Arial" w:eastAsia="Arial" w:hAnsi="Arial"/>
          <w:sz w:val="20"/>
          <w:szCs w:val="20"/>
          <w:color w:val="auto"/>
        </w:rPr>
        <w:t>” means a Governmental Authority that administers and regulates patents, such as the Japan Patent Office, European Patent Office, United States Patent and Trademark Office, or other similar Governmental Authority.</w:t>
      </w:r>
    </w:p>
    <w:p>
      <w:pPr>
        <w:spacing w:after="0" w:line="164" w:lineRule="exact"/>
        <w:rPr>
          <w:sz w:val="20"/>
          <w:szCs w:val="20"/>
          <w:color w:val="auto"/>
        </w:rPr>
      </w:pPr>
    </w:p>
    <w:p>
      <w:pPr>
        <w:jc w:val="both"/>
        <w:ind w:left="880" w:hanging="863"/>
        <w:spacing w:after="0" w:line="274" w:lineRule="auto"/>
        <w:tabs>
          <w:tab w:leader="none" w:pos="860" w:val="left"/>
        </w:tabs>
        <w:rPr>
          <w:sz w:val="20"/>
          <w:szCs w:val="20"/>
          <w:color w:val="auto"/>
        </w:rPr>
      </w:pPr>
      <w:r>
        <w:rPr>
          <w:rFonts w:ascii="Arial" w:cs="Arial" w:eastAsia="Arial" w:hAnsi="Arial"/>
          <w:sz w:val="20"/>
          <w:szCs w:val="20"/>
          <w:b w:val="1"/>
          <w:bCs w:val="1"/>
          <w:color w:val="auto"/>
        </w:rPr>
        <w:t>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all: (a) all patents or patent applications, including any continuations, continuations-in-part, divisions, provisional, converted provisional, continued prosecution or substitute applications, (b) any patent issued with respect to any of the foregoing patent applications, including utility models, petty patents, innovation patents and design patents and certificates of invention, (c) any reissue, reexamination, renewal, restoration or extension (including any supplementary protection certificate and the like) of any of the foregoing patents or patent applications, (d) any confirmation patent or registration patent or patent of addition based on any such patent, (e) any similar rights, including so-called pipeline protection or any importation, revalidation, confirmation or introduction patent or registration patent or patent of additions to any of such foregoing patent applications and patents, and (f) all foreign counterparts of any of the foregoing, or as applicable portions thereof or individual claims therein.</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Payment</w:t>
      </w:r>
      <w:r>
        <w:rPr>
          <w:rFonts w:ascii="Arial" w:cs="Arial" w:eastAsia="Arial" w:hAnsi="Arial"/>
          <w:sz w:val="16"/>
          <w:szCs w:val="16"/>
          <w:color w:val="auto"/>
        </w:rPr>
        <w:t>” has the meaning set forth in Section 5.11.1 (General).</w:t>
      </w:r>
    </w:p>
    <w:p>
      <w:pPr>
        <w:spacing w:after="0" w:line="216" w:lineRule="exact"/>
        <w:rPr>
          <w:sz w:val="20"/>
          <w:szCs w:val="20"/>
          <w:color w:val="auto"/>
        </w:rPr>
      </w:pPr>
    </w:p>
    <w:p>
      <w:pPr>
        <w:jc w:val="both"/>
        <w:ind w:left="880" w:right="20" w:hanging="863"/>
        <w:spacing w:after="0" w:line="267" w:lineRule="auto"/>
        <w:tabs>
          <w:tab w:leader="none" w:pos="860" w:val="left"/>
        </w:tabs>
        <w:rPr>
          <w:sz w:val="20"/>
          <w:szCs w:val="20"/>
          <w:color w:val="auto"/>
        </w:rPr>
      </w:pPr>
      <w:r>
        <w:rPr>
          <w:rFonts w:ascii="Arial" w:cs="Arial" w:eastAsia="Arial" w:hAnsi="Arial"/>
          <w:sz w:val="20"/>
          <w:szCs w:val="20"/>
          <w:b w:val="1"/>
          <w:bCs w:val="1"/>
          <w:color w:val="auto"/>
        </w:rPr>
        <w:t>1.75.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 individual, corporation, company, partnership, trust, limited liability company, association, or other business entity, including a government or political subdivision, department or agency of a government.</w:t>
      </w:r>
    </w:p>
    <w:p>
      <w:pPr>
        <w:spacing w:after="0" w:line="164" w:lineRule="exact"/>
        <w:rPr>
          <w:sz w:val="20"/>
          <w:szCs w:val="20"/>
          <w:color w:val="auto"/>
        </w:rPr>
      </w:pPr>
    </w:p>
    <w:p>
      <w:pPr>
        <w:jc w:val="both"/>
        <w:ind w:left="880" w:hanging="863"/>
        <w:spacing w:after="0" w:line="285" w:lineRule="auto"/>
        <w:tabs>
          <w:tab w:leader="none" w:pos="86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 Clinical Trial</w:t>
      </w:r>
      <w:r>
        <w:rPr>
          <w:rFonts w:ascii="Arial" w:cs="Arial" w:eastAsia="Arial" w:hAnsi="Arial"/>
          <w:sz w:val="18"/>
          <w:szCs w:val="18"/>
          <w:color w:val="auto"/>
        </w:rPr>
        <w:t>” means a clinical trial that generally provides for the first introduction into humans of a pharmaceutical product with the primary purpose of determining safety, metabolism, and pharmacokinetic properties and clinical pharmacology of such product, in a manner that is generally consistent with 21 C.F.R. § 312.21(a), as amended (or its successor regulation), or, with respect to any other country or jurisdiction, the equivalent of such a clinical trial in such other country or jurisdiction.</w:t>
      </w:r>
    </w:p>
    <w:p>
      <w:pPr>
        <w:spacing w:after="0" w:line="151" w:lineRule="exact"/>
        <w:rPr>
          <w:sz w:val="20"/>
          <w:szCs w:val="20"/>
          <w:color w:val="auto"/>
        </w:rPr>
      </w:pPr>
    </w:p>
    <w:p>
      <w:pPr>
        <w:jc w:val="both"/>
        <w:ind w:left="880" w:hanging="863"/>
        <w:spacing w:after="0" w:line="273" w:lineRule="auto"/>
        <w:tabs>
          <w:tab w:leader="none" w:pos="86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Phase II Clinical Trial</w:t>
      </w:r>
      <w:r>
        <w:rPr>
          <w:rFonts w:ascii="Arial" w:cs="Arial" w:eastAsia="Arial" w:hAnsi="Arial"/>
          <w:sz w:val="19"/>
          <w:szCs w:val="19"/>
          <w:color w:val="auto"/>
        </w:rPr>
        <w:t>” means a clinical trial that is intended to explore the feasibility, safety, dose ranging, or efficacy of a pharmaceutical product, as further defined in 21 C.F.R. § 312.21(b), as amended (or its successor regulation), or, with respect to any other country or jurisdiction, the equivalent of such a clinical trial in such other country or jurisdiction.</w:t>
      </w:r>
    </w:p>
    <w:p>
      <w:pPr>
        <w:spacing w:after="0" w:line="159" w:lineRule="exact"/>
        <w:rPr>
          <w:sz w:val="20"/>
          <w:szCs w:val="20"/>
          <w:color w:val="auto"/>
        </w:rPr>
      </w:pPr>
    </w:p>
    <w:p>
      <w:pPr>
        <w:jc w:val="both"/>
        <w:ind w:left="880" w:hanging="863"/>
        <w:spacing w:after="0" w:line="246" w:lineRule="auto"/>
        <w:tabs>
          <w:tab w:leader="none" w:pos="86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Pivotal Clinical Trial</w:t>
      </w:r>
      <w:r>
        <w:rPr>
          <w:rFonts w:ascii="Arial" w:cs="Arial" w:eastAsia="Arial" w:hAnsi="Arial"/>
          <w:sz w:val="20"/>
          <w:szCs w:val="20"/>
          <w:color w:val="auto"/>
        </w:rPr>
        <w:t>” means a human clinical trial in any country that is prospectively designed to generate data intended to (a) satisfy the requirements of in 21 C.F.R. § 312.21(c), as amended (or its successor regulation), or, with respect to any other country or jurisdiction, the equivalent of such a clinical trial in such other country or jurisdiction; or (b) otherwise satisfy the requirements of a Regulatory Authority for obtaining Regulatory Approval. For the avoidance of doubt, a Phase II Clinical Trial may be a Pivotal Clinical Trial.</w:t>
      </w:r>
    </w:p>
    <w:p>
      <w:pPr>
        <w:spacing w:after="0" w:line="185" w:lineRule="exact"/>
        <w:rPr>
          <w:sz w:val="20"/>
          <w:szCs w:val="20"/>
          <w:color w:val="auto"/>
        </w:rPr>
      </w:pPr>
    </w:p>
    <w:p>
      <w:pPr>
        <w:jc w:val="both"/>
        <w:ind w:left="880" w:hanging="863"/>
        <w:spacing w:after="0" w:line="273" w:lineRule="auto"/>
        <w:tabs>
          <w:tab w:leader="none" w:pos="86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Priority Review Voucher</w:t>
      </w:r>
      <w:r>
        <w:rPr>
          <w:rFonts w:ascii="Arial" w:cs="Arial" w:eastAsia="Arial" w:hAnsi="Arial"/>
          <w:sz w:val="19"/>
          <w:szCs w:val="19"/>
          <w:color w:val="auto"/>
        </w:rPr>
        <w:t>” or “</w:t>
      </w:r>
      <w:r>
        <w:rPr>
          <w:rFonts w:ascii="Arial" w:cs="Arial" w:eastAsia="Arial" w:hAnsi="Arial"/>
          <w:sz w:val="19"/>
          <w:szCs w:val="19"/>
          <w:b w:val="1"/>
          <w:bCs w:val="1"/>
          <w:color w:val="auto"/>
        </w:rPr>
        <w:t>PRV</w:t>
      </w:r>
      <w:r>
        <w:rPr>
          <w:rFonts w:ascii="Arial" w:cs="Arial" w:eastAsia="Arial" w:hAnsi="Arial"/>
          <w:sz w:val="19"/>
          <w:szCs w:val="19"/>
          <w:color w:val="auto"/>
        </w:rPr>
        <w:t>” means a voucher contemplated under Section 908 of the FDASIA that is awarded to a Person in consideration for the development of a pharmaceutical product for the treatment of a neglected or rare pediatric disease, which voucher entitles the holder thereof to receive priority review from the FDA for any product of its choice.</w:t>
      </w:r>
    </w:p>
    <w:p>
      <w:pPr>
        <w:spacing w:after="0" w:line="15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1.80.</w:t>
      </w:r>
      <w:r>
        <w:rPr>
          <w:sz w:val="20"/>
          <w:szCs w:val="20"/>
          <w:color w:val="auto"/>
        </w:rPr>
        <w:tab/>
      </w:r>
      <w:r>
        <w:rPr>
          <w:rFonts w:ascii="Arial" w:cs="Arial" w:eastAsia="Arial" w:hAnsi="Arial"/>
          <w:sz w:val="18"/>
          <w:szCs w:val="18"/>
          <w:color w:val="auto"/>
        </w:rPr>
        <w:t>“[*]” has the meaning set forth in [*].</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1.81.</w:t>
      </w:r>
      <w:r>
        <w:rPr>
          <w:sz w:val="20"/>
          <w:szCs w:val="20"/>
          <w:color w:val="auto"/>
        </w:rPr>
        <w:tab/>
      </w:r>
      <w:r>
        <w:rPr>
          <w:rFonts w:ascii="Arial" w:cs="Arial" w:eastAsia="Arial" w:hAnsi="Arial"/>
          <w:sz w:val="18"/>
          <w:szCs w:val="18"/>
          <w:color w:val="auto"/>
        </w:rPr>
        <w:t>“[*]” has the meaning set forth in [*].</w:t>
      </w:r>
    </w:p>
    <w:p>
      <w:pPr>
        <w:spacing w:after="0" w:line="200" w:lineRule="exact"/>
        <w:rPr>
          <w:sz w:val="20"/>
          <w:szCs w:val="20"/>
          <w:color w:val="auto"/>
        </w:rPr>
      </w:pPr>
    </w:p>
    <w:p>
      <w:pPr>
        <w:spacing w:after="0" w:line="2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- 9 -</w:t>
      </w:r>
    </w:p>
    <w:p>
      <w:pPr>
        <w:spacing w:after="0" w:line="12" w:lineRule="exact"/>
        <w:rPr>
          <w:sz w:val="20"/>
          <w:szCs w:val="20"/>
          <w:color w:val="auto"/>
        </w:rPr>
      </w:pPr>
    </w:p>
    <w:p>
      <w:pPr>
        <w:ind w:right="740" w:firstLine="8"/>
        <w:spacing w:after="0" w:line="226"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7" w:name="page148"/>
    <w:bookmarkEnd w:id="147"/>
    <w:p>
      <w:pPr>
        <w:jc w:val="both"/>
        <w:ind w:left="880" w:hanging="863"/>
        <w:spacing w:after="0" w:line="267" w:lineRule="auto"/>
        <w:tabs>
          <w:tab w:leader="none" w:pos="860"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Prosecution</w:t>
      </w:r>
      <w:r>
        <w:rPr>
          <w:rFonts w:ascii="Arial" w:cs="Arial" w:eastAsia="Arial" w:hAnsi="Arial"/>
          <w:sz w:val="20"/>
          <w:szCs w:val="20"/>
          <w:color w:val="auto"/>
        </w:rPr>
        <w:t>” or “</w:t>
      </w:r>
      <w:r>
        <w:rPr>
          <w:rFonts w:ascii="Arial" w:cs="Arial" w:eastAsia="Arial" w:hAnsi="Arial"/>
          <w:sz w:val="20"/>
          <w:szCs w:val="20"/>
          <w:b w:val="1"/>
          <w:bCs w:val="1"/>
          <w:color w:val="auto"/>
        </w:rPr>
        <w:t>Prosecute</w:t>
      </w:r>
      <w:r>
        <w:rPr>
          <w:rFonts w:ascii="Arial" w:cs="Arial" w:eastAsia="Arial" w:hAnsi="Arial"/>
          <w:sz w:val="20"/>
          <w:szCs w:val="20"/>
          <w:color w:val="auto"/>
        </w:rPr>
        <w:t>” means, with respect to a Patent Right, all communication and other interaction with any Patent Office or patent authority having jurisdiction over a patent application in connection with pre-grant proceedings.</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7.1.1 (Nondisclosure and Non-Use).</w:t>
      </w:r>
    </w:p>
    <w:p>
      <w:pPr>
        <w:spacing w:after="0" w:line="216" w:lineRule="exact"/>
        <w:rPr>
          <w:sz w:val="20"/>
          <w:szCs w:val="20"/>
          <w:color w:val="auto"/>
        </w:rPr>
      </w:pPr>
    </w:p>
    <w:p>
      <w:pPr>
        <w:jc w:val="both"/>
        <w:ind w:left="880" w:hanging="863"/>
        <w:spacing w:after="0" w:line="285" w:lineRule="auto"/>
        <w:tabs>
          <w:tab w:leader="none" w:pos="860" w:val="left"/>
        </w:tabs>
        <w:rPr>
          <w:sz w:val="20"/>
          <w:szCs w:val="20"/>
          <w:color w:val="auto"/>
        </w:rPr>
      </w:pPr>
      <w:r>
        <w:rPr>
          <w:rFonts w:ascii="Arial" w:cs="Arial" w:eastAsia="Arial" w:hAnsi="Arial"/>
          <w:sz w:val="20"/>
          <w:szCs w:val="20"/>
          <w:b w:val="1"/>
          <w:bCs w:val="1"/>
          <w:color w:val="auto"/>
        </w:rPr>
        <w:t>1.84.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with respect to a country or region in the Territory, any and all approvals, licenses, registrations, or authorizations from the relevant Regulatory Authority necessary in order to import, distribute, market, and sell a pharmaceutical product in such country or region (including any pricing or pricing reimbursement approvals that are required by Applicable Law for the import, distribution, marketing, offering for sale, or sale of the relevant product in such country or region).</w:t>
      </w:r>
    </w:p>
    <w:p>
      <w:pPr>
        <w:spacing w:after="0" w:line="151" w:lineRule="exact"/>
        <w:rPr>
          <w:sz w:val="20"/>
          <w:szCs w:val="20"/>
          <w:color w:val="auto"/>
        </w:rPr>
      </w:pPr>
    </w:p>
    <w:p>
      <w:pPr>
        <w:jc w:val="both"/>
        <w:ind w:left="880" w:hanging="863"/>
        <w:spacing w:after="0" w:line="267" w:lineRule="auto"/>
        <w:tabs>
          <w:tab w:leader="none" w:pos="860" w:val="left"/>
        </w:tabs>
        <w:rPr>
          <w:sz w:val="20"/>
          <w:szCs w:val="20"/>
          <w:color w:val="auto"/>
        </w:rPr>
      </w:pPr>
      <w:r>
        <w:rPr>
          <w:rFonts w:ascii="Arial" w:cs="Arial" w:eastAsia="Arial" w:hAnsi="Arial"/>
          <w:sz w:val="20"/>
          <w:szCs w:val="20"/>
          <w:b w:val="1"/>
          <w:bCs w:val="1"/>
          <w:color w:val="auto"/>
        </w:rPr>
        <w:t>1.85.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any Governmental Authority responsible for granting Regulatory Approvals for a Licensed Product in the Territory, including the FDA in the United States and the EMA in the European Union.</w:t>
      </w:r>
    </w:p>
    <w:p>
      <w:pPr>
        <w:spacing w:after="0" w:line="164" w:lineRule="exact"/>
        <w:rPr>
          <w:sz w:val="20"/>
          <w:szCs w:val="20"/>
          <w:color w:val="auto"/>
        </w:rPr>
      </w:pPr>
    </w:p>
    <w:p>
      <w:pPr>
        <w:jc w:val="both"/>
        <w:ind w:left="880" w:hanging="863"/>
        <w:spacing w:after="0" w:line="273" w:lineRule="auto"/>
        <w:tabs>
          <w:tab w:leader="none" w:pos="860" w:val="left"/>
        </w:tabs>
        <w:rPr>
          <w:sz w:val="20"/>
          <w:szCs w:val="20"/>
          <w:color w:val="auto"/>
        </w:rPr>
      </w:pPr>
      <w:r>
        <w:rPr>
          <w:rFonts w:ascii="Arial" w:cs="Arial" w:eastAsia="Arial" w:hAnsi="Arial"/>
          <w:sz w:val="20"/>
          <w:szCs w:val="20"/>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Regulatory Exclusivity</w:t>
      </w:r>
      <w:r>
        <w:rPr>
          <w:rFonts w:ascii="Arial" w:cs="Arial" w:eastAsia="Arial" w:hAnsi="Arial"/>
          <w:sz w:val="19"/>
          <w:szCs w:val="19"/>
          <w:color w:val="auto"/>
        </w:rPr>
        <w:t>” means any exclusive marketing rights or data protection or other exclusivity rights conferred by any Regulatory Authority with respect to a Licensed Product in a country or jurisdiction, other than a Patent Right, including orphan drug exclusivity, pediatric exclusivity, and exclusivity rights conferred in the U.S. under the Hatch-Waxman Act.</w:t>
      </w:r>
    </w:p>
    <w:p>
      <w:pPr>
        <w:spacing w:after="0" w:line="159" w:lineRule="exact"/>
        <w:rPr>
          <w:sz w:val="20"/>
          <w:szCs w:val="20"/>
          <w:color w:val="auto"/>
        </w:rPr>
      </w:pPr>
    </w:p>
    <w:p>
      <w:pPr>
        <w:jc w:val="both"/>
        <w:ind w:left="880" w:hanging="863"/>
        <w:spacing w:after="0" w:line="274" w:lineRule="auto"/>
        <w:tabs>
          <w:tab w:leader="none" w:pos="860" w:val="left"/>
        </w:tabs>
        <w:rPr>
          <w:sz w:val="20"/>
          <w:szCs w:val="20"/>
          <w:color w:val="auto"/>
        </w:rPr>
      </w:pPr>
      <w:r>
        <w:rPr>
          <w:rFonts w:ascii="Arial" w:cs="Arial" w:eastAsia="Arial" w:hAnsi="Arial"/>
          <w:sz w:val="20"/>
          <w:szCs w:val="20"/>
          <w:b w:val="1"/>
          <w:bCs w:val="1"/>
          <w:color w:val="auto"/>
        </w:rPr>
        <w:t>1.87.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Submissions</w:t>
      </w:r>
      <w:r>
        <w:rPr>
          <w:rFonts w:ascii="Arial" w:cs="Arial" w:eastAsia="Arial" w:hAnsi="Arial"/>
          <w:sz w:val="18"/>
          <w:szCs w:val="18"/>
          <w:color w:val="auto"/>
        </w:rPr>
        <w:t>” means, with respect to a Licensed Product, (a) all INDs, NDAs, establishment license applications, drug master files, applications for designation as an “Orphan Product” under the Orphan Drug Act, for “Fast Track” status under Section 506 of the FFDCA (21 U.S.C. § 356) or for a Special Protocol Assessment under Section 505(b)(4)(B) and (C) of the FFDCA (21 U.S.C. § 355(b)(4)(B) and (C)) and all other similar filings (including counterparts of any of the foregoing in any country or region in the Territory), (b) any applications for Regulatory Approval and other applications, filings, dossiers, or similar documents (</w:t>
      </w:r>
      <w:r>
        <w:rPr>
          <w:rFonts w:ascii="Arial" w:cs="Arial" w:eastAsia="Arial" w:hAnsi="Arial"/>
          <w:sz w:val="18"/>
          <w:szCs w:val="18"/>
          <w:i w:val="1"/>
          <w:iCs w:val="1"/>
          <w:color w:val="auto"/>
        </w:rPr>
        <w:t>e.g.</w:t>
      </w:r>
      <w:r>
        <w:rPr>
          <w:rFonts w:ascii="Arial" w:cs="Arial" w:eastAsia="Arial" w:hAnsi="Arial"/>
          <w:sz w:val="18"/>
          <w:szCs w:val="18"/>
          <w:color w:val="auto"/>
        </w:rPr>
        <w:t>, pediatric investigation plans) submitted to a Regulatory Authority in any country for the purpose of obtaining Regulatory Approval from that Regulatory Authority, (c) all supplements and amendments to any of the foregoing, and (d) all data and other information contained in, and Regulatory Authority correspondence relating to, any of the foregoing.</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1.88.</w:t>
      </w:r>
      <w:r>
        <w:rPr>
          <w:sz w:val="20"/>
          <w:szCs w:val="20"/>
          <w:color w:val="auto"/>
        </w:rPr>
        <w:tab/>
      </w:r>
      <w:r>
        <w:rPr>
          <w:rFonts w:ascii="Arial" w:cs="Arial" w:eastAsia="Arial" w:hAnsi="Arial"/>
          <w:sz w:val="18"/>
          <w:szCs w:val="18"/>
          <w:color w:val="auto"/>
        </w:rPr>
        <w:t>“[*]” has the meaning set forth in [*].</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1.89.</w:t>
      </w:r>
      <w:r>
        <w:rPr>
          <w:sz w:val="20"/>
          <w:szCs w:val="20"/>
          <w:color w:val="auto"/>
        </w:rPr>
        <w:tab/>
      </w:r>
      <w:r>
        <w:rPr>
          <w:rFonts w:ascii="Arial" w:cs="Arial" w:eastAsia="Arial" w:hAnsi="Arial"/>
          <w:sz w:val="18"/>
          <w:szCs w:val="18"/>
          <w:color w:val="auto"/>
        </w:rPr>
        <w:t>“[*]” has the meaning set forth in [*].</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1.90.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Royalties</w:t>
      </w:r>
      <w:r>
        <w:rPr>
          <w:rFonts w:ascii="Arial" w:cs="Arial" w:eastAsia="Arial" w:hAnsi="Arial"/>
          <w:sz w:val="18"/>
          <w:szCs w:val="18"/>
          <w:color w:val="auto"/>
        </w:rPr>
        <w:t>” has the meaning set forth in Section 5.5.1 (Royalties).</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Payment Report</w:t>
      </w:r>
      <w:r>
        <w:rPr>
          <w:rFonts w:ascii="Arial" w:cs="Arial" w:eastAsia="Arial" w:hAnsi="Arial"/>
          <w:sz w:val="16"/>
          <w:szCs w:val="16"/>
          <w:color w:val="auto"/>
        </w:rPr>
        <w:t>” has the meaning set forth in Section 5.6 (Payment Reports; Royalty Payments).</w:t>
      </w:r>
    </w:p>
    <w:p>
      <w:pPr>
        <w:spacing w:after="0" w:line="216" w:lineRule="exact"/>
        <w:rPr>
          <w:sz w:val="20"/>
          <w:szCs w:val="20"/>
          <w:color w:val="auto"/>
        </w:rPr>
      </w:pPr>
    </w:p>
    <w:p>
      <w:pPr>
        <w:jc w:val="both"/>
        <w:ind w:left="880" w:hanging="863"/>
        <w:spacing w:after="0" w:line="280" w:lineRule="auto"/>
        <w:tabs>
          <w:tab w:leader="none" w:pos="86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means, on a country-by-country basis and Licensed Product-by-Licensed Product basis, the period commencing on the First Commercial Sale of a Licensed Product in such country and continuing until the later of: (a) expiration of the last Valid Claim of any Patent Right that would, but for ownership of or the grant of a license to such Patent Right, be infringed by the Exploitation of any Licensed Product in such country; (b) the expiration of the applicable Regulatory Exclusivity for such Licensed Product in such country; or (c) 10 years following the date of the First Commercial Sale of such Licensed Product in such country.</w:t>
      </w:r>
    </w:p>
    <w:p>
      <w:pPr>
        <w:spacing w:after="0" w:line="3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- 10 -</w:t>
      </w:r>
    </w:p>
    <w:p>
      <w:pPr>
        <w:spacing w:after="0" w:line="12" w:lineRule="exact"/>
        <w:rPr>
          <w:sz w:val="20"/>
          <w:szCs w:val="20"/>
          <w:color w:val="auto"/>
        </w:rPr>
      </w:pPr>
    </w:p>
    <w:p>
      <w:pPr>
        <w:ind w:right="740" w:firstLine="8"/>
        <w:spacing w:after="0" w:line="226" w:lineRule="auto"/>
        <w:tabs>
          <w:tab w:leader="none" w:pos="2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8" w:name="page149"/>
    <w:bookmarkEnd w:id="148"/>
    <w:p>
      <w:pPr>
        <w:jc w:val="both"/>
        <w:ind w:left="880" w:hanging="863"/>
        <w:spacing w:after="0" w:line="309" w:lineRule="auto"/>
        <w:tabs>
          <w:tab w:leader="none" w:pos="860" w:val="left"/>
        </w:tabs>
        <w:rPr>
          <w:sz w:val="20"/>
          <w:szCs w:val="20"/>
          <w:color w:val="auto"/>
        </w:rPr>
      </w:pPr>
      <w:r>
        <w:rPr>
          <w:rFonts w:ascii="Arial" w:cs="Arial" w:eastAsia="Arial" w:hAnsi="Arial"/>
          <w:sz w:val="20"/>
          <w:szCs w:val="20"/>
          <w:b w:val="1"/>
          <w:bCs w:val="1"/>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Selected Third Party Agreements</w:t>
      </w:r>
      <w:r>
        <w:rPr>
          <w:rFonts w:ascii="Arial" w:cs="Arial" w:eastAsia="Arial" w:hAnsi="Arial"/>
          <w:sz w:val="16"/>
          <w:szCs w:val="16"/>
          <w:color w:val="auto"/>
        </w:rPr>
        <w:t>” means, with respect to any Licensed Compound or Licensed Product, any agreement entered into by and between Licensee or any of its Affiliates or its Sublicensees, on the one hand and one or more Third Parties, on the other hand, that is [*] and that does not [*], including (a) any agreement pursuant to which [*], (b) [*] agreements pursuant to which [*],</w:t>
      </w:r>
    </w:p>
    <w:p>
      <w:pPr>
        <w:jc w:val="both"/>
        <w:ind w:left="880" w:hanging="8"/>
        <w:spacing w:after="0" w:line="241" w:lineRule="auto"/>
        <w:tabs>
          <w:tab w:leader="none" w:pos="1176" w:val="left"/>
        </w:tabs>
        <w:numPr>
          <w:ilvl w:val="0"/>
          <w:numId w:val="99"/>
        </w:numPr>
        <w:rPr>
          <w:rFonts w:ascii="Arial" w:cs="Arial" w:eastAsia="Arial" w:hAnsi="Arial"/>
          <w:sz w:val="20"/>
          <w:szCs w:val="20"/>
          <w:color w:val="auto"/>
        </w:rPr>
      </w:pPr>
      <w:r>
        <w:rPr>
          <w:rFonts w:ascii="Arial" w:cs="Arial" w:eastAsia="Arial" w:hAnsi="Arial"/>
          <w:sz w:val="20"/>
          <w:szCs w:val="20"/>
          <w:color w:val="auto"/>
        </w:rPr>
        <w:t>[*] agreements solely with respect to Licensed Compounds or Licensed Products, (d) [*] agreements solely with respect to Licensed Compounds or Licensed Products, and (e) other [*] agreements solely with respect to Licensed Compounds or Licensed Products.</w:t>
      </w:r>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Subcontractor</w:t>
      </w:r>
      <w:r>
        <w:rPr>
          <w:rFonts w:ascii="Arial" w:cs="Arial" w:eastAsia="Arial" w:hAnsi="Arial"/>
          <w:sz w:val="16"/>
          <w:szCs w:val="16"/>
          <w:color w:val="auto"/>
        </w:rPr>
        <w:t>” has the meaning set forth in Section 2.3 (Subcontractors).</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1.95.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Sublicensee</w:t>
      </w:r>
      <w:r>
        <w:rPr>
          <w:rFonts w:ascii="Arial" w:cs="Arial" w:eastAsia="Arial" w:hAnsi="Arial"/>
          <w:sz w:val="16"/>
          <w:szCs w:val="16"/>
          <w:color w:val="auto"/>
        </w:rPr>
        <w:t>” has the meaning set forth in Section 2.2 (Sublicense Rights).</w:t>
      </w:r>
    </w:p>
    <w:p>
      <w:pPr>
        <w:spacing w:after="0" w:line="216" w:lineRule="exact"/>
        <w:rPr>
          <w:sz w:val="20"/>
          <w:szCs w:val="20"/>
          <w:color w:val="auto"/>
        </w:rPr>
      </w:pPr>
    </w:p>
    <w:p>
      <w:pPr>
        <w:jc w:val="both"/>
        <w:ind w:left="880" w:hanging="863"/>
        <w:spacing w:after="0" w:line="255" w:lineRule="auto"/>
        <w:tabs>
          <w:tab w:leader="none" w:pos="860" w:val="left"/>
        </w:tabs>
        <w:rPr>
          <w:sz w:val="20"/>
          <w:szCs w:val="20"/>
          <w:color w:val="auto"/>
        </w:rPr>
      </w:pPr>
      <w:r>
        <w:rPr>
          <w:rFonts w:ascii="Arial" w:cs="Arial" w:eastAsia="Arial" w:hAnsi="Arial"/>
          <w:sz w:val="20"/>
          <w:szCs w:val="20"/>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Sublicensing Revenue</w:t>
      </w:r>
      <w:r>
        <w:rPr>
          <w:rFonts w:ascii="Arial" w:cs="Arial" w:eastAsia="Arial" w:hAnsi="Arial"/>
          <w:sz w:val="19"/>
          <w:szCs w:val="19"/>
          <w:color w:val="auto"/>
        </w:rPr>
        <w:t>” means any and all amounts (including upfront payments, milestone payments, and earn-out payments) paid or payable to or received by Licensee or its Affiliates from any Sublicensee or Third Party in consideration for (a) the grant of a sublicense of any of the rights granted to Licensee under this Agreement, or (b) the grant of any option to obtain such a sublicense under any such rights granted to Licensee under this Agreement. Notwithstanding the foregoing, Sublicensing Revenue shall exclude any such payment received by Licensee or any of its Affiliates from any such Third Party in return for, as payment or consideration for, or otherwise in respect of: (i) the [*] of a Licensed Product [*] (</w:t>
      </w:r>
      <w:r>
        <w:rPr>
          <w:rFonts w:ascii="Arial" w:cs="Arial" w:eastAsia="Arial" w:hAnsi="Arial"/>
          <w:sz w:val="19"/>
          <w:szCs w:val="19"/>
          <w:i w:val="1"/>
          <w:iCs w:val="1"/>
          <w:color w:val="auto"/>
        </w:rPr>
        <w:t>e.g.</w:t>
      </w:r>
      <w:r>
        <w:rPr>
          <w:rFonts w:ascii="Arial" w:cs="Arial" w:eastAsia="Arial" w:hAnsi="Arial"/>
          <w:sz w:val="19"/>
          <w:szCs w:val="19"/>
          <w:color w:val="auto"/>
        </w:rPr>
        <w:t>, royalties on Net Sales), but for clarity, [*], (ii) equity or debt of Licensee or its Affiliate purchased by such Third Party at or below the fair market value of such equity or debt as of the date of the purchase, (iii) reimbursement of Licensee’s or its Affiliates’ actual cost for [*], (iv) reimbursement [*] for the performance of services by Licensee or its Affiliate, (v) reimbursement of [*], (vi) the sale of Licensee or its Affiliate in whole or in part to a Third Party, unless, at the time of such a sale, [*], or (vii) to the extent that a payment not explicitly tied to a Licensed Product is made under a sublicense agreement that grants rights both to one or more Licensed Products and one or more other products (</w:t>
      </w:r>
      <w:r>
        <w:rPr>
          <w:rFonts w:ascii="Arial" w:cs="Arial" w:eastAsia="Arial" w:hAnsi="Arial"/>
          <w:sz w:val="19"/>
          <w:szCs w:val="19"/>
          <w:i w:val="1"/>
          <w:iCs w:val="1"/>
          <w:color w:val="auto"/>
        </w:rPr>
        <w:t>e.g.</w:t>
      </w:r>
      <w:r>
        <w:rPr>
          <w:rFonts w:ascii="Arial" w:cs="Arial" w:eastAsia="Arial" w:hAnsi="Arial"/>
          <w:sz w:val="19"/>
          <w:szCs w:val="19"/>
          <w:color w:val="auto"/>
        </w:rPr>
        <w:t xml:space="preserve">, an upfront payment), then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such payment will be considered Sublicensing Revenue which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will be calculated by [*].</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1.97.</w:t>
      </w:r>
      <w:r>
        <w:rPr>
          <w:sz w:val="20"/>
          <w:szCs w:val="20"/>
          <w:color w:val="auto"/>
        </w:rPr>
        <w:tab/>
      </w:r>
      <w:r>
        <w:rPr>
          <w:rFonts w:ascii="Arial" w:cs="Arial" w:eastAsia="Arial" w:hAnsi="Arial"/>
          <w:sz w:val="18"/>
          <w:szCs w:val="18"/>
          <w:color w:val="auto"/>
        </w:rPr>
        <w:t>“[*]” has the meaning set forth in [*].</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1.98.</w:t>
      </w:r>
      <w:r>
        <w:rPr>
          <w:sz w:val="20"/>
          <w:szCs w:val="20"/>
          <w:color w:val="auto"/>
        </w:rPr>
        <w:tab/>
      </w:r>
      <w:r>
        <w:rPr>
          <w:rFonts w:ascii="Arial" w:cs="Arial" w:eastAsia="Arial" w:hAnsi="Arial"/>
          <w:sz w:val="18"/>
          <w:szCs w:val="18"/>
          <w:color w:val="auto"/>
        </w:rPr>
        <w:t>“[*]” has the meaning set forth in [*].</w:t>
      </w:r>
    </w:p>
    <w:p>
      <w:pPr>
        <w:spacing w:after="0" w:line="216"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1.99.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Tax</w:t>
      </w:r>
      <w:r>
        <w:rPr>
          <w:rFonts w:ascii="Arial" w:cs="Arial" w:eastAsia="Arial" w:hAnsi="Arial"/>
          <w:sz w:val="20"/>
          <w:szCs w:val="20"/>
          <w:color w:val="auto"/>
        </w:rPr>
        <w:t>” or “</w:t>
      </w:r>
      <w:r>
        <w:rPr>
          <w:rFonts w:ascii="Arial" w:cs="Arial" w:eastAsia="Arial" w:hAnsi="Arial"/>
          <w:sz w:val="20"/>
          <w:szCs w:val="20"/>
          <w:b w:val="1"/>
          <w:bCs w:val="1"/>
          <w:color w:val="auto"/>
        </w:rPr>
        <w:t>Taxes</w:t>
      </w:r>
      <w:r>
        <w:rPr>
          <w:rFonts w:ascii="Arial" w:cs="Arial" w:eastAsia="Arial" w:hAnsi="Arial"/>
          <w:sz w:val="20"/>
          <w:szCs w:val="20"/>
          <w:color w:val="auto"/>
        </w:rPr>
        <w:t>” means any form of tax or taxation, fee, levy, excise duty, charge, social security charge, contribution, withholding, or assessments of any kind in the nature of (or similar to) taxes whatsoever of whatever nature (including any related fine, penalty, surcharge, interest or addition thereto) imposed by, or payable to, a Governmental Authority.</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1.100.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9.1 (Term).</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1.101.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worldwide.</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1.102.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 Party or an Affiliate of a Party.</w:t>
      </w:r>
    </w:p>
    <w:p>
      <w:pPr>
        <w:spacing w:after="0" w:line="21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1.103.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 License</w:t>
      </w:r>
      <w:r>
        <w:rPr>
          <w:rFonts w:ascii="Arial" w:cs="Arial" w:eastAsia="Arial" w:hAnsi="Arial"/>
          <w:sz w:val="18"/>
          <w:szCs w:val="18"/>
          <w:color w:val="auto"/>
        </w:rPr>
        <w:t>” has the meaning set forth in Section 5.5.3(a) (Third Party IP).</w:t>
      </w:r>
    </w:p>
    <w:p>
      <w:pPr>
        <w:spacing w:after="0" w:line="216" w:lineRule="exact"/>
        <w:rPr>
          <w:sz w:val="20"/>
          <w:szCs w:val="20"/>
          <w:color w:val="auto"/>
        </w:rPr>
      </w:pPr>
    </w:p>
    <w:p>
      <w:pPr>
        <w:jc w:val="both"/>
        <w:ind w:left="880" w:right="20" w:hanging="863"/>
        <w:spacing w:after="0" w:line="293" w:lineRule="auto"/>
        <w:tabs>
          <w:tab w:leader="none" w:pos="860" w:val="left"/>
        </w:tabs>
        <w:rPr>
          <w:sz w:val="20"/>
          <w:szCs w:val="20"/>
          <w:color w:val="auto"/>
        </w:rPr>
      </w:pPr>
      <w:r>
        <w:rPr>
          <w:rFonts w:ascii="Arial" w:cs="Arial" w:eastAsia="Arial" w:hAnsi="Arial"/>
          <w:sz w:val="20"/>
          <w:szCs w:val="20"/>
          <w:b w:val="1"/>
          <w:bCs w:val="1"/>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Trademarks</w:t>
      </w:r>
      <w:r>
        <w:rPr>
          <w:rFonts w:ascii="Arial" w:cs="Arial" w:eastAsia="Arial" w:hAnsi="Arial"/>
          <w:sz w:val="19"/>
          <w:szCs w:val="19"/>
          <w:color w:val="auto"/>
        </w:rPr>
        <w:t>” means any trademark, trade name, service mark, service name, brand, domain name, trade dress, logo, slogan, or other indicia of origin or ownership, including the goodwill and activities associated with each of the foregoing.</w:t>
      </w:r>
    </w:p>
    <w:p>
      <w:pPr>
        <w:spacing w:after="0" w:line="3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- 11 -</w:t>
      </w:r>
    </w:p>
    <w:p>
      <w:pPr>
        <w:spacing w:after="0" w:line="12" w:lineRule="exact"/>
        <w:rPr>
          <w:sz w:val="20"/>
          <w:szCs w:val="20"/>
          <w:color w:val="auto"/>
        </w:rPr>
      </w:pPr>
    </w:p>
    <w:p>
      <w:pPr>
        <w:ind w:right="740" w:firstLine="8"/>
        <w:spacing w:after="0" w:line="226" w:lineRule="auto"/>
        <w:tabs>
          <w:tab w:leader="none" w:pos="2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49" w:name="page150"/>
    <w:bookmarkEnd w:id="149"/>
    <w:p>
      <w:pPr>
        <w:jc w:val="both"/>
        <w:ind w:left="880" w:hanging="863"/>
        <w:spacing w:after="0" w:line="260" w:lineRule="auto"/>
        <w:tabs>
          <w:tab w:leader="none" w:pos="860" w:val="left"/>
        </w:tabs>
        <w:rPr>
          <w:sz w:val="20"/>
          <w:szCs w:val="20"/>
          <w:color w:val="auto"/>
        </w:rPr>
      </w:pPr>
      <w:r>
        <w:rPr>
          <w:rFonts w:ascii="Arial" w:cs="Arial" w:eastAsia="Arial" w:hAnsi="Arial"/>
          <w:sz w:val="20"/>
          <w:szCs w:val="20"/>
          <w:b w:val="1"/>
          <w:bCs w:val="1"/>
          <w:color w:val="auto"/>
        </w:rPr>
        <w:t>1.105.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either: (a) a claim of an issued and unexpired Patent Right that has not been permanently revoked or declared unenforceable or invalid by an unreversed and unappealable or unreversed and unappealed decision of a court or other appropriate body of competent jurisdiction and which has not been abandoned, disclaimed, denied, or admitted to be invalid or unenforceable through reissue, re-examination, disclaimer, or otherwise; or (b) a claim of a pending patent application that was filed in good faith and has not been cancelled, withdrawn, abandoned, or finally disallowed without the possibility of appeal or refiling of such application and has not been pending for more than [*] years.</w:t>
      </w:r>
    </w:p>
    <w:p>
      <w:pPr>
        <w:spacing w:after="0" w:line="173" w:lineRule="exact"/>
        <w:rPr>
          <w:sz w:val="20"/>
          <w:szCs w:val="20"/>
          <w:color w:val="auto"/>
        </w:rPr>
      </w:pPr>
    </w:p>
    <w:p>
      <w:pPr>
        <w:jc w:val="both"/>
        <w:ind w:left="880" w:right="2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1.106.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VAT</w:t>
      </w:r>
      <w:r>
        <w:rPr>
          <w:rFonts w:ascii="Arial" w:cs="Arial" w:eastAsia="Arial" w:hAnsi="Arial"/>
          <w:sz w:val="20"/>
          <w:szCs w:val="20"/>
          <w:color w:val="auto"/>
        </w:rPr>
        <w:t>” means value added tax, ad valorem, goods and services or similar tax chargeable on the supply or deemed supply of goods or services, sales taxes, consumption taxes, and other similar taxes required by Applicable Law, including interest, penalties or other additions thereto.</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1.107.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Withholding Tax</w:t>
      </w:r>
      <w:r>
        <w:rPr>
          <w:rFonts w:ascii="Arial" w:cs="Arial" w:eastAsia="Arial" w:hAnsi="Arial"/>
          <w:sz w:val="18"/>
          <w:szCs w:val="18"/>
          <w:color w:val="auto"/>
        </w:rPr>
        <w:t>” has the meaning set forth in Section 5.11.1 (General).</w:t>
      </w:r>
    </w:p>
    <w:p>
      <w:pPr>
        <w:spacing w:after="0" w:line="216" w:lineRule="exact"/>
        <w:rPr>
          <w:sz w:val="20"/>
          <w:szCs w:val="20"/>
          <w:color w:val="auto"/>
        </w:rPr>
      </w:pPr>
    </w:p>
    <w:p>
      <w:pPr>
        <w:ind w:left="60"/>
        <w:spacing w:after="0"/>
        <w:tabs>
          <w:tab w:leader="none" w:pos="5300" w:val="left"/>
        </w:tabs>
        <w:rPr>
          <w:sz w:val="20"/>
          <w:szCs w:val="20"/>
          <w:color w:val="auto"/>
        </w:rPr>
      </w:pPr>
      <w:r>
        <w:rPr>
          <w:rFonts w:ascii="Arial" w:cs="Arial" w:eastAsia="Arial" w:hAnsi="Arial"/>
          <w:sz w:val="20"/>
          <w:szCs w:val="20"/>
          <w:b w:val="1"/>
          <w:bCs w:val="1"/>
          <w:color w:val="auto"/>
        </w:rPr>
        <w:t>Article 2.</w:t>
      </w:r>
      <w:r>
        <w:rPr>
          <w:sz w:val="20"/>
          <w:szCs w:val="20"/>
          <w:color w:val="auto"/>
        </w:rPr>
        <w:tab/>
      </w:r>
      <w:r>
        <w:rPr>
          <w:rFonts w:ascii="Arial" w:cs="Arial" w:eastAsia="Arial" w:hAnsi="Arial"/>
          <w:sz w:val="20"/>
          <w:szCs w:val="20"/>
          <w:b w:val="1"/>
          <w:bCs w:val="1"/>
          <w:color w:val="auto"/>
        </w:rPr>
        <w:t>LICENSE GRANT</w:t>
      </w:r>
    </w:p>
    <w:p>
      <w:pPr>
        <w:spacing w:after="0" w:line="216"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b w:val="1"/>
          <w:bCs w:val="1"/>
          <w:color w:val="auto"/>
        </w:rPr>
        <w:t>Exclusive License Grant</w:t>
      </w:r>
      <w:r>
        <w:rPr>
          <w:rFonts w:ascii="Arial" w:cs="Arial" w:eastAsia="Arial" w:hAnsi="Arial"/>
          <w:sz w:val="20"/>
          <w:szCs w:val="20"/>
          <w:color w:val="auto"/>
        </w:rPr>
        <w:t>. Subject to the terms and conditions of this Agreement (including Section 2.4 (Retained Rights)),</w:t>
      </w:r>
      <w:r>
        <w:rPr>
          <w:rFonts w:ascii="Arial" w:cs="Arial" w:eastAsia="Arial" w:hAnsi="Arial"/>
          <w:sz w:val="20"/>
          <w:szCs w:val="20"/>
          <w:b w:val="1"/>
          <w:bCs w:val="1"/>
          <w:color w:val="auto"/>
        </w:rPr>
        <w:t xml:space="preserve"> </w:t>
      </w:r>
      <w:r>
        <w:rPr>
          <w:rFonts w:ascii="Arial" w:cs="Arial" w:eastAsia="Arial" w:hAnsi="Arial"/>
          <w:sz w:val="20"/>
          <w:szCs w:val="20"/>
          <w:color w:val="auto"/>
        </w:rPr>
        <w:t>Licensor hereby grants to Licensee an exclusive (even as to Licensor, subject to Section 2.4 (Retained Rights)), sublicensable (subject to Section 2.2 (Sublicense Rights)), royalty-bearing license during the Term under the Licensor Technology to Exploit the Licensed Compounds and Licensed Products in the Field in the Territory.</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Sublicense Rights</w:t>
      </w:r>
      <w:r>
        <w:rPr>
          <w:rFonts w:ascii="Arial" w:cs="Arial" w:eastAsia="Arial" w:hAnsi="Arial"/>
          <w:sz w:val="16"/>
          <w:szCs w:val="16"/>
          <w:color w:val="auto"/>
        </w:rPr>
        <w:t>.</w:t>
      </w:r>
    </w:p>
    <w:p>
      <w:pPr>
        <w:spacing w:after="0" w:line="216" w:lineRule="exact"/>
        <w:rPr>
          <w:sz w:val="20"/>
          <w:szCs w:val="20"/>
          <w:color w:val="auto"/>
        </w:rPr>
      </w:pPr>
    </w:p>
    <w:p>
      <w:pPr>
        <w:jc w:val="both"/>
        <w:ind w:left="1740" w:hanging="863"/>
        <w:spacing w:after="0" w:line="256" w:lineRule="auto"/>
        <w:tabs>
          <w:tab w:leader="none" w:pos="172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9"/>
          <w:szCs w:val="19"/>
          <w:b w:val="1"/>
          <w:bCs w:val="1"/>
          <w:color w:val="auto"/>
        </w:rPr>
        <w:t>Right to Sublicense</w:t>
      </w:r>
      <w:r>
        <w:rPr>
          <w:rFonts w:ascii="Arial" w:cs="Arial" w:eastAsia="Arial" w:hAnsi="Arial"/>
          <w:sz w:val="19"/>
          <w:szCs w:val="19"/>
          <w:color w:val="auto"/>
        </w:rPr>
        <w:t>. Licensee will have the right to grant sublicenses, through multiple tiers, of the rights granted to it</w:t>
      </w:r>
      <w:r>
        <w:rPr>
          <w:rFonts w:ascii="Arial" w:cs="Arial" w:eastAsia="Arial" w:hAnsi="Arial"/>
          <w:sz w:val="19"/>
          <w:szCs w:val="19"/>
          <w:b w:val="1"/>
          <w:bCs w:val="1"/>
          <w:color w:val="auto"/>
        </w:rPr>
        <w:t xml:space="preserve"> </w:t>
      </w:r>
      <w:r>
        <w:rPr>
          <w:rFonts w:ascii="Arial" w:cs="Arial" w:eastAsia="Arial" w:hAnsi="Arial"/>
          <w:sz w:val="19"/>
          <w:szCs w:val="19"/>
          <w:color w:val="auto"/>
        </w:rPr>
        <w:t>under Section 2.1 (Exclusive License Grant) to Third Parties (each, a “</w:t>
      </w:r>
      <w:r>
        <w:rPr>
          <w:rFonts w:ascii="Arial" w:cs="Arial" w:eastAsia="Arial" w:hAnsi="Arial"/>
          <w:sz w:val="19"/>
          <w:szCs w:val="19"/>
          <w:b w:val="1"/>
          <w:bCs w:val="1"/>
          <w:color w:val="auto"/>
        </w:rPr>
        <w:t>Sublicensee</w:t>
      </w:r>
      <w:r>
        <w:rPr>
          <w:rFonts w:ascii="Arial" w:cs="Arial" w:eastAsia="Arial" w:hAnsi="Arial"/>
          <w:sz w:val="19"/>
          <w:szCs w:val="19"/>
          <w:color w:val="auto"/>
        </w:rPr>
        <w:t xml:space="preserve">”) and to its Affiliates, in each case, upon written notice to Licensor (which notice will include [*]);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Licensee may only grant a sublicense to a Sublicensee [*] upon [*] (such a [*], a “[*]” and any Sublicensee for which a [*] must be obtained, a “[*]”). If Licensee grants a sublicense [*] to [*], and following the grant of such sublicense, such [*] while retaining its sublicense rights, then thereafter such [*] will be deemed a [*] for purposes of this Agreement and Licensee must obtain a [*] for such [*] in accordance with Section 2.2.2 [*] no later than [*] following the closing of the transaction pursuant to which such [*] ceased to be an [*]. If Licensee does not seek such [*] within such [*] period, or if Licensor does not grant such [*] with respect to such [*] (or is not deemed to have provided such [*]) in accordance with Section 2.2.2 ([*]), then the sublicense granted to such [*] will [*] upon the earlier of: (a) the conclusion of such [*] period, or (b) the date on which Licensor provides notice to Licensee [*] such [*] with respect to such [*].</w:t>
      </w:r>
    </w:p>
    <w:p>
      <w:pPr>
        <w:spacing w:after="0" w:line="178" w:lineRule="exact"/>
        <w:rPr>
          <w:sz w:val="20"/>
          <w:szCs w:val="20"/>
          <w:color w:val="auto"/>
        </w:rPr>
      </w:pPr>
    </w:p>
    <w:p>
      <w:pPr>
        <w:jc w:val="both"/>
        <w:ind w:left="1740" w:hanging="863"/>
        <w:spacing w:after="0" w:line="258" w:lineRule="auto"/>
        <w:tabs>
          <w:tab w:leader="none" w:pos="172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9"/>
          <w:szCs w:val="19"/>
          <w:b w:val="1"/>
          <w:bCs w:val="1"/>
          <w:color w:val="auto"/>
        </w:rPr>
        <w:t>[*]</w:t>
      </w:r>
      <w:r>
        <w:rPr>
          <w:rFonts w:ascii="Arial" w:cs="Arial" w:eastAsia="Arial" w:hAnsi="Arial"/>
          <w:sz w:val="19"/>
          <w:szCs w:val="19"/>
          <w:color w:val="auto"/>
        </w:rPr>
        <w:t>. Licensee may request in writing that Licensor provide a [*] with respect to any [*] at any point after Licensee [*]</w:t>
      </w:r>
      <w:r>
        <w:rPr>
          <w:rFonts w:ascii="Arial" w:cs="Arial" w:eastAsia="Arial" w:hAnsi="Arial"/>
          <w:sz w:val="19"/>
          <w:szCs w:val="19"/>
          <w:b w:val="1"/>
          <w:bCs w:val="1"/>
          <w:color w:val="auto"/>
        </w:rPr>
        <w:t xml:space="preserve"> </w:t>
      </w:r>
      <w:r>
        <w:rPr>
          <w:rFonts w:ascii="Arial" w:cs="Arial" w:eastAsia="Arial" w:hAnsi="Arial"/>
          <w:sz w:val="19"/>
          <w:szCs w:val="19"/>
          <w:color w:val="auto"/>
        </w:rPr>
        <w:t>such [*], including at any time prior to [*] for such a [*]. If, within [*] after Licensor’s receipt of a written request from Licensee to grant a [*] for any [*], Licensor does not respond to any such request by either [*] or refusing to [*] to such request, then Licensor will be deemed to have [*] such [*] with respect to the applicable [*] identified in such request. In addition, Licensor agrees that [*] to [*] a [*] to any [*] on the basis that the [*] is [*] a pharmaceutical product] that is intended to [*], regardless of [*], at the time of Licensee’s request for such [*]. Any [*] by Licensor with respect to a particular [*] will be applicable only to [*]. Unless otherwise agreed by Licensor in the [*] with respect to such [*], if such [*] wishes to [*] in any [*] (other than to [*]), then such</w:t>
      </w:r>
    </w:p>
    <w:p>
      <w:pPr>
        <w:spacing w:after="0" w:line="3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- 12 -</w:t>
      </w:r>
    </w:p>
    <w:p>
      <w:pPr>
        <w:spacing w:after="0" w:line="12" w:lineRule="exact"/>
        <w:rPr>
          <w:sz w:val="20"/>
          <w:szCs w:val="20"/>
          <w:color w:val="auto"/>
        </w:rPr>
      </w:pPr>
    </w:p>
    <w:p>
      <w:pPr>
        <w:ind w:right="740" w:firstLine="8"/>
        <w:spacing w:after="0" w:line="226"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0" w:name="page151"/>
    <w:bookmarkEnd w:id="150"/>
    <w:p>
      <w:pPr>
        <w:ind w:left="2032" w:hanging="303"/>
        <w:spacing w:after="0"/>
        <w:tabs>
          <w:tab w:leader="none" w:pos="203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will be required to obtain another [*] from Licensor in accordance with this Section 2.2.2 ([*]) with respect to such</w:t>
      </w:r>
    </w:p>
    <w:p>
      <w:pPr>
        <w:spacing w:after="0" w:line="38" w:lineRule="exact"/>
        <w:rPr>
          <w:rFonts w:ascii="Arial" w:cs="Arial" w:eastAsia="Arial" w:hAnsi="Arial"/>
          <w:sz w:val="18"/>
          <w:szCs w:val="18"/>
          <w:color w:val="auto"/>
        </w:rPr>
      </w:pPr>
    </w:p>
    <w:p>
      <w:pPr>
        <w:ind w:left="1732"/>
        <w:spacing w:after="0"/>
        <w:rPr>
          <w:rFonts w:ascii="Arial" w:cs="Arial" w:eastAsia="Arial" w:hAnsi="Arial"/>
          <w:sz w:val="18"/>
          <w:szCs w:val="18"/>
          <w:color w:val="auto"/>
        </w:rPr>
      </w:pPr>
      <w:r>
        <w:rPr>
          <w:rFonts w:ascii="Arial" w:cs="Arial" w:eastAsia="Arial" w:hAnsi="Arial"/>
          <w:sz w:val="20"/>
          <w:szCs w:val="20"/>
          <w:color w:val="auto"/>
        </w:rPr>
        <w:t>[*].</w:t>
      </w:r>
    </w:p>
    <w:p>
      <w:pPr>
        <w:spacing w:after="0" w:line="194" w:lineRule="exact"/>
        <w:rPr>
          <w:sz w:val="20"/>
          <w:szCs w:val="20"/>
          <w:color w:val="auto"/>
        </w:rPr>
      </w:pPr>
    </w:p>
    <w:p>
      <w:pPr>
        <w:jc w:val="both"/>
        <w:ind w:left="1732" w:hanging="863"/>
        <w:spacing w:after="0" w:line="272" w:lineRule="auto"/>
        <w:tabs>
          <w:tab w:leader="none" w:pos="1712"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8"/>
          <w:szCs w:val="18"/>
          <w:b w:val="1"/>
          <w:bCs w:val="1"/>
          <w:color w:val="auto"/>
        </w:rPr>
        <w:t>Sublicense Requirements</w:t>
      </w:r>
      <w:r>
        <w:rPr>
          <w:rFonts w:ascii="Arial" w:cs="Arial" w:eastAsia="Arial" w:hAnsi="Arial"/>
          <w:sz w:val="18"/>
          <w:szCs w:val="18"/>
          <w:color w:val="auto"/>
        </w:rPr>
        <w:t>. Licensee will remain responsible for the performance of this Agreement and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of its Affiliates and Sublicensees under their sublicensed rights to the same extent as if such activities were conducted by Licensee. Each sublicense to an Affiliate or a Sublicensee of the rights granted to Licensee under Section 2.1 (Exclusive License Grant) will be in writing and will (a) refer to, be subordinate to, and be consistent with this Agreement in all respects; (b) include [*]); (c) require the [*] to [*] if [*] no later than [*] after [*] and require such [*] to [*] to [*]; (d) to the extent required by Applicable Law, require such Affiliate or Sublicensee, upon request, to cooperate in the preparation and prosecution of any Patent Rights included in the Intellectual Property Rights described in subsection (b); and (e) preclude the granting of further sublicenses to the extent inconsistent with this Agreement. Notwithstanding the grant of a sublicense to a Sublicensee, Licensee shall remain fully liable to Licensor under this Agreement, and any sublicense granted hereunder that is inconsistent with this Section 2.2 (Sublicense Rights) will be null and void.</w:t>
      </w:r>
    </w:p>
    <w:p>
      <w:pPr>
        <w:spacing w:after="0" w:line="166" w:lineRule="exact"/>
        <w:rPr>
          <w:sz w:val="20"/>
          <w:szCs w:val="20"/>
          <w:color w:val="auto"/>
        </w:rPr>
      </w:pPr>
    </w:p>
    <w:p>
      <w:pPr>
        <w:jc w:val="both"/>
        <w:ind w:left="1732" w:hanging="863"/>
        <w:spacing w:after="0" w:line="246" w:lineRule="auto"/>
        <w:tabs>
          <w:tab w:leader="none" w:pos="1712"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20"/>
          <w:szCs w:val="20"/>
          <w:b w:val="1"/>
          <w:bCs w:val="1"/>
          <w:color w:val="auto"/>
        </w:rPr>
        <w:t>Copies of Sublicenses</w:t>
      </w:r>
      <w:r>
        <w:rPr>
          <w:rFonts w:ascii="Arial" w:cs="Arial" w:eastAsia="Arial" w:hAnsi="Arial"/>
          <w:sz w:val="20"/>
          <w:szCs w:val="20"/>
          <w:color w:val="auto"/>
        </w:rPr>
        <w:t>. Licensee will furnish to Licensor a true and complete copy of each sublicense agreement with a</w:t>
      </w:r>
      <w:r>
        <w:rPr>
          <w:rFonts w:ascii="Arial" w:cs="Arial" w:eastAsia="Arial" w:hAnsi="Arial"/>
          <w:sz w:val="20"/>
          <w:szCs w:val="20"/>
          <w:b w:val="1"/>
          <w:bCs w:val="1"/>
          <w:color w:val="auto"/>
        </w:rPr>
        <w:t xml:space="preserve"> </w:t>
      </w:r>
      <w:r>
        <w:rPr>
          <w:rFonts w:ascii="Arial" w:cs="Arial" w:eastAsia="Arial" w:hAnsi="Arial"/>
          <w:sz w:val="20"/>
          <w:szCs w:val="20"/>
          <w:color w:val="auto"/>
        </w:rPr>
        <w:t>Sublicensee or an Affiliate and each amendment thereto within [*] after the sublicense or amendment has been executed. Licensee shall be permitted to redact from such copy any portions of the agreement or amendment that are unrelated to Licensed Compounds or Licensed Products or that are not reasonably necessary for Licensor to verify Licensee’s compliance with the terms of this Agreement.</w:t>
      </w:r>
    </w:p>
    <w:p>
      <w:pPr>
        <w:spacing w:after="0" w:line="185" w:lineRule="exact"/>
        <w:rPr>
          <w:sz w:val="20"/>
          <w:szCs w:val="20"/>
          <w:color w:val="auto"/>
        </w:rPr>
      </w:pPr>
    </w:p>
    <w:p>
      <w:pPr>
        <w:jc w:val="both"/>
        <w:ind w:left="1732" w:hanging="863"/>
        <w:spacing w:after="0" w:line="271" w:lineRule="auto"/>
        <w:tabs>
          <w:tab w:leader="none" w:pos="1712"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8"/>
          <w:szCs w:val="18"/>
          <w:b w:val="1"/>
          <w:bCs w:val="1"/>
          <w:color w:val="auto"/>
        </w:rPr>
        <w:t>Continuation of Sublicenses upon Termination of this Agreement</w:t>
      </w:r>
      <w:r>
        <w:rPr>
          <w:rFonts w:ascii="Arial" w:cs="Arial" w:eastAsia="Arial" w:hAnsi="Arial"/>
          <w:sz w:val="18"/>
          <w:szCs w:val="18"/>
          <w:color w:val="auto"/>
        </w:rPr>
        <w:t>. If the license granted to Licensee under Section 2.1</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License Grant) terminates, then, each sublicense granted to an Affiliate will automatically and immediately terminate and at the request of any Sublicensee who is not then in breach of its sublicense agreement, Licensor will negotiate in good faith with such Sublicensee to reach agreement on the terms of a direct license to such Sublicensee under the Licensor Technology that is sublicensed to such Sublicensee on substantially the same terms (</w:t>
      </w:r>
      <w:r>
        <w:rPr>
          <w:rFonts w:ascii="Arial" w:cs="Arial" w:eastAsia="Arial" w:hAnsi="Arial"/>
          <w:sz w:val="18"/>
          <w:szCs w:val="18"/>
          <w:i w:val="1"/>
          <w:iCs w:val="1"/>
          <w:color w:val="auto"/>
        </w:rPr>
        <w:t>i.e.</w:t>
      </w:r>
      <w:r>
        <w:rPr>
          <w:rFonts w:ascii="Arial" w:cs="Arial" w:eastAsia="Arial" w:hAnsi="Arial"/>
          <w:sz w:val="18"/>
          <w:szCs w:val="18"/>
          <w:color w:val="auto"/>
        </w:rPr>
        <w:t xml:space="preserve">, terms that provide Sublicensee the same rights and imposes on Sublicensees the same obligations, in each case, as set forth in such sublicense agreement between Licensee and such Sublicensee) effective as of the date of termination of the sublicense agreement granted to Sublicensee by Licensee;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such direct license agreement would not impose on Licensor any obligations over and above its obligations under this Agreement, and (b) as consideration for such direct license, the direct license agreement would require Sublicensee to pay Licensor the same amount as Licensee would have received from the applicable Sublicensee (had this Agreement survived) as a result of the Sublicensee’s performance under such sublicense agreement.</w:t>
      </w:r>
    </w:p>
    <w:p>
      <w:pPr>
        <w:spacing w:after="0" w:line="167" w:lineRule="exact"/>
        <w:rPr>
          <w:sz w:val="20"/>
          <w:szCs w:val="20"/>
          <w:color w:val="auto"/>
        </w:rPr>
      </w:pPr>
    </w:p>
    <w:p>
      <w:pPr>
        <w:jc w:val="both"/>
        <w:ind w:left="872" w:hanging="863"/>
        <w:spacing w:after="0" w:line="259" w:lineRule="auto"/>
        <w:tabs>
          <w:tab w:leader="none" w:pos="852"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Subcontractors</w:t>
      </w:r>
      <w:r>
        <w:rPr>
          <w:rFonts w:ascii="Arial" w:cs="Arial" w:eastAsia="Arial" w:hAnsi="Arial"/>
          <w:sz w:val="19"/>
          <w:szCs w:val="19"/>
          <w:color w:val="auto"/>
        </w:rPr>
        <w:t>. In performing its activities under this Agreement, Licensee may engage Third Parties to conduct certain portions</w:t>
      </w:r>
      <w:r>
        <w:rPr>
          <w:rFonts w:ascii="Arial" w:cs="Arial" w:eastAsia="Arial" w:hAnsi="Arial"/>
          <w:sz w:val="19"/>
          <w:szCs w:val="19"/>
          <w:b w:val="1"/>
          <w:bCs w:val="1"/>
          <w:color w:val="auto"/>
        </w:rPr>
        <w:t xml:space="preserve"> </w:t>
      </w:r>
      <w:r>
        <w:rPr>
          <w:rFonts w:ascii="Arial" w:cs="Arial" w:eastAsia="Arial" w:hAnsi="Arial"/>
          <w:sz w:val="19"/>
          <w:szCs w:val="19"/>
          <w:color w:val="auto"/>
        </w:rPr>
        <w:t>of Licensee’s obligations hereunder under the management and direction of Licensee (each, a “</w:t>
      </w:r>
      <w:r>
        <w:rPr>
          <w:rFonts w:ascii="Arial" w:cs="Arial" w:eastAsia="Arial" w:hAnsi="Arial"/>
          <w:sz w:val="19"/>
          <w:szCs w:val="19"/>
          <w:b w:val="1"/>
          <w:bCs w:val="1"/>
          <w:color w:val="auto"/>
        </w:rPr>
        <w:t>Subcontractor</w:t>
      </w:r>
      <w:r>
        <w:rPr>
          <w:rFonts w:ascii="Arial" w:cs="Arial" w:eastAsia="Arial" w:hAnsi="Arial"/>
          <w:sz w:val="19"/>
          <w:szCs w:val="19"/>
          <w:color w:val="auto"/>
        </w:rPr>
        <w:t xml:space="preserve">”), including granting limited sublicenses under the Licensor Technology to the extent necessary for the Subcontractor to perform its subcontracted obligations;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Licensee may only grant sublicenses under the Licensor Technology to Subcontractors to perform [*] with respect to [*] with [*]. Notwithstanding the foregoing, Licensee may [*] if the [*] agrees in writing to [*] all [*] related to any [*], or as otherwise required under this Agreement (which [*] may include [*], such as [*]). Any breach of this Agreement by a Subcontractor will be deemed a breach by Licensee of this Agreement. Licensee will [*], in the</w:t>
      </w:r>
    </w:p>
    <w:p>
      <w:pPr>
        <w:spacing w:after="0" w:line="397"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- 13 -</w:t>
      </w:r>
    </w:p>
    <w:p>
      <w:pPr>
        <w:spacing w:after="0" w:line="12" w:lineRule="exact"/>
        <w:rPr>
          <w:sz w:val="20"/>
          <w:szCs w:val="20"/>
          <w:color w:val="auto"/>
        </w:rPr>
      </w:pPr>
    </w:p>
    <w:p>
      <w:pPr>
        <w:ind w:left="-8" w:right="740" w:firstLine="8"/>
        <w:spacing w:after="0" w:line="226" w:lineRule="auto"/>
        <w:tabs>
          <w:tab w:leader="none" w:pos="2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w w:val="91"/>
              </w:rPr>
              <w:t>case of any material breach of the terms of this Agreement by a Subcontractor. Without limitation, such contracts entered into with</w:t>
            </w:r>
          </w:p>
        </w:tc>
      </w:tr>
      <w:tr>
        <w:trPr>
          <w:trHeight w:val="230"/>
        </w:trPr>
        <w:tc>
          <w:tcPr>
            <w:tcW w:w="860" w:type="dxa"/>
            <w:vAlign w:val="bottom"/>
          </w:tcPr>
          <w:p>
            <w:pPr>
              <w:spacing w:after="0"/>
              <w:rPr>
                <w:sz w:val="19"/>
                <w:szCs w:val="19"/>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w w:val="91"/>
              </w:rPr>
              <w:t>Subcontractors will contain provisions, including those relating to Intellectual Property Rights, confidentiality, and non-use, that are</w:t>
            </w:r>
          </w:p>
        </w:tc>
      </w:tr>
      <w:tr>
        <w:trPr>
          <w:trHeight w:val="230"/>
        </w:trPr>
        <w:tc>
          <w:tcPr>
            <w:tcW w:w="860" w:type="dxa"/>
            <w:vAlign w:val="bottom"/>
          </w:tcPr>
          <w:p>
            <w:pPr>
              <w:spacing w:after="0"/>
              <w:rPr>
                <w:sz w:val="19"/>
                <w:szCs w:val="19"/>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w w:val="90"/>
              </w:rPr>
              <w:t>no less restrictive than those set forth in this Agreement. The engagement of any Subcontractor in compliance with this Section 2.3</w:t>
            </w:r>
          </w:p>
        </w:tc>
      </w:tr>
      <w:tr>
        <w:trPr>
          <w:trHeight w:val="250"/>
        </w:trPr>
        <w:tc>
          <w:tcPr>
            <w:tcW w:w="860" w:type="dxa"/>
            <w:vAlign w:val="bottom"/>
          </w:tcPr>
          <w:p>
            <w:pPr>
              <w:spacing w:after="0"/>
              <w:rPr>
                <w:sz w:val="21"/>
                <w:szCs w:val="21"/>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rPr>
              <w:t>(Subcontractors) will not relieve Licensee of its obligations under this Agreement.</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2.4.</w:t>
            </w:r>
          </w:p>
        </w:tc>
        <w:tc>
          <w:tcPr>
            <w:tcW w:w="10560" w:type="dxa"/>
            <w:vAlign w:val="bottom"/>
            <w:gridSpan w:val="5"/>
          </w:tcPr>
          <w:p>
            <w:pPr>
              <w:ind w:left="20"/>
              <w:spacing w:after="0"/>
              <w:rPr>
                <w:sz w:val="20"/>
                <w:szCs w:val="20"/>
                <w:color w:val="auto"/>
              </w:rPr>
            </w:pPr>
            <w:r>
              <w:rPr>
                <w:rFonts w:ascii="Arial" w:cs="Arial" w:eastAsia="Arial" w:hAnsi="Arial"/>
                <w:sz w:val="20"/>
                <w:szCs w:val="20"/>
                <w:b w:val="1"/>
                <w:bCs w:val="1"/>
                <w:color w:val="auto"/>
                <w:w w:val="95"/>
              </w:rPr>
              <w:t>Retained Rights</w:t>
            </w:r>
            <w:r>
              <w:rPr>
                <w:rFonts w:ascii="Arial" w:cs="Arial" w:eastAsia="Arial" w:hAnsi="Arial"/>
                <w:sz w:val="20"/>
                <w:szCs w:val="20"/>
                <w:color w:val="auto"/>
                <w:w w:val="95"/>
              </w:rPr>
              <w:t>.  Nothing in this Agreement will be construed to confer any rights upon Licensee by implication, estoppel, or</w:t>
            </w:r>
          </w:p>
        </w:tc>
      </w:tr>
      <w:tr>
        <w:trPr>
          <w:trHeight w:val="230"/>
        </w:trPr>
        <w:tc>
          <w:tcPr>
            <w:tcW w:w="860" w:type="dxa"/>
            <w:vAlign w:val="bottom"/>
          </w:tcPr>
          <w:p>
            <w:pPr>
              <w:spacing w:after="0"/>
              <w:rPr>
                <w:sz w:val="19"/>
                <w:szCs w:val="19"/>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w w:val="94"/>
              </w:rPr>
              <w:t>otherwise as to any Materials, active pharmaceutical ingredients, molecules, compounds, products, technology, or Intellectual</w:t>
            </w:r>
          </w:p>
        </w:tc>
      </w:tr>
      <w:tr>
        <w:trPr>
          <w:trHeight w:val="230"/>
        </w:trPr>
        <w:tc>
          <w:tcPr>
            <w:tcW w:w="860" w:type="dxa"/>
            <w:vAlign w:val="bottom"/>
          </w:tcPr>
          <w:p>
            <w:pPr>
              <w:spacing w:after="0"/>
              <w:rPr>
                <w:sz w:val="19"/>
                <w:szCs w:val="19"/>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w w:val="91"/>
              </w:rPr>
              <w:t>Property Rights of Licensor other than the rights under the Licensor Technology expressly granted herein. All rights of Licensor not</w:t>
            </w:r>
          </w:p>
        </w:tc>
      </w:tr>
      <w:tr>
        <w:trPr>
          <w:trHeight w:val="230"/>
        </w:trPr>
        <w:tc>
          <w:tcPr>
            <w:tcW w:w="860" w:type="dxa"/>
            <w:vAlign w:val="bottom"/>
          </w:tcPr>
          <w:p>
            <w:pPr>
              <w:spacing w:after="0"/>
              <w:rPr>
                <w:sz w:val="19"/>
                <w:szCs w:val="19"/>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w w:val="95"/>
              </w:rPr>
              <w:t>expressly granted to Licensee under the provisions of this Agreement will be retained by Licensor. Licensee will not Exploit or</w:t>
            </w:r>
          </w:p>
        </w:tc>
      </w:tr>
      <w:tr>
        <w:trPr>
          <w:trHeight w:val="230"/>
        </w:trPr>
        <w:tc>
          <w:tcPr>
            <w:tcW w:w="860" w:type="dxa"/>
            <w:vAlign w:val="bottom"/>
          </w:tcPr>
          <w:p>
            <w:pPr>
              <w:spacing w:after="0"/>
              <w:rPr>
                <w:sz w:val="19"/>
                <w:szCs w:val="19"/>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w w:val="92"/>
              </w:rPr>
              <w:t>sublicense the Licensor Patent Rights except as expressly licensed in this Agreement.  In addition, Licensor expressly retains the</w:t>
            </w:r>
          </w:p>
        </w:tc>
      </w:tr>
      <w:tr>
        <w:trPr>
          <w:trHeight w:val="250"/>
        </w:trPr>
        <w:tc>
          <w:tcPr>
            <w:tcW w:w="860" w:type="dxa"/>
            <w:vAlign w:val="bottom"/>
          </w:tcPr>
          <w:p>
            <w:pPr>
              <w:spacing w:after="0"/>
              <w:rPr>
                <w:sz w:val="21"/>
                <w:szCs w:val="21"/>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rPr>
              <w:t>right to have its obligations and rights under this Agreement exercised or performed by an Affiliate.</w:t>
            </w:r>
          </w:p>
        </w:tc>
      </w:tr>
      <w:tr>
        <w:trPr>
          <w:trHeight w:val="891"/>
        </w:trPr>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97"/>
              </w:rPr>
              <w:t>Article 3.</w:t>
            </w:r>
          </w:p>
        </w:tc>
        <w:tc>
          <w:tcPr>
            <w:tcW w:w="2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40" w:type="dxa"/>
            <w:vAlign w:val="bottom"/>
            <w:gridSpan w:val="3"/>
          </w:tcPr>
          <w:p>
            <w:pPr>
              <w:ind w:left="80"/>
              <w:spacing w:after="0"/>
              <w:rPr>
                <w:sz w:val="20"/>
                <w:szCs w:val="20"/>
                <w:color w:val="auto"/>
              </w:rPr>
            </w:pPr>
            <w:r>
              <w:rPr>
                <w:rFonts w:ascii="Arial" w:cs="Arial" w:eastAsia="Arial" w:hAnsi="Arial"/>
                <w:sz w:val="20"/>
                <w:szCs w:val="20"/>
                <w:b w:val="1"/>
                <w:bCs w:val="1"/>
                <w:color w:val="auto"/>
              </w:rPr>
              <w:t>TRANSFER ACTIVITIES</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3.1.</w:t>
            </w:r>
          </w:p>
        </w:tc>
        <w:tc>
          <w:tcPr>
            <w:tcW w:w="10560" w:type="dxa"/>
            <w:vAlign w:val="bottom"/>
            <w:gridSpan w:val="5"/>
          </w:tcPr>
          <w:p>
            <w:pPr>
              <w:ind w:left="20"/>
              <w:spacing w:after="0"/>
              <w:rPr>
                <w:sz w:val="20"/>
                <w:szCs w:val="20"/>
                <w:color w:val="auto"/>
              </w:rPr>
            </w:pPr>
            <w:r>
              <w:rPr>
                <w:rFonts w:ascii="Arial" w:cs="Arial" w:eastAsia="Arial" w:hAnsi="Arial"/>
                <w:sz w:val="20"/>
                <w:szCs w:val="20"/>
                <w:b w:val="1"/>
                <w:bCs w:val="1"/>
                <w:color w:val="auto"/>
                <w:w w:val="93"/>
              </w:rPr>
              <w:t>Licensed Compound and Transfer</w:t>
            </w:r>
            <w:r>
              <w:rPr>
                <w:rFonts w:ascii="Arial" w:cs="Arial" w:eastAsia="Arial" w:hAnsi="Arial"/>
                <w:sz w:val="20"/>
                <w:szCs w:val="20"/>
                <w:color w:val="auto"/>
                <w:w w:val="93"/>
              </w:rPr>
              <w:t>. No later than [*] after the Effective Date, Licensor will transfer to Licensee the inventory of</w:t>
            </w:r>
          </w:p>
        </w:tc>
      </w:tr>
      <w:tr>
        <w:trPr>
          <w:trHeight w:val="206"/>
        </w:trPr>
        <w:tc>
          <w:tcPr>
            <w:tcW w:w="860" w:type="dxa"/>
            <w:vAlign w:val="bottom"/>
          </w:tcPr>
          <w:p>
            <w:pPr>
              <w:spacing w:after="0"/>
              <w:rPr>
                <w:sz w:val="17"/>
                <w:szCs w:val="17"/>
                <w:color w:val="auto"/>
              </w:rPr>
            </w:pPr>
          </w:p>
        </w:tc>
        <w:tc>
          <w:tcPr>
            <w:tcW w:w="10560" w:type="dxa"/>
            <w:vAlign w:val="bottom"/>
            <w:gridSpan w:val="5"/>
          </w:tcPr>
          <w:p>
            <w:pPr>
              <w:ind w:left="20"/>
              <w:spacing w:after="0" w:line="206" w:lineRule="exact"/>
              <w:rPr>
                <w:sz w:val="20"/>
                <w:szCs w:val="20"/>
                <w:color w:val="auto"/>
              </w:rPr>
            </w:pPr>
            <w:r>
              <w:rPr>
                <w:rFonts w:ascii="Arial" w:cs="Arial" w:eastAsia="Arial" w:hAnsi="Arial"/>
                <w:sz w:val="20"/>
                <w:szCs w:val="20"/>
                <w:color w:val="auto"/>
                <w:w w:val="93"/>
              </w:rPr>
              <w:t>Licensed Compound set forth on Schedule 3.1(a) and the other Materials set forth on Schedule 3.1(b).  Following such transfer,</w:t>
            </w:r>
          </w:p>
        </w:tc>
      </w:tr>
      <w:tr>
        <w:trPr>
          <w:trHeight w:val="20"/>
        </w:trPr>
        <w:tc>
          <w:tcPr>
            <w:tcW w:w="8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33"/>
        </w:trPr>
        <w:tc>
          <w:tcPr>
            <w:tcW w:w="860" w:type="dxa"/>
            <w:vAlign w:val="bottom"/>
          </w:tcPr>
          <w:p>
            <w:pPr>
              <w:spacing w:after="0"/>
              <w:rPr>
                <w:sz w:val="20"/>
                <w:szCs w:val="20"/>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w w:val="91"/>
              </w:rPr>
              <w:t>Licensee (or its Affiliates or Sublicensees, as applicable) will (a) retain control of all such Licensor Materials, (b) use such Licensor</w:t>
            </w:r>
          </w:p>
        </w:tc>
      </w:tr>
      <w:tr>
        <w:trPr>
          <w:trHeight w:val="246"/>
        </w:trPr>
        <w:tc>
          <w:tcPr>
            <w:tcW w:w="860" w:type="dxa"/>
            <w:vAlign w:val="bottom"/>
          </w:tcPr>
          <w:p>
            <w:pPr>
              <w:spacing w:after="0"/>
              <w:rPr>
                <w:sz w:val="21"/>
                <w:szCs w:val="21"/>
                <w:color w:val="auto"/>
              </w:rPr>
            </w:pPr>
          </w:p>
        </w:tc>
        <w:tc>
          <w:tcPr>
            <w:tcW w:w="10560" w:type="dxa"/>
            <w:vAlign w:val="bottom"/>
            <w:gridSpan w:val="5"/>
          </w:tcPr>
          <w:p>
            <w:pPr>
              <w:ind w:left="20"/>
              <w:spacing w:after="0"/>
              <w:rPr>
                <w:sz w:val="20"/>
                <w:szCs w:val="20"/>
                <w:color w:val="auto"/>
              </w:rPr>
            </w:pPr>
            <w:r>
              <w:rPr>
                <w:rFonts w:ascii="Arial" w:cs="Arial" w:eastAsia="Arial" w:hAnsi="Arial"/>
                <w:sz w:val="20"/>
                <w:szCs w:val="20"/>
                <w:color w:val="auto"/>
                <w:w w:val="98"/>
              </w:rPr>
              <w:t>Materials only in the fulfillment of obligations or exercise of rights under this Agreement, (c) not, except as set forth in the</w:t>
            </w:r>
          </w:p>
        </w:tc>
      </w:tr>
    </w:tbl>
    <w:p>
      <w:pPr>
        <w:jc w:val="both"/>
        <w:ind w:left="880"/>
        <w:spacing w:after="0" w:line="241" w:lineRule="auto"/>
        <w:rPr>
          <w:sz w:val="20"/>
          <w:szCs w:val="20"/>
          <w:color w:val="auto"/>
        </w:rPr>
      </w:pPr>
      <w:r>
        <w:rPr>
          <w:rFonts w:ascii="Arial" w:cs="Arial" w:eastAsia="Arial" w:hAnsi="Arial"/>
          <w:sz w:val="20"/>
          <w:szCs w:val="20"/>
          <w:color w:val="auto"/>
        </w:rPr>
        <w:t>Development Plan, use such Licensor Materials or deliver the same to, or for the benefit of, any Third Party (other than a Sublicensee), without Licensor’s prior written consent, and (d) not use such Licensor Materials in human clinical research or any other testing involving human subjects. All delivery of Licensor Materials to Licensee will be Ex Works (Incoterms 2010) at one or more locations designated by Licensor following the Effective Date.</w:t>
      </w:r>
    </w:p>
    <w:p>
      <w:pPr>
        <w:spacing w:after="0" w:line="189" w:lineRule="exact"/>
        <w:rPr>
          <w:sz w:val="20"/>
          <w:szCs w:val="20"/>
          <w:color w:val="auto"/>
        </w:rPr>
      </w:pPr>
    </w:p>
    <w:p>
      <w:pPr>
        <w:jc w:val="both"/>
        <w:ind w:left="880" w:hanging="863"/>
        <w:spacing w:after="0" w:line="271" w:lineRule="auto"/>
        <w:tabs>
          <w:tab w:leader="none" w:pos="86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8"/>
          <w:szCs w:val="18"/>
          <w:b w:val="1"/>
          <w:bCs w:val="1"/>
          <w:color w:val="auto"/>
        </w:rPr>
        <w:t>Product Records</w:t>
      </w:r>
      <w:r>
        <w:rPr>
          <w:rFonts w:ascii="Arial" w:cs="Arial" w:eastAsia="Arial" w:hAnsi="Arial"/>
          <w:sz w:val="18"/>
          <w:szCs w:val="18"/>
          <w:color w:val="auto"/>
        </w:rPr>
        <w:t>. No later than [*] after the Effective Date, Licensor will make available to Licensee copies of substantially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 product records and documents in Licensor’s or its Affiliates’ possession and Control that pertain to the Licensed Compounds or Licensed Products (including all information provided to Licensee in the electronic data room hosted by or on behalf of Licensor, as well as laboratory notebooks to the extent in electronic form and pertaining only to the Licensed Compounds or Licensed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the foregoing, [*], Licensor shall not [*] if it has not [*] within [*] and</w:t>
      </w:r>
    </w:p>
    <w:p>
      <w:pPr>
        <w:spacing w:after="0" w:line="1" w:lineRule="exact"/>
        <w:rPr>
          <w:sz w:val="20"/>
          <w:szCs w:val="20"/>
          <w:color w:val="auto"/>
        </w:rPr>
      </w:pPr>
    </w:p>
    <w:p>
      <w:pPr>
        <w:jc w:val="both"/>
        <w:ind w:left="880" w:hanging="8"/>
        <w:spacing w:after="0" w:line="269" w:lineRule="auto"/>
        <w:tabs>
          <w:tab w:leader="none" w:pos="11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shall be [*] to allow [*] of all [*]. Notwithstanding the foregoing, in the case of such records and documents that also pertain to other compounds or products of Licensor or its Affiliates that are not Licensed Compounds or Licensed Products Licensor may redact from such records and documents any information contained therein to the extent not related to the Licensed Compounds or Licensed Products, including Confidential Information of Licensor, its Affiliates, or Third Parties. Following the Effective Date, Licensor shall designate a Contact Person (as defined in Section 3.4) to receive and respond to all reasonable requests that Licensee may make for additional or missing product records and documents. </w:t>
      </w:r>
      <w:r>
        <w:rPr>
          <w:rFonts w:ascii="Arial" w:cs="Arial" w:eastAsia="Arial" w:hAnsi="Arial"/>
          <w:sz w:val="18"/>
          <w:szCs w:val="18"/>
          <w:color w:val="212121"/>
        </w:rPr>
        <w:t>At Licensee’s reasonable request, Licensor shall</w:t>
      </w:r>
      <w:r>
        <w:rPr>
          <w:rFonts w:ascii="Arial" w:cs="Arial" w:eastAsia="Arial" w:hAnsi="Arial"/>
          <w:sz w:val="18"/>
          <w:szCs w:val="18"/>
          <w:color w:val="auto"/>
        </w:rPr>
        <w:t xml:space="preserve"> permit Licensee to access such </w:t>
      </w:r>
      <w:r>
        <w:rPr>
          <w:rFonts w:ascii="Arial" w:cs="Arial" w:eastAsia="Arial" w:hAnsi="Arial"/>
          <w:sz w:val="18"/>
          <w:szCs w:val="18"/>
          <w:color w:val="212121"/>
        </w:rPr>
        <w:t>records and documents held by Third Parties that had performed activities on Licensor’s behalf related to the</w:t>
      </w:r>
      <w:r>
        <w:rPr>
          <w:rFonts w:ascii="Arial" w:cs="Arial" w:eastAsia="Arial" w:hAnsi="Arial"/>
          <w:sz w:val="18"/>
          <w:szCs w:val="18"/>
          <w:color w:val="auto"/>
        </w:rPr>
        <w:t xml:space="preserve"> </w:t>
      </w:r>
      <w:r>
        <w:rPr>
          <w:rFonts w:ascii="Arial" w:cs="Arial" w:eastAsia="Arial" w:hAnsi="Arial"/>
          <w:sz w:val="18"/>
          <w:szCs w:val="18"/>
          <w:color w:val="212121"/>
        </w:rPr>
        <w:t xml:space="preserve">Licensed Compounds or Licensed Products, including </w:t>
      </w:r>
      <w:r>
        <w:rPr>
          <w:rFonts w:ascii="Arial" w:cs="Arial" w:eastAsia="Arial" w:hAnsi="Arial"/>
          <w:sz w:val="18"/>
          <w:szCs w:val="18"/>
          <w:color w:val="000000"/>
        </w:rPr>
        <w:t>Licensor’s contract manufacturers (collectively, the “</w:t>
      </w:r>
      <w:r>
        <w:rPr>
          <w:rFonts w:ascii="Arial" w:cs="Arial" w:eastAsia="Arial" w:hAnsi="Arial"/>
          <w:sz w:val="18"/>
          <w:szCs w:val="18"/>
          <w:b w:val="1"/>
          <w:bCs w:val="1"/>
          <w:color w:val="000000"/>
        </w:rPr>
        <w:t>Licensor Vendors</w:t>
      </w:r>
      <w:r>
        <w:rPr>
          <w:rFonts w:ascii="Arial" w:cs="Arial" w:eastAsia="Arial" w:hAnsi="Arial"/>
          <w:sz w:val="18"/>
          <w:szCs w:val="18"/>
          <w:color w:val="000000"/>
        </w:rPr>
        <w:t>”),</w:t>
      </w:r>
      <w:r>
        <w:rPr>
          <w:rFonts w:ascii="Arial" w:cs="Arial" w:eastAsia="Arial" w:hAnsi="Arial"/>
          <w:sz w:val="18"/>
          <w:szCs w:val="18"/>
          <w:color w:val="212121"/>
        </w:rPr>
        <w:t xml:space="preserve"> </w:t>
      </w:r>
      <w:r>
        <w:rPr>
          <w:rFonts w:ascii="Arial" w:cs="Arial" w:eastAsia="Arial" w:hAnsi="Arial"/>
          <w:sz w:val="18"/>
          <w:szCs w:val="18"/>
          <w:color w:val="000000"/>
        </w:rPr>
        <w:t>which permission so granted by Licensor may be limited to those portions of such records and documents that pertain to the Licensed Compounds and Licensed Products and may include instructions by Licensor for Licensor Vendors</w:t>
      </w:r>
    </w:p>
    <w:p>
      <w:pPr>
        <w:spacing w:after="0" w:line="3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- 14 -</w:t>
      </w:r>
    </w:p>
    <w:p>
      <w:pPr>
        <w:spacing w:after="0" w:line="12" w:lineRule="exact"/>
        <w:rPr>
          <w:sz w:val="20"/>
          <w:szCs w:val="20"/>
          <w:color w:val="auto"/>
        </w:rPr>
      </w:pPr>
    </w:p>
    <w:p>
      <w:pPr>
        <w:ind w:right="740" w:firstLine="8"/>
        <w:spacing w:after="0" w:line="226" w:lineRule="auto"/>
        <w:tabs>
          <w:tab w:leader="none" w:pos="2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88"/>
              </w:rPr>
              <w:t>to redact any information not related to the Licensed Compounds and Licensed Products, and to discuss such records and documents</w:t>
            </w:r>
          </w:p>
        </w:tc>
      </w:tr>
      <w:tr>
        <w:trPr>
          <w:trHeight w:val="250"/>
        </w:trPr>
        <w:tc>
          <w:tcPr>
            <w:tcW w:w="860" w:type="dxa"/>
            <w:vAlign w:val="bottom"/>
          </w:tcPr>
          <w:p>
            <w:pPr>
              <w:spacing w:after="0"/>
              <w:rPr>
                <w:sz w:val="21"/>
                <w:szCs w:val="21"/>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rPr>
              <w:t>with such Licensor Vendors.</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3.3.</w:t>
            </w:r>
          </w:p>
        </w:tc>
        <w:tc>
          <w:tcPr>
            <w:tcW w:w="10560" w:type="dxa"/>
            <w:vAlign w:val="bottom"/>
            <w:gridSpan w:val="3"/>
          </w:tcPr>
          <w:p>
            <w:pPr>
              <w:ind w:left="20"/>
              <w:spacing w:after="0"/>
              <w:rPr>
                <w:sz w:val="20"/>
                <w:szCs w:val="20"/>
                <w:color w:val="auto"/>
              </w:rPr>
            </w:pPr>
            <w:r>
              <w:rPr>
                <w:rFonts w:ascii="Arial" w:cs="Arial" w:eastAsia="Arial" w:hAnsi="Arial"/>
                <w:sz w:val="20"/>
                <w:szCs w:val="20"/>
                <w:b w:val="1"/>
                <w:bCs w:val="1"/>
                <w:color w:val="auto"/>
                <w:w w:val="91"/>
              </w:rPr>
              <w:t>Licensor Materials Disclaimer</w:t>
            </w:r>
            <w:r>
              <w:rPr>
                <w:rFonts w:ascii="Arial" w:cs="Arial" w:eastAsia="Arial" w:hAnsi="Arial"/>
                <w:sz w:val="20"/>
                <w:szCs w:val="20"/>
                <w:color w:val="auto"/>
                <w:w w:val="91"/>
              </w:rPr>
              <w:t>. Licensee stipulates that compounds, reagents, and other Licensor Materials supplied by Licensor</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6"/>
              </w:rPr>
              <w:t>hereunder are experimental in nature, were not Manufactured in accordance with GMP, and are provided as is, without any</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3"/>
              </w:rPr>
              <w:t>warranties as to merchantability or fitness for a particular purpose. Licensee further stipulates that all of such Licensor Materials’</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0"/>
              </w:rPr>
              <w:t>properties or characteristics are not known, and Licensee agrees that it will use such Licensor Materials with reasonable care and in</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1"/>
              </w:rPr>
              <w:t>accordance with all of Licensor’s written instructions. Licensee will assume responsibility for any Losses or injuries incurred by it or</w:t>
            </w:r>
          </w:p>
        </w:tc>
      </w:tr>
      <w:tr>
        <w:trPr>
          <w:trHeight w:val="250"/>
        </w:trPr>
        <w:tc>
          <w:tcPr>
            <w:tcW w:w="860" w:type="dxa"/>
            <w:vAlign w:val="bottom"/>
          </w:tcPr>
          <w:p>
            <w:pPr>
              <w:spacing w:after="0"/>
              <w:rPr>
                <w:sz w:val="21"/>
                <w:szCs w:val="21"/>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7"/>
              </w:rPr>
              <w:t>its Affiliates or Sublicensees through use of such Licensor Materials, subject to Section 11.2 (Indemnification by Licensor).</w:t>
            </w:r>
          </w:p>
        </w:tc>
      </w:tr>
      <w:tr>
        <w:trPr>
          <w:trHeight w:val="419"/>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3.4.</w:t>
            </w:r>
          </w:p>
        </w:tc>
        <w:tc>
          <w:tcPr>
            <w:tcW w:w="10560" w:type="dxa"/>
            <w:vAlign w:val="bottom"/>
            <w:gridSpan w:val="3"/>
          </w:tcPr>
          <w:p>
            <w:pPr>
              <w:ind w:left="20"/>
              <w:spacing w:after="0"/>
              <w:rPr>
                <w:sz w:val="20"/>
                <w:szCs w:val="20"/>
                <w:color w:val="auto"/>
              </w:rPr>
            </w:pPr>
            <w:r>
              <w:rPr>
                <w:rFonts w:ascii="Arial" w:cs="Arial" w:eastAsia="Arial" w:hAnsi="Arial"/>
                <w:sz w:val="20"/>
                <w:szCs w:val="20"/>
                <w:b w:val="1"/>
                <w:bCs w:val="1"/>
                <w:color w:val="auto"/>
                <w:w w:val="93"/>
              </w:rPr>
              <w:t>Contact Persons</w:t>
            </w:r>
            <w:r>
              <w:rPr>
                <w:rFonts w:ascii="Arial" w:cs="Arial" w:eastAsia="Arial" w:hAnsi="Arial"/>
                <w:sz w:val="20"/>
                <w:szCs w:val="20"/>
                <w:color w:val="auto"/>
                <w:w w:val="93"/>
              </w:rPr>
              <w:t>.  Each Party will appoint a person who will oversee contact between the Parties for all matters relating to this</w:t>
            </w:r>
          </w:p>
        </w:tc>
      </w:tr>
      <w:tr>
        <w:trPr>
          <w:trHeight w:val="236"/>
        </w:trPr>
        <w:tc>
          <w:tcPr>
            <w:tcW w:w="860" w:type="dxa"/>
            <w:vAlign w:val="bottom"/>
          </w:tcPr>
          <w:p>
            <w:pPr>
              <w:spacing w:after="0"/>
              <w:rPr>
                <w:sz w:val="20"/>
                <w:szCs w:val="20"/>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3"/>
              </w:rPr>
              <w:t>Agreement (each, a “</w:t>
            </w:r>
            <w:r>
              <w:rPr>
                <w:rFonts w:ascii="Arial" w:cs="Arial" w:eastAsia="Arial" w:hAnsi="Arial"/>
                <w:sz w:val="20"/>
                <w:szCs w:val="20"/>
                <w:b w:val="1"/>
                <w:bCs w:val="1"/>
                <w:color w:val="auto"/>
                <w:w w:val="93"/>
              </w:rPr>
              <w:t>Contact Person</w:t>
            </w:r>
            <w:r>
              <w:rPr>
                <w:rFonts w:ascii="Arial" w:cs="Arial" w:eastAsia="Arial" w:hAnsi="Arial"/>
                <w:sz w:val="20"/>
                <w:szCs w:val="20"/>
                <w:color w:val="auto"/>
                <w:w w:val="93"/>
              </w:rPr>
              <w:t>”), which person may be replaced at any time upon written notice to the other Party. Each</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3"/>
              </w:rPr>
              <w:t>Contact Person will work together to manage and facilitate the communication between the Parties under this Agreement.  The</w:t>
            </w:r>
          </w:p>
        </w:tc>
      </w:tr>
      <w:tr>
        <w:trPr>
          <w:trHeight w:val="250"/>
        </w:trPr>
        <w:tc>
          <w:tcPr>
            <w:tcW w:w="860" w:type="dxa"/>
            <w:vAlign w:val="bottom"/>
          </w:tcPr>
          <w:p>
            <w:pPr>
              <w:spacing w:after="0"/>
              <w:rPr>
                <w:sz w:val="21"/>
                <w:szCs w:val="21"/>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rPr>
              <w:t>Contact Persons will not have decision-making authority with respect to any matter under this Agreement.</w:t>
            </w:r>
          </w:p>
        </w:tc>
      </w:tr>
      <w:tr>
        <w:trPr>
          <w:trHeight w:val="446"/>
        </w:trPr>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97"/>
              </w:rPr>
              <w:t>Article 4.</w:t>
            </w:r>
          </w:p>
        </w:tc>
        <w:tc>
          <w:tcPr>
            <w:tcW w:w="1500" w:type="dxa"/>
            <w:vAlign w:val="bottom"/>
          </w:tcPr>
          <w:p>
            <w:pPr>
              <w:spacing w:after="0"/>
              <w:rPr>
                <w:sz w:val="24"/>
                <w:szCs w:val="24"/>
                <w:color w:val="auto"/>
              </w:rPr>
            </w:pPr>
          </w:p>
        </w:tc>
        <w:tc>
          <w:tcPr>
            <w:tcW w:w="9060" w:type="dxa"/>
            <w:vAlign w:val="bottom"/>
            <w:gridSpan w:val="2"/>
          </w:tcPr>
          <w:p>
            <w:pPr>
              <w:ind w:left="640"/>
              <w:spacing w:after="0"/>
              <w:rPr>
                <w:sz w:val="20"/>
                <w:szCs w:val="20"/>
                <w:color w:val="auto"/>
              </w:rPr>
            </w:pPr>
            <w:r>
              <w:rPr>
                <w:rFonts w:ascii="Arial" w:cs="Arial" w:eastAsia="Arial" w:hAnsi="Arial"/>
                <w:sz w:val="20"/>
                <w:szCs w:val="20"/>
                <w:b w:val="1"/>
                <w:bCs w:val="1"/>
                <w:color w:val="auto"/>
              </w:rPr>
              <w:t>DEVELOPMENT, MANUFACTURING, AND COMMERCIALIZATION</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4.1.</w:t>
            </w:r>
          </w:p>
        </w:tc>
        <w:tc>
          <w:tcPr>
            <w:tcW w:w="10560" w:type="dxa"/>
            <w:vAlign w:val="bottom"/>
            <w:gridSpan w:val="3"/>
          </w:tcPr>
          <w:p>
            <w:pPr>
              <w:ind w:left="20"/>
              <w:spacing w:after="0"/>
              <w:rPr>
                <w:sz w:val="20"/>
                <w:szCs w:val="20"/>
                <w:color w:val="auto"/>
              </w:rPr>
            </w:pPr>
            <w:r>
              <w:rPr>
                <w:rFonts w:ascii="Arial" w:cs="Arial" w:eastAsia="Arial" w:hAnsi="Arial"/>
                <w:sz w:val="20"/>
                <w:szCs w:val="20"/>
                <w:b w:val="1"/>
                <w:bCs w:val="1"/>
                <w:color w:val="auto"/>
                <w:w w:val="90"/>
              </w:rPr>
              <w:t>General Responsibilities</w:t>
            </w:r>
            <w:r>
              <w:rPr>
                <w:rFonts w:ascii="Arial" w:cs="Arial" w:eastAsia="Arial" w:hAnsi="Arial"/>
                <w:sz w:val="20"/>
                <w:szCs w:val="20"/>
                <w:color w:val="auto"/>
                <w:w w:val="90"/>
              </w:rPr>
              <w:t>. Except as expressly provided herein or expressly agreed by Licensor in writing, as between the Parties,</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9"/>
              </w:rPr>
              <w:t>Licensee will be solely responsible for managing and conducting all activities relating to the Exploitation of the Licensed</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1"/>
              </w:rPr>
              <w:t>Compounds and Licensed Products. Licensee will commence performing Development activities promptly after the Effective Date.</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6"/>
              </w:rPr>
              <w:t>Licensee will be responsible for all costs and expenses that it incurs related to the Exploitation of Licensed Compounds and</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4"/>
              </w:rPr>
              <w:t>Licensed Products after the Effective Date, including in connection with filing Regulatory Submissions in Licensee’s name and</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3"/>
              </w:rPr>
              <w:t>obtaining Regulatory Approvals for each Licensed Product. Except as expressly provided herein, Licensor will not be required to</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3"/>
              </w:rPr>
              <w:t>expend any resources, whether internal or external, in connection with the Exploitation of any Licensed Compound or Licensed</w:t>
            </w:r>
          </w:p>
        </w:tc>
      </w:tr>
      <w:tr>
        <w:trPr>
          <w:trHeight w:val="250"/>
        </w:trPr>
        <w:tc>
          <w:tcPr>
            <w:tcW w:w="860" w:type="dxa"/>
            <w:vAlign w:val="bottom"/>
          </w:tcPr>
          <w:p>
            <w:pPr>
              <w:spacing w:after="0"/>
              <w:rPr>
                <w:sz w:val="21"/>
                <w:szCs w:val="21"/>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rPr>
              <w:t>Product.</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4.2.</w:t>
            </w:r>
          </w:p>
        </w:tc>
        <w:tc>
          <w:tcPr>
            <w:tcW w:w="10560" w:type="dxa"/>
            <w:vAlign w:val="bottom"/>
            <w:gridSpan w:val="3"/>
          </w:tcPr>
          <w:p>
            <w:pPr>
              <w:ind w:left="20"/>
              <w:spacing w:after="0"/>
              <w:rPr>
                <w:sz w:val="20"/>
                <w:szCs w:val="20"/>
                <w:color w:val="auto"/>
              </w:rPr>
            </w:pPr>
            <w:r>
              <w:rPr>
                <w:rFonts w:ascii="Arial" w:cs="Arial" w:eastAsia="Arial" w:hAnsi="Arial"/>
                <w:sz w:val="20"/>
                <w:szCs w:val="20"/>
                <w:b w:val="1"/>
                <w:bCs w:val="1"/>
                <w:color w:val="auto"/>
                <w:w w:val="97"/>
              </w:rPr>
              <w:t>Diligence Obligations</w:t>
            </w:r>
            <w:r>
              <w:rPr>
                <w:rFonts w:ascii="Arial" w:cs="Arial" w:eastAsia="Arial" w:hAnsi="Arial"/>
                <w:sz w:val="20"/>
                <w:szCs w:val="20"/>
                <w:color w:val="auto"/>
                <w:w w:val="97"/>
              </w:rPr>
              <w:t>.  During the Term, Licensee will use Commercially Reasonable Efforts to (a) Develop the Licensed</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8"/>
              </w:rPr>
              <w:t>Compounds and Licensed Products in the Territory, including performing all obligations under and in accordance with the</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9"/>
              </w:rPr>
              <w:t>Development Plan, (b) file for, secure, and maintain Regulatory Approvals for Licensed Products in the Territory, and (c)</w:t>
            </w:r>
          </w:p>
        </w:tc>
      </w:tr>
      <w:tr>
        <w:trPr>
          <w:trHeight w:val="250"/>
        </w:trPr>
        <w:tc>
          <w:tcPr>
            <w:tcW w:w="860" w:type="dxa"/>
            <w:vAlign w:val="bottom"/>
          </w:tcPr>
          <w:p>
            <w:pPr>
              <w:spacing w:after="0"/>
              <w:rPr>
                <w:sz w:val="21"/>
                <w:szCs w:val="21"/>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rPr>
              <w:t>Commercialize each Licensed Product in each country for which Regulatory Approval is obtained.</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4.3.</w:t>
            </w:r>
          </w:p>
        </w:tc>
        <w:tc>
          <w:tcPr>
            <w:tcW w:w="10560" w:type="dxa"/>
            <w:vAlign w:val="bottom"/>
            <w:gridSpan w:val="3"/>
          </w:tcPr>
          <w:p>
            <w:pPr>
              <w:ind w:left="20"/>
              <w:spacing w:after="0"/>
              <w:rPr>
                <w:sz w:val="20"/>
                <w:szCs w:val="20"/>
                <w:color w:val="auto"/>
              </w:rPr>
            </w:pPr>
            <w:r>
              <w:rPr>
                <w:rFonts w:ascii="Arial" w:cs="Arial" w:eastAsia="Arial" w:hAnsi="Arial"/>
                <w:sz w:val="20"/>
                <w:szCs w:val="20"/>
                <w:b w:val="1"/>
                <w:bCs w:val="1"/>
                <w:color w:val="auto"/>
                <w:w w:val="98"/>
              </w:rPr>
              <w:t>Development Plan</w:t>
            </w:r>
            <w:r>
              <w:rPr>
                <w:rFonts w:ascii="Arial" w:cs="Arial" w:eastAsia="Arial" w:hAnsi="Arial"/>
                <w:sz w:val="20"/>
                <w:szCs w:val="20"/>
                <w:color w:val="auto"/>
                <w:w w:val="98"/>
              </w:rPr>
              <w:t>.  During the Term, Licensee will conduct all Development activities in connection with each Licensed</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1"/>
              </w:rPr>
              <w:t>Compound and Licensed Product in accordance with this Article 4 (Development, Manufacturing, and Commercialization) and the</w:t>
            </w:r>
          </w:p>
        </w:tc>
      </w:tr>
      <w:tr>
        <w:trPr>
          <w:trHeight w:val="230"/>
        </w:trPr>
        <w:tc>
          <w:tcPr>
            <w:tcW w:w="860" w:type="dxa"/>
            <w:vAlign w:val="bottom"/>
          </w:tcPr>
          <w:p>
            <w:pPr>
              <w:spacing w:after="0"/>
              <w:rPr>
                <w:sz w:val="19"/>
                <w:szCs w:val="19"/>
                <w:color w:val="auto"/>
              </w:rPr>
            </w:pPr>
          </w:p>
        </w:tc>
        <w:tc>
          <w:tcPr>
            <w:tcW w:w="10560" w:type="dxa"/>
            <w:vAlign w:val="bottom"/>
            <w:gridSpan w:val="3"/>
          </w:tcPr>
          <w:p>
            <w:pPr>
              <w:ind w:left="20"/>
              <w:spacing w:after="0"/>
              <w:rPr>
                <w:sz w:val="20"/>
                <w:szCs w:val="20"/>
                <w:color w:val="auto"/>
              </w:rPr>
            </w:pPr>
            <w:r>
              <w:rPr>
                <w:rFonts w:ascii="Arial" w:cs="Arial" w:eastAsia="Arial" w:hAnsi="Arial"/>
                <w:sz w:val="20"/>
                <w:szCs w:val="20"/>
                <w:color w:val="auto"/>
                <w:w w:val="95"/>
              </w:rPr>
              <w:t>plan for Development activities with respect to each Licensed Compound and Licensed Product, an initial version of which is</w:t>
            </w:r>
          </w:p>
        </w:tc>
      </w:tr>
      <w:tr>
        <w:trPr>
          <w:trHeight w:val="206"/>
        </w:trPr>
        <w:tc>
          <w:tcPr>
            <w:tcW w:w="860" w:type="dxa"/>
            <w:vAlign w:val="bottom"/>
          </w:tcPr>
          <w:p>
            <w:pPr>
              <w:spacing w:after="0"/>
              <w:rPr>
                <w:sz w:val="17"/>
                <w:szCs w:val="17"/>
                <w:color w:val="auto"/>
              </w:rPr>
            </w:pPr>
          </w:p>
        </w:tc>
        <w:tc>
          <w:tcPr>
            <w:tcW w:w="10560" w:type="dxa"/>
            <w:vAlign w:val="bottom"/>
            <w:gridSpan w:val="3"/>
          </w:tcPr>
          <w:p>
            <w:pPr>
              <w:ind w:left="20"/>
              <w:spacing w:after="0" w:line="206" w:lineRule="exact"/>
              <w:rPr>
                <w:sz w:val="20"/>
                <w:szCs w:val="20"/>
                <w:color w:val="auto"/>
              </w:rPr>
            </w:pPr>
            <w:r>
              <w:rPr>
                <w:rFonts w:ascii="Arial" w:cs="Arial" w:eastAsia="Arial" w:hAnsi="Arial"/>
                <w:sz w:val="20"/>
                <w:szCs w:val="20"/>
                <w:color w:val="auto"/>
                <w:w w:val="90"/>
              </w:rPr>
              <w:t>attached hereto as Schedule 4.3 (as such plan may be amended from time-to-time pursuant to this Section 4.3 (Development Plan),</w:t>
            </w:r>
          </w:p>
        </w:tc>
      </w:tr>
      <w:tr>
        <w:trPr>
          <w:trHeight w:val="20"/>
        </w:trPr>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80"/>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Development Plan</w:t>
      </w:r>
      <w:r>
        <w:rPr>
          <w:rFonts w:ascii="Arial" w:cs="Arial" w:eastAsia="Arial" w:hAnsi="Arial"/>
          <w:sz w:val="18"/>
          <w:szCs w:val="18"/>
          <w:color w:val="auto"/>
        </w:rPr>
        <w:t>”). Licensee’s Development Plan will include (a) a summary of [*] as of the date such Development Plan is drafted or amended, (b) all other material Development activities reasonably anticipated to be undertaken by Licensee, as of the date such Development Plan is drafted or amended, to obtain Regulatory Approval of one or more Licensed Products throughout the Territory, and (c) estimated dates on which Licensee expects to achieve material Development Milestone Events and other significant Development events (such as [*] and the [*]), to the extent such estimates are reasonably possible given the development stage of the applicable Licensed Compound or Licensed Product as of the date such</w:t>
      </w:r>
    </w:p>
    <w:p>
      <w:pPr>
        <w:spacing w:after="0" w:line="3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- 15 -</w:t>
      </w:r>
    </w:p>
    <w:p>
      <w:pPr>
        <w:spacing w:after="0" w:line="12" w:lineRule="exact"/>
        <w:rPr>
          <w:sz w:val="20"/>
          <w:szCs w:val="20"/>
          <w:color w:val="auto"/>
        </w:rPr>
      </w:pPr>
    </w:p>
    <w:p>
      <w:pPr>
        <w:ind w:right="740" w:firstLine="8"/>
        <w:spacing w:after="0" w:line="226" w:lineRule="auto"/>
        <w:tabs>
          <w:tab w:leader="none" w:pos="2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53" w:name="page154"/>
    <w:bookmarkEnd w:id="153"/>
    <w:p>
      <w:pPr>
        <w:jc w:val="both"/>
        <w:ind w:left="880"/>
        <w:spacing w:after="0" w:line="274" w:lineRule="auto"/>
        <w:rPr>
          <w:sz w:val="20"/>
          <w:szCs w:val="20"/>
          <w:color w:val="auto"/>
        </w:rPr>
      </w:pPr>
      <w:r>
        <w:rPr>
          <w:rFonts w:ascii="Arial" w:cs="Arial" w:eastAsia="Arial" w:hAnsi="Arial"/>
          <w:sz w:val="18"/>
          <w:szCs w:val="18"/>
          <w:color w:val="auto"/>
        </w:rPr>
        <w:t xml:space="preserve">Development Plan is drafted or amended. Licensee will prepare updates or amendments to the Development Plan at least annually and in advance of [*], and may amend the Development Plan in its discretion at any time during the Term;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all annual updates and any material amendments must be consistent with the terms of this Section 4.3 (Development Plan). For clarity, the initial version of the Development Plan attached hereto as </w:t>
      </w:r>
      <w:r>
        <w:rPr>
          <w:rFonts w:ascii="Arial" w:cs="Arial" w:eastAsia="Arial" w:hAnsi="Arial"/>
          <w:sz w:val="18"/>
          <w:szCs w:val="18"/>
          <w:u w:val="single" w:color="auto"/>
          <w:color w:val="auto"/>
        </w:rPr>
        <w:t>Schedule 4.3</w:t>
      </w:r>
      <w:r>
        <w:rPr>
          <w:rFonts w:ascii="Arial" w:cs="Arial" w:eastAsia="Arial" w:hAnsi="Arial"/>
          <w:sz w:val="18"/>
          <w:szCs w:val="18"/>
          <w:color w:val="auto"/>
        </w:rPr>
        <w:t xml:space="preserve"> is a preliminary version that does not necessarily satisfy the content requirements described above, and therefore the Parties agree that such content requirements will only apply beginning with the first update or amendment to the Development Plan prepared by Licensee under this Section 4.3 (Development Plan). Licensee will provide Licensor with a copy of all updates or amendments to the Development Plan.</w:t>
      </w:r>
    </w:p>
    <w:p>
      <w:pPr>
        <w:spacing w:after="0" w:line="163" w:lineRule="exact"/>
        <w:rPr>
          <w:sz w:val="20"/>
          <w:szCs w:val="20"/>
          <w:color w:val="auto"/>
        </w:rPr>
      </w:pPr>
    </w:p>
    <w:p>
      <w:pPr>
        <w:jc w:val="both"/>
        <w:ind w:left="880" w:hanging="863"/>
        <w:spacing w:after="0" w:line="256" w:lineRule="auto"/>
        <w:tabs>
          <w:tab w:leader="none" w:pos="86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9"/>
          <w:szCs w:val="19"/>
          <w:b w:val="1"/>
          <w:bCs w:val="1"/>
          <w:color w:val="auto"/>
        </w:rPr>
        <w:t>Development Reporting</w:t>
      </w:r>
      <w:r>
        <w:rPr>
          <w:rFonts w:ascii="Arial" w:cs="Arial" w:eastAsia="Arial" w:hAnsi="Arial"/>
          <w:sz w:val="19"/>
          <w:szCs w:val="19"/>
          <w:color w:val="auto"/>
        </w:rPr>
        <w:t>. No later than [*] of any Calendar Year during which Licensee or its Affiliates or Sublicensees are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performing any Development activities with respect to the Licensed Compounds or Licensed Products, or is Manufacturing or having Manufactured any supplies of the Licensed Compounds or Licensed Products for Development purposes, Licensee will provide Licensor with reasonably detailed written reports of the material Development and material Manufacturing activities it or its Affiliates or its Sublicensees have performed, or caused to be performed, since the preceding report, its material Development and material Manufacturing activities in process, and the future activities it expects to initiate. Each such report will contain sufficient detail to enable Licensor to assess Licensee’s compliance with its obligations set forth in Section 4.2 (Diligence Obligations), including: (a) a summary of Licensee’s or its Affiliates’ or Sublicensees’ activities with respect to achieving Regulatory Approvals of each Licensed Product in the Field, and (b) a summary of each Clinical Trial and the results of each such Clinical Trial for a Licensed Product conducted during the period covered by such report.</w:t>
      </w:r>
    </w:p>
    <w:p>
      <w:pPr>
        <w:spacing w:after="0" w:line="181" w:lineRule="exact"/>
        <w:rPr>
          <w:sz w:val="20"/>
          <w:szCs w:val="20"/>
          <w:color w:val="auto"/>
        </w:rPr>
      </w:pPr>
    </w:p>
    <w:p>
      <w:pPr>
        <w:jc w:val="both"/>
        <w:ind w:left="880" w:hanging="863"/>
        <w:spacing w:after="0" w:line="275" w:lineRule="auto"/>
        <w:tabs>
          <w:tab w:leader="none" w:pos="86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8"/>
          <w:szCs w:val="18"/>
          <w:b w:val="1"/>
          <w:bCs w:val="1"/>
          <w:color w:val="auto"/>
        </w:rPr>
        <w:t>Commercialization Reporting</w:t>
      </w:r>
      <w:r>
        <w:rPr>
          <w:rFonts w:ascii="Arial" w:cs="Arial" w:eastAsia="Arial" w:hAnsi="Arial"/>
          <w:sz w:val="18"/>
          <w:szCs w:val="18"/>
          <w:color w:val="auto"/>
        </w:rPr>
        <w:t>. No later than [*] of any Calendar Year during which Licensee or its Affiliates or Sublicensees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any Commercialization activities with respect to the Licensed Compounds or Licensed Products, or is Manufacturing or having Manufactured any supplies of the Licensed Compounds or Licensed Products for Commercialization purposes, Licensee will provide Licensor with reasonably detailed written reports of the material Commercialization and material Manufacturing activities it has performed, or caused to be performed, since the preceding report, its material Commercialization and material Manufacturing activities in process, and the future activities it expects to initiate. Each such report will contain sufficient detail to enable Licensor to assess Licensee’s compliance with its obligations set forth in Section 4.2 (Diligence Obligations) and will include a [*] for [*].</w:t>
      </w:r>
    </w:p>
    <w:p>
      <w:pPr>
        <w:spacing w:after="0" w:line="16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4.6.</w:t>
      </w:r>
      <w:r>
        <w:rPr>
          <w:sz w:val="20"/>
          <w:szCs w:val="20"/>
          <w:color w:val="auto"/>
        </w:rPr>
        <w:tab/>
      </w:r>
      <w:r>
        <w:rPr>
          <w:rFonts w:ascii="Arial" w:cs="Arial" w:eastAsia="Arial" w:hAnsi="Arial"/>
          <w:sz w:val="18"/>
          <w:szCs w:val="18"/>
          <w:b w:val="1"/>
          <w:bCs w:val="1"/>
          <w:color w:val="auto"/>
        </w:rPr>
        <w:t>Priority Review Voucher</w:t>
      </w:r>
      <w:r>
        <w:rPr>
          <w:rFonts w:ascii="Arial" w:cs="Arial" w:eastAsia="Arial" w:hAnsi="Arial"/>
          <w:sz w:val="18"/>
          <w:szCs w:val="18"/>
          <w:color w:val="auto"/>
        </w:rPr>
        <w:t>.</w:t>
      </w:r>
    </w:p>
    <w:p>
      <w:pPr>
        <w:spacing w:after="0" w:line="216" w:lineRule="exact"/>
        <w:rPr>
          <w:sz w:val="20"/>
          <w:szCs w:val="20"/>
          <w:color w:val="auto"/>
        </w:rPr>
      </w:pPr>
    </w:p>
    <w:p>
      <w:pPr>
        <w:jc w:val="both"/>
        <w:ind w:left="1740" w:hanging="863"/>
        <w:spacing w:after="0" w:line="256" w:lineRule="auto"/>
        <w:tabs>
          <w:tab w:leader="none" w:pos="1720" w:val="left"/>
        </w:tabs>
        <w:rPr>
          <w:sz w:val="20"/>
          <w:szCs w:val="20"/>
          <w:color w:val="auto"/>
        </w:rPr>
      </w:pPr>
      <w:r>
        <w:rPr>
          <w:rFonts w:ascii="Arial" w:cs="Arial" w:eastAsia="Arial" w:hAnsi="Arial"/>
          <w:sz w:val="20"/>
          <w:szCs w:val="20"/>
          <w:color w:val="auto"/>
        </w:rPr>
        <w:t>4.6.1.</w:t>
      </w:r>
      <w:r>
        <w:rPr>
          <w:sz w:val="20"/>
          <w:szCs w:val="20"/>
          <w:color w:val="auto"/>
        </w:rPr>
        <w:tab/>
      </w:r>
      <w:r>
        <w:rPr>
          <w:rFonts w:ascii="Arial" w:cs="Arial" w:eastAsia="Arial" w:hAnsi="Arial"/>
          <w:sz w:val="19"/>
          <w:szCs w:val="19"/>
          <w:b w:val="1"/>
          <w:bCs w:val="1"/>
          <w:color w:val="auto"/>
        </w:rPr>
        <w:t>Notice; Offer Right</w:t>
      </w:r>
      <w:r>
        <w:rPr>
          <w:rFonts w:ascii="Arial" w:cs="Arial" w:eastAsia="Arial" w:hAnsi="Arial"/>
          <w:sz w:val="19"/>
          <w:szCs w:val="19"/>
          <w:color w:val="auto"/>
        </w:rPr>
        <w:t>. If Licensee or any of its Affiliates or Sublicensees receives a Priority Review Voucher as a result of</w:t>
      </w:r>
      <w:r>
        <w:rPr>
          <w:rFonts w:ascii="Arial" w:cs="Arial" w:eastAsia="Arial" w:hAnsi="Arial"/>
          <w:sz w:val="19"/>
          <w:szCs w:val="19"/>
          <w:b w:val="1"/>
          <w:bCs w:val="1"/>
          <w:color w:val="auto"/>
        </w:rPr>
        <w:t xml:space="preserve"> </w:t>
      </w:r>
      <w:r>
        <w:rPr>
          <w:rFonts w:ascii="Arial" w:cs="Arial" w:eastAsia="Arial" w:hAnsi="Arial"/>
          <w:sz w:val="19"/>
          <w:szCs w:val="19"/>
          <w:color w:val="auto"/>
        </w:rPr>
        <w:t>its Development of any Licensed Product, then Licensee will notify Licensor in writing of its or its Affiliates or Sublicensees receipt of each such voucher no later than [*] after receipt thereof. No later than [*] following Licensor’s receipt of each such notice from Licensee, Licensor may (in its sole discretion) submit to Licensee a written offer for Licensor’s purchase from Licensee of such Priority Review Voucher (the “</w:t>
      </w:r>
      <w:r>
        <w:rPr>
          <w:rFonts w:ascii="Arial" w:cs="Arial" w:eastAsia="Arial" w:hAnsi="Arial"/>
          <w:sz w:val="19"/>
          <w:szCs w:val="19"/>
          <w:b w:val="1"/>
          <w:bCs w:val="1"/>
          <w:color w:val="auto"/>
        </w:rPr>
        <w:t>PRV Purchase Offer</w:t>
      </w:r>
      <w:r>
        <w:rPr>
          <w:rFonts w:ascii="Arial" w:cs="Arial" w:eastAsia="Arial" w:hAnsi="Arial"/>
          <w:sz w:val="19"/>
          <w:szCs w:val="19"/>
          <w:color w:val="auto"/>
        </w:rPr>
        <w:t>”). In the PRV Purchase Offer, Licensor will include a purchase price for the applicable Priority Review Voucher and other material legal and economic terms pursuant to which Licensor would purchase such Priority Review Voucher from Licensee. If Licensor provides a PRV Purchase Offer to Licensee for a Priority Review Voucher, then Licensee will consider in good faith whether it wishes to sell such Priority Review Voucher to Licensor on terms that will include the terms set forth in the applicable PRV Purchase Offer (or such other terms to which the Parties may agree in writing). If the Parties enter into a definitive agreement for Licensor’s purchase of the applicable Priority</w:t>
      </w:r>
    </w:p>
    <w:p>
      <w:pPr>
        <w:spacing w:after="0" w:line="200" w:lineRule="exact"/>
        <w:rPr>
          <w:sz w:val="20"/>
          <w:szCs w:val="20"/>
          <w:color w:val="auto"/>
        </w:r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- 16 -</w:t>
      </w:r>
    </w:p>
    <w:p>
      <w:pPr>
        <w:spacing w:after="0" w:line="12" w:lineRule="exact"/>
        <w:rPr>
          <w:sz w:val="20"/>
          <w:szCs w:val="20"/>
          <w:color w:val="auto"/>
        </w:rPr>
      </w:pPr>
    </w:p>
    <w:p>
      <w:pPr>
        <w:ind w:right="740" w:firstLine="8"/>
        <w:spacing w:after="0" w:line="226" w:lineRule="auto"/>
        <w:tabs>
          <w:tab w:leader="none" w:pos="2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54" w:name="page155"/>
    <w:bookmarkEnd w:id="154"/>
    <w:p>
      <w:pPr>
        <w:ind w:left="1740"/>
        <w:spacing w:after="0"/>
        <w:rPr>
          <w:sz w:val="20"/>
          <w:szCs w:val="20"/>
          <w:color w:val="auto"/>
        </w:rPr>
      </w:pPr>
      <w:r>
        <w:rPr>
          <w:rFonts w:ascii="Arial" w:cs="Arial" w:eastAsia="Arial" w:hAnsi="Arial"/>
          <w:sz w:val="20"/>
          <w:szCs w:val="20"/>
          <w:color w:val="auto"/>
        </w:rPr>
        <w:t>Review Voucher, then Licensee will convey to Licensor such Priority Review Voucher and [*] (the “[*]”).</w:t>
      </w:r>
    </w:p>
    <w:p>
      <w:pPr>
        <w:spacing w:after="0" w:line="210" w:lineRule="exact"/>
        <w:rPr>
          <w:sz w:val="20"/>
          <w:szCs w:val="20"/>
          <w:color w:val="auto"/>
        </w:rPr>
      </w:pPr>
    </w:p>
    <w:p>
      <w:pPr>
        <w:jc w:val="both"/>
        <w:ind w:left="1740" w:hanging="863"/>
        <w:spacing w:after="0" w:line="245" w:lineRule="auto"/>
        <w:tabs>
          <w:tab w:leader="none" w:pos="1720" w:val="left"/>
        </w:tabs>
        <w:rPr>
          <w:sz w:val="20"/>
          <w:szCs w:val="20"/>
          <w:color w:val="auto"/>
        </w:rPr>
      </w:pPr>
      <w:r>
        <w:rPr>
          <w:rFonts w:ascii="Arial" w:cs="Arial" w:eastAsia="Arial" w:hAnsi="Arial"/>
          <w:sz w:val="20"/>
          <w:szCs w:val="20"/>
          <w:color w:val="auto"/>
        </w:rPr>
        <w:t>4.6.1.</w:t>
      </w:r>
      <w:r>
        <w:rPr>
          <w:sz w:val="20"/>
          <w:szCs w:val="20"/>
          <w:color w:val="auto"/>
        </w:rPr>
        <w:tab/>
      </w:r>
      <w:r>
        <w:rPr>
          <w:rFonts w:ascii="Arial" w:cs="Arial" w:eastAsia="Arial" w:hAnsi="Arial"/>
          <w:sz w:val="20"/>
          <w:szCs w:val="20"/>
          <w:b w:val="1"/>
          <w:bCs w:val="1"/>
          <w:color w:val="auto"/>
        </w:rPr>
        <w:t>Sale of PRV to a Third Party</w:t>
      </w:r>
      <w:r>
        <w:rPr>
          <w:rFonts w:ascii="Arial" w:cs="Arial" w:eastAsia="Arial" w:hAnsi="Arial"/>
          <w:sz w:val="20"/>
          <w:szCs w:val="20"/>
          <w:color w:val="auto"/>
        </w:rPr>
        <w:t>. Licensee will not be obligated to accept the terms set forth in the PRV Purchase Offer,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sell to Licensor any Priority Review Voucher;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if Licensee elects not to accept the terms set forth in the PRV Purchase Offer, then, unless otherwise agreed in writing by Licensor, Licensee will not [*] the applicable Priority Review Voucher to [*] for [*] that is [*]. For the avoidance of doubt, Licensee shall be free to negotiate with one or more Third Parties with respect to sale of the Priority Review Voucher at all times, even if Licensee elects to submit a PRV Purchase Offer.</w:t>
      </w:r>
    </w:p>
    <w:p>
      <w:pPr>
        <w:spacing w:after="0" w:line="185" w:lineRule="exact"/>
        <w:rPr>
          <w:sz w:val="20"/>
          <w:szCs w:val="20"/>
          <w:color w:val="auto"/>
        </w:rPr>
      </w:pPr>
    </w:p>
    <w:p>
      <w:pPr>
        <w:jc w:val="both"/>
        <w:ind w:left="1740" w:hanging="863"/>
        <w:spacing w:after="0" w:line="266" w:lineRule="auto"/>
        <w:tabs>
          <w:tab w:leader="none" w:pos="1720" w:val="left"/>
        </w:tabs>
        <w:rPr>
          <w:sz w:val="20"/>
          <w:szCs w:val="20"/>
          <w:color w:val="auto"/>
        </w:rPr>
      </w:pPr>
      <w:r>
        <w:rPr>
          <w:rFonts w:ascii="Arial" w:cs="Arial" w:eastAsia="Arial" w:hAnsi="Arial"/>
          <w:sz w:val="20"/>
          <w:szCs w:val="20"/>
          <w:color w:val="auto"/>
        </w:rPr>
        <w:t>4.6.2.</w:t>
      </w:r>
      <w:r>
        <w:rPr>
          <w:sz w:val="20"/>
          <w:szCs w:val="20"/>
          <w:color w:val="auto"/>
        </w:rPr>
        <w:tab/>
      </w:r>
      <w:r>
        <w:rPr>
          <w:rFonts w:ascii="Arial" w:cs="Arial" w:eastAsia="Arial" w:hAnsi="Arial"/>
          <w:sz w:val="19"/>
          <w:szCs w:val="19"/>
          <w:b w:val="1"/>
          <w:bCs w:val="1"/>
          <w:color w:val="auto"/>
        </w:rPr>
        <w:t>No Sale of PRV</w:t>
      </w:r>
      <w:r>
        <w:rPr>
          <w:rFonts w:ascii="Arial" w:cs="Arial" w:eastAsia="Arial" w:hAnsi="Arial"/>
          <w:sz w:val="19"/>
          <w:szCs w:val="19"/>
          <w:color w:val="auto"/>
        </w:rPr>
        <w:t>. Notwithstanding anything to the contrary set forth in this Agreement, Licensee may use any Priority</w:t>
      </w:r>
      <w:r>
        <w:rPr>
          <w:rFonts w:ascii="Arial" w:cs="Arial" w:eastAsia="Arial" w:hAnsi="Arial"/>
          <w:sz w:val="19"/>
          <w:szCs w:val="19"/>
          <w:b w:val="1"/>
          <w:bCs w:val="1"/>
          <w:color w:val="auto"/>
        </w:rPr>
        <w:t xml:space="preserve"> </w:t>
      </w:r>
      <w:r>
        <w:rPr>
          <w:rFonts w:ascii="Arial" w:cs="Arial" w:eastAsia="Arial" w:hAnsi="Arial"/>
          <w:sz w:val="19"/>
          <w:szCs w:val="19"/>
          <w:color w:val="auto"/>
        </w:rPr>
        <w:t>Review Voucher for the benefit of any of its products (including any Licensed Product), and Licensee will have no obligation to sell to Licensor or any Third Party any Priority Review Voucher. If Licensee elects to use any Priority Review Voucher for the benefit of any product that is not a Licensed Product, then [*] until such time as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97"/>
              </w:rPr>
              <w:t>Article 5.</w:t>
            </w:r>
          </w:p>
        </w:tc>
        <w:tc>
          <w:tcPr>
            <w:tcW w:w="660" w:type="dxa"/>
            <w:vAlign w:val="bottom"/>
          </w:tcPr>
          <w:p>
            <w:pPr>
              <w:spacing w:after="0"/>
              <w:rPr>
                <w:sz w:val="22"/>
                <w:szCs w:val="22"/>
                <w:color w:val="auto"/>
              </w:rPr>
            </w:pPr>
          </w:p>
        </w:tc>
        <w:tc>
          <w:tcPr>
            <w:tcW w:w="9900" w:type="dxa"/>
            <w:vAlign w:val="bottom"/>
          </w:tcPr>
          <w:p>
            <w:pPr>
              <w:ind w:left="2580"/>
              <w:spacing w:after="0"/>
              <w:rPr>
                <w:sz w:val="20"/>
                <w:szCs w:val="20"/>
                <w:color w:val="auto"/>
              </w:rPr>
            </w:pPr>
            <w:r>
              <w:rPr>
                <w:rFonts w:ascii="Arial" w:cs="Arial" w:eastAsia="Arial" w:hAnsi="Arial"/>
                <w:sz w:val="20"/>
                <w:szCs w:val="20"/>
                <w:b w:val="1"/>
                <w:bCs w:val="1"/>
                <w:color w:val="auto"/>
              </w:rPr>
              <w:t>CONSIDERATION AND FINANCIAL TERMS</w:t>
            </w:r>
          </w:p>
        </w:tc>
      </w:tr>
      <w:tr>
        <w:trPr>
          <w:trHeight w:val="419"/>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5.1.</w:t>
            </w:r>
          </w:p>
        </w:tc>
        <w:tc>
          <w:tcPr>
            <w:tcW w:w="10560" w:type="dxa"/>
            <w:vAlign w:val="bottom"/>
            <w:gridSpan w:val="2"/>
          </w:tcPr>
          <w:p>
            <w:pPr>
              <w:ind w:left="20"/>
              <w:spacing w:after="0"/>
              <w:rPr>
                <w:sz w:val="20"/>
                <w:szCs w:val="20"/>
                <w:color w:val="auto"/>
              </w:rPr>
            </w:pPr>
            <w:r>
              <w:rPr>
                <w:rFonts w:ascii="Arial" w:cs="Arial" w:eastAsia="Arial" w:hAnsi="Arial"/>
                <w:sz w:val="20"/>
                <w:szCs w:val="20"/>
                <w:b w:val="1"/>
                <w:bCs w:val="1"/>
                <w:color w:val="auto"/>
                <w:w w:val="91"/>
              </w:rPr>
              <w:t>Upfront Payment</w:t>
            </w:r>
            <w:r>
              <w:rPr>
                <w:rFonts w:ascii="Arial" w:cs="Arial" w:eastAsia="Arial" w:hAnsi="Arial"/>
                <w:sz w:val="20"/>
                <w:szCs w:val="20"/>
                <w:color w:val="auto"/>
                <w:w w:val="91"/>
              </w:rPr>
              <w:t>. No later than three Business Days after the Effective Date, Licensee will pay to Licensor a one-time payment of</w:t>
            </w:r>
          </w:p>
        </w:tc>
      </w:tr>
      <w:tr>
        <w:trPr>
          <w:trHeight w:val="236"/>
        </w:trPr>
        <w:tc>
          <w:tcPr>
            <w:tcW w:w="860" w:type="dxa"/>
            <w:vAlign w:val="bottom"/>
          </w:tcPr>
          <w:p>
            <w:pPr>
              <w:spacing w:after="0"/>
              <w:rPr>
                <w:sz w:val="20"/>
                <w:szCs w:val="20"/>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2"/>
              </w:rPr>
              <w:t>$5,000,000 (the “</w:t>
            </w:r>
            <w:r>
              <w:rPr>
                <w:rFonts w:ascii="Arial" w:cs="Arial" w:eastAsia="Arial" w:hAnsi="Arial"/>
                <w:sz w:val="20"/>
                <w:szCs w:val="20"/>
                <w:b w:val="1"/>
                <w:bCs w:val="1"/>
                <w:color w:val="auto"/>
                <w:w w:val="92"/>
              </w:rPr>
              <w:t>Upfront Payment</w:t>
            </w:r>
            <w:r>
              <w:rPr>
                <w:rFonts w:ascii="Arial" w:cs="Arial" w:eastAsia="Arial" w:hAnsi="Arial"/>
                <w:sz w:val="20"/>
                <w:szCs w:val="20"/>
                <w:color w:val="auto"/>
                <w:w w:val="92"/>
              </w:rPr>
              <w:t>”) in cash in immediately available funds by wire transfer, in accordance with wire instructions</w:t>
            </w:r>
          </w:p>
        </w:tc>
      </w:tr>
      <w:tr>
        <w:trPr>
          <w:trHeight w:val="250"/>
        </w:trPr>
        <w:tc>
          <w:tcPr>
            <w:tcW w:w="860" w:type="dxa"/>
            <w:vAlign w:val="bottom"/>
          </w:tcPr>
          <w:p>
            <w:pPr>
              <w:spacing w:after="0"/>
              <w:rPr>
                <w:sz w:val="21"/>
                <w:szCs w:val="21"/>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rPr>
              <w:t>to be given by Licensor to Licensee.</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5.2.</w:t>
            </w:r>
          </w:p>
        </w:tc>
        <w:tc>
          <w:tcPr>
            <w:tcW w:w="10560" w:type="dxa"/>
            <w:vAlign w:val="bottom"/>
            <w:gridSpan w:val="2"/>
          </w:tcPr>
          <w:p>
            <w:pPr>
              <w:ind w:left="20"/>
              <w:spacing w:after="0"/>
              <w:rPr>
                <w:sz w:val="20"/>
                <w:szCs w:val="20"/>
                <w:color w:val="auto"/>
              </w:rPr>
            </w:pPr>
            <w:r>
              <w:rPr>
                <w:rFonts w:ascii="Arial" w:cs="Arial" w:eastAsia="Arial" w:hAnsi="Arial"/>
                <w:sz w:val="20"/>
                <w:szCs w:val="20"/>
                <w:b w:val="1"/>
                <w:bCs w:val="1"/>
                <w:color w:val="auto"/>
                <w:w w:val="92"/>
              </w:rPr>
              <w:t>Reimbursement of Patent Expenses</w:t>
            </w:r>
            <w:r>
              <w:rPr>
                <w:rFonts w:ascii="Arial" w:cs="Arial" w:eastAsia="Arial" w:hAnsi="Arial"/>
                <w:sz w:val="20"/>
                <w:szCs w:val="20"/>
                <w:color w:val="auto"/>
                <w:w w:val="92"/>
              </w:rPr>
              <w:t>.  Schedule 5.2 sets forth a list of all out-of-pocket expenses incurred by Licensor as of the</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7"/>
              </w:rPr>
              <w:t>Effective Date in connection with the preparation, filing, Prosecution, and maintenance of the Licensor Patent Rights in [*],</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2"/>
              </w:rPr>
              <w:t>including all fees and other amounts paid to any Patent Office in such countries. No later than [*] after receipt of a written invoice</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1"/>
              </w:rPr>
              <w:t>from Licensor on or after the Effective Date, Licensee will pay to Licensor a one-time payment of all amounts set forth on Schedule</w:t>
            </w:r>
          </w:p>
        </w:tc>
      </w:tr>
      <w:tr>
        <w:trPr>
          <w:trHeight w:val="250"/>
        </w:trPr>
        <w:tc>
          <w:tcPr>
            <w:tcW w:w="860" w:type="dxa"/>
            <w:vAlign w:val="bottom"/>
          </w:tcPr>
          <w:p>
            <w:pPr>
              <w:spacing w:after="0"/>
              <w:rPr>
                <w:sz w:val="21"/>
                <w:szCs w:val="21"/>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0"/>
              </w:rPr>
              <w:t>5.2 in cash in immediately available funds by wire transfer, in accordance with wire instructions to be given by Licensor to Licensee.</w:t>
            </w:r>
          </w:p>
        </w:tc>
      </w:tr>
      <w:tr>
        <w:trPr>
          <w:trHeight w:val="446"/>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5.3.</w:t>
            </w:r>
          </w:p>
        </w:tc>
        <w:tc>
          <w:tcPr>
            <w:tcW w:w="10560" w:type="dxa"/>
            <w:vAlign w:val="bottom"/>
            <w:gridSpan w:val="2"/>
          </w:tcPr>
          <w:p>
            <w:pPr>
              <w:ind w:left="20"/>
              <w:spacing w:after="0"/>
              <w:rPr>
                <w:sz w:val="20"/>
                <w:szCs w:val="20"/>
                <w:color w:val="auto"/>
              </w:rPr>
            </w:pPr>
            <w:r>
              <w:rPr>
                <w:rFonts w:ascii="Arial" w:cs="Arial" w:eastAsia="Arial" w:hAnsi="Arial"/>
                <w:sz w:val="20"/>
                <w:szCs w:val="20"/>
                <w:b w:val="1"/>
                <w:bCs w:val="1"/>
                <w:color w:val="auto"/>
              </w:rPr>
              <w:t>Development Milestones</w:t>
            </w:r>
            <w:r>
              <w:rPr>
                <w:rFonts w:ascii="Arial" w:cs="Arial" w:eastAsia="Arial" w:hAnsi="Arial"/>
                <w:sz w:val="20"/>
                <w:szCs w:val="20"/>
                <w:color w:val="auto"/>
              </w:rPr>
              <w:t>.</w:t>
            </w:r>
          </w:p>
        </w:tc>
      </w:tr>
      <w:tr>
        <w:trPr>
          <w:trHeight w:val="419"/>
        </w:trPr>
        <w:tc>
          <w:tcPr>
            <w:tcW w:w="86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20"/>
                <w:szCs w:val="20"/>
                <w:color w:val="auto"/>
              </w:rPr>
              <w:t>5.3.1.</w:t>
            </w:r>
          </w:p>
        </w:tc>
        <w:tc>
          <w:tcPr>
            <w:tcW w:w="9900" w:type="dxa"/>
            <w:vAlign w:val="bottom"/>
          </w:tcPr>
          <w:p>
            <w:pPr>
              <w:ind w:left="220"/>
              <w:spacing w:after="0"/>
              <w:rPr>
                <w:sz w:val="20"/>
                <w:szCs w:val="20"/>
                <w:color w:val="auto"/>
              </w:rPr>
            </w:pPr>
            <w:r>
              <w:rPr>
                <w:rFonts w:ascii="Arial" w:cs="Arial" w:eastAsia="Arial" w:hAnsi="Arial"/>
                <w:sz w:val="20"/>
                <w:szCs w:val="20"/>
                <w:b w:val="1"/>
                <w:bCs w:val="1"/>
                <w:color w:val="auto"/>
                <w:w w:val="92"/>
              </w:rPr>
              <w:t>Events and Payments</w:t>
            </w:r>
            <w:r>
              <w:rPr>
                <w:rFonts w:ascii="Arial" w:cs="Arial" w:eastAsia="Arial" w:hAnsi="Arial"/>
                <w:sz w:val="20"/>
                <w:szCs w:val="20"/>
                <w:color w:val="auto"/>
                <w:w w:val="92"/>
              </w:rPr>
              <w:t>. Licensee will notify Licensor as soon as practicable upon (and in any event within [*] Business</w:t>
            </w:r>
          </w:p>
        </w:tc>
      </w:tr>
      <w:tr>
        <w:trPr>
          <w:trHeight w:val="236"/>
        </w:trPr>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0"/>
              </w:rPr>
              <w:t>Days after) achievement of the applicable event listed in Table 5.3.1 below (each, a “</w:t>
            </w:r>
            <w:r>
              <w:rPr>
                <w:rFonts w:ascii="Arial" w:cs="Arial" w:eastAsia="Arial" w:hAnsi="Arial"/>
                <w:sz w:val="20"/>
                <w:szCs w:val="20"/>
                <w:b w:val="1"/>
                <w:bCs w:val="1"/>
                <w:color w:val="auto"/>
                <w:w w:val="90"/>
              </w:rPr>
              <w:t>Development Milestone Event</w:t>
            </w:r>
            <w:r>
              <w:rPr>
                <w:rFonts w:ascii="Arial" w:cs="Arial" w:eastAsia="Arial" w:hAnsi="Arial"/>
                <w:sz w:val="20"/>
                <w:szCs w:val="20"/>
                <w:color w:val="auto"/>
                <w:w w:val="90"/>
              </w:rPr>
              <w:t>”) by</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2"/>
              </w:rPr>
              <w:t>Licensee or its Affiliate or Sublicensee. Subject to Section 4.6 (Priority Review Vouchers), no later than [*] after receipt</w:t>
            </w:r>
          </w:p>
        </w:tc>
      </w:tr>
      <w:tr>
        <w:trPr>
          <w:trHeight w:val="246"/>
        </w:trPr>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8"/>
              </w:rPr>
              <w:t>of a written invoice from Licensor specifying the achieved Development Milestone Event and the corresponding</w:t>
            </w:r>
          </w:p>
        </w:tc>
      </w:tr>
    </w:tbl>
    <w:p>
      <w:pPr>
        <w:jc w:val="both"/>
        <w:ind w:left="1740"/>
        <w:spacing w:after="0"/>
        <w:rPr>
          <w:sz w:val="20"/>
          <w:szCs w:val="20"/>
          <w:color w:val="auto"/>
        </w:rPr>
      </w:pPr>
      <w:r>
        <w:rPr>
          <w:rFonts w:ascii="Arial" w:cs="Arial" w:eastAsia="Arial" w:hAnsi="Arial"/>
          <w:sz w:val="20"/>
          <w:szCs w:val="20"/>
          <w:color w:val="auto"/>
        </w:rPr>
        <w:t>milestone payment set forth in Table 5.3.1 below (each a “</w:t>
      </w:r>
      <w:r>
        <w:rPr>
          <w:rFonts w:ascii="Arial" w:cs="Arial" w:eastAsia="Arial" w:hAnsi="Arial"/>
          <w:sz w:val="20"/>
          <w:szCs w:val="20"/>
          <w:b w:val="1"/>
          <w:bCs w:val="1"/>
          <w:color w:val="auto"/>
        </w:rPr>
        <w:t>Development Milestone Payment</w:t>
      </w:r>
      <w:r>
        <w:rPr>
          <w:rFonts w:ascii="Arial" w:cs="Arial" w:eastAsia="Arial" w:hAnsi="Arial"/>
          <w:sz w:val="20"/>
          <w:szCs w:val="20"/>
          <w:color w:val="auto"/>
        </w:rPr>
        <w:t>”), Licensee shall pay to Licensor such Development Milestone Payment. For clarity, each Development Milestone Payment will be made only once for the first time that the applicable Development Milestone Event is achieved, regardless of how many Licensed Products may achieve such Development Milestone Event, or how many times a particular Licensed Product may achieve such Development Milestone Event.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- 17 -</w:t>
      </w:r>
    </w:p>
    <w:p>
      <w:pPr>
        <w:spacing w:after="0" w:line="12" w:lineRule="exact"/>
        <w:rPr>
          <w:sz w:val="20"/>
          <w:szCs w:val="20"/>
          <w:color w:val="auto"/>
        </w:rPr>
      </w:pPr>
    </w:p>
    <w:p>
      <w:pPr>
        <w:ind w:right="740" w:firstLine="8"/>
        <w:spacing w:after="0" w:line="226" w:lineRule="auto"/>
        <w:tabs>
          <w:tab w:leader="none" w:pos="2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55" w:name="page156"/>
    <w:bookmarkEnd w:id="155"/>
    <w:tbl>
      <w:tblPr>
        <w:tblLayout w:type="fixed"/>
        <w:tblInd w:w="193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bottom w:val="single" w:sz="8" w:color="auto"/>
            </w:tcBorders>
            <w:shd w:val="clear" w:color="auto" w:fill="8DB3E2"/>
          </w:tcPr>
          <w:p>
            <w:pPr>
              <w:spacing w:after="0"/>
              <w:rPr>
                <w:sz w:val="19"/>
                <w:szCs w:val="19"/>
                <w:color w:val="auto"/>
              </w:rPr>
            </w:pPr>
          </w:p>
        </w:tc>
        <w:tc>
          <w:tcPr>
            <w:tcW w:w="4400" w:type="dxa"/>
            <w:vAlign w:val="bottom"/>
            <w:tcBorders>
              <w:top w:val="single" w:sz="8" w:color="auto"/>
              <w:bottom w:val="single" w:sz="8" w:color="auto"/>
              <w:right w:val="single" w:sz="8" w:color="8DB3E2"/>
            </w:tcBorders>
            <w:shd w:val="clear" w:color="auto" w:fill="8DB3E2"/>
          </w:tcPr>
          <w:p>
            <w:pPr>
              <w:ind w:left="1180"/>
              <w:spacing w:after="0"/>
              <w:rPr>
                <w:sz w:val="20"/>
                <w:szCs w:val="20"/>
                <w:color w:val="auto"/>
              </w:rPr>
            </w:pPr>
            <w:r>
              <w:rPr>
                <w:rFonts w:ascii="Arial" w:cs="Arial" w:eastAsia="Arial" w:hAnsi="Arial"/>
                <w:sz w:val="18"/>
                <w:szCs w:val="18"/>
                <w:b w:val="1"/>
                <w:bCs w:val="1"/>
                <w:color w:val="auto"/>
                <w:w w:val="98"/>
              </w:rPr>
              <w:t>Table 5.3.1 – Development Milestones</w:t>
            </w:r>
          </w:p>
        </w:tc>
        <w:tc>
          <w:tcPr>
            <w:tcW w:w="2040" w:type="dxa"/>
            <w:vAlign w:val="bottom"/>
            <w:tcBorders>
              <w:top w:val="single" w:sz="8" w:color="auto"/>
              <w:bottom w:val="single" w:sz="8" w:color="auto"/>
              <w:right w:val="single" w:sz="8" w:color="auto"/>
            </w:tcBorders>
            <w:shd w:val="clear" w:color="auto" w:fill="8DB3E2"/>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180" w:type="dxa"/>
            <w:vAlign w:val="bottom"/>
            <w:tcBorders>
              <w:left w:val="single" w:sz="8" w:color="auto"/>
            </w:tcBorders>
            <w:shd w:val="clear" w:color="auto" w:fill="DBE5F1"/>
          </w:tcPr>
          <w:p>
            <w:pPr>
              <w:spacing w:after="0"/>
              <w:rPr>
                <w:sz w:val="16"/>
                <w:szCs w:val="16"/>
                <w:color w:val="auto"/>
              </w:rPr>
            </w:pPr>
          </w:p>
        </w:tc>
        <w:tc>
          <w:tcPr>
            <w:tcW w:w="4400" w:type="dxa"/>
            <w:vAlign w:val="bottom"/>
            <w:tcBorders>
              <w:right w:val="single" w:sz="8" w:color="auto"/>
            </w:tcBorders>
            <w:vMerge w:val="restart"/>
            <w:shd w:val="clear" w:color="auto" w:fill="DBE5F1"/>
          </w:tcPr>
          <w:p>
            <w:pPr>
              <w:ind w:left="500"/>
              <w:spacing w:after="0"/>
              <w:rPr>
                <w:sz w:val="20"/>
                <w:szCs w:val="20"/>
                <w:color w:val="auto"/>
              </w:rPr>
            </w:pPr>
            <w:r>
              <w:rPr>
                <w:rFonts w:ascii="Arial" w:cs="Arial" w:eastAsia="Arial" w:hAnsi="Arial"/>
                <w:sz w:val="18"/>
                <w:szCs w:val="18"/>
                <w:b w:val="1"/>
                <w:bCs w:val="1"/>
                <w:i w:val="1"/>
                <w:iCs w:val="1"/>
                <w:color w:val="auto"/>
              </w:rPr>
              <w:t>Development Milestone Event</w:t>
            </w:r>
          </w:p>
        </w:tc>
        <w:tc>
          <w:tcPr>
            <w:tcW w:w="2040" w:type="dxa"/>
            <w:vAlign w:val="bottom"/>
            <w:tcBorders>
              <w:right w:val="single" w:sz="8" w:color="auto"/>
            </w:tcBorders>
            <w:shd w:val="clear" w:color="auto" w:fill="DBE5F1"/>
          </w:tcPr>
          <w:p>
            <w:pPr>
              <w:jc w:val="center"/>
              <w:spacing w:after="0" w:line="195" w:lineRule="exact"/>
              <w:rPr>
                <w:sz w:val="20"/>
                <w:szCs w:val="20"/>
                <w:color w:val="auto"/>
              </w:rPr>
            </w:pPr>
            <w:r>
              <w:rPr>
                <w:rFonts w:ascii="Arial" w:cs="Arial" w:eastAsia="Arial" w:hAnsi="Arial"/>
                <w:sz w:val="18"/>
                <w:szCs w:val="18"/>
                <w:b w:val="1"/>
                <w:bCs w:val="1"/>
                <w:i w:val="1"/>
                <w:iCs w:val="1"/>
                <w:color w:val="auto"/>
                <w:w w:val="86"/>
              </w:rPr>
              <w:t>Development Milestone</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tcBorders>
            <w:shd w:val="clear" w:color="auto" w:fill="DBE5F1"/>
          </w:tcPr>
          <w:p>
            <w:pPr>
              <w:spacing w:after="0"/>
              <w:rPr>
                <w:sz w:val="10"/>
                <w:szCs w:val="10"/>
                <w:color w:val="auto"/>
              </w:rPr>
            </w:pPr>
          </w:p>
        </w:tc>
        <w:tc>
          <w:tcPr>
            <w:tcW w:w="4400" w:type="dxa"/>
            <w:vAlign w:val="bottom"/>
            <w:tcBorders>
              <w:right w:val="single" w:sz="8" w:color="auto"/>
            </w:tcBorders>
            <w:vMerge w:val="continue"/>
            <w:shd w:val="clear" w:color="auto" w:fill="DBE5F1"/>
          </w:tcPr>
          <w:p>
            <w:pPr>
              <w:spacing w:after="0"/>
              <w:rPr>
                <w:sz w:val="10"/>
                <w:szCs w:val="10"/>
                <w:color w:val="auto"/>
              </w:rPr>
            </w:pPr>
          </w:p>
        </w:tc>
        <w:tc>
          <w:tcPr>
            <w:tcW w:w="2040" w:type="dxa"/>
            <w:vAlign w:val="bottom"/>
            <w:tcBorders>
              <w:right w:val="single" w:sz="8" w:color="auto"/>
            </w:tcBorders>
            <w:vMerge w:val="restart"/>
            <w:shd w:val="clear" w:color="auto" w:fill="DBE5F1"/>
          </w:tcPr>
          <w:p>
            <w:pPr>
              <w:jc w:val="center"/>
              <w:spacing w:after="0"/>
              <w:rPr>
                <w:sz w:val="20"/>
                <w:szCs w:val="20"/>
                <w:color w:val="auto"/>
              </w:rPr>
            </w:pPr>
            <w:r>
              <w:rPr>
                <w:rFonts w:ascii="Arial" w:cs="Arial" w:eastAsia="Arial" w:hAnsi="Arial"/>
                <w:sz w:val="18"/>
                <w:szCs w:val="18"/>
                <w:b w:val="1"/>
                <w:bCs w:val="1"/>
                <w:i w:val="1"/>
                <w:iCs w:val="1"/>
                <w:color w:val="auto"/>
                <w:w w:val="87"/>
              </w:rPr>
              <w:t>Payment</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tcBorders>
            <w:shd w:val="clear" w:color="auto" w:fill="DBE5F1"/>
          </w:tcPr>
          <w:p>
            <w:pPr>
              <w:spacing w:after="0"/>
              <w:rPr>
                <w:sz w:val="9"/>
                <w:szCs w:val="9"/>
                <w:color w:val="auto"/>
              </w:rPr>
            </w:pPr>
          </w:p>
        </w:tc>
        <w:tc>
          <w:tcPr>
            <w:tcW w:w="4400" w:type="dxa"/>
            <w:vAlign w:val="bottom"/>
            <w:tcBorders>
              <w:right w:val="single" w:sz="8" w:color="auto"/>
            </w:tcBorders>
            <w:shd w:val="clear" w:color="auto" w:fill="DBE5F1"/>
          </w:tcPr>
          <w:p>
            <w:pPr>
              <w:spacing w:after="0"/>
              <w:rPr>
                <w:sz w:val="9"/>
                <w:szCs w:val="9"/>
                <w:color w:val="auto"/>
              </w:rPr>
            </w:pPr>
          </w:p>
        </w:tc>
        <w:tc>
          <w:tcPr>
            <w:tcW w:w="2040" w:type="dxa"/>
            <w:vAlign w:val="bottom"/>
            <w:tcBorders>
              <w:right w:val="single" w:sz="8" w:color="auto"/>
            </w:tcBorders>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tcBorders>
            <w:shd w:val="clear" w:color="auto" w:fill="DBE5F1"/>
          </w:tcPr>
          <w:p>
            <w:pPr>
              <w:spacing w:after="0"/>
              <w:rPr>
                <w:sz w:val="9"/>
                <w:szCs w:val="9"/>
                <w:color w:val="auto"/>
              </w:rPr>
            </w:pPr>
          </w:p>
        </w:tc>
        <w:tc>
          <w:tcPr>
            <w:tcW w:w="4400" w:type="dxa"/>
            <w:vAlign w:val="bottom"/>
            <w:tcBorders>
              <w:bottom w:val="single" w:sz="8" w:color="auto"/>
              <w:right w:val="single" w:sz="8" w:color="auto"/>
            </w:tcBorders>
            <w:shd w:val="clear" w:color="auto" w:fill="DBE5F1"/>
          </w:tcPr>
          <w:p>
            <w:pPr>
              <w:spacing w:after="0"/>
              <w:rPr>
                <w:sz w:val="9"/>
                <w:szCs w:val="9"/>
                <w:color w:val="auto"/>
              </w:rPr>
            </w:pPr>
          </w:p>
        </w:tc>
        <w:tc>
          <w:tcPr>
            <w:tcW w:w="2040" w:type="dxa"/>
            <w:vAlign w:val="bottom"/>
            <w:tcBorders>
              <w:bottom w:val="single" w:sz="8" w:color="auto"/>
              <w:right w:val="single" w:sz="8" w:color="auto"/>
            </w:tcBorders>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1180" w:type="dxa"/>
            <w:vAlign w:val="bottom"/>
            <w:tcBorders>
              <w:left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4400" w:type="dxa"/>
            <w:vAlign w:val="bottom"/>
            <w:tcBorders>
              <w:right w:val="single" w:sz="8" w:color="auto"/>
            </w:tcBorders>
          </w:tcPr>
          <w:p>
            <w:pPr>
              <w:spacing w:after="0"/>
              <w:rPr>
                <w:sz w:val="19"/>
                <w:szCs w:val="19"/>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180" w:type="dxa"/>
            <w:vAlign w:val="bottom"/>
            <w:tcBorders>
              <w:left w:val="single" w:sz="8" w:color="auto"/>
              <w:bottom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left="1740" w:hanging="863"/>
        <w:spacing w:after="0" w:line="248" w:lineRule="auto"/>
        <w:tabs>
          <w:tab w:leader="none" w:pos="1720" w:val="left"/>
        </w:tabs>
        <w:rPr>
          <w:sz w:val="20"/>
          <w:szCs w:val="20"/>
          <w:color w:val="auto"/>
        </w:rPr>
      </w:pPr>
      <w:r>
        <w:rPr>
          <w:rFonts w:ascii="Arial" w:cs="Arial" w:eastAsia="Arial" w:hAnsi="Arial"/>
          <w:sz w:val="20"/>
          <w:szCs w:val="20"/>
          <w:color w:val="auto"/>
        </w:rPr>
        <w:t>5.3.2.</w:t>
      </w:r>
      <w:r>
        <w:rPr>
          <w:sz w:val="20"/>
          <w:szCs w:val="20"/>
          <w:color w:val="auto"/>
        </w:rPr>
        <w:tab/>
      </w:r>
      <w:r>
        <w:rPr>
          <w:rFonts w:ascii="Arial" w:cs="Arial" w:eastAsia="Arial" w:hAnsi="Arial"/>
          <w:sz w:val="20"/>
          <w:szCs w:val="20"/>
          <w:b w:val="1"/>
          <w:bCs w:val="1"/>
          <w:color w:val="auto"/>
        </w:rPr>
        <w:t>[*]</w:t>
      </w:r>
      <w:r>
        <w:rPr>
          <w:rFonts w:ascii="Arial" w:cs="Arial" w:eastAsia="Arial" w:hAnsi="Arial"/>
          <w:sz w:val="20"/>
          <w:szCs w:val="20"/>
          <w:color w:val="auto"/>
        </w:rPr>
        <w:t>. For purposes of determining [*], [*] will mean, with respect to the [*], that [*] for such [*] (as set forth in [*]) has</w:t>
      </w:r>
      <w:r>
        <w:rPr>
          <w:rFonts w:ascii="Arial" w:cs="Arial" w:eastAsia="Arial" w:hAnsi="Arial"/>
          <w:sz w:val="20"/>
          <w:szCs w:val="20"/>
          <w:b w:val="1"/>
          <w:bCs w:val="1"/>
          <w:color w:val="auto"/>
        </w:rPr>
        <w:t xml:space="preserve"> </w:t>
      </w:r>
      <w:r>
        <w:rPr>
          <w:rFonts w:ascii="Arial" w:cs="Arial" w:eastAsia="Arial" w:hAnsi="Arial"/>
          <w:sz w:val="20"/>
          <w:szCs w:val="20"/>
          <w:color w:val="auto"/>
        </w:rPr>
        <w:t>[*], which determination will be made no later than [*] after [*]. Notwithstanding anything to the contrary set forth in this Agreement, [*] for any [*] will [*], regardless of whether [*] was [*] (a) for any [*], upon [*] (</w:t>
      </w:r>
      <w:r>
        <w:rPr>
          <w:rFonts w:ascii="Arial" w:cs="Arial" w:eastAsia="Arial" w:hAnsi="Arial"/>
          <w:sz w:val="20"/>
          <w:szCs w:val="20"/>
          <w:i w:val="1"/>
          <w:iCs w:val="1"/>
          <w:color w:val="auto"/>
        </w:rPr>
        <w:t>e.g.</w:t>
      </w:r>
      <w:r>
        <w:rPr>
          <w:rFonts w:ascii="Arial" w:cs="Arial" w:eastAsia="Arial" w:hAnsi="Arial"/>
          <w:sz w:val="20"/>
          <w:szCs w:val="20"/>
          <w:color w:val="auto"/>
        </w:rPr>
        <w:t>, [*]), and (b) in the case of [*], the [*].</w:t>
      </w:r>
    </w:p>
    <w:p>
      <w:pPr>
        <w:spacing w:after="0" w:line="184" w:lineRule="exact"/>
        <w:rPr>
          <w:sz w:val="20"/>
          <w:szCs w:val="20"/>
          <w:color w:val="auto"/>
        </w:rPr>
      </w:pPr>
    </w:p>
    <w:p>
      <w:pPr>
        <w:jc w:val="both"/>
        <w:ind w:left="1740" w:hanging="863"/>
        <w:spacing w:after="0" w:line="259" w:lineRule="auto"/>
        <w:tabs>
          <w:tab w:leader="none" w:pos="1720" w:val="left"/>
        </w:tabs>
        <w:rPr>
          <w:sz w:val="20"/>
          <w:szCs w:val="20"/>
          <w:color w:val="auto"/>
        </w:rPr>
      </w:pPr>
      <w:r>
        <w:rPr>
          <w:rFonts w:ascii="Arial" w:cs="Arial" w:eastAsia="Arial" w:hAnsi="Arial"/>
          <w:sz w:val="20"/>
          <w:szCs w:val="20"/>
          <w:color w:val="auto"/>
        </w:rPr>
        <w:t>5.3.3.</w:t>
      </w:r>
      <w:r>
        <w:rPr>
          <w:sz w:val="20"/>
          <w:szCs w:val="20"/>
          <w:color w:val="auto"/>
        </w:rPr>
        <w:tab/>
      </w:r>
      <w:r>
        <w:rPr>
          <w:rFonts w:ascii="Arial" w:cs="Arial" w:eastAsia="Arial" w:hAnsi="Arial"/>
          <w:sz w:val="19"/>
          <w:szCs w:val="19"/>
          <w:b w:val="1"/>
          <w:bCs w:val="1"/>
          <w:color w:val="auto"/>
        </w:rPr>
        <w:t>Skipped Payments</w:t>
      </w:r>
      <w:r>
        <w:rPr>
          <w:rFonts w:ascii="Arial" w:cs="Arial" w:eastAsia="Arial" w:hAnsi="Arial"/>
          <w:sz w:val="19"/>
          <w:szCs w:val="19"/>
          <w:color w:val="auto"/>
        </w:rPr>
        <w:t>. If, with respect to any Licensed Product and Indication (as applicable), such Licensed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achieves any Development Milestone Events in an Indication prior to the achievement of any other earlier-listed Development Milestone Events for the same Indication, then the Development Milestone Payments for such earlier-listed applicable Development Milestone Events for such Licensed Product for such Indication will be due and payable simultaneously with the payment for achievement of such subsequent Development Milestone Event for such Indication, except that (a) [*]; and (b) [*]. For example, if [*], then upon [*], Development Milestone Payment [*] would be due and payable for such Licensed Product for such Indication.</w:t>
      </w:r>
    </w:p>
    <w:p>
      <w:pPr>
        <w:spacing w:after="0" w:line="17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6"/>
          <w:szCs w:val="16"/>
          <w:b w:val="1"/>
          <w:bCs w:val="1"/>
          <w:color w:val="auto"/>
        </w:rPr>
        <w:t>Sales Milestones</w:t>
      </w:r>
      <w:r>
        <w:rPr>
          <w:rFonts w:ascii="Arial" w:cs="Arial" w:eastAsia="Arial" w:hAnsi="Arial"/>
          <w:sz w:val="16"/>
          <w:szCs w:val="16"/>
          <w:color w:val="auto"/>
        </w:rPr>
        <w:t>.</w:t>
      </w:r>
    </w:p>
    <w:p>
      <w:pPr>
        <w:spacing w:after="0" w:line="216" w:lineRule="exact"/>
        <w:rPr>
          <w:sz w:val="20"/>
          <w:szCs w:val="20"/>
          <w:color w:val="auto"/>
        </w:rPr>
      </w:pPr>
    </w:p>
    <w:p>
      <w:pPr>
        <w:jc w:val="both"/>
        <w:ind w:left="1740" w:hanging="863"/>
        <w:spacing w:after="0" w:line="277" w:lineRule="auto"/>
        <w:tabs>
          <w:tab w:leader="none" w:pos="1720" w:val="left"/>
        </w:tabs>
        <w:rPr>
          <w:sz w:val="20"/>
          <w:szCs w:val="20"/>
          <w:color w:val="auto"/>
        </w:rPr>
      </w:pPr>
      <w:r>
        <w:rPr>
          <w:rFonts w:ascii="Arial" w:cs="Arial" w:eastAsia="Arial" w:hAnsi="Arial"/>
          <w:sz w:val="20"/>
          <w:szCs w:val="20"/>
          <w:color w:val="auto"/>
        </w:rPr>
        <w:t>5.4.1.</w:t>
      </w:r>
      <w:r>
        <w:rPr>
          <w:sz w:val="20"/>
          <w:szCs w:val="20"/>
          <w:color w:val="auto"/>
        </w:rPr>
        <w:tab/>
      </w:r>
      <w:r>
        <w:rPr>
          <w:rFonts w:ascii="Arial" w:cs="Arial" w:eastAsia="Arial" w:hAnsi="Arial"/>
          <w:sz w:val="18"/>
          <w:szCs w:val="18"/>
          <w:b w:val="1"/>
          <w:bCs w:val="1"/>
          <w:color w:val="auto"/>
        </w:rPr>
        <w:t>Events and Payments</w:t>
      </w:r>
      <w:r>
        <w:rPr>
          <w:rFonts w:ascii="Arial" w:cs="Arial" w:eastAsia="Arial" w:hAnsi="Arial"/>
          <w:sz w:val="18"/>
          <w:szCs w:val="18"/>
          <w:color w:val="auto"/>
        </w:rPr>
        <w:t>. Licensee will notify Licensor as soon as practicable (and in any event within [*] Business Days</w:t>
      </w:r>
      <w:r>
        <w:rPr>
          <w:rFonts w:ascii="Arial" w:cs="Arial" w:eastAsia="Arial" w:hAnsi="Arial"/>
          <w:sz w:val="18"/>
          <w:szCs w:val="18"/>
          <w:b w:val="1"/>
          <w:bCs w:val="1"/>
          <w:color w:val="auto"/>
        </w:rPr>
        <w:t xml:space="preserve"> </w:t>
      </w:r>
      <w:r>
        <w:rPr>
          <w:rFonts w:ascii="Arial" w:cs="Arial" w:eastAsia="Arial" w:hAnsi="Arial"/>
          <w:sz w:val="18"/>
          <w:szCs w:val="18"/>
          <w:color w:val="auto"/>
        </w:rPr>
        <w:t>after) when Licensee’s, its Affiliates’, and its Sublicensees’ aggregate Annual Net Sales of all Licensed Products in the Territory in a given Calendar Year first reach the respective thresholds indicated below in Table 5.4.1 below (each, a “</w:t>
      </w:r>
      <w:r>
        <w:rPr>
          <w:rFonts w:ascii="Arial" w:cs="Arial" w:eastAsia="Arial" w:hAnsi="Arial"/>
          <w:sz w:val="18"/>
          <w:szCs w:val="18"/>
          <w:b w:val="1"/>
          <w:bCs w:val="1"/>
          <w:color w:val="auto"/>
        </w:rPr>
        <w:t>Sales Milestone Event</w:t>
      </w:r>
      <w:r>
        <w:rPr>
          <w:rFonts w:ascii="Arial" w:cs="Arial" w:eastAsia="Arial" w:hAnsi="Arial"/>
          <w:sz w:val="18"/>
          <w:szCs w:val="18"/>
          <w:color w:val="auto"/>
        </w:rPr>
        <w:t>”). No later than [*] after receipt of a written invoice from Licensor specifying the achieved Sales Milestone Event and the corresponding one-time milestone payments set forth below Table 5.4.1 below (each, a “</w:t>
      </w:r>
      <w:r>
        <w:rPr>
          <w:rFonts w:ascii="Arial" w:cs="Arial" w:eastAsia="Arial" w:hAnsi="Arial"/>
          <w:sz w:val="18"/>
          <w:szCs w:val="18"/>
          <w:b w:val="1"/>
          <w:bCs w:val="1"/>
          <w:color w:val="auto"/>
        </w:rPr>
        <w:t>Sales</w:t>
      </w:r>
      <w:r>
        <w:rPr>
          <w:rFonts w:ascii="Arial" w:cs="Arial" w:eastAsia="Arial" w:hAnsi="Arial"/>
          <w:sz w:val="18"/>
          <w:szCs w:val="18"/>
          <w:color w:val="auto"/>
        </w:rPr>
        <w:t xml:space="preserve"> </w:t>
      </w:r>
      <w:r>
        <w:rPr>
          <w:rFonts w:ascii="Arial" w:cs="Arial" w:eastAsia="Arial" w:hAnsi="Arial"/>
          <w:sz w:val="18"/>
          <w:szCs w:val="18"/>
          <w:b w:val="1"/>
          <w:bCs w:val="1"/>
          <w:color w:val="auto"/>
        </w:rPr>
        <w:t>Milestone Payment</w:t>
      </w:r>
      <w:r>
        <w:rPr>
          <w:rFonts w:ascii="Arial" w:cs="Arial" w:eastAsia="Arial" w:hAnsi="Arial"/>
          <w:sz w:val="18"/>
          <w:szCs w:val="18"/>
          <w:color w:val="auto"/>
        </w:rPr>
        <w:t>”), Licensee shall pay to Licensor such Sales Milestone Payment.</w:t>
      </w:r>
    </w:p>
    <w:p>
      <w:pPr>
        <w:spacing w:after="0" w:line="178"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Table 5.4.1 – Sales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-127635</wp:posOffset>
            </wp:positionV>
            <wp:extent cx="4485005" cy="7200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4485005" cy="720090"/>
                    </a:xfrm>
                    <a:prstGeom prst="rect">
                      <a:avLst/>
                    </a:prstGeom>
                    <a:noFill/>
                  </pic:spPr>
                </pic:pic>
              </a:graphicData>
            </a:graphic>
          </wp:anchor>
        </w:drawing>
      </w:r>
    </w:p>
    <w:p>
      <w:pPr>
        <w:spacing w:after="0" w:line="7"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4960" w:type="dxa"/>
            <w:vAlign w:val="bottom"/>
            <w:tcBorders>
              <w:top w:val="single" w:sz="8" w:color="auto"/>
              <w:right w:val="single" w:sz="8" w:color="auto"/>
            </w:tcBorders>
            <w:shd w:val="clear" w:color="auto" w:fill="C6D9F1"/>
          </w:tcPr>
          <w:p>
            <w:pPr>
              <w:jc w:val="right"/>
              <w:ind w:right="1570"/>
              <w:spacing w:after="0"/>
              <w:rPr>
                <w:sz w:val="20"/>
                <w:szCs w:val="20"/>
                <w:color w:val="auto"/>
              </w:rPr>
            </w:pPr>
            <w:r>
              <w:rPr>
                <w:rFonts w:ascii="Arial" w:cs="Arial" w:eastAsia="Arial" w:hAnsi="Arial"/>
                <w:sz w:val="18"/>
                <w:szCs w:val="18"/>
                <w:b w:val="1"/>
                <w:bCs w:val="1"/>
                <w:i w:val="1"/>
                <w:iCs w:val="1"/>
                <w:color w:val="auto"/>
              </w:rPr>
              <w:t>Sales Milestone Event</w:t>
            </w:r>
          </w:p>
        </w:tc>
        <w:tc>
          <w:tcPr>
            <w:tcW w:w="208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18"/>
                <w:szCs w:val="18"/>
                <w:b w:val="1"/>
                <w:bCs w:val="1"/>
                <w:i w:val="1"/>
                <w:iCs w:val="1"/>
                <w:color w:val="auto"/>
                <w:w w:val="86"/>
              </w:rPr>
              <w:t>Sales Milestone Payment</w:t>
            </w:r>
          </w:p>
        </w:tc>
        <w:tc>
          <w:tcPr>
            <w:tcW w:w="20" w:type="dxa"/>
            <w:vAlign w:val="bottom"/>
            <w:tcBorders>
              <w:top w:val="single" w:sz="8" w:color="auto"/>
            </w:tcBorders>
          </w:tcPr>
          <w:p>
            <w:pPr>
              <w:spacing w:after="0"/>
              <w:rPr>
                <w:sz w:val="20"/>
                <w:szCs w:val="20"/>
                <w:color w:val="auto"/>
              </w:rPr>
            </w:pPr>
          </w:p>
        </w:tc>
      </w:tr>
      <w:tr>
        <w:trPr>
          <w:trHeight w:val="195"/>
        </w:trPr>
        <w:tc>
          <w:tcPr>
            <w:tcW w:w="4960" w:type="dxa"/>
            <w:vAlign w:val="bottom"/>
            <w:tcBorders>
              <w:bottom w:val="single" w:sz="8" w:color="auto"/>
              <w:right w:val="single" w:sz="8" w:color="auto"/>
            </w:tcBorders>
            <w:shd w:val="clear" w:color="auto" w:fill="C6D9F1"/>
          </w:tcPr>
          <w:p>
            <w:pPr>
              <w:spacing w:after="0"/>
              <w:rPr>
                <w:sz w:val="16"/>
                <w:szCs w:val="16"/>
                <w:color w:val="auto"/>
              </w:rPr>
            </w:pPr>
          </w:p>
        </w:tc>
        <w:tc>
          <w:tcPr>
            <w:tcW w:w="2080" w:type="dxa"/>
            <w:vAlign w:val="bottom"/>
            <w:tcBorders>
              <w:bottom w:val="single" w:sz="8" w:color="auto"/>
            </w:tcBorders>
            <w:shd w:val="clear" w:color="auto" w:fill="C6D9F1"/>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24"/>
        </w:trPr>
        <w:tc>
          <w:tcPr>
            <w:tcW w:w="4960" w:type="dxa"/>
            <w:vAlign w:val="bottom"/>
            <w:tcBorders>
              <w:right w:val="single" w:sz="8" w:color="auto"/>
            </w:tcBorders>
          </w:tcPr>
          <w:p>
            <w:pPr>
              <w:jc w:val="right"/>
              <w:ind w:right="3910"/>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2"/>
        </w:trPr>
        <w:tc>
          <w:tcPr>
            <w:tcW w:w="496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7" w:lineRule="exact"/>
        <w:rPr>
          <w:sz w:val="20"/>
          <w:szCs w:val="20"/>
          <w:color w:val="auto"/>
        </w:rPr>
      </w:pPr>
    </w:p>
    <w:p>
      <w:pPr>
        <w:jc w:val="both"/>
        <w:ind w:left="1740" w:hanging="863"/>
        <w:spacing w:after="0" w:line="258" w:lineRule="auto"/>
        <w:tabs>
          <w:tab w:leader="none" w:pos="1720" w:val="left"/>
        </w:tabs>
        <w:rPr>
          <w:sz w:val="20"/>
          <w:szCs w:val="20"/>
          <w:color w:val="auto"/>
        </w:rPr>
      </w:pPr>
      <w:r>
        <w:rPr>
          <w:rFonts w:ascii="Arial" w:cs="Arial" w:eastAsia="Arial" w:hAnsi="Arial"/>
          <w:sz w:val="20"/>
          <w:szCs w:val="20"/>
          <w:color w:val="auto"/>
        </w:rPr>
        <w:t>5.4.2.</w:t>
      </w:r>
      <w:r>
        <w:rPr>
          <w:sz w:val="20"/>
          <w:szCs w:val="20"/>
          <w:color w:val="auto"/>
        </w:rPr>
        <w:tab/>
      </w:r>
      <w:r>
        <w:rPr>
          <w:rFonts w:ascii="Arial" w:cs="Arial" w:eastAsia="Arial" w:hAnsi="Arial"/>
          <w:sz w:val="19"/>
          <w:szCs w:val="19"/>
          <w:b w:val="1"/>
          <w:bCs w:val="1"/>
          <w:color w:val="auto"/>
        </w:rPr>
        <w:t>Achievement of Multiple Sales Milestones</w:t>
      </w:r>
      <w:r>
        <w:rPr>
          <w:rFonts w:ascii="Arial" w:cs="Arial" w:eastAsia="Arial" w:hAnsi="Arial"/>
          <w:sz w:val="19"/>
          <w:szCs w:val="19"/>
          <w:color w:val="auto"/>
        </w:rPr>
        <w:t>. For clarity, if the Annual Net Sales of all Licensed Products exceeds more</w:t>
      </w:r>
      <w:r>
        <w:rPr>
          <w:rFonts w:ascii="Arial" w:cs="Arial" w:eastAsia="Arial" w:hAnsi="Arial"/>
          <w:sz w:val="19"/>
          <w:szCs w:val="19"/>
          <w:b w:val="1"/>
          <w:bCs w:val="1"/>
          <w:color w:val="auto"/>
        </w:rPr>
        <w:t xml:space="preserve"> </w:t>
      </w:r>
      <w:r>
        <w:rPr>
          <w:rFonts w:ascii="Arial" w:cs="Arial" w:eastAsia="Arial" w:hAnsi="Arial"/>
          <w:sz w:val="19"/>
          <w:szCs w:val="19"/>
          <w:color w:val="auto"/>
        </w:rPr>
        <w:t>than one Sales Milestone Events in Table 5.4.1 above in a given Calendar Year, and had not exceeded any earlier Sales Milestone Event in any prior Calendar Year, then Licensee will pay to Licensor all Sales Milestone Payments due for the achievement of all applicable Sales Milestone Events achieved in such Calendar Year. For example, if in a given Calendar Year, Annual Net Sales of all Licensed Products were $[*] and the Annual Net Sales for Licensed Products had not totaled $[*] in any other prior Calendar Year, then Licensee would make a one- time payment to Licensor under this Section 5.4 (Sales Milestones) of $[*]. Similarly, if in a given Calendar Year, Annual Net Sales of all Licensed Product were $[*] and the Annual Net Sales for Licensed Products</w:t>
      </w:r>
    </w:p>
    <w:p>
      <w:pPr>
        <w:spacing w:after="0" w:line="39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- 18 -</w:t>
      </w:r>
    </w:p>
    <w:p>
      <w:pPr>
        <w:spacing w:after="0" w:line="12" w:lineRule="exact"/>
        <w:rPr>
          <w:sz w:val="20"/>
          <w:szCs w:val="20"/>
          <w:color w:val="auto"/>
        </w:rPr>
      </w:pPr>
    </w:p>
    <w:p>
      <w:pPr>
        <w:ind w:right="740" w:firstLine="8"/>
        <w:spacing w:after="0" w:line="226" w:lineRule="auto"/>
        <w:tabs>
          <w:tab w:leader="none" w:pos="2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156" w:name="page157"/>
    <w:bookmarkEnd w:id="156"/>
    <w:p>
      <w:pPr>
        <w:ind w:left="1740"/>
        <w:spacing w:after="0" w:line="260" w:lineRule="auto"/>
        <w:rPr>
          <w:sz w:val="20"/>
          <w:szCs w:val="20"/>
          <w:color w:val="auto"/>
        </w:rPr>
      </w:pPr>
      <w:r>
        <w:rPr>
          <w:rFonts w:ascii="Arial" w:cs="Arial" w:eastAsia="Arial" w:hAnsi="Arial"/>
          <w:sz w:val="20"/>
          <w:szCs w:val="20"/>
          <w:color w:val="auto"/>
        </w:rPr>
        <w:t>had not totaled $[*] in any other prior Calendar Year, then Licensee would make a one- time payment to Licensor under this Section 5.4 (Sales Milestones) of $[*].</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6"/>
          <w:szCs w:val="16"/>
          <w:b w:val="1"/>
          <w:bCs w:val="1"/>
          <w:color w:val="auto"/>
        </w:rPr>
        <w:t>Royalty Payments</w:t>
      </w:r>
      <w:r>
        <w:rPr>
          <w:rFonts w:ascii="Arial" w:cs="Arial" w:eastAsia="Arial" w:hAnsi="Arial"/>
          <w:sz w:val="16"/>
          <w:szCs w:val="16"/>
          <w:color w:val="auto"/>
        </w:rPr>
        <w:t>.</w:t>
      </w:r>
    </w:p>
    <w:p>
      <w:pPr>
        <w:spacing w:after="0" w:line="216" w:lineRule="exact"/>
        <w:rPr>
          <w:sz w:val="20"/>
          <w:szCs w:val="20"/>
          <w:color w:val="auto"/>
        </w:rPr>
      </w:pPr>
    </w:p>
    <w:p>
      <w:pPr>
        <w:jc w:val="both"/>
        <w:ind w:left="1740" w:hanging="863"/>
        <w:spacing w:after="0" w:line="248" w:lineRule="auto"/>
        <w:tabs>
          <w:tab w:leader="none" w:pos="1720" w:val="left"/>
        </w:tabs>
        <w:rPr>
          <w:sz w:val="20"/>
          <w:szCs w:val="20"/>
          <w:color w:val="auto"/>
        </w:rPr>
      </w:pPr>
      <w:r>
        <w:rPr>
          <w:rFonts w:ascii="Arial" w:cs="Arial" w:eastAsia="Arial" w:hAnsi="Arial"/>
          <w:sz w:val="20"/>
          <w:szCs w:val="20"/>
          <w:color w:val="auto"/>
        </w:rPr>
        <w:t>5.5.1.</w:t>
      </w:r>
      <w:r>
        <w:rPr>
          <w:sz w:val="20"/>
          <w:szCs w:val="20"/>
          <w:color w:val="auto"/>
        </w:rPr>
        <w:tab/>
      </w:r>
      <w:r>
        <w:rPr>
          <w:rFonts w:ascii="Arial" w:cs="Arial" w:eastAsia="Arial" w:hAnsi="Arial"/>
          <w:sz w:val="20"/>
          <w:szCs w:val="20"/>
          <w:b w:val="1"/>
          <w:bCs w:val="1"/>
          <w:color w:val="auto"/>
        </w:rPr>
        <w:t>Royalties</w:t>
      </w:r>
      <w:r>
        <w:rPr>
          <w:rFonts w:ascii="Arial" w:cs="Arial" w:eastAsia="Arial" w:hAnsi="Arial"/>
          <w:sz w:val="20"/>
          <w:szCs w:val="20"/>
          <w:color w:val="auto"/>
        </w:rPr>
        <w:t>. Subject to the reductions set forth in Section 5.5.3 (Royalty Reductions), and [*], Licensee will pay to</w:t>
      </w:r>
      <w:r>
        <w:rPr>
          <w:rFonts w:ascii="Arial" w:cs="Arial" w:eastAsia="Arial" w:hAnsi="Arial"/>
          <w:sz w:val="20"/>
          <w:szCs w:val="20"/>
          <w:b w:val="1"/>
          <w:bCs w:val="1"/>
          <w:color w:val="auto"/>
        </w:rPr>
        <w:t xml:space="preserve"> </w:t>
      </w:r>
      <w:r>
        <w:rPr>
          <w:rFonts w:ascii="Arial" w:cs="Arial" w:eastAsia="Arial" w:hAnsi="Arial"/>
          <w:sz w:val="20"/>
          <w:szCs w:val="20"/>
          <w:color w:val="auto"/>
        </w:rPr>
        <w:t>Licensor royalties in the amount of the marginal royalty rates set forth in Table 5.5.1 below on the Annual Net Sales resulting from the sale of all Licensed Products in the Territory during a given Calendar Year (such payments collectively, “</w:t>
      </w:r>
      <w:r>
        <w:rPr>
          <w:rFonts w:ascii="Arial" w:cs="Arial" w:eastAsia="Arial" w:hAnsi="Arial"/>
          <w:sz w:val="20"/>
          <w:szCs w:val="20"/>
          <w:b w:val="1"/>
          <w:bCs w:val="1"/>
          <w:color w:val="auto"/>
        </w:rPr>
        <w:t>Royalties</w:t>
      </w:r>
      <w:r>
        <w:rPr>
          <w:rFonts w:ascii="Arial" w:cs="Arial" w:eastAsia="Arial" w:hAnsi="Arial"/>
          <w:sz w:val="20"/>
          <w:szCs w:val="20"/>
          <w:color w:val="auto"/>
        </w:rPr>
        <w:t>”).</w:t>
      </w:r>
    </w:p>
    <w:p>
      <w:pPr>
        <w:spacing w:after="0" w:line="193"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Table 5.5.1 – Royalty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-151130</wp:posOffset>
            </wp:positionV>
            <wp:extent cx="6131560" cy="4972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6131560" cy="497205"/>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237"/>
        </w:trPr>
        <w:tc>
          <w:tcPr>
            <w:tcW w:w="6800" w:type="dxa"/>
            <w:vAlign w:val="bottom"/>
            <w:tcBorders>
              <w:top w:val="single" w:sz="8" w:color="auto"/>
              <w:bottom w:val="single" w:sz="8" w:color="auto"/>
              <w:right w:val="single" w:sz="8" w:color="auto"/>
            </w:tcBorders>
            <w:shd w:val="clear" w:color="auto" w:fill="C6D9F1"/>
          </w:tcPr>
          <w:p>
            <w:pPr>
              <w:jc w:val="right"/>
              <w:ind w:right="2512"/>
              <w:spacing w:after="0" w:line="237" w:lineRule="exact"/>
              <w:rPr>
                <w:sz w:val="20"/>
                <w:szCs w:val="20"/>
                <w:color w:val="auto"/>
              </w:rPr>
            </w:pPr>
            <w:r>
              <w:rPr>
                <w:rFonts w:ascii="Arial" w:cs="Arial" w:eastAsia="Arial" w:hAnsi="Arial"/>
                <w:sz w:val="22"/>
                <w:szCs w:val="22"/>
                <w:b w:val="1"/>
                <w:bCs w:val="1"/>
                <w:i w:val="1"/>
                <w:iCs w:val="1"/>
                <w:color w:val="auto"/>
              </w:rPr>
              <w:t>Annual Net Sales</w:t>
            </w:r>
          </w:p>
        </w:tc>
        <w:tc>
          <w:tcPr>
            <w:tcW w:w="2840" w:type="dxa"/>
            <w:vAlign w:val="bottom"/>
            <w:tcBorders>
              <w:top w:val="single" w:sz="8" w:color="auto"/>
              <w:bottom w:val="single" w:sz="8" w:color="auto"/>
            </w:tcBorders>
            <w:shd w:val="clear" w:color="auto" w:fill="C6D9F1"/>
          </w:tcPr>
          <w:p>
            <w:pPr>
              <w:jc w:val="center"/>
              <w:spacing w:after="0" w:line="237" w:lineRule="exact"/>
              <w:rPr>
                <w:sz w:val="20"/>
                <w:szCs w:val="20"/>
                <w:color w:val="auto"/>
              </w:rPr>
            </w:pPr>
            <w:r>
              <w:rPr>
                <w:rFonts w:ascii="Arial" w:cs="Arial" w:eastAsia="Arial" w:hAnsi="Arial"/>
                <w:sz w:val="22"/>
                <w:szCs w:val="22"/>
                <w:b w:val="1"/>
                <w:bCs w:val="1"/>
                <w:i w:val="1"/>
                <w:iCs w:val="1"/>
                <w:color w:val="auto"/>
                <w:w w:val="87"/>
              </w:rPr>
              <w:t>Marginal Royalty Rate</w:t>
            </w:r>
          </w:p>
        </w:tc>
      </w:tr>
      <w:tr>
        <w:trPr>
          <w:trHeight w:val="237"/>
        </w:trPr>
        <w:tc>
          <w:tcPr>
            <w:tcW w:w="6800" w:type="dxa"/>
            <w:vAlign w:val="bottom"/>
            <w:tcBorders>
              <w:bottom w:val="single" w:sz="8" w:color="auto"/>
              <w:right w:val="single" w:sz="8" w:color="auto"/>
            </w:tcBorders>
          </w:tcPr>
          <w:p>
            <w:pPr>
              <w:jc w:val="right"/>
              <w:ind w:right="6332"/>
              <w:spacing w:after="0" w:line="237" w:lineRule="exact"/>
              <w:rPr>
                <w:sz w:val="20"/>
                <w:szCs w:val="20"/>
                <w:color w:val="auto"/>
              </w:rPr>
            </w:pPr>
            <w:r>
              <w:rPr>
                <w:rFonts w:ascii="Arial" w:cs="Arial" w:eastAsia="Arial" w:hAnsi="Arial"/>
                <w:sz w:val="22"/>
                <w:szCs w:val="22"/>
                <w:color w:val="auto"/>
              </w:rPr>
              <w:t>[*]</w:t>
            </w:r>
          </w:p>
        </w:tc>
        <w:tc>
          <w:tcPr>
            <w:tcW w:w="2840" w:type="dxa"/>
            <w:vAlign w:val="bottom"/>
            <w:tcBorders>
              <w:bottom w:val="single" w:sz="8" w:color="auto"/>
            </w:tcBorders>
          </w:tcPr>
          <w:p>
            <w:pPr>
              <w:jc w:val="right"/>
              <w:ind w:right="1192"/>
              <w:spacing w:after="0" w:line="237" w:lineRule="exact"/>
              <w:rPr>
                <w:sz w:val="20"/>
                <w:szCs w:val="20"/>
                <w:color w:val="auto"/>
              </w:rPr>
            </w:pPr>
            <w:r>
              <w:rPr>
                <w:rFonts w:ascii="Arial" w:cs="Arial" w:eastAsia="Arial" w:hAnsi="Arial"/>
                <w:sz w:val="22"/>
                <w:szCs w:val="22"/>
                <w:color w:val="auto"/>
              </w:rPr>
              <w:t>[*]</w:t>
            </w:r>
          </w:p>
        </w:tc>
      </w:tr>
    </w:tbl>
    <w:p>
      <w:pPr>
        <w:spacing w:after="0" w:line="199" w:lineRule="exact"/>
        <w:rPr>
          <w:sz w:val="20"/>
          <w:szCs w:val="20"/>
          <w:color w:val="auto"/>
        </w:rPr>
      </w:pPr>
    </w:p>
    <w:p>
      <w:pPr>
        <w:jc w:val="both"/>
        <w:ind w:left="1760"/>
        <w:spacing w:after="0" w:line="260" w:lineRule="auto"/>
        <w:rPr>
          <w:sz w:val="20"/>
          <w:szCs w:val="20"/>
          <w:color w:val="auto"/>
        </w:rPr>
      </w:pPr>
      <w:r>
        <w:rPr>
          <w:rFonts w:ascii="Arial" w:cs="Arial" w:eastAsia="Arial" w:hAnsi="Arial"/>
          <w:sz w:val="20"/>
          <w:szCs w:val="20"/>
          <w:color w:val="auto"/>
        </w:rPr>
        <w:t>Each marginal royalty rate set forth in Table 5.5.1 above will apply only to that portion of the Annual Net Sales of Licensed Products in the Territory during a given Calendar Year that falls within the indicated range.</w:t>
      </w:r>
    </w:p>
    <w:p>
      <w:pPr>
        <w:spacing w:after="0" w:line="177" w:lineRule="exact"/>
        <w:rPr>
          <w:sz w:val="20"/>
          <w:szCs w:val="20"/>
          <w:color w:val="auto"/>
        </w:rPr>
      </w:pPr>
    </w:p>
    <w:p>
      <w:pPr>
        <w:jc w:val="both"/>
        <w:ind w:left="1760"/>
        <w:spacing w:after="0" w:line="260" w:lineRule="auto"/>
        <w:rPr>
          <w:sz w:val="20"/>
          <w:szCs w:val="20"/>
          <w:color w:val="auto"/>
        </w:rPr>
      </w:pPr>
      <w:r>
        <w:rPr>
          <w:rFonts w:ascii="Arial" w:cs="Arial" w:eastAsia="Arial" w:hAnsi="Arial"/>
          <w:sz w:val="20"/>
          <w:szCs w:val="20"/>
          <w:color w:val="auto"/>
        </w:rPr>
        <w:t>For example, if the aggregate Net Sales of the Licensed Products in the Territory in a given Calendar Year totaled $[*], then Licensee would pay to Licensor [*].</w:t>
      </w:r>
    </w:p>
    <w:p>
      <w:pPr>
        <w:spacing w:after="0" w:line="171" w:lineRule="exact"/>
        <w:rPr>
          <w:sz w:val="20"/>
          <w:szCs w:val="20"/>
          <w:color w:val="auto"/>
        </w:rPr>
      </w:pPr>
    </w:p>
    <w:p>
      <w:pPr>
        <w:jc w:val="both"/>
        <w:ind w:left="1740" w:hanging="863"/>
        <w:spacing w:after="0" w:line="248" w:lineRule="auto"/>
        <w:tabs>
          <w:tab w:leader="none" w:pos="1720" w:val="left"/>
        </w:tabs>
        <w:rPr>
          <w:sz w:val="20"/>
          <w:szCs w:val="20"/>
          <w:color w:val="auto"/>
        </w:rPr>
      </w:pPr>
      <w:r>
        <w:rPr>
          <w:rFonts w:ascii="Arial" w:cs="Arial" w:eastAsia="Arial" w:hAnsi="Arial"/>
          <w:sz w:val="20"/>
          <w:szCs w:val="20"/>
          <w:color w:val="auto"/>
        </w:rPr>
        <w:t>5.5.2.</w:t>
      </w:r>
      <w:r>
        <w:rPr>
          <w:sz w:val="20"/>
          <w:szCs w:val="20"/>
          <w:color w:val="auto"/>
        </w:rPr>
        <w:tab/>
      </w:r>
      <w:r>
        <w:rPr>
          <w:rFonts w:ascii="Arial" w:cs="Arial" w:eastAsia="Arial" w:hAnsi="Arial"/>
          <w:sz w:val="20"/>
          <w:szCs w:val="20"/>
          <w:b w:val="1"/>
          <w:bCs w:val="1"/>
          <w:color w:val="auto"/>
        </w:rPr>
        <w:t>Royalty Term</w:t>
      </w:r>
      <w:r>
        <w:rPr>
          <w:rFonts w:ascii="Arial" w:cs="Arial" w:eastAsia="Arial" w:hAnsi="Arial"/>
          <w:sz w:val="20"/>
          <w:szCs w:val="20"/>
          <w:color w:val="auto"/>
        </w:rPr>
        <w:t>. Licensee’s obligation to pay Royalties under this Section 5.5 (Royalty Payments) will continue on a</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Product-by-Licensed Product and country-by-country basis until the expiration of the Royalty Term for such Licensed Product in such country (at which time sales in such country will be excluded from all calculations of Annual Net Sales hereunder).</w:t>
      </w:r>
    </w:p>
    <w:p>
      <w:pPr>
        <w:spacing w:after="0" w:line="184"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5.5.3.</w:t>
      </w:r>
      <w:r>
        <w:rPr>
          <w:sz w:val="20"/>
          <w:szCs w:val="20"/>
          <w:color w:val="auto"/>
        </w:rPr>
        <w:tab/>
      </w:r>
      <w:r>
        <w:rPr>
          <w:rFonts w:ascii="Arial" w:cs="Arial" w:eastAsia="Arial" w:hAnsi="Arial"/>
          <w:sz w:val="16"/>
          <w:szCs w:val="16"/>
          <w:b w:val="1"/>
          <w:bCs w:val="1"/>
          <w:color w:val="auto"/>
        </w:rPr>
        <w:t>Royalty Reductions</w:t>
      </w:r>
      <w:r>
        <w:rPr>
          <w:rFonts w:ascii="Arial" w:cs="Arial" w:eastAsia="Arial" w:hAnsi="Arial"/>
          <w:sz w:val="16"/>
          <w:szCs w:val="16"/>
          <w:color w:val="auto"/>
        </w:rPr>
        <w:t>.</w:t>
      </w:r>
    </w:p>
    <w:p>
      <w:pPr>
        <w:spacing w:after="0" w:line="222" w:lineRule="exact"/>
        <w:rPr>
          <w:sz w:val="20"/>
          <w:szCs w:val="20"/>
          <w:color w:val="auto"/>
        </w:rPr>
      </w:pPr>
    </w:p>
    <w:p>
      <w:pPr>
        <w:jc w:val="both"/>
        <w:ind w:left="2620" w:hanging="870"/>
        <w:spacing w:after="0" w:line="270" w:lineRule="auto"/>
        <w:tabs>
          <w:tab w:leader="none" w:pos="262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Third Party IP</w:t>
      </w:r>
      <w:r>
        <w:rPr>
          <w:rFonts w:ascii="Arial" w:cs="Arial" w:eastAsia="Arial" w:hAnsi="Arial"/>
          <w:sz w:val="18"/>
          <w:szCs w:val="18"/>
          <w:color w:val="auto"/>
        </w:rPr>
        <w:t>. If Licensee or any of its Affiliates or permitted Sublicensees enters into an agreement with a Third Party pursuant to which Licensee licenses or acquires rights under any Patent Rights in a given country in the Territory (i) [*], or (ii) [*] (each, a “</w:t>
      </w:r>
      <w:r>
        <w:rPr>
          <w:rFonts w:ascii="Arial" w:cs="Arial" w:eastAsia="Arial" w:hAnsi="Arial"/>
          <w:sz w:val="18"/>
          <w:szCs w:val="18"/>
          <w:b w:val="1"/>
          <w:bCs w:val="1"/>
          <w:color w:val="auto"/>
        </w:rPr>
        <w:t>Third Party License</w:t>
      </w:r>
      <w:r>
        <w:rPr>
          <w:rFonts w:ascii="Arial" w:cs="Arial" w:eastAsia="Arial" w:hAnsi="Arial"/>
          <w:sz w:val="18"/>
          <w:szCs w:val="18"/>
          <w:color w:val="auto"/>
        </w:rPr>
        <w:t>”), then, in each case ((i) and (ii)), subject to the remainder of this Section 5.5.3(a) (Third Party IP), Licensee may deduct [*]% of any payments made under any such Third Party License in a given Calendar Quarter with respect to such country from the Royalties due and payable to Licensor for the applicable Licensed Product in such country made in the same Calendar Quarter. On a country-by-country basis, in no event will the aggregate Royalty amount due to Licensor in any given Calendar Quarter in any country be reduced pursuant to this Section 5.5.3(a) (Third Party IP) by more than [*]% of the amount that otherwise would have been due and payable to Licensor in such Calendar Quarter with respect to such country. On a country-by-country basis, Licensee may carry forward any such Royalty reductions that are incurred or accrued in a Calendar Quarter for a Licensed Product with respect to such country and that are not applied against Royalties for such Licensed Product with respect to such country in such Calendar Quarter as a result of the above reduction floor, and apply such amounts against Royalties for such Licensed Product with respect to such country in any subsequent Calendar Quarter.</w:t>
      </w:r>
    </w:p>
    <w:p>
      <w:pPr>
        <w:spacing w:after="0" w:line="3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- 19 -</w:t>
      </w:r>
    </w:p>
    <w:p>
      <w:pPr>
        <w:spacing w:after="0" w:line="12" w:lineRule="exact"/>
        <w:rPr>
          <w:sz w:val="20"/>
          <w:szCs w:val="20"/>
          <w:color w:val="auto"/>
        </w:rPr>
      </w:pPr>
    </w:p>
    <w:p>
      <w:pPr>
        <w:ind w:right="740" w:firstLine="8"/>
        <w:spacing w:after="0" w:line="226" w:lineRule="auto"/>
        <w:tabs>
          <w:tab w:leader="none" w:pos="2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57" w:name="page158"/>
    <w:bookmarkEnd w:id="157"/>
    <w:p>
      <w:pPr>
        <w:jc w:val="both"/>
        <w:ind w:left="2620" w:hanging="870"/>
        <w:spacing w:after="0" w:line="256" w:lineRule="auto"/>
        <w:tabs>
          <w:tab w:leader="none" w:pos="262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Expiration of Valid Claims</w:t>
      </w:r>
      <w:r>
        <w:rPr>
          <w:rFonts w:ascii="Arial" w:cs="Arial" w:eastAsia="Arial" w:hAnsi="Arial"/>
          <w:sz w:val="19"/>
          <w:szCs w:val="19"/>
          <w:color w:val="auto"/>
        </w:rPr>
        <w:t>. Subject to Section 5.5.3(e) (Cumulative Reductions Floor), if during the Royalty Term for a given Licensed Product in a country there is no Valid Claim of any Patent Right that Covers such Licensed Product or the Exploitation of such Licensed Product (or the Licensed Compound contained therein) in such country, then, from the first full Calendar Quarter in which this Section 5.5.3(b) (Expiration of Valid Claims) applies, and thereafter during the remainder of the Royalty Term for such Licensed Product in such country, the aggregate Net Sales of such Licensed Product in such country during each Calendar Quarter will be reduced by [*]%. For clarity, in the event that Section 5.5.3(c) (Loss of Regulatory Exclusivity) and this Section 5.5.3(b) (Expiration of Valid Claims) both apply for a particular Licensed Product and country in a Calendar Quarter, the reduction in aggregate Net Sales of such Licensed Product in such country in such Calendar Quarter will be [*]%.</w:t>
      </w:r>
    </w:p>
    <w:p>
      <w:pPr>
        <w:spacing w:after="0" w:line="181" w:lineRule="exact"/>
        <w:rPr>
          <w:rFonts w:ascii="Arial" w:cs="Arial" w:eastAsia="Arial" w:hAnsi="Arial"/>
          <w:sz w:val="19"/>
          <w:szCs w:val="19"/>
          <w:color w:val="auto"/>
        </w:rPr>
      </w:pPr>
    </w:p>
    <w:p>
      <w:pPr>
        <w:jc w:val="both"/>
        <w:ind w:left="2620" w:hanging="870"/>
        <w:spacing w:after="0" w:line="256" w:lineRule="auto"/>
        <w:tabs>
          <w:tab w:leader="none" w:pos="262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Loss of Regulatory Exclusivity</w:t>
      </w:r>
      <w:r>
        <w:rPr>
          <w:rFonts w:ascii="Arial" w:cs="Arial" w:eastAsia="Arial" w:hAnsi="Arial"/>
          <w:sz w:val="19"/>
          <w:szCs w:val="19"/>
          <w:color w:val="auto"/>
        </w:rPr>
        <w:t>. Subject to Section 5.5.3(e) (Cumulative Reductions Floor), if during the Royalty Term for a given Licensed Product in a country there is no Regulatory Exclusivity covering such Licensed Product in such country, then, from the first full Calendar Quarter in which this Section 5.5.3(c) 5.5.4(c) (Loss of Regulatory Exclusivity) applies, and thereafter during the remainder of the Royalty Term for such Licensed Product in such country, the aggregate Net Sales of such Licensed Product in such country during each Calendar Quarter will be reduced by [*]%. For clarity, in the event that Section 5.5.3(b) (Expiration of Valid Claims) and this Section 5.5.3(c) (Loss of Regulatory Exclusivity) both apply for a particular Licensed Product and country in a Calendar Quarter, the reduction in aggregate Net Sales of such Licensed Product in such country in such Calendar Quarter will be [*]%.</w:t>
      </w:r>
    </w:p>
    <w:p>
      <w:pPr>
        <w:spacing w:after="0" w:line="184" w:lineRule="exact"/>
        <w:rPr>
          <w:rFonts w:ascii="Arial" w:cs="Arial" w:eastAsia="Arial" w:hAnsi="Arial"/>
          <w:sz w:val="19"/>
          <w:szCs w:val="19"/>
          <w:color w:val="auto"/>
        </w:rPr>
      </w:pPr>
    </w:p>
    <w:p>
      <w:pPr>
        <w:jc w:val="both"/>
        <w:ind w:left="2620" w:hanging="870"/>
        <w:spacing w:after="0" w:line="244" w:lineRule="auto"/>
        <w:tabs>
          <w:tab w:leader="none" w:pos="2620"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Generic Competition</w:t>
      </w:r>
      <w:r>
        <w:rPr>
          <w:rFonts w:ascii="Arial" w:cs="Arial" w:eastAsia="Arial" w:hAnsi="Arial"/>
          <w:sz w:val="20"/>
          <w:szCs w:val="20"/>
          <w:color w:val="auto"/>
        </w:rPr>
        <w:t>. Subject to Section 5.5.3(e) (Cumulative Reductions Floor), if in any Calendar Year during the Royalty Term for a given Licensed Product in a country the Generic Competition Percentage in such country is greater than or equal to [*]%, then commencing in the next Calendar Year, and thereafter during each Calendar Quarter, the aggregate Net Sales of such Licensed Product in such country during each Calendar Quarter will be reduced by [*]%.</w:t>
      </w:r>
    </w:p>
    <w:p>
      <w:pPr>
        <w:spacing w:after="0" w:line="194" w:lineRule="exact"/>
        <w:rPr>
          <w:rFonts w:ascii="Arial" w:cs="Arial" w:eastAsia="Arial" w:hAnsi="Arial"/>
          <w:sz w:val="20"/>
          <w:szCs w:val="20"/>
          <w:color w:val="auto"/>
        </w:rPr>
      </w:pPr>
    </w:p>
    <w:p>
      <w:pPr>
        <w:jc w:val="both"/>
        <w:ind w:left="2620" w:hanging="870"/>
        <w:spacing w:after="0" w:line="271" w:lineRule="auto"/>
        <w:tabs>
          <w:tab w:leader="none" w:pos="262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Cumulative Reductions Floor</w:t>
      </w:r>
      <w:r>
        <w:rPr>
          <w:rFonts w:ascii="Arial" w:cs="Arial" w:eastAsia="Arial" w:hAnsi="Arial"/>
          <w:sz w:val="18"/>
          <w:szCs w:val="18"/>
          <w:color w:val="auto"/>
        </w:rPr>
        <w:t>. On a country-by-country basis, in no event will the aggregate Royalty amount due to Licensor in any given Calendar Quarter in any country be reduced by the reductions set forth in [*] to less than [*]% of the amount that otherwise would have been due and payable to Licensor in such Calendar Quarter with respect to such country, without giving effect to Section 5.5.3(a) (Third Party IP). On a country-by-country basis, Licensee may carry forward any such reductions to the aggregate Net Sales of a Licensed Product with respect to a country permitted under [*] that are incurred or accrued in a Calendar Quarter for such Licensed Product with respect to such country and that are not applied against aggregate Net Sales of such Licensed Product with respect to such country in such Calendar Quarter as a result of the reduction floor set forth in this Section 5.5.3(e) (Cumulative Reductions Floor), and apply such amounts against aggregate Net Sales of such Licensed Product with respect to such country in any subsequent Calendar Quarter.</w:t>
      </w:r>
    </w:p>
    <w:p>
      <w:pPr>
        <w:spacing w:after="0" w:line="169"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b w:val="1"/>
          <w:bCs w:val="1"/>
          <w:color w:val="auto"/>
        </w:rPr>
        <w:t>Income from Sublicensees.</w:t>
      </w:r>
    </w:p>
    <w:p>
      <w:pPr>
        <w:spacing w:after="0" w:line="200" w:lineRule="exact"/>
        <w:rPr>
          <w:sz w:val="20"/>
          <w:szCs w:val="20"/>
          <w:color w:val="auto"/>
        </w:rPr>
      </w:pPr>
    </w:p>
    <w:p>
      <w:pPr>
        <w:spacing w:after="0" w:line="24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- 20 -</w:t>
      </w:r>
    </w:p>
    <w:p>
      <w:pPr>
        <w:spacing w:after="0" w:line="12" w:lineRule="exact"/>
        <w:rPr>
          <w:sz w:val="20"/>
          <w:szCs w:val="20"/>
          <w:color w:val="auto"/>
        </w:rPr>
      </w:pPr>
    </w:p>
    <w:p>
      <w:pPr>
        <w:ind w:right="740" w:firstLine="8"/>
        <w:spacing w:after="0" w:line="226" w:lineRule="auto"/>
        <w:tabs>
          <w:tab w:leader="none" w:pos="2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58" w:name="page159"/>
    <w:bookmarkEnd w:id="158"/>
    <w:p>
      <w:pPr>
        <w:jc w:val="both"/>
        <w:ind w:left="1732" w:hanging="863"/>
        <w:spacing w:after="0" w:line="270" w:lineRule="auto"/>
        <w:tabs>
          <w:tab w:leader="none" w:pos="1712" w:val="left"/>
        </w:tabs>
        <w:rPr>
          <w:sz w:val="20"/>
          <w:szCs w:val="20"/>
          <w:color w:val="auto"/>
        </w:rPr>
      </w:pPr>
      <w:r>
        <w:rPr>
          <w:rFonts w:ascii="Arial" w:cs="Arial" w:eastAsia="Arial" w:hAnsi="Arial"/>
          <w:sz w:val="20"/>
          <w:szCs w:val="20"/>
          <w:color w:val="auto"/>
        </w:rPr>
        <w:t>5.6.1.</w:t>
      </w:r>
      <w:r>
        <w:rPr>
          <w:sz w:val="20"/>
          <w:szCs w:val="20"/>
          <w:color w:val="auto"/>
        </w:rPr>
        <w:tab/>
      </w:r>
      <w:r>
        <w:rPr>
          <w:rFonts w:ascii="Arial" w:cs="Arial" w:eastAsia="Arial" w:hAnsi="Arial"/>
          <w:sz w:val="18"/>
          <w:szCs w:val="18"/>
          <w:b w:val="1"/>
          <w:bCs w:val="1"/>
          <w:color w:val="auto"/>
        </w:rPr>
        <w:t>Payment Obligations</w:t>
      </w:r>
      <w:r>
        <w:rPr>
          <w:rFonts w:ascii="Arial" w:cs="Arial" w:eastAsia="Arial" w:hAnsi="Arial"/>
          <w:sz w:val="18"/>
          <w:szCs w:val="18"/>
          <w:color w:val="auto"/>
        </w:rPr>
        <w:t>. In addition to all other accounts payable to Licensor pursuant to Article 5 (Consideration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Terms), Licensee will pay Licensor, on a Licensed Product by Licensed Product basis, (a) [*]% of all Sublicensing Revenue paid or payable to or received by Licensee or its Affiliates under any sublicense agreement entered into during the period commencing on [*] and continuing until [*], and (b) [*]% of all Sublicensing Revenue paid or payable to or received by Licensee or its Affiliates under any sublicense agreement entered into during the period commencing on [*] and continuing until [*]. Notwithstanding anything to the contrary set forth in this Agreement, if a sublicense agreement grants rights to more than one Licensed Product, then for each applicable Licensed Product that is the subject of such a sublicense agreement, Licensee will pay to Licensor the applicable percentage of Sublicensing Revenue set forth in the foregoing clauses (a) and (b), based on the stage of Development of each such applicable Licensed Product at the time such sublicense agreement is entered into. To the extent that a payment under a sublicense agreement that grants rights to more than one Licensed Product, where the sublicense agreement falls within the scope of clause (a) above with respect to one or more such Licensed Products and within the scope of clause (b) above with respect to one or more other such Licensed Products, cannot be allocated to a Licensed Product (</w:t>
      </w:r>
      <w:r>
        <w:rPr>
          <w:rFonts w:ascii="Arial" w:cs="Arial" w:eastAsia="Arial" w:hAnsi="Arial"/>
          <w:sz w:val="18"/>
          <w:szCs w:val="18"/>
          <w:i w:val="1"/>
          <w:iCs w:val="1"/>
          <w:color w:val="auto"/>
        </w:rPr>
        <w:t>e.g.</w:t>
      </w:r>
      <w:r>
        <w:rPr>
          <w:rFonts w:ascii="Arial" w:cs="Arial" w:eastAsia="Arial" w:hAnsi="Arial"/>
          <w:sz w:val="18"/>
          <w:szCs w:val="18"/>
          <w:color w:val="auto"/>
        </w:rPr>
        <w:t xml:space="preserve">, such as an upfront payment), then such payment will be divided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based on the number of Licensed Products licensed thereunder with respect to which clause (a) applies and the number of Licensed Products licensed thereunder with respect to which clause (b) applies.</w:t>
      </w:r>
    </w:p>
    <w:p>
      <w:pPr>
        <w:spacing w:after="0" w:line="164" w:lineRule="exact"/>
        <w:rPr>
          <w:sz w:val="20"/>
          <w:szCs w:val="20"/>
          <w:color w:val="auto"/>
        </w:rPr>
      </w:pPr>
    </w:p>
    <w:p>
      <w:pPr>
        <w:jc w:val="both"/>
        <w:ind w:left="1732" w:hanging="863"/>
        <w:spacing w:after="0" w:line="273" w:lineRule="auto"/>
        <w:tabs>
          <w:tab w:leader="none" w:pos="1712" w:val="left"/>
        </w:tabs>
        <w:rPr>
          <w:sz w:val="20"/>
          <w:szCs w:val="20"/>
          <w:color w:val="auto"/>
        </w:rPr>
      </w:pPr>
      <w:r>
        <w:rPr>
          <w:rFonts w:ascii="Arial" w:cs="Arial" w:eastAsia="Arial" w:hAnsi="Arial"/>
          <w:sz w:val="20"/>
          <w:szCs w:val="20"/>
          <w:color w:val="auto"/>
        </w:rPr>
        <w:t>5.6.2.</w:t>
      </w:r>
      <w:r>
        <w:rPr>
          <w:sz w:val="20"/>
          <w:szCs w:val="20"/>
          <w:color w:val="auto"/>
        </w:rPr>
        <w:tab/>
      </w:r>
      <w:r>
        <w:rPr>
          <w:rFonts w:ascii="Arial" w:cs="Arial" w:eastAsia="Arial" w:hAnsi="Arial"/>
          <w:sz w:val="18"/>
          <w:szCs w:val="18"/>
          <w:b w:val="1"/>
          <w:bCs w:val="1"/>
          <w:color w:val="auto"/>
        </w:rPr>
        <w:t>Other Consideration</w:t>
      </w:r>
      <w:r>
        <w:rPr>
          <w:rFonts w:ascii="Arial" w:cs="Arial" w:eastAsia="Arial" w:hAnsi="Arial"/>
          <w:sz w:val="18"/>
          <w:szCs w:val="18"/>
          <w:color w:val="auto"/>
        </w:rPr>
        <w:t>. If Licensee or its Affiliates receives Sublicensing Revenue or other amounts from Sublicensees or</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person or entity granted any option to obtain a sublicense under this Agreement in the form of non-cash consideration, then, at Licensor’s option, Licensee will pay Licensor (a) payments as required by Section 5.6.1 (Payment Obligation) in the form of the non-cash consideration paid or payable to or received by Licensee or its Affiliates, or (b) a cash payment determined based on the fair market value of such non-cash consideration. If Licensee or its Affiliate enters into any sublicense that is not an arm’s length transaction, then fees due under Section 5.6.1 (Payment Obligation) will be calculated based on the fair market value of such transaction, at the time of the transaction, assuming an arm’s length transaction made in the ordinary course of business, as determined jointly by Licensor and Licensee based on transactions of a similar type and standard industry practice, if any.</w:t>
      </w:r>
    </w:p>
    <w:p>
      <w:pPr>
        <w:spacing w:after="0" w:line="163" w:lineRule="exact"/>
        <w:rPr>
          <w:sz w:val="20"/>
          <w:szCs w:val="20"/>
          <w:color w:val="auto"/>
        </w:rPr>
      </w:pPr>
    </w:p>
    <w:p>
      <w:pPr>
        <w:jc w:val="both"/>
        <w:ind w:left="872" w:hanging="863"/>
        <w:spacing w:after="0" w:line="255" w:lineRule="auto"/>
        <w:tabs>
          <w:tab w:leader="none" w:pos="852" w:val="left"/>
        </w:tabs>
        <w:rPr>
          <w:sz w:val="20"/>
          <w:szCs w:val="20"/>
          <w:color w:val="auto"/>
        </w:rPr>
      </w:pPr>
      <w:r>
        <w:rPr>
          <w:rFonts w:ascii="Arial" w:cs="Arial" w:eastAsia="Arial" w:hAnsi="Arial"/>
          <w:sz w:val="20"/>
          <w:szCs w:val="20"/>
          <w:b w:val="1"/>
          <w:bCs w:val="1"/>
          <w:color w:val="auto"/>
        </w:rPr>
        <w:t>5.7.</w:t>
      </w:r>
      <w:r>
        <w:rPr>
          <w:sz w:val="20"/>
          <w:szCs w:val="20"/>
          <w:color w:val="auto"/>
        </w:rPr>
        <w:tab/>
      </w:r>
      <w:r>
        <w:rPr>
          <w:rFonts w:ascii="Arial" w:cs="Arial" w:eastAsia="Arial" w:hAnsi="Arial"/>
          <w:sz w:val="19"/>
          <w:szCs w:val="19"/>
          <w:b w:val="1"/>
          <w:bCs w:val="1"/>
          <w:color w:val="auto"/>
        </w:rPr>
        <w:t>Payment Reports; Payments</w:t>
      </w:r>
      <w:r>
        <w:rPr>
          <w:rFonts w:ascii="Arial" w:cs="Arial" w:eastAsia="Arial" w:hAnsi="Arial"/>
          <w:sz w:val="19"/>
          <w:szCs w:val="19"/>
          <w:color w:val="auto"/>
        </w:rPr>
        <w:t>. Within [*] Business Days after the end of each Calendar Quarter commencing upon the earlier of the</w:t>
      </w:r>
      <w:r>
        <w:rPr>
          <w:rFonts w:ascii="Arial" w:cs="Arial" w:eastAsia="Arial" w:hAnsi="Arial"/>
          <w:sz w:val="19"/>
          <w:szCs w:val="19"/>
          <w:b w:val="1"/>
          <w:bCs w:val="1"/>
          <w:color w:val="auto"/>
        </w:rPr>
        <w:t xml:space="preserve"> </w:t>
      </w:r>
      <w:r>
        <w:rPr>
          <w:rFonts w:ascii="Arial" w:cs="Arial" w:eastAsia="Arial" w:hAnsi="Arial"/>
          <w:sz w:val="19"/>
          <w:szCs w:val="19"/>
          <w:color w:val="auto"/>
        </w:rPr>
        <w:t>first Calendar Quarter in which Licensee or its Affiliates receive any Sublicensing Revenue or the First Commercial Sale of a Licensed Product, Licensee will submit to Licensor [*] setting forth [*] of [*] and [*] and the [*], in each case, during such Calendar Quarter, in order for [*]. Each Party stipulates and agrees that [*] are [*] and neither Party will be [*], to the extent Licensee complies with the previous sentence. Within [*] following the end of each Calendar Quarter commencing upon the earlier of the first Calendar Quarter in which Licensee or its Affiliates receive any Sublicensing Revenue or the First Commercial Sale of a Licensed Product, Licensee will provide Licensor with a written report in respect of such Calendar Quarter, which report (each, a “</w:t>
      </w:r>
      <w:r>
        <w:rPr>
          <w:rFonts w:ascii="Arial" w:cs="Arial" w:eastAsia="Arial" w:hAnsi="Arial"/>
          <w:sz w:val="19"/>
          <w:szCs w:val="19"/>
          <w:b w:val="1"/>
          <w:bCs w:val="1"/>
          <w:color w:val="auto"/>
        </w:rPr>
        <w:t>Payment</w:t>
      </w:r>
      <w:r>
        <w:rPr>
          <w:rFonts w:ascii="Arial" w:cs="Arial" w:eastAsia="Arial" w:hAnsi="Arial"/>
          <w:sz w:val="19"/>
          <w:szCs w:val="19"/>
          <w:color w:val="auto"/>
        </w:rPr>
        <w:t xml:space="preserve"> </w:t>
      </w:r>
      <w:r>
        <w:rPr>
          <w:rFonts w:ascii="Arial" w:cs="Arial" w:eastAsia="Arial" w:hAnsi="Arial"/>
          <w:sz w:val="19"/>
          <w:szCs w:val="19"/>
          <w:b w:val="1"/>
          <w:bCs w:val="1"/>
          <w:color w:val="auto"/>
        </w:rPr>
        <w:t>Report</w:t>
      </w:r>
      <w:r>
        <w:rPr>
          <w:rFonts w:ascii="Arial" w:cs="Arial" w:eastAsia="Arial" w:hAnsi="Arial"/>
          <w:sz w:val="19"/>
          <w:szCs w:val="19"/>
          <w:color w:val="auto"/>
        </w:rPr>
        <w:t>”) will include for such Calendar Quarter, on a Licensed Product-by-Licensed Product and country-by-country basis, (a)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Sublicensing Revenue </w:t>
      </w:r>
      <w:r>
        <w:rPr>
          <w:rFonts w:ascii="Arial" w:cs="Arial" w:eastAsia="Arial" w:hAnsi="Arial"/>
          <w:sz w:val="19"/>
          <w:szCs w:val="19"/>
          <w:b w:val="1"/>
          <w:bCs w:val="1"/>
          <w:color w:val="auto"/>
        </w:rPr>
        <w:t>paid or payable to or received by</w:t>
      </w:r>
      <w:r>
        <w:rPr>
          <w:rFonts w:ascii="Arial" w:cs="Arial" w:eastAsia="Arial" w:hAnsi="Arial"/>
          <w:sz w:val="19"/>
          <w:szCs w:val="19"/>
          <w:color w:val="auto"/>
        </w:rPr>
        <w:t xml:space="preserve"> Licensee or its Affiliates, (b) the amount of gross sales (in U.S. dollars) of Licensed Products sold by Licensee and its Affiliates and Sublicensees, (c) [*] calculation of Net Sales showing [*] (d) a calculation of the Royalty payment due on such sales by Licensee and its Affiliates and Sublicensees, (e) an accounting of [*], (f) the calculation and</w:t>
      </w:r>
    </w:p>
    <w:p>
      <w:pPr>
        <w:spacing w:after="0" w:line="200" w:lineRule="exact"/>
        <w:rPr>
          <w:sz w:val="20"/>
          <w:szCs w:val="20"/>
          <w:color w:val="auto"/>
        </w:rPr>
      </w:pPr>
    </w:p>
    <w:p>
      <w:pPr>
        <w:spacing w:after="0" w:line="210"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- 21 -</w:t>
      </w:r>
    </w:p>
    <w:p>
      <w:pPr>
        <w:spacing w:after="0" w:line="12" w:lineRule="exact"/>
        <w:rPr>
          <w:sz w:val="20"/>
          <w:szCs w:val="20"/>
          <w:color w:val="auto"/>
        </w:rPr>
      </w:pPr>
    </w:p>
    <w:p>
      <w:pPr>
        <w:ind w:left="-8" w:right="740" w:firstLine="8"/>
        <w:spacing w:after="0" w:line="226" w:lineRule="auto"/>
        <w:tabs>
          <w:tab w:leader="none" w:pos="2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0" w:right="239" w:bottom="1440" w:gutter="0" w:footer="0" w:header="0"/>
        </w:sectPr>
      </w:pPr>
    </w:p>
    <w:bookmarkStart w:id="159" w:name="page160"/>
    <w:bookmarkEnd w:id="159"/>
    <w:p>
      <w:pPr>
        <w:jc w:val="both"/>
        <w:ind w:left="880"/>
        <w:spacing w:after="0" w:line="246" w:lineRule="auto"/>
        <w:rPr>
          <w:sz w:val="20"/>
          <w:szCs w:val="20"/>
          <w:color w:val="auto"/>
        </w:rPr>
      </w:pPr>
      <w:r>
        <w:rPr>
          <w:rFonts w:ascii="Arial" w:cs="Arial" w:eastAsia="Arial" w:hAnsi="Arial"/>
          <w:sz w:val="20"/>
          <w:szCs w:val="20"/>
          <w:color w:val="auto"/>
        </w:rPr>
        <w:t>application of the reductions, if any, made pursuant to Section 5.5.3 (Royalty Reductions), and (g) [*]. Concurrently with each Payment Report, Licensee will pay all amounts due to Licensor pursuant to Section 5.5 (Royalty Payments) and Section 5.6 (Income from Sublicensee) and set forth in such Payment Reports for such Calendar Quarter. Each Payment Report will be the Confidential Information of each Party.</w:t>
      </w:r>
    </w:p>
    <w:p>
      <w:pPr>
        <w:spacing w:after="0" w:line="186" w:lineRule="exact"/>
        <w:rPr>
          <w:sz w:val="20"/>
          <w:szCs w:val="20"/>
          <w:color w:val="auto"/>
        </w:rPr>
      </w:pPr>
    </w:p>
    <w:p>
      <w:pPr>
        <w:jc w:val="both"/>
        <w:ind w:left="880" w:hanging="863"/>
        <w:spacing w:after="0" w:line="267" w:lineRule="auto"/>
        <w:tabs>
          <w:tab w:leader="none" w:pos="860" w:val="left"/>
        </w:tabs>
        <w:rPr>
          <w:sz w:val="20"/>
          <w:szCs w:val="20"/>
          <w:color w:val="auto"/>
        </w:rPr>
      </w:pPr>
      <w:r>
        <w:rPr>
          <w:rFonts w:ascii="Arial" w:cs="Arial" w:eastAsia="Arial" w:hAnsi="Arial"/>
          <w:sz w:val="20"/>
          <w:szCs w:val="20"/>
          <w:b w:val="1"/>
          <w:bCs w:val="1"/>
          <w:color w:val="auto"/>
        </w:rPr>
        <w:t>5.8.</w:t>
      </w:r>
      <w:r>
        <w:rPr>
          <w:sz w:val="20"/>
          <w:szCs w:val="20"/>
          <w:color w:val="auto"/>
        </w:rPr>
        <w:tab/>
      </w:r>
      <w:r>
        <w:rPr>
          <w:rFonts w:ascii="Arial" w:cs="Arial" w:eastAsia="Arial" w:hAnsi="Arial"/>
          <w:sz w:val="20"/>
          <w:szCs w:val="20"/>
          <w:b w:val="1"/>
          <w:bCs w:val="1"/>
          <w:color w:val="auto"/>
        </w:rPr>
        <w:t>Other Payments</w:t>
      </w:r>
      <w:r>
        <w:rPr>
          <w:rFonts w:ascii="Arial" w:cs="Arial" w:eastAsia="Arial" w:hAnsi="Arial"/>
          <w:sz w:val="20"/>
          <w:szCs w:val="20"/>
          <w:color w:val="auto"/>
        </w:rPr>
        <w:t>. Licensee will pay to Licensor any other amounts due under this Agreement within [*] following receipt of</w:t>
      </w:r>
      <w:r>
        <w:rPr>
          <w:rFonts w:ascii="Arial" w:cs="Arial" w:eastAsia="Arial" w:hAnsi="Arial"/>
          <w:sz w:val="20"/>
          <w:szCs w:val="20"/>
          <w:b w:val="1"/>
          <w:bCs w:val="1"/>
          <w:color w:val="auto"/>
        </w:rPr>
        <w:t xml:space="preserve"> </w:t>
      </w:r>
      <w:r>
        <w:rPr>
          <w:rFonts w:ascii="Arial" w:cs="Arial" w:eastAsia="Arial" w:hAnsi="Arial"/>
          <w:sz w:val="20"/>
          <w:szCs w:val="20"/>
          <w:color w:val="auto"/>
        </w:rPr>
        <w:t>invoice therefor.</w:t>
      </w:r>
    </w:p>
    <w:p>
      <w:pPr>
        <w:spacing w:after="0" w:line="164"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5.9.</w:t>
      </w:r>
      <w:r>
        <w:rPr>
          <w:sz w:val="20"/>
          <w:szCs w:val="20"/>
          <w:color w:val="auto"/>
        </w:rPr>
        <w:tab/>
      </w:r>
      <w:r>
        <w:rPr>
          <w:rFonts w:ascii="Arial" w:cs="Arial" w:eastAsia="Arial" w:hAnsi="Arial"/>
          <w:sz w:val="20"/>
          <w:szCs w:val="20"/>
          <w:b w:val="1"/>
          <w:bCs w:val="1"/>
          <w:color w:val="auto"/>
        </w:rPr>
        <w:t>No Refunds; Offsets</w:t>
      </w:r>
      <w:r>
        <w:rPr>
          <w:rFonts w:ascii="Arial" w:cs="Arial" w:eastAsia="Arial" w:hAnsi="Arial"/>
          <w:sz w:val="20"/>
          <w:szCs w:val="20"/>
          <w:color w:val="auto"/>
        </w:rPr>
        <w:t>. Except as expressly set forth under this Agreement, all payments under this Agreement will be irrevocable,</w:t>
      </w:r>
      <w:r>
        <w:rPr>
          <w:rFonts w:ascii="Arial" w:cs="Arial" w:eastAsia="Arial" w:hAnsi="Arial"/>
          <w:sz w:val="20"/>
          <w:szCs w:val="20"/>
          <w:b w:val="1"/>
          <w:bCs w:val="1"/>
          <w:color w:val="auto"/>
        </w:rPr>
        <w:t xml:space="preserve"> </w:t>
      </w:r>
      <w:r>
        <w:rPr>
          <w:rFonts w:ascii="Arial" w:cs="Arial" w:eastAsia="Arial" w:hAnsi="Arial"/>
          <w:sz w:val="20"/>
          <w:szCs w:val="20"/>
          <w:color w:val="auto"/>
        </w:rPr>
        <w:t>non-refundable, and non-creditable. Licensee will have no right to offset, set off, or deduct any amounts from or against the amounts due to Licensor hereunder.</w:t>
      </w:r>
    </w:p>
    <w:p>
      <w:pPr>
        <w:spacing w:after="0" w:line="178" w:lineRule="exact"/>
        <w:rPr>
          <w:sz w:val="20"/>
          <w:szCs w:val="20"/>
          <w:color w:val="auto"/>
        </w:rPr>
      </w:pPr>
    </w:p>
    <w:p>
      <w:pPr>
        <w:jc w:val="both"/>
        <w:ind w:left="880" w:hanging="863"/>
        <w:spacing w:after="0" w:line="245" w:lineRule="auto"/>
        <w:tabs>
          <w:tab w:leader="none" w:pos="86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20"/>
          <w:szCs w:val="20"/>
          <w:b w:val="1"/>
          <w:bCs w:val="1"/>
          <w:color w:val="auto"/>
        </w:rPr>
        <w:t>Exchange Rate</w:t>
      </w:r>
      <w:r>
        <w:rPr>
          <w:rFonts w:ascii="Arial" w:cs="Arial" w:eastAsia="Arial" w:hAnsi="Arial"/>
          <w:sz w:val="20"/>
          <w:szCs w:val="20"/>
          <w:color w:val="auto"/>
        </w:rPr>
        <w:t>. With respect to sales of Licensed Products invoiced in U.S. dollars, the gross sales, Net Sales, and Royalties</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will be expressed in U.S. dollars. With respect to sales of Licensed Products invoiced in a currency other than U.S. dollars, the gross sales, Net Sales, and Royalties payable will be expressed in the currency of the invoice issued by Licensee or its Affiliate or Sublicensee together with the U.S. dollars equivalent of the Royalty due, calculated using the average of daily last price rate of exchange for such currencies for the relevant Calendar Quarter utilized by Licensee for public financial accounting purposes in accordance with GAAP.</w:t>
      </w:r>
    </w:p>
    <w:p>
      <w:pPr>
        <w:spacing w:after="0" w:line="185"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5.11.</w:t>
      </w:r>
      <w:r>
        <w:rPr>
          <w:sz w:val="20"/>
          <w:szCs w:val="20"/>
          <w:color w:val="auto"/>
        </w:rPr>
        <w:tab/>
      </w:r>
      <w:r>
        <w:rPr>
          <w:rFonts w:ascii="Arial" w:cs="Arial" w:eastAsia="Arial" w:hAnsi="Arial"/>
          <w:sz w:val="16"/>
          <w:szCs w:val="16"/>
          <w:b w:val="1"/>
          <w:bCs w:val="1"/>
          <w:color w:val="auto"/>
        </w:rPr>
        <w:t>Taxes.</w:t>
      </w:r>
    </w:p>
    <w:p>
      <w:pPr>
        <w:spacing w:after="0" w:line="216" w:lineRule="exact"/>
        <w:rPr>
          <w:sz w:val="20"/>
          <w:szCs w:val="20"/>
          <w:color w:val="auto"/>
        </w:rPr>
      </w:pPr>
    </w:p>
    <w:p>
      <w:pPr>
        <w:jc w:val="both"/>
        <w:ind w:left="1740" w:hanging="863"/>
        <w:spacing w:after="0" w:line="254" w:lineRule="auto"/>
        <w:tabs>
          <w:tab w:leader="none" w:pos="1720" w:val="left"/>
        </w:tabs>
        <w:rPr>
          <w:sz w:val="20"/>
          <w:szCs w:val="20"/>
          <w:color w:val="auto"/>
        </w:rPr>
      </w:pPr>
      <w:r>
        <w:rPr>
          <w:rFonts w:ascii="Arial" w:cs="Arial" w:eastAsia="Arial" w:hAnsi="Arial"/>
          <w:sz w:val="20"/>
          <w:szCs w:val="20"/>
          <w:color w:val="auto"/>
        </w:rPr>
        <w:t>5.11.1.</w:t>
      </w:r>
      <w:r>
        <w:rPr>
          <w:sz w:val="20"/>
          <w:szCs w:val="20"/>
          <w:color w:val="auto"/>
        </w:rPr>
        <w:tab/>
      </w:r>
      <w:r>
        <w:rPr>
          <w:rFonts w:ascii="Arial" w:cs="Arial" w:eastAsia="Arial" w:hAnsi="Arial"/>
          <w:sz w:val="19"/>
          <w:szCs w:val="19"/>
          <w:b w:val="1"/>
          <w:bCs w:val="1"/>
          <w:color w:val="auto"/>
        </w:rPr>
        <w:t>General</w:t>
      </w:r>
      <w:r>
        <w:rPr>
          <w:rFonts w:ascii="Arial" w:cs="Arial" w:eastAsia="Arial" w:hAnsi="Arial"/>
          <w:sz w:val="19"/>
          <w:szCs w:val="19"/>
          <w:color w:val="auto"/>
        </w:rPr>
        <w:t>. Each Party is responsible for its own taxes, duties, levies, imposts, assessments, deductions, fees, withholdings,</w:t>
      </w:r>
      <w:r>
        <w:rPr>
          <w:rFonts w:ascii="Arial" w:cs="Arial" w:eastAsia="Arial" w:hAnsi="Arial"/>
          <w:sz w:val="19"/>
          <w:szCs w:val="19"/>
          <w:b w:val="1"/>
          <w:bCs w:val="1"/>
          <w:color w:val="auto"/>
        </w:rPr>
        <w:t xml:space="preserve"> </w:t>
      </w:r>
      <w:r>
        <w:rPr>
          <w:rFonts w:ascii="Arial" w:cs="Arial" w:eastAsia="Arial" w:hAnsi="Arial"/>
          <w:sz w:val="19"/>
          <w:szCs w:val="19"/>
          <w:color w:val="auto"/>
        </w:rPr>
        <w:t>or similar charges imposed on or measured by net income or overall gross income (including branch profits), gross receipts, capital, ability, or right to do business, property, and franchise or similar taxes pursuant to Applicable Law. The development Milestone Payments, Sales Milestone Payments, Royalties, Sublicensing Revenue, and other amounts payable by Licensee to Licensor pursuant to this Agreement (each, a “</w:t>
      </w:r>
      <w:r>
        <w:rPr>
          <w:rFonts w:ascii="Arial" w:cs="Arial" w:eastAsia="Arial" w:hAnsi="Arial"/>
          <w:sz w:val="19"/>
          <w:szCs w:val="19"/>
          <w:b w:val="1"/>
          <w:bCs w:val="1"/>
          <w:color w:val="auto"/>
        </w:rPr>
        <w:t>Payment</w:t>
      </w:r>
      <w:r>
        <w:rPr>
          <w:rFonts w:ascii="Arial" w:cs="Arial" w:eastAsia="Arial" w:hAnsi="Arial"/>
          <w:sz w:val="19"/>
          <w:szCs w:val="19"/>
          <w:color w:val="auto"/>
        </w:rPr>
        <w:t>”) will be paid free and clear of any and all Taxes, except for any withholding or deductions of Taxes required by Applicable Law (“</w:t>
      </w:r>
      <w:r>
        <w:rPr>
          <w:rFonts w:ascii="Arial" w:cs="Arial" w:eastAsia="Arial" w:hAnsi="Arial"/>
          <w:sz w:val="19"/>
          <w:szCs w:val="19"/>
          <w:b w:val="1"/>
          <w:bCs w:val="1"/>
          <w:color w:val="auto"/>
        </w:rPr>
        <w:t>Withholding</w:t>
      </w:r>
      <w:r>
        <w:rPr>
          <w:rFonts w:ascii="Arial" w:cs="Arial" w:eastAsia="Arial" w:hAnsi="Arial"/>
          <w:sz w:val="19"/>
          <w:szCs w:val="19"/>
          <w:color w:val="auto"/>
        </w:rPr>
        <w:t xml:space="preserve"> </w:t>
      </w:r>
      <w:r>
        <w:rPr>
          <w:rFonts w:ascii="Arial" w:cs="Arial" w:eastAsia="Arial" w:hAnsi="Arial"/>
          <w:sz w:val="19"/>
          <w:szCs w:val="19"/>
          <w:b w:val="1"/>
          <w:bCs w:val="1"/>
          <w:color w:val="auto"/>
        </w:rPr>
        <w:t>Taxes</w:t>
      </w:r>
      <w:r>
        <w:rPr>
          <w:rFonts w:ascii="Arial" w:cs="Arial" w:eastAsia="Arial" w:hAnsi="Arial"/>
          <w:sz w:val="19"/>
          <w:szCs w:val="19"/>
          <w:color w:val="auto"/>
        </w:rPr>
        <w:t>”). Licensee will deduct or withhold from the Payments any Withholding Taxes that it is required by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 to deduct or withhold, and such Withholding Taxes will be treated for all purposes of this Agreement as having been paid to Licensor hereunder. The Parties will reasonably cooperate to minimize any such Withholding Taxes. If Licensor is entitled under Applicable Law or any applicable Tax treaty to a reduction of rate of, or the elimination of, applicable Withholding Tax, then it may deliver to Licensee or the appropriate Governmental Authority (with the reasonable assistance of Licensee to the extent that this is reasonably required and is requested in writing) the prescribed forms, certificates, or other information, valid under Applicable Law, necessary to lawfully reduce the applicable rate of withholding or to relieve Licensee of its obligation to withhold or deduct such Withholding Taxes and Licensee will apply the reduced rate of withholding or dispense with withholding, as the case may be. Notwithstanding the foregoing, Licensee will provide reasonable timely prior notice to Licensor of the intention to deduct or withhold Withholding Taxes from any payment (and the amounts subject to such deduction or withholding, where practicable) to allow Licensor a reasonable opportunity to, or elect to postpone a Payment in order to, timely furnish forms, certificates, or other items that would reduce or eliminate such deduction or withholding in accordance with this Section 5.11.1 (General). If, in accordance with the foregoing, Licensee withholds any amount, then it will pay to Licensor the net remaining balance when due, make timely payment to the proper Governmental Authority of the withheld amount and send to Licensor proof of</w:t>
      </w:r>
    </w:p>
    <w:p>
      <w:pPr>
        <w:spacing w:after="0" w:line="200" w:lineRule="exact"/>
        <w:rPr>
          <w:sz w:val="20"/>
          <w:szCs w:val="20"/>
          <w:color w:val="auto"/>
        </w:rPr>
      </w:pPr>
    </w:p>
    <w:p>
      <w:pPr>
        <w:spacing w:after="0" w:line="20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- 22 -</w:t>
      </w:r>
    </w:p>
    <w:p>
      <w:pPr>
        <w:spacing w:after="0" w:line="12" w:lineRule="exact"/>
        <w:rPr>
          <w:sz w:val="20"/>
          <w:szCs w:val="20"/>
          <w:color w:val="auto"/>
        </w:rPr>
      </w:pPr>
    </w:p>
    <w:p>
      <w:pPr>
        <w:ind w:right="740" w:firstLine="8"/>
        <w:spacing w:after="0" w:line="226"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60" w:name="page161"/>
    <w:bookmarkEnd w:id="160"/>
    <w:p>
      <w:pPr>
        <w:jc w:val="both"/>
        <w:ind w:left="1732"/>
        <w:spacing w:after="0" w:line="244" w:lineRule="auto"/>
        <w:rPr>
          <w:sz w:val="20"/>
          <w:szCs w:val="20"/>
          <w:color w:val="auto"/>
        </w:rPr>
      </w:pPr>
      <w:r>
        <w:rPr>
          <w:rFonts w:ascii="Arial" w:cs="Arial" w:eastAsia="Arial" w:hAnsi="Arial"/>
          <w:sz w:val="20"/>
          <w:szCs w:val="20"/>
          <w:color w:val="auto"/>
        </w:rPr>
        <w:t>such payment within a reasonable time following such payment. If Licensee takes any actions that would increase any required Withholding Taxes that otherwise would not be required absent such action, including a Change of Control, change in tax residence, sublicense, or assignment of this Agreement by law or otherwise, then Licensee will increase Payments such that after such additional deduction and withholding, Licensor receives the amount it would have received had no such deduction or withholding been made.</w:t>
      </w:r>
    </w:p>
    <w:p>
      <w:pPr>
        <w:spacing w:after="0" w:line="189" w:lineRule="exact"/>
        <w:rPr>
          <w:sz w:val="20"/>
          <w:szCs w:val="20"/>
          <w:color w:val="auto"/>
        </w:rPr>
      </w:pPr>
    </w:p>
    <w:p>
      <w:pPr>
        <w:jc w:val="both"/>
        <w:ind w:left="1732" w:hanging="863"/>
        <w:spacing w:after="0" w:line="242" w:lineRule="auto"/>
        <w:tabs>
          <w:tab w:leader="none" w:pos="1712" w:val="left"/>
        </w:tabs>
        <w:rPr>
          <w:sz w:val="20"/>
          <w:szCs w:val="20"/>
          <w:color w:val="auto"/>
        </w:rPr>
      </w:pPr>
      <w:r>
        <w:rPr>
          <w:rFonts w:ascii="Arial" w:cs="Arial" w:eastAsia="Arial" w:hAnsi="Arial"/>
          <w:sz w:val="20"/>
          <w:szCs w:val="20"/>
          <w:color w:val="auto"/>
        </w:rPr>
        <w:t>5.11.2.</w:t>
      </w:r>
      <w:r>
        <w:rPr>
          <w:sz w:val="20"/>
          <w:szCs w:val="20"/>
          <w:color w:val="auto"/>
        </w:rPr>
        <w:tab/>
      </w:r>
      <w:r>
        <w:rPr>
          <w:rFonts w:ascii="Arial" w:cs="Arial" w:eastAsia="Arial" w:hAnsi="Arial"/>
          <w:sz w:val="20"/>
          <w:szCs w:val="20"/>
          <w:b w:val="1"/>
          <w:bCs w:val="1"/>
          <w:color w:val="auto"/>
        </w:rPr>
        <w:t>Value Added Tax</w:t>
      </w:r>
      <w:r>
        <w:rPr>
          <w:rFonts w:ascii="Arial" w:cs="Arial" w:eastAsia="Arial" w:hAnsi="Arial"/>
          <w:sz w:val="20"/>
          <w:szCs w:val="20"/>
          <w:color w:val="auto"/>
        </w:rPr>
        <w:t>. Notwithstanding anything to the contrary set forth in Section 5.11.1 (General), this Section 5.11.2</w:t>
      </w:r>
      <w:r>
        <w:rPr>
          <w:rFonts w:ascii="Arial" w:cs="Arial" w:eastAsia="Arial" w:hAnsi="Arial"/>
          <w:sz w:val="20"/>
          <w:szCs w:val="20"/>
          <w:b w:val="1"/>
          <w:bCs w:val="1"/>
          <w:color w:val="auto"/>
        </w:rPr>
        <w:t xml:space="preserve"> </w:t>
      </w:r>
      <w:r>
        <w:rPr>
          <w:rFonts w:ascii="Arial" w:cs="Arial" w:eastAsia="Arial" w:hAnsi="Arial"/>
          <w:sz w:val="20"/>
          <w:szCs w:val="20"/>
          <w:color w:val="auto"/>
        </w:rPr>
        <w:t>(Value Added Tax) will apply with respect to VAT. All Payments are exclusive of VAT. If any VAT is required in respect of any Payments under Applicable Law, then Licensee will pay VAT at the applicable rate in respect of any such Payments following the receipt of a valid VAT invoice in the appropriate form issued by Licensor in respect of those Payments, such VAT to be payable on the due date of the payment of the Payments to which such VAT relates. The Parties will reasonably cooperate to issue valid invoices for all amounts due under this Agreement consistent with indirect Tax requirements. The remitting Party will not be responsible for any penalties and interest resulting from the failure by the receiving Party to collect (if not included on a valid invoice) or remit any such VAT. The Parties will reasonably cooperate to report, eliminate, or minimize the amount of any such VAT imposed on the transactions contemplated in this Agreement.</w:t>
      </w:r>
    </w:p>
    <w:p>
      <w:pPr>
        <w:spacing w:after="0" w:line="193" w:lineRule="exact"/>
        <w:rPr>
          <w:sz w:val="20"/>
          <w:szCs w:val="20"/>
          <w:color w:val="auto"/>
        </w:rPr>
      </w:pPr>
    </w:p>
    <w:p>
      <w:pPr>
        <w:jc w:val="both"/>
        <w:ind w:left="872" w:hanging="863"/>
        <w:spacing w:after="0" w:line="270" w:lineRule="auto"/>
        <w:tabs>
          <w:tab w:leader="none" w:pos="852"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8"/>
          <w:szCs w:val="18"/>
          <w:b w:val="1"/>
          <w:bCs w:val="1"/>
          <w:color w:val="auto"/>
        </w:rPr>
        <w:t>Audit</w:t>
      </w:r>
      <w:r>
        <w:rPr>
          <w:rFonts w:ascii="Arial" w:cs="Arial" w:eastAsia="Arial" w:hAnsi="Arial"/>
          <w:sz w:val="18"/>
          <w:szCs w:val="18"/>
          <w:color w:val="auto"/>
        </w:rPr>
        <w:t>. Licensee will maintain complete and accurate written records in sufficient detail to permit Licensor to confirm the accuracy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Sublicensing Revenue, calculation of Royalties, and all other payments under this Agreement. Upon reasonable prior notice, at a mutually convenient time, such records will be available during regular business hours for a period of [*] from the end of the Calendar Year to which they pertain for examination at the expense of Licensor, and not more often than once each Calendar Year, by an independent certified public accountant selected by Licensor and reasonably acceptable to Licensee, for the sole purpose of verifying the accuracy of the Payment Reports furnished by Licensee pursuant to this Agreement. Any such auditor will not disclose Licensee’s Confidential Information, except to the extent such disclosure is necessary to verify the accuracy of the Payment Reports furnished by Licensee or the amount of payments due by Licensee under this Agreement during the prior [*]. Licensee will provide to Licensor a copy of the accountant’s report in connection with any audit under this Section 5.12 (Audit). Any amounts shown to be owed but unpaid will be paid within [*] after the date of receipt by Licensee of the accountant’s report, plus interest (as set forth in Section 5.13 (Manner of Payment; Late Payment)) from the original due date. Any amounts shown to have been overpaid will be credited against future Payments due to Licensor under the Agreement. Licensor will bear the cost of such audit unless such audit discloses an underpayment by Licensee of more than [*]% of the amount due, in which case Licensee will bear the full expense of such audit.</w:t>
      </w:r>
    </w:p>
    <w:p>
      <w:pPr>
        <w:spacing w:after="0" w:line="170" w:lineRule="exact"/>
        <w:rPr>
          <w:sz w:val="20"/>
          <w:szCs w:val="20"/>
          <w:color w:val="auto"/>
        </w:rPr>
      </w:pPr>
    </w:p>
    <w:p>
      <w:pPr>
        <w:jc w:val="both"/>
        <w:ind w:left="872" w:hanging="863"/>
        <w:spacing w:after="0" w:line="260" w:lineRule="auto"/>
        <w:tabs>
          <w:tab w:leader="none" w:pos="852" w:val="left"/>
        </w:tabs>
        <w:rPr>
          <w:sz w:val="20"/>
          <w:szCs w:val="20"/>
          <w:color w:val="auto"/>
        </w:rPr>
      </w:pPr>
      <w:r>
        <w:rPr>
          <w:rFonts w:ascii="Arial" w:cs="Arial" w:eastAsia="Arial" w:hAnsi="Arial"/>
          <w:sz w:val="20"/>
          <w:szCs w:val="20"/>
          <w:b w:val="1"/>
          <w:bCs w:val="1"/>
          <w:color w:val="auto"/>
        </w:rPr>
        <w:t>5.13.</w:t>
      </w:r>
      <w:r>
        <w:rPr>
          <w:sz w:val="20"/>
          <w:szCs w:val="20"/>
          <w:color w:val="auto"/>
        </w:rPr>
        <w:tab/>
      </w:r>
      <w:r>
        <w:rPr>
          <w:rFonts w:ascii="Arial" w:cs="Arial" w:eastAsia="Arial" w:hAnsi="Arial"/>
          <w:sz w:val="19"/>
          <w:szCs w:val="19"/>
          <w:b w:val="1"/>
          <w:bCs w:val="1"/>
          <w:color w:val="auto"/>
        </w:rPr>
        <w:t>Manner of Payment; Late Payment</w:t>
      </w:r>
      <w:r>
        <w:rPr>
          <w:rFonts w:ascii="Arial" w:cs="Arial" w:eastAsia="Arial" w:hAnsi="Arial"/>
          <w:sz w:val="19"/>
          <w:szCs w:val="19"/>
          <w:color w:val="auto"/>
        </w:rPr>
        <w:t>. All payments due to Licensor hereunder will be made in U.S. Dollars by wire transfer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immediately available funds into an account designated by Licensor from time-to-time. If Licensor does not receive payment of any sum due to it on or before the due date, then Licensee will pay interest thereon (before and after any judgment) at the prime rate most recently published in the </w:t>
      </w:r>
      <w:r>
        <w:rPr>
          <w:rFonts w:ascii="Arial" w:cs="Arial" w:eastAsia="Arial" w:hAnsi="Arial"/>
          <w:sz w:val="19"/>
          <w:szCs w:val="19"/>
          <w:i w:val="1"/>
          <w:iCs w:val="1"/>
          <w:color w:val="auto"/>
        </w:rPr>
        <w:t>Wall Street Journal East Coast Edition</w:t>
      </w:r>
      <w:r>
        <w:rPr>
          <w:rFonts w:ascii="Arial" w:cs="Arial" w:eastAsia="Arial" w:hAnsi="Arial"/>
          <w:sz w:val="19"/>
          <w:szCs w:val="19"/>
          <w:color w:val="auto"/>
        </w:rPr>
        <w:t xml:space="preserve"> plus [*]% per annum (or, if lower, the maximum rate permitted by Applicable Law) calculated on a daily basis and payable for the period from the date payment is due until the date payment is actually made, without prejudice to Licensor’s right to receive payment on the due date.</w:t>
      </w:r>
    </w:p>
    <w:p>
      <w:pPr>
        <w:spacing w:after="0" w:line="398"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- 23 -</w:t>
      </w:r>
    </w:p>
    <w:p>
      <w:pPr>
        <w:spacing w:after="0" w:line="12" w:lineRule="exact"/>
        <w:rPr>
          <w:sz w:val="20"/>
          <w:szCs w:val="20"/>
          <w:color w:val="auto"/>
        </w:rPr>
      </w:pPr>
    </w:p>
    <w:p>
      <w:pPr>
        <w:ind w:left="-8" w:right="740" w:firstLine="8"/>
        <w:spacing w:after="0" w:line="226" w:lineRule="auto"/>
        <w:tabs>
          <w:tab w:leader="none" w:pos="24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56"/>
        </w:trPr>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97"/>
              </w:rPr>
              <w:t>Article 6.</w:t>
            </w:r>
          </w:p>
        </w:tc>
        <w:tc>
          <w:tcPr>
            <w:tcW w:w="660" w:type="dxa"/>
            <w:vAlign w:val="bottom"/>
          </w:tcPr>
          <w:p>
            <w:pPr>
              <w:spacing w:after="0"/>
              <w:rPr>
                <w:sz w:val="22"/>
                <w:szCs w:val="22"/>
                <w:color w:val="auto"/>
              </w:rPr>
            </w:pPr>
          </w:p>
        </w:tc>
        <w:tc>
          <w:tcPr>
            <w:tcW w:w="9900" w:type="dxa"/>
            <w:vAlign w:val="bottom"/>
          </w:tcPr>
          <w:p>
            <w:pPr>
              <w:ind w:left="2860"/>
              <w:spacing w:after="0"/>
              <w:rPr>
                <w:sz w:val="20"/>
                <w:szCs w:val="20"/>
                <w:color w:val="auto"/>
              </w:rPr>
            </w:pPr>
            <w:r>
              <w:rPr>
                <w:rFonts w:ascii="Arial" w:cs="Arial" w:eastAsia="Arial" w:hAnsi="Arial"/>
                <w:sz w:val="20"/>
                <w:szCs w:val="20"/>
                <w:b w:val="1"/>
                <w:bCs w:val="1"/>
                <w:color w:val="auto"/>
              </w:rPr>
              <w:t>INTELLECTUAL PROPERTY RIGHTS</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6.1.</w:t>
            </w:r>
          </w:p>
        </w:tc>
        <w:tc>
          <w:tcPr>
            <w:tcW w:w="10560" w:type="dxa"/>
            <w:vAlign w:val="bottom"/>
            <w:gridSpan w:val="2"/>
          </w:tcPr>
          <w:p>
            <w:pPr>
              <w:ind w:left="20"/>
              <w:spacing w:after="0"/>
              <w:rPr>
                <w:sz w:val="20"/>
                <w:szCs w:val="20"/>
                <w:color w:val="auto"/>
              </w:rPr>
            </w:pPr>
            <w:r>
              <w:rPr>
                <w:rFonts w:ascii="Arial" w:cs="Arial" w:eastAsia="Arial" w:hAnsi="Arial"/>
                <w:sz w:val="20"/>
                <w:szCs w:val="20"/>
                <w:b w:val="1"/>
                <w:bCs w:val="1"/>
                <w:color w:val="auto"/>
                <w:w w:val="92"/>
              </w:rPr>
              <w:t>Ownership</w:t>
            </w:r>
            <w:r>
              <w:rPr>
                <w:rFonts w:ascii="Arial" w:cs="Arial" w:eastAsia="Arial" w:hAnsi="Arial"/>
                <w:sz w:val="20"/>
                <w:szCs w:val="20"/>
                <w:color w:val="auto"/>
                <w:w w:val="92"/>
              </w:rPr>
              <w:t>. Subject only to the rights expressly granted to the other Party under this Agreement, each Party will retain all rights,</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5"/>
              </w:rPr>
              <w:t>title, and interests in and to any Intellectual Property Rights that are owned, licensed, or sublicensed by such Party prior to or</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0"/>
              </w:rPr>
              <w:t>independent of this Agreement. All determinations of ownership of inventions invented, conceived, discovered, created, or otherwise</w:t>
            </w:r>
          </w:p>
        </w:tc>
      </w:tr>
      <w:tr>
        <w:trPr>
          <w:trHeight w:val="250"/>
        </w:trPr>
        <w:tc>
          <w:tcPr>
            <w:tcW w:w="860" w:type="dxa"/>
            <w:vAlign w:val="bottom"/>
          </w:tcPr>
          <w:p>
            <w:pPr>
              <w:spacing w:after="0"/>
              <w:rPr>
                <w:sz w:val="21"/>
                <w:szCs w:val="21"/>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rPr>
              <w:t>developed under this Agreement will be made in accordance with U.S. patent law.</w:t>
            </w:r>
          </w:p>
        </w:tc>
      </w:tr>
      <w:tr>
        <w:trPr>
          <w:trHeight w:val="446"/>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6.2.</w:t>
            </w:r>
          </w:p>
        </w:tc>
        <w:tc>
          <w:tcPr>
            <w:tcW w:w="10560" w:type="dxa"/>
            <w:vAlign w:val="bottom"/>
            <w:gridSpan w:val="2"/>
          </w:tcPr>
          <w:p>
            <w:pPr>
              <w:ind w:left="20"/>
              <w:spacing w:after="0"/>
              <w:rPr>
                <w:sz w:val="20"/>
                <w:szCs w:val="20"/>
                <w:color w:val="auto"/>
              </w:rPr>
            </w:pPr>
            <w:r>
              <w:rPr>
                <w:rFonts w:ascii="Arial" w:cs="Arial" w:eastAsia="Arial" w:hAnsi="Arial"/>
                <w:sz w:val="20"/>
                <w:szCs w:val="20"/>
                <w:b w:val="1"/>
                <w:bCs w:val="1"/>
                <w:color w:val="auto"/>
              </w:rPr>
              <w:t>Prosecution of Patent Rights</w:t>
            </w:r>
            <w:r>
              <w:rPr>
                <w:rFonts w:ascii="Arial" w:cs="Arial" w:eastAsia="Arial" w:hAnsi="Arial"/>
                <w:sz w:val="20"/>
                <w:szCs w:val="20"/>
                <w:color w:val="auto"/>
              </w:rPr>
              <w:t>.</w:t>
            </w:r>
          </w:p>
        </w:tc>
      </w:tr>
      <w:tr>
        <w:trPr>
          <w:trHeight w:val="425"/>
        </w:trPr>
        <w:tc>
          <w:tcPr>
            <w:tcW w:w="86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20"/>
                <w:szCs w:val="20"/>
                <w:color w:val="auto"/>
              </w:rPr>
              <w:t>6.2.1.</w:t>
            </w:r>
          </w:p>
        </w:tc>
        <w:tc>
          <w:tcPr>
            <w:tcW w:w="9900" w:type="dxa"/>
            <w:vAlign w:val="bottom"/>
          </w:tcPr>
          <w:p>
            <w:pPr>
              <w:ind w:left="220"/>
              <w:spacing w:after="0"/>
              <w:rPr>
                <w:sz w:val="20"/>
                <w:szCs w:val="20"/>
                <w:color w:val="auto"/>
              </w:rPr>
            </w:pPr>
            <w:r>
              <w:rPr>
                <w:rFonts w:ascii="Arial" w:cs="Arial" w:eastAsia="Arial" w:hAnsi="Arial"/>
                <w:sz w:val="20"/>
                <w:szCs w:val="20"/>
                <w:b w:val="1"/>
                <w:bCs w:val="1"/>
                <w:color w:val="auto"/>
                <w:w w:val="98"/>
              </w:rPr>
              <w:t>Prosecution by Licensee</w:t>
            </w:r>
            <w:r>
              <w:rPr>
                <w:rFonts w:ascii="Arial" w:cs="Arial" w:eastAsia="Arial" w:hAnsi="Arial"/>
                <w:sz w:val="20"/>
                <w:szCs w:val="20"/>
                <w:color w:val="auto"/>
                <w:w w:val="98"/>
              </w:rPr>
              <w:t>. Beginning on Effective Date, and except as otherwise provided in this Section 6.2.1</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7"/>
              </w:rPr>
              <w:t>(Prosecution by Licensee), as between the Parties, Licensee will have the first right and authority to prepare, file,</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7"/>
              </w:rPr>
              <w:t>Prosecute, and maintain the Licensor Patent Rights in the Territory. Licensee will bear all costs and expenses of</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1"/>
              </w:rPr>
              <w:t>preparation, filing, Prosecution, and maintenance of such Patent Rights in the Territory. Licensee will provide Licensor a</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3"/>
              </w:rPr>
              <w:t>reasonable opportunity to review and comment on material communications from any patent authority in the Territory</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3"/>
              </w:rPr>
              <w:t>regarding the Licensor Patent Rights, as well as drafts of any material filings or responses to be made to such patent</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3"/>
              </w:rPr>
              <w:t>authorities in advance of submitting such filings or responses. Licensee will consider Licensor’s comments regarding</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6"/>
              </w:rPr>
              <w:t>such communications and drafts in good faith. In addition, Licensee will provide Licensor with (a) copies of all final</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2"/>
              </w:rPr>
              <w:t>material filings and responses made to any Patent Office with respect to the Licensor Patent Rights in a timely manner</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2"/>
              </w:rPr>
              <w:t>following submission thereof, and (b) a report each Calendar Year detailing the status of all Licensor Patent Rights that</w:t>
            </w:r>
          </w:p>
        </w:tc>
      </w:tr>
      <w:tr>
        <w:trPr>
          <w:trHeight w:val="250"/>
        </w:trPr>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rPr>
              <w:t>Licensee is Prosecuting or maintaining.</w:t>
            </w:r>
          </w:p>
        </w:tc>
      </w:tr>
      <w:tr>
        <w:trPr>
          <w:trHeight w:val="425"/>
        </w:trPr>
        <w:tc>
          <w:tcPr>
            <w:tcW w:w="86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20"/>
                <w:szCs w:val="20"/>
                <w:color w:val="auto"/>
              </w:rPr>
              <w:t>6.2.2.</w:t>
            </w:r>
          </w:p>
        </w:tc>
        <w:tc>
          <w:tcPr>
            <w:tcW w:w="9900" w:type="dxa"/>
            <w:vAlign w:val="bottom"/>
          </w:tcPr>
          <w:p>
            <w:pPr>
              <w:ind w:left="220"/>
              <w:spacing w:after="0"/>
              <w:rPr>
                <w:sz w:val="20"/>
                <w:szCs w:val="20"/>
                <w:color w:val="auto"/>
              </w:rPr>
            </w:pPr>
            <w:r>
              <w:rPr>
                <w:rFonts w:ascii="Arial" w:cs="Arial" w:eastAsia="Arial" w:hAnsi="Arial"/>
                <w:sz w:val="20"/>
                <w:szCs w:val="20"/>
                <w:b w:val="1"/>
                <w:bCs w:val="1"/>
                <w:color w:val="auto"/>
                <w:w w:val="91"/>
              </w:rPr>
              <w:t>Prosecution by Licensor</w:t>
            </w:r>
            <w:r>
              <w:rPr>
                <w:rFonts w:ascii="Arial" w:cs="Arial" w:eastAsia="Arial" w:hAnsi="Arial"/>
                <w:sz w:val="20"/>
                <w:szCs w:val="20"/>
                <w:color w:val="auto"/>
                <w:w w:val="91"/>
              </w:rPr>
              <w:t>. If Licensee determines in its sole discretion to abandon, not to maintain, or not to pursue the</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1"/>
              </w:rPr>
              <w:t>Prosecution and issuance of any Licensor Patent Right, then Licensee will provide Licensor with written notice promptly</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0"/>
              </w:rPr>
              <w:t>after any such determination to allow Licensor a reasonable period of time to determine, on a country-by-country basis in</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4"/>
              </w:rPr>
              <w:t>its sole discretion, its interest in filing, Prosecuting, or maintaining such Patent Right in the Territory (which notice by</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89"/>
              </w:rPr>
              <w:t>Licensee will be given no later than 30 days prior to the final deadline for any pending action or response that may be due</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6"/>
              </w:rPr>
              <w:t>with respect to such Patent Right with the applicable Patent Office). If Licensor provides written notice to Licensee</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0"/>
              </w:rPr>
              <w:t>expressing its interest in maintaining such Licensor Patent Right, then, with respect to such Licensor Patent Right in such</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6"/>
              </w:rPr>
              <w:t>country in the Territory, (a) Licensor may, in its sole discretion and at Licensor’s cost and expense, Prosecute and</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2"/>
              </w:rPr>
              <w:t>maintain or abandon such Patent Right; (b) such Patent Right will no longer be a Licensor Patent Right for purposes of</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2"/>
              </w:rPr>
              <w:t>this Agreement; and (c) Licensee will promptly (i) provide to Licensor or counsel designated by Licensor all files related</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6"/>
              </w:rPr>
              <w:t>to filing, Prosecuting, and maintaining such Patent Right, (ii) provide to Licensor a report detailing the status of all</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1"/>
              </w:rPr>
              <w:t>Licensor Patent Rights that Licensee is Prosecuting or maintaining as of the applicable date of such notice by Licensee,</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89"/>
              </w:rPr>
              <w:t>and (iii) Licensee will provide all assistance reasonably requested by Licensor in Licensor’s Prosecution and maintenance</w:t>
            </w:r>
          </w:p>
        </w:tc>
      </w:tr>
      <w:tr>
        <w:trPr>
          <w:trHeight w:val="230"/>
        </w:trPr>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6"/>
              </w:rPr>
              <w:t>of the applicable Licensor Patent Rights (including by executing all requested documents and providing additional</w:t>
            </w:r>
          </w:p>
        </w:tc>
      </w:tr>
      <w:tr>
        <w:trPr>
          <w:trHeight w:val="250"/>
        </w:trPr>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rPr>
              <w:t>information with respect to the applicable Licensor Patent Rights).</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6.3.</w:t>
            </w:r>
          </w:p>
        </w:tc>
        <w:tc>
          <w:tcPr>
            <w:tcW w:w="10560" w:type="dxa"/>
            <w:vAlign w:val="bottom"/>
            <w:gridSpan w:val="2"/>
          </w:tcPr>
          <w:p>
            <w:pPr>
              <w:ind w:left="20"/>
              <w:spacing w:after="0"/>
              <w:rPr>
                <w:sz w:val="20"/>
                <w:szCs w:val="20"/>
                <w:color w:val="auto"/>
              </w:rPr>
            </w:pPr>
            <w:r>
              <w:rPr>
                <w:rFonts w:ascii="Arial" w:cs="Arial" w:eastAsia="Arial" w:hAnsi="Arial"/>
                <w:sz w:val="20"/>
                <w:szCs w:val="20"/>
                <w:b w:val="1"/>
                <w:bCs w:val="1"/>
                <w:color w:val="auto"/>
                <w:w w:val="92"/>
              </w:rPr>
              <w:t>Patent Term Extensions</w:t>
            </w:r>
            <w:r>
              <w:rPr>
                <w:rFonts w:ascii="Arial" w:cs="Arial" w:eastAsia="Arial" w:hAnsi="Arial"/>
                <w:sz w:val="20"/>
                <w:szCs w:val="20"/>
                <w:color w:val="auto"/>
                <w:w w:val="92"/>
              </w:rPr>
              <w:t>. Licensee will have the right to decide for which, if any, of the Patent Rights within the Licensor Patent</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3"/>
              </w:rPr>
              <w:t>Rights the Parties should seek patent term extensions in the Territory. Licensee will inform Licensor of its decision. Licensee will</w:t>
            </w:r>
          </w:p>
        </w:tc>
      </w:tr>
      <w:tr>
        <w:trPr>
          <w:trHeight w:val="250"/>
        </w:trPr>
        <w:tc>
          <w:tcPr>
            <w:tcW w:w="860" w:type="dxa"/>
            <w:vAlign w:val="bottom"/>
          </w:tcPr>
          <w:p>
            <w:pPr>
              <w:spacing w:after="0"/>
              <w:rPr>
                <w:sz w:val="21"/>
                <w:szCs w:val="21"/>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6"/>
              </w:rPr>
              <w:t>be responsible for applying for the patent term extension. Licensee will be responsible for all expenses associated with any</w:t>
            </w:r>
          </w:p>
        </w:tc>
      </w:tr>
    </w:tbl>
    <w:p>
      <w:pPr>
        <w:spacing w:after="0" w:line="200" w:lineRule="exact"/>
        <w:rPr>
          <w:sz w:val="20"/>
          <w:szCs w:val="20"/>
          <w:color w:val="auto"/>
        </w:rPr>
      </w:pPr>
    </w:p>
    <w:p>
      <w:pPr>
        <w:spacing w:after="0" w:line="2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- 24 -</w:t>
      </w:r>
    </w:p>
    <w:p>
      <w:pPr>
        <w:spacing w:after="0" w:line="12" w:lineRule="exact"/>
        <w:rPr>
          <w:sz w:val="20"/>
          <w:szCs w:val="20"/>
          <w:color w:val="auto"/>
        </w:rPr>
      </w:pPr>
    </w:p>
    <w:p>
      <w:pPr>
        <w:ind w:right="740" w:firstLine="8"/>
        <w:spacing w:after="0" w:line="226" w:lineRule="auto"/>
        <w:tabs>
          <w:tab w:leader="none" w:pos="2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2" w:name="page163"/>
    <w:bookmarkEnd w:id="162"/>
    <w:p>
      <w:pPr>
        <w:ind w:left="880"/>
        <w:spacing w:after="0"/>
        <w:rPr>
          <w:sz w:val="20"/>
          <w:szCs w:val="20"/>
          <w:color w:val="auto"/>
        </w:rPr>
      </w:pPr>
      <w:r>
        <w:rPr>
          <w:rFonts w:ascii="Arial" w:cs="Arial" w:eastAsia="Arial" w:hAnsi="Arial"/>
          <w:sz w:val="20"/>
          <w:szCs w:val="20"/>
          <w:color w:val="auto"/>
        </w:rPr>
        <w:t>such patent term extension, including any Third Party expenses incurred by Licensor in furtherance of such filing.</w:t>
      </w:r>
    </w:p>
    <w:p>
      <w:pPr>
        <w:spacing w:after="0" w:line="210"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8"/>
          <w:szCs w:val="18"/>
          <w:b w:val="1"/>
          <w:bCs w:val="1"/>
          <w:color w:val="auto"/>
        </w:rPr>
        <w:t>Infringement of Patent Rights by Third Parties</w:t>
      </w:r>
      <w:r>
        <w:rPr>
          <w:rFonts w:ascii="Arial" w:cs="Arial" w:eastAsia="Arial" w:hAnsi="Arial"/>
          <w:sz w:val="18"/>
          <w:szCs w:val="18"/>
          <w:color w:val="auto"/>
        </w:rPr>
        <w:t>.</w:t>
      </w:r>
    </w:p>
    <w:p>
      <w:pPr>
        <w:spacing w:after="0" w:line="216" w:lineRule="exact"/>
        <w:rPr>
          <w:sz w:val="20"/>
          <w:szCs w:val="20"/>
          <w:color w:val="auto"/>
        </w:rPr>
      </w:pPr>
    </w:p>
    <w:p>
      <w:pPr>
        <w:jc w:val="both"/>
        <w:ind w:left="1740" w:right="20" w:hanging="863"/>
        <w:spacing w:after="0" w:line="273" w:lineRule="auto"/>
        <w:tabs>
          <w:tab w:leader="none" w:pos="1720" w:val="left"/>
        </w:tabs>
        <w:rPr>
          <w:sz w:val="20"/>
          <w:szCs w:val="20"/>
          <w:color w:val="auto"/>
        </w:rPr>
      </w:pPr>
      <w:r>
        <w:rPr>
          <w:rFonts w:ascii="Arial" w:cs="Arial" w:eastAsia="Arial" w:hAnsi="Arial"/>
          <w:sz w:val="20"/>
          <w:szCs w:val="20"/>
          <w:color w:val="auto"/>
        </w:rPr>
        <w:t>6.4.1.</w:t>
      </w:r>
      <w:r>
        <w:rPr>
          <w:sz w:val="20"/>
          <w:szCs w:val="20"/>
          <w:color w:val="auto"/>
        </w:rPr>
        <w:tab/>
      </w:r>
      <w:r>
        <w:rPr>
          <w:rFonts w:ascii="Arial" w:cs="Arial" w:eastAsia="Arial" w:hAnsi="Arial"/>
          <w:sz w:val="19"/>
          <w:szCs w:val="19"/>
          <w:b w:val="1"/>
          <w:bCs w:val="1"/>
          <w:color w:val="auto"/>
        </w:rPr>
        <w:t>Notification</w:t>
      </w:r>
      <w:r>
        <w:rPr>
          <w:rFonts w:ascii="Arial" w:cs="Arial" w:eastAsia="Arial" w:hAnsi="Arial"/>
          <w:sz w:val="19"/>
          <w:szCs w:val="19"/>
          <w:color w:val="auto"/>
        </w:rPr>
        <w:t>. Each Party will promptly notify the other Party in writing of any existing, alleged, or threatened</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misappropriation, or other violation of the Licensor Patent Rights in the Territory of which it becomes aware, and will provide all information in such Party’s possession or Control demonstrating such infringement.</w:t>
      </w:r>
    </w:p>
    <w:p>
      <w:pPr>
        <w:spacing w:after="0" w:line="159"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0"/>
          <w:szCs w:val="20"/>
          <w:color w:val="auto"/>
        </w:rPr>
        <w:t>6.4.2.</w:t>
      </w:r>
      <w:r>
        <w:rPr>
          <w:sz w:val="20"/>
          <w:szCs w:val="20"/>
          <w:color w:val="auto"/>
        </w:rPr>
        <w:tab/>
      </w:r>
      <w:r>
        <w:rPr>
          <w:rFonts w:ascii="Arial" w:cs="Arial" w:eastAsia="Arial" w:hAnsi="Arial"/>
          <w:sz w:val="18"/>
          <w:szCs w:val="18"/>
          <w:b w:val="1"/>
          <w:bCs w:val="1"/>
          <w:color w:val="auto"/>
        </w:rPr>
        <w:t>Infringement Actions</w:t>
      </w:r>
      <w:r>
        <w:rPr>
          <w:rFonts w:ascii="Arial" w:cs="Arial" w:eastAsia="Arial" w:hAnsi="Arial"/>
          <w:sz w:val="18"/>
          <w:szCs w:val="18"/>
          <w:color w:val="auto"/>
        </w:rPr>
        <w:t>.</w:t>
      </w:r>
    </w:p>
    <w:p>
      <w:pPr>
        <w:spacing w:after="0" w:line="222" w:lineRule="exact"/>
        <w:rPr>
          <w:sz w:val="20"/>
          <w:szCs w:val="20"/>
          <w:color w:val="auto"/>
        </w:rPr>
      </w:pPr>
    </w:p>
    <w:p>
      <w:pPr>
        <w:jc w:val="both"/>
        <w:ind w:left="2620" w:hanging="870"/>
        <w:spacing w:after="0" w:line="260" w:lineRule="auto"/>
        <w:tabs>
          <w:tab w:leader="none" w:pos="2620"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Licensee Right</w:t>
      </w:r>
      <w:r>
        <w:rPr>
          <w:rFonts w:ascii="Arial" w:cs="Arial" w:eastAsia="Arial" w:hAnsi="Arial"/>
          <w:sz w:val="19"/>
          <w:szCs w:val="19"/>
          <w:color w:val="auto"/>
        </w:rPr>
        <w:t>. Licensee will have the first right, but not the obligation, to bring an appropriate suit or other action against any Third Party engaged in any existing, alleged, or threatened infringement or other violation of any Licensor Patent Right related to [*] (a “</w:t>
      </w:r>
      <w:r>
        <w:rPr>
          <w:rFonts w:ascii="Arial" w:cs="Arial" w:eastAsia="Arial" w:hAnsi="Arial"/>
          <w:sz w:val="19"/>
          <w:szCs w:val="19"/>
          <w:b w:val="1"/>
          <w:bCs w:val="1"/>
          <w:color w:val="auto"/>
        </w:rPr>
        <w:t>Licensed Product Infringement</w:t>
      </w:r>
      <w:r>
        <w:rPr>
          <w:rFonts w:ascii="Arial" w:cs="Arial" w:eastAsia="Arial" w:hAnsi="Arial"/>
          <w:sz w:val="19"/>
          <w:szCs w:val="19"/>
          <w:color w:val="auto"/>
        </w:rPr>
        <w:t>”). Licensor will have the sole right to bring an appropriate suit or other action against any Third Party engaged in any existing, alleged, or threatened infringement or other violation of any Licensor Patent Right.</w:t>
      </w:r>
    </w:p>
    <w:p>
      <w:pPr>
        <w:spacing w:after="0" w:line="180" w:lineRule="exact"/>
        <w:rPr>
          <w:rFonts w:ascii="Arial" w:cs="Arial" w:eastAsia="Arial" w:hAnsi="Arial"/>
          <w:sz w:val="19"/>
          <w:szCs w:val="19"/>
          <w:color w:val="auto"/>
        </w:rPr>
      </w:pPr>
    </w:p>
    <w:p>
      <w:pPr>
        <w:jc w:val="both"/>
        <w:ind w:left="2620" w:hanging="870"/>
        <w:spacing w:after="0" w:line="257" w:lineRule="auto"/>
        <w:tabs>
          <w:tab w:leader="none" w:pos="2620"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Licensor’s Right</w:t>
      </w:r>
      <w:r>
        <w:rPr>
          <w:rFonts w:ascii="Arial" w:cs="Arial" w:eastAsia="Arial" w:hAnsi="Arial"/>
          <w:sz w:val="19"/>
          <w:szCs w:val="19"/>
          <w:color w:val="auto"/>
        </w:rPr>
        <w:t>. Licensee will notify Licensor of its decision as to whether to take any action in accordance with Section 6.4.2(a) (Infringement Action in the Territory; Licensee’s Right) at least [*] Business Days before any time limit set forth in an Applicable Law or regulation, including the time limits set forth under the Hatch-Waxman Act (21 U.S.C. § 355) or within [*] after being notified of such Licensed Product Infringement, whichever is shorter. If Licensee decides not to take such action, then Licensee will so notify Licensor in writing, and Licensor will have the second right, but not the obligation, to commence a suit or take action to enforce the applicable Patent Right against such Third Party perpetrating such Licensed Product Infringement in the Territory at its own expense.</w:t>
      </w:r>
    </w:p>
    <w:p>
      <w:pPr>
        <w:spacing w:after="0" w:line="181" w:lineRule="exact"/>
        <w:rPr>
          <w:rFonts w:ascii="Arial" w:cs="Arial" w:eastAsia="Arial" w:hAnsi="Arial"/>
          <w:sz w:val="19"/>
          <w:szCs w:val="19"/>
          <w:color w:val="auto"/>
        </w:rPr>
      </w:pPr>
    </w:p>
    <w:p>
      <w:pPr>
        <w:jc w:val="both"/>
        <w:ind w:left="2620" w:hanging="870"/>
        <w:spacing w:after="0" w:line="271" w:lineRule="auto"/>
        <w:tabs>
          <w:tab w:leader="none" w:pos="262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Each Party will provide to the Party enforcing any such rights under this Section 6.4.2 (Infringement of Patent Rights by Third Parties) reasonable assistance in such enforcement, at such enforcing Party’s request and expense, including joining such action as a party plaintiff if required by Applicable Law to pursue such action or providing the enforcing Party any reasonably requested documentation or other materials. The enforcing Party will keep the other Party regularly informed of the status and progress of such enforcement efforts, including providing the other Party a reasonable opportunity to comment on the enforcing Party’s determination of litigation strategy and the filing of important papers to the competent court and the enforcing Party will consider such comments in good faith. If one Party elects to bring suit or take action against the Licensed Product Infringement, then the other Party will have the right, during or prior to commencement of the trial, suit, or action, to join any such suit or action at such Party’s own expense.</w:t>
      </w:r>
    </w:p>
    <w:p>
      <w:pPr>
        <w:spacing w:after="0" w:line="174" w:lineRule="exact"/>
        <w:rPr>
          <w:rFonts w:ascii="Arial" w:cs="Arial" w:eastAsia="Arial" w:hAnsi="Arial"/>
          <w:sz w:val="18"/>
          <w:szCs w:val="18"/>
          <w:color w:val="auto"/>
        </w:rPr>
      </w:pPr>
    </w:p>
    <w:p>
      <w:pPr>
        <w:jc w:val="both"/>
        <w:ind w:left="2620" w:hanging="870"/>
        <w:spacing w:after="0" w:line="263" w:lineRule="auto"/>
        <w:tabs>
          <w:tab w:leader="none" w:pos="2620"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Subject to Section 6.4.2(f) (Allocation of Proceeds), the enforcing Party will be solely responsible for all expenses arising from a suit or action against a Licensed Product Infringement. For the avoidance of doubt, the enforcing Party will not be responsible for the other Party’s internal expenses (</w:t>
      </w:r>
      <w:r>
        <w:rPr>
          <w:rFonts w:ascii="Arial" w:cs="Arial" w:eastAsia="Arial" w:hAnsi="Arial"/>
          <w:sz w:val="19"/>
          <w:szCs w:val="19"/>
          <w:i w:val="1"/>
          <w:iCs w:val="1"/>
          <w:color w:val="auto"/>
        </w:rPr>
        <w:t>e.g.</w:t>
      </w:r>
      <w:r>
        <w:rPr>
          <w:rFonts w:ascii="Arial" w:cs="Arial" w:eastAsia="Arial" w:hAnsi="Arial"/>
          <w:sz w:val="19"/>
          <w:szCs w:val="19"/>
          <w:color w:val="auto"/>
        </w:rPr>
        <w:t>, FTEs) incurred as a result of the other Party’s cooperation with the enforcement action as provided</w:t>
      </w:r>
    </w:p>
    <w:p>
      <w:pPr>
        <w:spacing w:after="0" w:line="39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- 25 -</w:t>
      </w:r>
    </w:p>
    <w:p>
      <w:pPr>
        <w:spacing w:after="0" w:line="12" w:lineRule="exact"/>
        <w:rPr>
          <w:sz w:val="20"/>
          <w:szCs w:val="20"/>
          <w:color w:val="auto"/>
        </w:rPr>
      </w:pPr>
    </w:p>
    <w:p>
      <w:pPr>
        <w:ind w:right="740" w:firstLine="8"/>
        <w:spacing w:after="0" w:line="226" w:lineRule="auto"/>
        <w:tabs>
          <w:tab w:leader="none" w:pos="2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63" w:name="page164"/>
    <w:bookmarkEnd w:id="163"/>
    <w:p>
      <w:pPr>
        <w:jc w:val="both"/>
        <w:ind w:left="2620"/>
        <w:spacing w:after="0" w:line="246" w:lineRule="auto"/>
        <w:rPr>
          <w:sz w:val="20"/>
          <w:szCs w:val="20"/>
          <w:color w:val="auto"/>
        </w:rPr>
      </w:pPr>
      <w:r>
        <w:rPr>
          <w:rFonts w:ascii="Arial" w:cs="Arial" w:eastAsia="Arial" w:hAnsi="Arial"/>
          <w:sz w:val="20"/>
          <w:szCs w:val="20"/>
          <w:color w:val="auto"/>
        </w:rPr>
        <w:t>in this Section 6.4.2 (Infringement Actions). The Party not bringing an action with respect to a Licensed Product Infringement in the Territory under this Section 6.4.2 (Infringement Actions) will be entitled to separate representation in such matter by counsel of its own choice and at its own expense, but such Party will at all times cooperate fully with the Party bringing such action.</w:t>
      </w:r>
    </w:p>
    <w:p>
      <w:pPr>
        <w:spacing w:after="0" w:line="192" w:lineRule="exact"/>
        <w:rPr>
          <w:sz w:val="20"/>
          <w:szCs w:val="20"/>
          <w:color w:val="auto"/>
        </w:rPr>
      </w:pPr>
    </w:p>
    <w:p>
      <w:pPr>
        <w:jc w:val="both"/>
        <w:ind w:left="2620" w:hanging="870"/>
        <w:spacing w:after="0" w:line="291" w:lineRule="auto"/>
        <w:tabs>
          <w:tab w:leader="none" w:pos="262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Neither Party will settle any claim, suit, or action that it brought under this Section 6.4.2 (Infringement Actions in the Territory) that could reasonably be expected to affect the other Party’s rights or interests without the prior written consent of the other Party, which consent will not be unreasonably withheld.</w:t>
      </w:r>
    </w:p>
    <w:p>
      <w:pPr>
        <w:spacing w:after="0" w:line="151" w:lineRule="exact"/>
        <w:rPr>
          <w:rFonts w:ascii="Arial" w:cs="Arial" w:eastAsia="Arial" w:hAnsi="Arial"/>
          <w:sz w:val="18"/>
          <w:szCs w:val="18"/>
          <w:color w:val="auto"/>
        </w:rPr>
      </w:pPr>
    </w:p>
    <w:p>
      <w:pPr>
        <w:jc w:val="both"/>
        <w:ind w:left="2620" w:hanging="870"/>
        <w:spacing w:after="0" w:line="243" w:lineRule="auto"/>
        <w:tabs>
          <w:tab w:leader="none" w:pos="262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Allocation of Proceeds</w:t>
      </w:r>
      <w:r>
        <w:rPr>
          <w:rFonts w:ascii="Arial" w:cs="Arial" w:eastAsia="Arial" w:hAnsi="Arial"/>
          <w:sz w:val="20"/>
          <w:szCs w:val="20"/>
          <w:color w:val="auto"/>
        </w:rPr>
        <w:t>. If either Party recovers monetary damages from any Third Party in a suit in the Territory pursuant to this Section 6.4.2 (Infringement Actions) or any royalties from a license agreement with a Third Party related to any alleged Licensed Product Infringement, whether or not such damages or royalties result from the infringement of Licensor Patent Rights, such recovery will be allocated first to the reimbursement of any expenses incurred by each Party in such litigation, action, or license, and any remaining amounts will be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6.5.</w:t>
            </w:r>
          </w:p>
        </w:tc>
        <w:tc>
          <w:tcPr>
            <w:tcW w:w="10560" w:type="dxa"/>
            <w:vAlign w:val="bottom"/>
            <w:gridSpan w:val="2"/>
          </w:tcPr>
          <w:p>
            <w:pPr>
              <w:ind w:left="20"/>
              <w:spacing w:after="0"/>
              <w:rPr>
                <w:sz w:val="20"/>
                <w:szCs w:val="20"/>
                <w:color w:val="auto"/>
              </w:rPr>
            </w:pPr>
            <w:r>
              <w:rPr>
                <w:rFonts w:ascii="Arial" w:cs="Arial" w:eastAsia="Arial" w:hAnsi="Arial"/>
                <w:sz w:val="20"/>
                <w:szCs w:val="20"/>
                <w:b w:val="1"/>
                <w:bCs w:val="1"/>
                <w:color w:val="auto"/>
                <w:w w:val="92"/>
              </w:rPr>
              <w:t>Patent Challenges</w:t>
            </w:r>
            <w:r>
              <w:rPr>
                <w:rFonts w:ascii="Arial" w:cs="Arial" w:eastAsia="Arial" w:hAnsi="Arial"/>
                <w:sz w:val="20"/>
                <w:szCs w:val="20"/>
                <w:color w:val="auto"/>
                <w:w w:val="92"/>
              </w:rPr>
              <w:t>.  If any Licensor Patent Right becomes the subject of any Challenge commenced by a Third Party within the</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1"/>
              </w:rPr>
              <w:t>Territory, then the Party responsible for filing, preparing, Prosecuting, and maintaining such Patent Right as set forth in Section 6.2</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3"/>
              </w:rPr>
              <w:t>(Prosecution of Patent Rights), will control such defense at its own expense. The controlling Party will permit the non-controlling</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6"/>
              </w:rPr>
              <w:t>Party to participate in the proceeding to the extent permissible under Applicable Law, consider in good faith any reasonable</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0"/>
              </w:rPr>
              <w:t>comments of the non-controlling Party and allow the non-controlling Party to be represented by its own counsel in such proceeding,</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89"/>
              </w:rPr>
              <w:t>at the non-controlling Party’s expense. If either Party decides that it does not wish to defend against such action, then the other Party</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4"/>
              </w:rPr>
              <w:t>will have a backup right to assume defense of such Third Party action at its own expense.  Any awards or amounts received in</w:t>
            </w:r>
          </w:p>
        </w:tc>
      </w:tr>
      <w:tr>
        <w:trPr>
          <w:trHeight w:val="250"/>
        </w:trPr>
        <w:tc>
          <w:tcPr>
            <w:tcW w:w="860" w:type="dxa"/>
            <w:vAlign w:val="bottom"/>
          </w:tcPr>
          <w:p>
            <w:pPr>
              <w:spacing w:after="0"/>
              <w:rPr>
                <w:sz w:val="21"/>
                <w:szCs w:val="21"/>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0"/>
              </w:rPr>
              <w:t>defending any such Third Party action will be allocated between the Parties as provided in Section 6.4.2(f) (Allocation of Proceeds).</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6.6.</w:t>
            </w:r>
          </w:p>
        </w:tc>
        <w:tc>
          <w:tcPr>
            <w:tcW w:w="10560" w:type="dxa"/>
            <w:vAlign w:val="bottom"/>
            <w:gridSpan w:val="2"/>
          </w:tcPr>
          <w:p>
            <w:pPr>
              <w:ind w:left="20"/>
              <w:spacing w:after="0"/>
              <w:rPr>
                <w:sz w:val="20"/>
                <w:szCs w:val="20"/>
                <w:color w:val="auto"/>
              </w:rPr>
            </w:pPr>
            <w:r>
              <w:rPr>
                <w:rFonts w:ascii="Arial" w:cs="Arial" w:eastAsia="Arial" w:hAnsi="Arial"/>
                <w:sz w:val="20"/>
                <w:szCs w:val="20"/>
                <w:b w:val="1"/>
                <w:bCs w:val="1"/>
                <w:color w:val="auto"/>
                <w:w w:val="92"/>
              </w:rPr>
              <w:t>Common Interest</w:t>
            </w:r>
            <w:r>
              <w:rPr>
                <w:rFonts w:ascii="Arial" w:cs="Arial" w:eastAsia="Arial" w:hAnsi="Arial"/>
                <w:sz w:val="20"/>
                <w:szCs w:val="20"/>
                <w:color w:val="auto"/>
                <w:w w:val="92"/>
              </w:rPr>
              <w:t>. All information exchanged between the Parties representatives pursuant to this Article 6 (Intellectual Property</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0"/>
              </w:rPr>
              <w:t>Rights) regarding the preparation, filing, Prosecution, maintenance, or enforcement of Patent Rights, including copies of any draft or</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1"/>
              </w:rPr>
              <w:t>final documents or any communications received from or sent to Patent Offices or patenting authorities with respect to such Patent</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7"/>
              </w:rPr>
              <w:t>Rights, except to the extent publicly disclosed by such Patent Offices or patenting authorities, will be the disclosing Party’s</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2"/>
              </w:rPr>
              <w:t>Confidential Information. In addition, the Parties acknowledge and agree that, with regard to such preparation, filing, Prosecution,</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1"/>
              </w:rPr>
              <w:t>maintenance, and enforcement of the Licensor Patent Rights the interests of the Parties as licensor and licensee are to obtain the</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0"/>
              </w:rPr>
              <w:t>strongest patent protection possible, and as such, are aligned and are legal in nature. The Parties agree and acknowledge that they</w:t>
            </w:r>
          </w:p>
        </w:tc>
      </w:tr>
      <w:tr>
        <w:trPr>
          <w:trHeight w:val="230"/>
        </w:trPr>
        <w:tc>
          <w:tcPr>
            <w:tcW w:w="860" w:type="dxa"/>
            <w:vAlign w:val="bottom"/>
          </w:tcPr>
          <w:p>
            <w:pPr>
              <w:spacing w:after="0"/>
              <w:rPr>
                <w:sz w:val="19"/>
                <w:szCs w:val="19"/>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w w:val="90"/>
              </w:rPr>
              <w:t>have not waived, and nothing in this Agreement constitutes a waiver of, any legal privilege concerning such Patent Rights, including</w:t>
            </w:r>
          </w:p>
        </w:tc>
      </w:tr>
      <w:tr>
        <w:trPr>
          <w:trHeight w:val="250"/>
        </w:trPr>
        <w:tc>
          <w:tcPr>
            <w:tcW w:w="860" w:type="dxa"/>
            <w:vAlign w:val="bottom"/>
          </w:tcPr>
          <w:p>
            <w:pPr>
              <w:spacing w:after="0"/>
              <w:rPr>
                <w:sz w:val="21"/>
                <w:szCs w:val="21"/>
                <w:color w:val="auto"/>
              </w:rPr>
            </w:pPr>
          </w:p>
        </w:tc>
        <w:tc>
          <w:tcPr>
            <w:tcW w:w="10560" w:type="dxa"/>
            <w:vAlign w:val="bottom"/>
            <w:gridSpan w:val="2"/>
          </w:tcPr>
          <w:p>
            <w:pPr>
              <w:ind w:left="20"/>
              <w:spacing w:after="0"/>
              <w:rPr>
                <w:sz w:val="20"/>
                <w:szCs w:val="20"/>
                <w:color w:val="auto"/>
              </w:rPr>
            </w:pPr>
            <w:r>
              <w:rPr>
                <w:rFonts w:ascii="Arial" w:cs="Arial" w:eastAsia="Arial" w:hAnsi="Arial"/>
                <w:sz w:val="20"/>
                <w:szCs w:val="20"/>
                <w:color w:val="auto"/>
              </w:rPr>
              <w:t>privilege under the common interest doctrine and similar or related doctrines.</w:t>
            </w:r>
          </w:p>
        </w:tc>
      </w:tr>
      <w:tr>
        <w:trPr>
          <w:trHeight w:val="446"/>
        </w:trPr>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97"/>
              </w:rPr>
              <w:t>Article 7.</w:t>
            </w:r>
          </w:p>
        </w:tc>
        <w:tc>
          <w:tcPr>
            <w:tcW w:w="660" w:type="dxa"/>
            <w:vAlign w:val="bottom"/>
          </w:tcPr>
          <w:p>
            <w:pPr>
              <w:spacing w:after="0"/>
              <w:rPr>
                <w:sz w:val="24"/>
                <w:szCs w:val="24"/>
                <w:color w:val="auto"/>
              </w:rPr>
            </w:pPr>
          </w:p>
        </w:tc>
        <w:tc>
          <w:tcPr>
            <w:tcW w:w="9900" w:type="dxa"/>
            <w:vAlign w:val="bottom"/>
          </w:tcPr>
          <w:p>
            <w:pPr>
              <w:ind w:left="3680"/>
              <w:spacing w:after="0"/>
              <w:rPr>
                <w:sz w:val="20"/>
                <w:szCs w:val="20"/>
                <w:color w:val="auto"/>
              </w:rPr>
            </w:pPr>
            <w:r>
              <w:rPr>
                <w:rFonts w:ascii="Arial" w:cs="Arial" w:eastAsia="Arial" w:hAnsi="Arial"/>
                <w:sz w:val="20"/>
                <w:szCs w:val="20"/>
                <w:b w:val="1"/>
                <w:bCs w:val="1"/>
                <w:color w:val="auto"/>
              </w:rPr>
              <w:t>CONFIDENTIALITY</w:t>
            </w:r>
          </w:p>
        </w:tc>
      </w:tr>
      <w:tr>
        <w:trPr>
          <w:trHeight w:val="446"/>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7.1.</w:t>
            </w:r>
          </w:p>
        </w:tc>
        <w:tc>
          <w:tcPr>
            <w:tcW w:w="10560" w:type="dxa"/>
            <w:vAlign w:val="bottom"/>
            <w:gridSpan w:val="2"/>
          </w:tcPr>
          <w:p>
            <w:pPr>
              <w:ind w:left="20"/>
              <w:spacing w:after="0"/>
              <w:rPr>
                <w:sz w:val="20"/>
                <w:szCs w:val="20"/>
                <w:color w:val="auto"/>
              </w:rPr>
            </w:pPr>
            <w:r>
              <w:rPr>
                <w:rFonts w:ascii="Arial" w:cs="Arial" w:eastAsia="Arial" w:hAnsi="Arial"/>
                <w:sz w:val="20"/>
                <w:szCs w:val="20"/>
                <w:b w:val="1"/>
                <w:bCs w:val="1"/>
                <w:color w:val="auto"/>
              </w:rPr>
              <w:t>Confidential Information</w:t>
            </w:r>
            <w:r>
              <w:rPr>
                <w:rFonts w:ascii="Arial" w:cs="Arial" w:eastAsia="Arial" w:hAnsi="Arial"/>
                <w:sz w:val="20"/>
                <w:szCs w:val="20"/>
                <w:color w:val="auto"/>
              </w:rPr>
              <w:t>.</w:t>
            </w:r>
          </w:p>
        </w:tc>
      </w:tr>
      <w:tr>
        <w:trPr>
          <w:trHeight w:val="419"/>
        </w:trPr>
        <w:tc>
          <w:tcPr>
            <w:tcW w:w="86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20"/>
                <w:szCs w:val="20"/>
                <w:color w:val="auto"/>
              </w:rPr>
              <w:t>7.1.1.</w:t>
            </w:r>
          </w:p>
        </w:tc>
        <w:tc>
          <w:tcPr>
            <w:tcW w:w="9900" w:type="dxa"/>
            <w:vAlign w:val="bottom"/>
          </w:tcPr>
          <w:p>
            <w:pPr>
              <w:ind w:left="220"/>
              <w:spacing w:after="0"/>
              <w:rPr>
                <w:sz w:val="20"/>
                <w:szCs w:val="20"/>
                <w:color w:val="auto"/>
              </w:rPr>
            </w:pPr>
            <w:r>
              <w:rPr>
                <w:rFonts w:ascii="Arial" w:cs="Arial" w:eastAsia="Arial" w:hAnsi="Arial"/>
                <w:sz w:val="20"/>
                <w:szCs w:val="20"/>
                <w:b w:val="1"/>
                <w:bCs w:val="1"/>
                <w:color w:val="auto"/>
                <w:w w:val="92"/>
              </w:rPr>
              <w:t>General</w:t>
            </w:r>
            <w:r>
              <w:rPr>
                <w:rFonts w:ascii="Arial" w:cs="Arial" w:eastAsia="Arial" w:hAnsi="Arial"/>
                <w:sz w:val="20"/>
                <w:szCs w:val="20"/>
                <w:color w:val="auto"/>
                <w:w w:val="92"/>
              </w:rPr>
              <w:t>. Each Party (the “</w:t>
            </w:r>
            <w:r>
              <w:rPr>
                <w:rFonts w:ascii="Arial" w:cs="Arial" w:eastAsia="Arial" w:hAnsi="Arial"/>
                <w:sz w:val="20"/>
                <w:szCs w:val="20"/>
                <w:b w:val="1"/>
                <w:bCs w:val="1"/>
                <w:color w:val="auto"/>
                <w:w w:val="92"/>
              </w:rPr>
              <w:t>Receiving Party</w:t>
            </w:r>
            <w:r>
              <w:rPr>
                <w:rFonts w:ascii="Arial" w:cs="Arial" w:eastAsia="Arial" w:hAnsi="Arial"/>
                <w:sz w:val="20"/>
                <w:szCs w:val="20"/>
                <w:color w:val="auto"/>
                <w:w w:val="92"/>
              </w:rPr>
              <w:t>”) will maintain all Confidential Information disclosed to it by the other Party</w:t>
            </w:r>
          </w:p>
        </w:tc>
      </w:tr>
      <w:tr>
        <w:trPr>
          <w:trHeight w:val="236"/>
        </w:trPr>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w w:val="93"/>
              </w:rPr>
              <w:t>(the “</w:t>
            </w:r>
            <w:r>
              <w:rPr>
                <w:rFonts w:ascii="Arial" w:cs="Arial" w:eastAsia="Arial" w:hAnsi="Arial"/>
                <w:sz w:val="20"/>
                <w:szCs w:val="20"/>
                <w:b w:val="1"/>
                <w:bCs w:val="1"/>
                <w:color w:val="auto"/>
                <w:w w:val="93"/>
              </w:rPr>
              <w:t>Disclosing Party</w:t>
            </w:r>
            <w:r>
              <w:rPr>
                <w:rFonts w:ascii="Arial" w:cs="Arial" w:eastAsia="Arial" w:hAnsi="Arial"/>
                <w:sz w:val="20"/>
                <w:szCs w:val="20"/>
                <w:color w:val="auto"/>
                <w:w w:val="93"/>
              </w:rPr>
              <w:t>”) in strict confidence during the Term of this Agreement and for a period of five years after the</w:t>
            </w:r>
          </w:p>
        </w:tc>
      </w:tr>
      <w:tr>
        <w:trPr>
          <w:trHeight w:val="250"/>
        </w:trPr>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900" w:type="dxa"/>
            <w:vAlign w:val="bottom"/>
          </w:tcPr>
          <w:p>
            <w:pPr>
              <w:ind w:left="220"/>
              <w:spacing w:after="0"/>
              <w:rPr>
                <w:sz w:val="20"/>
                <w:szCs w:val="20"/>
                <w:color w:val="auto"/>
              </w:rPr>
            </w:pPr>
            <w:r>
              <w:rPr>
                <w:rFonts w:ascii="Arial" w:cs="Arial" w:eastAsia="Arial" w:hAnsi="Arial"/>
                <w:sz w:val="20"/>
                <w:szCs w:val="20"/>
                <w:color w:val="auto"/>
              </w:rPr>
              <w:t>expiration or termination of</w:t>
            </w:r>
          </w:p>
        </w:tc>
      </w:tr>
    </w:tbl>
    <w:p>
      <w:pPr>
        <w:spacing w:after="0" w:line="200" w:lineRule="exact"/>
        <w:rPr>
          <w:sz w:val="20"/>
          <w:szCs w:val="20"/>
          <w:color w:val="auto"/>
        </w:rPr>
      </w:pPr>
    </w:p>
    <w:p>
      <w:pPr>
        <w:spacing w:after="0" w:line="2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- 26 -</w:t>
      </w:r>
    </w:p>
    <w:p>
      <w:pPr>
        <w:spacing w:after="0" w:line="12" w:lineRule="exact"/>
        <w:rPr>
          <w:sz w:val="20"/>
          <w:szCs w:val="20"/>
          <w:color w:val="auto"/>
        </w:rPr>
      </w:pPr>
    </w:p>
    <w:p>
      <w:pPr>
        <w:ind w:right="740" w:firstLine="8"/>
        <w:spacing w:after="0" w:line="226" w:lineRule="auto"/>
        <w:tabs>
          <w:tab w:leader="none" w:pos="2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64" w:name="page165"/>
    <w:bookmarkEnd w:id="164"/>
    <w:p>
      <w:pPr>
        <w:jc w:val="both"/>
        <w:ind w:left="1732"/>
        <w:spacing w:after="0" w:line="269" w:lineRule="auto"/>
        <w:rPr>
          <w:sz w:val="20"/>
          <w:szCs w:val="20"/>
          <w:color w:val="auto"/>
        </w:rPr>
      </w:pPr>
      <w:r>
        <w:rPr>
          <w:rFonts w:ascii="Arial" w:cs="Arial" w:eastAsia="Arial" w:hAnsi="Arial"/>
          <w:sz w:val="18"/>
          <w:szCs w:val="18"/>
          <w:color w:val="auto"/>
        </w:rPr>
        <w:t xml:space="preserve">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Confidential Information of either Party that constitutes a trade secret will continue to be subject to the terms of this Article 7 (Confidentiality) in perpetuity, so long as such information remains a trade secret in accordance with Applicable Law. The Receiving Party will not disclose such Confidential Information to anyone other than those of its Affiliates, investors, prospective investors, lenders, prospective lenders, financing sources, prospective financing sources, prospective acquirers, permitted Sublicensees, prospective Sublicensees (to the extent sublicensing is permitted), commercial partners, prospective commercial partners, employees, consultants, financial or legal advisors, agents, or Subcontractors who are bound by written obligations of non-disclosure and non-use no less stringent than those set forth in this Article 7 (Confidentiality) and to whom such disclosure is necessary in connection with such Party’s activities as contemplated in this Agreement or in connection with financing or acquisition activities (including Licensor’s right to assign its rights hereunder pursuant to Section 12.4 (Assignment)). Each Party will use all such Confidential Information only for the purposes of performing its obligations and exercising the rights granted to it under this Agreement, with all such reproductions being deemed to be Confidential Information, and will ensure that such Party’s Affiliates, investors, prospective investors, lenders, prospective lenders, acquirors, prospective acquirors, financing sources, prospective financing sources, permitted Sublicensees, prospective Sublicensees, commercial partners, prospective commercial partners, employees, consultants, agents, consultants, and Subcontractors comply with these obligations. Each Party will notify the other Party promptly on discovery of any material unauthorized use or disclosure of the other Party’s Confidential Information, including the other’s trade secrets.</w:t>
      </w:r>
    </w:p>
    <w:p>
      <w:pPr>
        <w:spacing w:after="0" w:line="169" w:lineRule="exact"/>
        <w:rPr>
          <w:sz w:val="20"/>
          <w:szCs w:val="20"/>
          <w:color w:val="auto"/>
        </w:rPr>
      </w:pPr>
    </w:p>
    <w:p>
      <w:pPr>
        <w:jc w:val="both"/>
        <w:ind w:left="1732" w:hanging="863"/>
        <w:spacing w:after="0" w:line="277" w:lineRule="auto"/>
        <w:tabs>
          <w:tab w:leader="none" w:pos="1712"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8"/>
          <w:szCs w:val="18"/>
          <w:b w:val="1"/>
          <w:bCs w:val="1"/>
          <w:color w:val="auto"/>
        </w:rPr>
        <w:t>Confidential Information of Each Party</w:t>
      </w:r>
      <w:r>
        <w:rPr>
          <w:rFonts w:ascii="Arial" w:cs="Arial" w:eastAsia="Arial" w:hAnsi="Arial"/>
          <w:sz w:val="18"/>
          <w:szCs w:val="18"/>
          <w:color w:val="auto"/>
        </w:rPr>
        <w:t>. All Licensor Know-How will be the Confidential Information of Licensor,</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whether it would otherwise be included in any of the exceptions set forth in Section 7.1.3 (Exceptions to Confidentiality). The contents of each report provided pursuant to Section 4.4 (Development Reporting) and Section 4.5 (Commercialization Reporting), and each Payment Report will be considered Confidential Information of each Party, and, in each case, will remain subject to the rights and obligations of the Parties under this Article 7 (Confidentiality). The non-disclosed terms of this Agreement will be the Confidential Information of each Party.</w:t>
      </w:r>
    </w:p>
    <w:p>
      <w:pPr>
        <w:spacing w:after="0" w:line="160" w:lineRule="exact"/>
        <w:rPr>
          <w:sz w:val="20"/>
          <w:szCs w:val="20"/>
          <w:color w:val="auto"/>
        </w:rPr>
      </w:pPr>
    </w:p>
    <w:p>
      <w:pPr>
        <w:jc w:val="both"/>
        <w:ind w:left="1732" w:hanging="863"/>
        <w:spacing w:after="0" w:line="271" w:lineRule="auto"/>
        <w:tabs>
          <w:tab w:leader="none" w:pos="1712"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18"/>
          <w:szCs w:val="18"/>
          <w:b w:val="1"/>
          <w:bCs w:val="1"/>
          <w:color w:val="auto"/>
        </w:rPr>
        <w:t>Exceptions to Confidentiality</w:t>
      </w:r>
      <w:r>
        <w:rPr>
          <w:rFonts w:ascii="Arial" w:cs="Arial" w:eastAsia="Arial" w:hAnsi="Arial"/>
          <w:sz w:val="18"/>
          <w:szCs w:val="18"/>
          <w:color w:val="auto"/>
        </w:rPr>
        <w:t>. Except with respect to the Licensor Know-How, each report provided pursuant to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4.4 (Development Reporting) and Section 4.5 (Commercialization Reporting), and each Payment Report, the obligations of each Receiving Party imposed by Section 7.1.1 (General) will not apply to any Confidential Information disclosed to the Receiving Party by the Disclosing Party that: (a) was known to the Receiving Party without an obligation to keep such information confidential prior to the Effective Date other than as a result of disclosure under any other agreement between the Parties (as demonstrated by competent evidence); (b) is or becomes generally available to the public through means other than an unauthorized disclosure by the Receiving Party, its Affiliates, or any agents to whom it or they disclosed such information; (c) was or subsequently is disclosed to the Receiving Party without restriction by a Third Party having a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right to disclose such Confidential Information without breaching any obligation to the Disclosing Party; (d) is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independently by the Receiving Party without benefit of or recourse to any of the Disclosing Party’s Confidential Information (as demonstrated by competent evidence); or (e) is publicly published pursuant to Section 7.1.4 (Permitted Disclosures).</w:t>
      </w:r>
    </w:p>
    <w:p>
      <w:pPr>
        <w:spacing w:after="0" w:line="391"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- 27 -</w:t>
      </w:r>
    </w:p>
    <w:p>
      <w:pPr>
        <w:spacing w:after="0" w:line="12" w:lineRule="exact"/>
        <w:rPr>
          <w:sz w:val="20"/>
          <w:szCs w:val="20"/>
          <w:color w:val="auto"/>
        </w:rPr>
      </w:pPr>
    </w:p>
    <w:p>
      <w:pPr>
        <w:ind w:left="-8" w:right="740" w:firstLine="8"/>
        <w:spacing w:after="0" w:line="226" w:lineRule="auto"/>
        <w:tabs>
          <w:tab w:leader="none" w:pos="2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65" w:name="page166"/>
    <w:bookmarkEnd w:id="165"/>
    <w:p>
      <w:pPr>
        <w:ind w:left="872"/>
        <w:spacing w:after="0"/>
        <w:tabs>
          <w:tab w:leader="none" w:pos="1712" w:val="left"/>
        </w:tabs>
        <w:rPr>
          <w:sz w:val="20"/>
          <w:szCs w:val="20"/>
          <w:color w:val="auto"/>
        </w:rPr>
      </w:pPr>
      <w:r>
        <w:rPr>
          <w:rFonts w:ascii="Arial" w:cs="Arial" w:eastAsia="Arial" w:hAnsi="Arial"/>
          <w:sz w:val="20"/>
          <w:szCs w:val="20"/>
          <w:color w:val="auto"/>
        </w:rPr>
        <w:t>7.1.4.</w:t>
      </w:r>
      <w:r>
        <w:rPr>
          <w:sz w:val="20"/>
          <w:szCs w:val="20"/>
          <w:color w:val="auto"/>
        </w:rPr>
        <w:tab/>
      </w:r>
      <w:r>
        <w:rPr>
          <w:rFonts w:ascii="Arial" w:cs="Arial" w:eastAsia="Arial" w:hAnsi="Arial"/>
          <w:sz w:val="16"/>
          <w:szCs w:val="16"/>
          <w:b w:val="1"/>
          <w:bCs w:val="1"/>
          <w:color w:val="auto"/>
        </w:rPr>
        <w:t>Permitted Disclosures</w:t>
      </w:r>
      <w:r>
        <w:rPr>
          <w:rFonts w:ascii="Arial" w:cs="Arial" w:eastAsia="Arial" w:hAnsi="Arial"/>
          <w:sz w:val="16"/>
          <w:szCs w:val="16"/>
          <w:color w:val="auto"/>
        </w:rPr>
        <w:t>.</w:t>
      </w:r>
    </w:p>
    <w:p>
      <w:pPr>
        <w:spacing w:after="0" w:line="222" w:lineRule="exact"/>
        <w:rPr>
          <w:sz w:val="20"/>
          <w:szCs w:val="20"/>
          <w:color w:val="auto"/>
        </w:rPr>
      </w:pPr>
    </w:p>
    <w:p>
      <w:pPr>
        <w:jc w:val="both"/>
        <w:ind w:left="2612" w:hanging="870"/>
        <w:spacing w:after="0" w:line="254" w:lineRule="auto"/>
        <w:tabs>
          <w:tab w:leader="none" w:pos="261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xml:space="preserve">. Notwithstanding anything to the contrary set forth in this Article 7 (Confidentiality), each Receiving Party may make disclosures of Confidential Information of the Disclosing Party (i) to Patent Offices in any country in which Patent Rights are sought for purposes of Prosecuting any applications for Patent Rights or defending any Patent Rights in interference or opposition actions as contemplated by this Agreement; (ii) to Regulatory Authorities as necessary to pursue Development, Commercialization, or Regulatory Approval of Licensed Products; or (iii) to the extent required to comply with Applicable Law or a court or administrative order;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Party who is required to make such disclosure (A) provides the other Party with reasonable prior written notice if permissible under Applicable Law, (B) coordinates with the other Party with respect to the wording and timing of any such disclosure and affords the Disclosing Party an opportunity to oppose or limit, or secure confidential treatment for such required disclosure, (C) if the Disclosing Party is unsuccessful in its efforts pursuant to clause (B), takes all reasonable and lawful actions to obtain confidential treatment for such disclosure, and (D) discloses the minimum amount and scope of the Confidential Information necessary to comply with any such Applicable Law or such court or administrative order. Any Confidential Information so disclosed will still be subject to the terms of this Agreement.</w:t>
      </w:r>
    </w:p>
    <w:p>
      <w:pPr>
        <w:spacing w:after="0" w:line="191" w:lineRule="exact"/>
        <w:rPr>
          <w:rFonts w:ascii="Arial" w:cs="Arial" w:eastAsia="Arial" w:hAnsi="Arial"/>
          <w:sz w:val="19"/>
          <w:szCs w:val="19"/>
          <w:color w:val="auto"/>
        </w:rPr>
      </w:pPr>
    </w:p>
    <w:p>
      <w:pPr>
        <w:jc w:val="both"/>
        <w:ind w:left="2612" w:hanging="870"/>
        <w:spacing w:after="0" w:line="256" w:lineRule="auto"/>
        <w:tabs>
          <w:tab w:leader="none" w:pos="2612"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SEC Filings and Other Disclosures</w:t>
      </w:r>
      <w:r>
        <w:rPr>
          <w:rFonts w:ascii="Arial" w:cs="Arial" w:eastAsia="Arial" w:hAnsi="Arial"/>
          <w:sz w:val="19"/>
          <w:szCs w:val="19"/>
          <w:color w:val="auto"/>
        </w:rPr>
        <w:t>. Either Party may disclose the terms of this Agreement only to the extent required, in the reasonable opinion of such Party based on advice of legal counsel, to comply with the rules and regulations promulgated by the United States Securities and Exchange Commission or similar security regulatory authorities in other countries. If a Party must disclose this Agreement or any of the terms hereof in accordance with the preceding sentence, then such Party agrees, at its own cost and expense, to (a) provide the other Party with reasonable prior notice of such disclosure, (b) coordinate with the other Party with respect to the wording and timing of any such disclosure and afford the other Party an opportunity to request that the disclosing Party seek confidential treatment of certain portions or terms of this Agreement, and (c) seek confidential treatment of portions of this Agreement or such terms as may be reasonably requested by the other Party.</w:t>
      </w:r>
    </w:p>
    <w:p>
      <w:pPr>
        <w:spacing w:after="0" w:line="175" w:lineRule="exact"/>
        <w:rPr>
          <w:sz w:val="20"/>
          <w:szCs w:val="20"/>
          <w:color w:val="auto"/>
        </w:rPr>
      </w:pPr>
    </w:p>
    <w:p>
      <w:pPr>
        <w:jc w:val="both"/>
        <w:ind w:left="872" w:hanging="863"/>
        <w:spacing w:after="0" w:line="244" w:lineRule="auto"/>
        <w:tabs>
          <w:tab w:leader="none" w:pos="852"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20"/>
          <w:szCs w:val="20"/>
          <w:b w:val="1"/>
          <w:bCs w:val="1"/>
          <w:color w:val="auto"/>
        </w:rPr>
        <w:t>Publicity</w:t>
      </w:r>
      <w:r>
        <w:rPr>
          <w:rFonts w:ascii="Arial" w:cs="Arial" w:eastAsia="Arial" w:hAnsi="Arial"/>
          <w:sz w:val="20"/>
          <w:szCs w:val="20"/>
          <w:color w:val="auto"/>
        </w:rPr>
        <w:t>. Upon the execution of this Agreement, the Parties will jointly issue a press release with respect to this Agreement in a</w:t>
      </w:r>
      <w:r>
        <w:rPr>
          <w:rFonts w:ascii="Arial" w:cs="Arial" w:eastAsia="Arial" w:hAnsi="Arial"/>
          <w:sz w:val="20"/>
          <w:szCs w:val="20"/>
          <w:b w:val="1"/>
          <w:bCs w:val="1"/>
          <w:color w:val="auto"/>
        </w:rPr>
        <w:t xml:space="preserve"> </w:t>
      </w:r>
      <w:r>
        <w:rPr>
          <w:rFonts w:ascii="Arial" w:cs="Arial" w:eastAsia="Arial" w:hAnsi="Arial"/>
          <w:sz w:val="20"/>
          <w:szCs w:val="20"/>
          <w:color w:val="auto"/>
        </w:rPr>
        <w:t>form agreed by the Parties. Except for any subsequent press releases of other announcements (whether written or oral) that contain no additional information than what was included in such press release (or other press releases approved by each Party), neither Party will issue any other public announcement, press release, or other public disclosure regarding this Agreement or its subject matter without the other Party’s prior written consent. Notwithstanding the foregoing, Licensee and its Affiliates and Sublicensees shall be free to issue press releases regarding its or their Development and Commercialization of Licensed Products in its or their sole discretion.</w:t>
      </w:r>
    </w:p>
    <w:p>
      <w:pPr>
        <w:spacing w:after="0" w:line="187" w:lineRule="exact"/>
        <w:rPr>
          <w:sz w:val="20"/>
          <w:szCs w:val="20"/>
          <w:color w:val="auto"/>
        </w:rPr>
      </w:pPr>
    </w:p>
    <w:p>
      <w:pPr>
        <w:jc w:val="both"/>
        <w:ind w:left="872" w:hanging="863"/>
        <w:spacing w:after="0" w:line="294" w:lineRule="auto"/>
        <w:tabs>
          <w:tab w:leader="none" w:pos="852"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8"/>
          <w:szCs w:val="18"/>
          <w:b w:val="1"/>
          <w:bCs w:val="1"/>
          <w:color w:val="auto"/>
        </w:rPr>
        <w:t>Publications</w:t>
      </w:r>
      <w:r>
        <w:rPr>
          <w:rFonts w:ascii="Arial" w:cs="Arial" w:eastAsia="Arial" w:hAnsi="Arial"/>
          <w:sz w:val="18"/>
          <w:szCs w:val="18"/>
          <w:color w:val="auto"/>
        </w:rPr>
        <w:t>. The Parties recognize the desirability of publishing and publicly disclosing the results of, and scientific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activities under this Agreement. Accordingly, during the Term, Licensee will be free to publish and present the results of and information regarding activities under this Agreement as provided in this Section 7.3 (Publications), in a manner</w:t>
      </w:r>
    </w:p>
    <w:p>
      <w:pPr>
        <w:spacing w:after="0" w:line="369"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- 28 -</w:t>
      </w:r>
    </w:p>
    <w:p>
      <w:pPr>
        <w:spacing w:after="0" w:line="12" w:lineRule="exact"/>
        <w:rPr>
          <w:sz w:val="20"/>
          <w:szCs w:val="20"/>
          <w:color w:val="auto"/>
        </w:rPr>
      </w:pPr>
    </w:p>
    <w:p>
      <w:pPr>
        <w:ind w:left="-8" w:right="740" w:firstLine="8"/>
        <w:spacing w:after="0" w:line="226" w:lineRule="auto"/>
        <w:tabs>
          <w:tab w:leader="none" w:pos="2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0" w:right="239" w:bottom="1440" w:gutter="0" w:footer="0" w:header="0"/>
        </w:sectPr>
      </w:pPr>
    </w:p>
    <w:bookmarkStart w:id="166" w:name="page167"/>
    <w:bookmarkEnd w:id="166"/>
    <w:p>
      <w:pPr>
        <w:jc w:val="both"/>
        <w:ind w:left="872"/>
        <w:spacing w:after="0" w:line="250" w:lineRule="auto"/>
        <w:rPr>
          <w:sz w:val="20"/>
          <w:szCs w:val="20"/>
          <w:color w:val="auto"/>
        </w:rPr>
      </w:pPr>
      <w:r>
        <w:rPr>
          <w:rFonts w:ascii="Arial" w:cs="Arial" w:eastAsia="Arial" w:hAnsi="Arial"/>
          <w:sz w:val="20"/>
          <w:szCs w:val="20"/>
          <w:color w:val="auto"/>
        </w:rPr>
        <w:t>consistent with Applicable Law and industry practices, provided that any publication of any Confidential Information of Licensor or its Affiliates shall require Licensor’s prior written consent, which consent will not be unreasonably withheld, conditioned, or delayed.</w:t>
      </w:r>
    </w:p>
    <w:p>
      <w:pPr>
        <w:spacing w:after="0" w:line="180" w:lineRule="exact"/>
        <w:rPr>
          <w:sz w:val="20"/>
          <w:szCs w:val="20"/>
          <w:color w:val="auto"/>
        </w:rPr>
      </w:pPr>
    </w:p>
    <w:p>
      <w:pPr>
        <w:jc w:val="both"/>
        <w:ind w:left="872" w:hanging="863"/>
        <w:spacing w:after="0" w:line="253" w:lineRule="auto"/>
        <w:tabs>
          <w:tab w:leader="none" w:pos="852"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20"/>
          <w:szCs w:val="20"/>
          <w:b w:val="1"/>
          <w:bCs w:val="1"/>
          <w:color w:val="auto"/>
        </w:rPr>
        <w:t>No Use of Name</w:t>
      </w:r>
      <w:r>
        <w:rPr>
          <w:rFonts w:ascii="Arial" w:cs="Arial" w:eastAsia="Arial" w:hAnsi="Arial"/>
          <w:sz w:val="20"/>
          <w:szCs w:val="20"/>
          <w:color w:val="auto"/>
        </w:rPr>
        <w:t>. Subject to the terms of this Agreement and except as expressly provided herein, neither Party will use the name or</w:t>
      </w:r>
      <w:r>
        <w:rPr>
          <w:rFonts w:ascii="Arial" w:cs="Arial" w:eastAsia="Arial" w:hAnsi="Arial"/>
          <w:sz w:val="20"/>
          <w:szCs w:val="20"/>
          <w:b w:val="1"/>
          <w:bCs w:val="1"/>
          <w:color w:val="auto"/>
        </w:rPr>
        <w:t xml:space="preserve"> </w:t>
      </w:r>
      <w:r>
        <w:rPr>
          <w:rFonts w:ascii="Arial" w:cs="Arial" w:eastAsia="Arial" w:hAnsi="Arial"/>
          <w:sz w:val="20"/>
          <w:szCs w:val="20"/>
          <w:color w:val="auto"/>
        </w:rPr>
        <w:t>Trademarks of the other Party in any promotional materials or advertising without the prior express written permission of the other Party.</w:t>
      </w:r>
    </w:p>
    <w:p>
      <w:pPr>
        <w:spacing w:after="0" w:line="178" w:lineRule="exact"/>
        <w:rPr>
          <w:sz w:val="20"/>
          <w:szCs w:val="20"/>
          <w:color w:val="auto"/>
        </w:rPr>
      </w:pPr>
    </w:p>
    <w:p>
      <w:pPr>
        <w:ind w:left="52"/>
        <w:spacing w:after="0"/>
        <w:tabs>
          <w:tab w:leader="none" w:pos="3532" w:val="left"/>
        </w:tabs>
        <w:rPr>
          <w:sz w:val="20"/>
          <w:szCs w:val="20"/>
          <w:color w:val="auto"/>
        </w:rPr>
      </w:pPr>
      <w:r>
        <w:rPr>
          <w:rFonts w:ascii="Arial" w:cs="Arial" w:eastAsia="Arial" w:hAnsi="Arial"/>
          <w:sz w:val="20"/>
          <w:szCs w:val="20"/>
          <w:b w:val="1"/>
          <w:bCs w:val="1"/>
          <w:color w:val="auto"/>
        </w:rPr>
        <w:t>Article 8.</w:t>
      </w:r>
      <w:r>
        <w:rPr>
          <w:sz w:val="20"/>
          <w:szCs w:val="20"/>
          <w:color w:val="auto"/>
        </w:rPr>
        <w:tab/>
      </w:r>
      <w:r>
        <w:rPr>
          <w:rFonts w:ascii="Arial" w:cs="Arial" w:eastAsia="Arial" w:hAnsi="Arial"/>
          <w:sz w:val="19"/>
          <w:szCs w:val="19"/>
          <w:b w:val="1"/>
          <w:bCs w:val="1"/>
          <w:color w:val="auto"/>
        </w:rPr>
        <w:t>REPRESENTATIONS, WARRANTIES, AND COVENANTS</w:t>
      </w:r>
    </w:p>
    <w:p>
      <w:pPr>
        <w:spacing w:after="0" w:line="216" w:lineRule="exact"/>
        <w:rPr>
          <w:sz w:val="20"/>
          <w:szCs w:val="20"/>
          <w:color w:val="auto"/>
        </w:rPr>
      </w:pPr>
    </w:p>
    <w:p>
      <w:pPr>
        <w:jc w:val="both"/>
        <w:ind w:left="872" w:hanging="863"/>
        <w:spacing w:after="0" w:line="267" w:lineRule="auto"/>
        <w:tabs>
          <w:tab w:leader="none" w:pos="852"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20"/>
          <w:szCs w:val="20"/>
          <w:b w:val="1"/>
          <w:bCs w:val="1"/>
          <w:color w:val="auto"/>
        </w:rPr>
        <w:t>Mutual Representations and Warranties</w:t>
      </w:r>
      <w:r>
        <w:rPr>
          <w:rFonts w:ascii="Arial" w:cs="Arial" w:eastAsia="Arial" w:hAnsi="Arial"/>
          <w:sz w:val="20"/>
          <w:szCs w:val="20"/>
          <w:color w:val="auto"/>
        </w:rPr>
        <w:t>. Each of the Parties hereby represents and warrants to the other Party as of the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Date that:</w:t>
      </w:r>
    </w:p>
    <w:p>
      <w:pPr>
        <w:spacing w:after="0" w:line="164" w:lineRule="exact"/>
        <w:rPr>
          <w:sz w:val="20"/>
          <w:szCs w:val="20"/>
          <w:color w:val="auto"/>
        </w:rPr>
      </w:pPr>
    </w:p>
    <w:p>
      <w:pPr>
        <w:jc w:val="both"/>
        <w:ind w:left="1732" w:hanging="863"/>
        <w:spacing w:after="0" w:line="253" w:lineRule="auto"/>
        <w:tabs>
          <w:tab w:leader="none" w:pos="1712"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20"/>
          <w:szCs w:val="20"/>
          <w:b w:val="1"/>
          <w:bCs w:val="1"/>
          <w:color w:val="auto"/>
        </w:rPr>
        <w:t>Organization</w:t>
      </w:r>
      <w:r>
        <w:rPr>
          <w:rFonts w:ascii="Arial" w:cs="Arial" w:eastAsia="Arial" w:hAnsi="Arial"/>
          <w:sz w:val="20"/>
          <w:szCs w:val="20"/>
          <w:color w:val="auto"/>
        </w:rPr>
        <w:t>. It is a corporation duly organized, validly existing, and in good standing under the laws of the jurisdiction</w:t>
      </w:r>
      <w:r>
        <w:rPr>
          <w:rFonts w:ascii="Arial" w:cs="Arial" w:eastAsia="Arial" w:hAnsi="Arial"/>
          <w:sz w:val="20"/>
          <w:szCs w:val="20"/>
          <w:b w:val="1"/>
          <w:bCs w:val="1"/>
          <w:color w:val="auto"/>
        </w:rPr>
        <w:t xml:space="preserve"> </w:t>
      </w:r>
      <w:r>
        <w:rPr>
          <w:rFonts w:ascii="Arial" w:cs="Arial" w:eastAsia="Arial" w:hAnsi="Arial"/>
          <w:sz w:val="20"/>
          <w:szCs w:val="20"/>
          <w:color w:val="auto"/>
        </w:rPr>
        <w:t>of its organization, and has all requisite power and authority, corporate or otherwise, to execute, deliver, and perform this Agreement.</w:t>
      </w:r>
    </w:p>
    <w:p>
      <w:pPr>
        <w:spacing w:after="0" w:line="178" w:lineRule="exact"/>
        <w:rPr>
          <w:sz w:val="20"/>
          <w:szCs w:val="20"/>
          <w:color w:val="auto"/>
        </w:rPr>
      </w:pPr>
    </w:p>
    <w:p>
      <w:pPr>
        <w:jc w:val="both"/>
        <w:ind w:left="1732" w:hanging="863"/>
        <w:spacing w:after="0" w:line="266" w:lineRule="auto"/>
        <w:tabs>
          <w:tab w:leader="none" w:pos="1712"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9"/>
          <w:szCs w:val="19"/>
          <w:b w:val="1"/>
          <w:bCs w:val="1"/>
          <w:color w:val="auto"/>
        </w:rPr>
        <w:t>Binding Agreement</w:t>
      </w:r>
      <w:r>
        <w:rPr>
          <w:rFonts w:ascii="Arial" w:cs="Arial" w:eastAsia="Arial" w:hAnsi="Arial"/>
          <w:sz w:val="19"/>
          <w:szCs w:val="19"/>
          <w:color w:val="auto"/>
        </w:rPr>
        <w:t>. This Agreement is a legal and valid obligation binding upon such Party and enforceable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its terms,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66" w:lineRule="exact"/>
        <w:rPr>
          <w:sz w:val="20"/>
          <w:szCs w:val="20"/>
          <w:color w:val="auto"/>
        </w:rPr>
      </w:pPr>
    </w:p>
    <w:p>
      <w:pPr>
        <w:jc w:val="both"/>
        <w:ind w:left="1732" w:hanging="863"/>
        <w:spacing w:after="0" w:line="246" w:lineRule="auto"/>
        <w:tabs>
          <w:tab w:leader="none" w:pos="1712" w:val="left"/>
        </w:tabs>
        <w:rPr>
          <w:sz w:val="20"/>
          <w:szCs w:val="20"/>
          <w:color w:val="auto"/>
        </w:rPr>
      </w:pPr>
      <w:r>
        <w:rPr>
          <w:rFonts w:ascii="Arial" w:cs="Arial" w:eastAsia="Arial" w:hAnsi="Arial"/>
          <w:sz w:val="20"/>
          <w:szCs w:val="20"/>
          <w:color w:val="auto"/>
        </w:rPr>
        <w:t>8.1.3.</w:t>
      </w:r>
      <w:r>
        <w:rPr>
          <w:sz w:val="20"/>
          <w:szCs w:val="20"/>
          <w:color w:val="auto"/>
        </w:rPr>
        <w:tab/>
      </w:r>
      <w:r>
        <w:rPr>
          <w:rFonts w:ascii="Arial" w:cs="Arial" w:eastAsia="Arial" w:hAnsi="Arial"/>
          <w:sz w:val="20"/>
          <w:szCs w:val="20"/>
          <w:b w:val="1"/>
          <w:bCs w:val="1"/>
          <w:color w:val="auto"/>
        </w:rPr>
        <w:t>Authorization</w:t>
      </w:r>
      <w:r>
        <w:rPr>
          <w:rFonts w:ascii="Arial" w:cs="Arial" w:eastAsia="Arial" w:hAnsi="Arial"/>
          <w:sz w:val="20"/>
          <w:szCs w:val="20"/>
          <w:color w:val="auto"/>
        </w:rPr>
        <w:t>. The execution, delivery, and performance of this Agreement by such Party have been duly authorized by</w:t>
      </w:r>
      <w:r>
        <w:rPr>
          <w:rFonts w:ascii="Arial" w:cs="Arial" w:eastAsia="Arial" w:hAnsi="Arial"/>
          <w:sz w:val="20"/>
          <w:szCs w:val="20"/>
          <w:b w:val="1"/>
          <w:bCs w:val="1"/>
          <w:color w:val="auto"/>
        </w:rPr>
        <w:t xml:space="preserve"> </w:t>
      </w:r>
      <w:r>
        <w:rPr>
          <w:rFonts w:ascii="Arial" w:cs="Arial" w:eastAsia="Arial" w:hAnsi="Arial"/>
          <w:sz w:val="20"/>
          <w:szCs w:val="20"/>
          <w:color w:val="auto"/>
        </w:rPr>
        <w:t>all necessary corporate action and do not conflict with any agreement, instrument, or understanding, oral or written, to which it is a party or by which it is bound, nor violate any Applicable Law or any order, writ, judgment, injunction, decree, determination, or award of any court or governmental body, or administrative or other agency presently in effect applicable to such Party.</w:t>
      </w:r>
    </w:p>
    <w:p>
      <w:pPr>
        <w:spacing w:after="0" w:line="185" w:lineRule="exact"/>
        <w:rPr>
          <w:sz w:val="20"/>
          <w:szCs w:val="20"/>
          <w:color w:val="auto"/>
        </w:rPr>
      </w:pPr>
    </w:p>
    <w:p>
      <w:pPr>
        <w:jc w:val="both"/>
        <w:ind w:left="1732" w:hanging="863"/>
        <w:spacing w:after="0" w:line="259" w:lineRule="auto"/>
        <w:tabs>
          <w:tab w:leader="none" w:pos="1712" w:val="left"/>
        </w:tabs>
        <w:rPr>
          <w:sz w:val="20"/>
          <w:szCs w:val="20"/>
          <w:color w:val="auto"/>
        </w:rPr>
      </w:pPr>
      <w:r>
        <w:rPr>
          <w:rFonts w:ascii="Arial" w:cs="Arial" w:eastAsia="Arial" w:hAnsi="Arial"/>
          <w:sz w:val="20"/>
          <w:szCs w:val="20"/>
          <w:color w:val="auto"/>
        </w:rPr>
        <w:t>8.1.4.</w:t>
      </w:r>
      <w:r>
        <w:rPr>
          <w:sz w:val="20"/>
          <w:szCs w:val="20"/>
          <w:color w:val="auto"/>
        </w:rPr>
        <w:tab/>
      </w:r>
      <w:r>
        <w:rPr>
          <w:rFonts w:ascii="Arial" w:cs="Arial" w:eastAsia="Arial" w:hAnsi="Arial"/>
          <w:sz w:val="19"/>
          <w:szCs w:val="19"/>
          <w:b w:val="1"/>
          <w:bCs w:val="1"/>
          <w:color w:val="auto"/>
        </w:rPr>
        <w:t>No Further Approval</w:t>
      </w:r>
      <w:r>
        <w:rPr>
          <w:rFonts w:ascii="Arial" w:cs="Arial" w:eastAsia="Arial" w:hAnsi="Arial"/>
          <w:sz w:val="19"/>
          <w:szCs w:val="19"/>
          <w:color w:val="auto"/>
        </w:rPr>
        <w:t>. It is not aware of any material government authorization, consent, approval, license, exemption</w:t>
      </w:r>
      <w:r>
        <w:rPr>
          <w:rFonts w:ascii="Arial" w:cs="Arial" w:eastAsia="Arial" w:hAnsi="Arial"/>
          <w:sz w:val="19"/>
          <w:szCs w:val="19"/>
          <w:b w:val="1"/>
          <w:bCs w:val="1"/>
          <w:color w:val="auto"/>
        </w:rPr>
        <w:t xml:space="preserve"> </w:t>
      </w:r>
      <w:r>
        <w:rPr>
          <w:rFonts w:ascii="Arial" w:cs="Arial" w:eastAsia="Arial" w:hAnsi="Arial"/>
          <w:sz w:val="19"/>
          <w:szCs w:val="19"/>
          <w:color w:val="auto"/>
        </w:rPr>
        <w:t>of or filing or registration with any court or governmental department, commission, board, bureau, agency or instrumentality, domestic or foreign, under any Applicable Law, currently in effect, necessary for, or in connection with, the transactions contemplated by this Agreement or any other agreement or instrument executed in connection herewith, or for the performance by it of its obligations under this Agreement and such other agreements (save for Regulatory Approvals and similar authorizations from Regulatory Authorities necessary for the Exploitation of the Licensed Compounds and Licensed Products as contemplated hereunder).</w:t>
      </w:r>
    </w:p>
    <w:p>
      <w:pPr>
        <w:spacing w:after="0" w:line="173" w:lineRule="exact"/>
        <w:rPr>
          <w:sz w:val="20"/>
          <w:szCs w:val="20"/>
          <w:color w:val="auto"/>
        </w:rPr>
      </w:pPr>
    </w:p>
    <w:p>
      <w:pPr>
        <w:jc w:val="both"/>
        <w:ind w:left="1732" w:hanging="863"/>
        <w:spacing w:after="0" w:line="253" w:lineRule="auto"/>
        <w:tabs>
          <w:tab w:leader="none" w:pos="1712" w:val="left"/>
        </w:tabs>
        <w:rPr>
          <w:sz w:val="20"/>
          <w:szCs w:val="20"/>
          <w:color w:val="auto"/>
        </w:rPr>
      </w:pPr>
      <w:r>
        <w:rPr>
          <w:rFonts w:ascii="Arial" w:cs="Arial" w:eastAsia="Arial" w:hAnsi="Arial"/>
          <w:sz w:val="20"/>
          <w:szCs w:val="20"/>
          <w:color w:val="auto"/>
        </w:rPr>
        <w:t>8.1.5.</w:t>
      </w:r>
      <w:r>
        <w:rPr>
          <w:sz w:val="20"/>
          <w:szCs w:val="20"/>
          <w:color w:val="auto"/>
        </w:rPr>
        <w:tab/>
      </w:r>
      <w:r>
        <w:rPr>
          <w:rFonts w:ascii="Arial" w:cs="Arial" w:eastAsia="Arial" w:hAnsi="Arial"/>
          <w:sz w:val="20"/>
          <w:szCs w:val="20"/>
          <w:b w:val="1"/>
          <w:bCs w:val="1"/>
          <w:color w:val="auto"/>
        </w:rPr>
        <w:t>No Inconsistent Obligations</w:t>
      </w:r>
      <w:r>
        <w:rPr>
          <w:rFonts w:ascii="Arial" w:cs="Arial" w:eastAsia="Arial" w:hAnsi="Arial"/>
          <w:sz w:val="20"/>
          <w:szCs w:val="20"/>
          <w:color w:val="auto"/>
        </w:rPr>
        <w:t>. Neither Party is under any obligation, contractual or otherwise, to any Person that</w:t>
      </w:r>
      <w:r>
        <w:rPr>
          <w:rFonts w:ascii="Arial" w:cs="Arial" w:eastAsia="Arial" w:hAnsi="Arial"/>
          <w:sz w:val="20"/>
          <w:szCs w:val="20"/>
          <w:b w:val="1"/>
          <w:bCs w:val="1"/>
          <w:color w:val="auto"/>
        </w:rPr>
        <w:t xml:space="preserve"> </w:t>
      </w:r>
      <w:r>
        <w:rPr>
          <w:rFonts w:ascii="Arial" w:cs="Arial" w:eastAsia="Arial" w:hAnsi="Arial"/>
          <w:sz w:val="20"/>
          <w:szCs w:val="20"/>
          <w:color w:val="auto"/>
        </w:rPr>
        <w:t>conflicts with or is inconsistent in any material respect with the terms of this Agreement, or that would impede the diligent and complete fulfillment of its obligations hereunder.</w:t>
      </w:r>
    </w:p>
    <w:p>
      <w:pPr>
        <w:spacing w:after="0" w:line="178" w:lineRule="exact"/>
        <w:rPr>
          <w:sz w:val="20"/>
          <w:szCs w:val="20"/>
          <w:color w:val="auto"/>
        </w:rPr>
      </w:pPr>
    </w:p>
    <w:p>
      <w:pPr>
        <w:jc w:val="both"/>
        <w:ind w:left="1732" w:hanging="863"/>
        <w:spacing w:after="0" w:line="285" w:lineRule="auto"/>
        <w:tabs>
          <w:tab w:leader="none" w:pos="1712" w:val="left"/>
        </w:tabs>
        <w:rPr>
          <w:sz w:val="20"/>
          <w:szCs w:val="20"/>
          <w:color w:val="auto"/>
        </w:rPr>
      </w:pPr>
      <w:r>
        <w:rPr>
          <w:rFonts w:ascii="Arial" w:cs="Arial" w:eastAsia="Arial" w:hAnsi="Arial"/>
          <w:sz w:val="20"/>
          <w:szCs w:val="20"/>
          <w:color w:val="auto"/>
        </w:rPr>
        <w:t>8.1.6.</w:t>
      </w:r>
      <w:r>
        <w:rPr>
          <w:sz w:val="20"/>
          <w:szCs w:val="20"/>
          <w:color w:val="auto"/>
        </w:rPr>
        <w:tab/>
      </w:r>
      <w:r>
        <w:rPr>
          <w:rFonts w:ascii="Arial" w:cs="Arial" w:eastAsia="Arial" w:hAnsi="Arial"/>
          <w:sz w:val="18"/>
          <w:szCs w:val="18"/>
          <w:b w:val="1"/>
          <w:bCs w:val="1"/>
          <w:color w:val="auto"/>
        </w:rPr>
        <w:t>No Conflicts</w:t>
      </w:r>
      <w:r>
        <w:rPr>
          <w:rFonts w:ascii="Arial" w:cs="Arial" w:eastAsia="Arial" w:hAnsi="Arial"/>
          <w:sz w:val="18"/>
          <w:szCs w:val="18"/>
          <w:color w:val="auto"/>
        </w:rPr>
        <w:t>. The execution, delivery and performance of this Agreement by such Party does not conflict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Party’s charter documents, bylaws, or other organizational documents, any material agreement, instrument, or understanding, oral or written, to which it is a party or by which it is bound, nor violate Applicable Law or any order, writ, decree, judgment, injunction, determination, or award of any Governmental Authority having jurisdiction over it.</w:t>
      </w:r>
    </w:p>
    <w:p>
      <w:pPr>
        <w:spacing w:after="0" w:line="376"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- 29 -</w:t>
      </w:r>
    </w:p>
    <w:p>
      <w:pPr>
        <w:spacing w:after="0" w:line="12" w:lineRule="exact"/>
        <w:rPr>
          <w:sz w:val="20"/>
          <w:szCs w:val="20"/>
          <w:color w:val="auto"/>
        </w:rPr>
      </w:pPr>
    </w:p>
    <w:p>
      <w:pPr>
        <w:ind w:left="-8" w:right="740" w:firstLine="8"/>
        <w:spacing w:after="0" w:line="226" w:lineRule="auto"/>
        <w:tabs>
          <w:tab w:leader="none" w:pos="2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67" w:name="page168"/>
    <w:bookmarkEnd w:id="167"/>
    <w:p>
      <w:pPr>
        <w:ind w:left="872" w:hanging="863"/>
        <w:spacing w:after="0" w:line="267" w:lineRule="auto"/>
        <w:tabs>
          <w:tab w:leader="none" w:pos="852"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20"/>
          <w:szCs w:val="20"/>
          <w:b w:val="1"/>
          <w:bCs w:val="1"/>
          <w:color w:val="auto"/>
        </w:rPr>
        <w:t>Additional Representations and Warranties of Licensor</w:t>
      </w:r>
      <w:r>
        <w:rPr>
          <w:rFonts w:ascii="Arial" w:cs="Arial" w:eastAsia="Arial" w:hAnsi="Arial"/>
          <w:sz w:val="20"/>
          <w:szCs w:val="20"/>
          <w:color w:val="auto"/>
        </w:rPr>
        <w:t>. Except as set forth in Schedule 8.2, Licensor represents and warrants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Effective Date to Licensee that:</w:t>
      </w:r>
    </w:p>
    <w:p>
      <w:pPr>
        <w:spacing w:after="0" w:line="164" w:lineRule="exact"/>
        <w:rPr>
          <w:sz w:val="20"/>
          <w:szCs w:val="20"/>
          <w:color w:val="auto"/>
        </w:rPr>
      </w:pPr>
    </w:p>
    <w:p>
      <w:pPr>
        <w:jc w:val="both"/>
        <w:ind w:left="1732" w:hanging="863"/>
        <w:spacing w:after="0" w:line="253" w:lineRule="auto"/>
        <w:tabs>
          <w:tab w:leader="none" w:pos="1712" w:val="left"/>
        </w:tabs>
        <w:rPr>
          <w:sz w:val="20"/>
          <w:szCs w:val="20"/>
          <w:color w:val="auto"/>
        </w:rPr>
      </w:pPr>
      <w:r>
        <w:rPr>
          <w:rFonts w:ascii="Arial" w:cs="Arial" w:eastAsia="Arial" w:hAnsi="Arial"/>
          <w:sz w:val="20"/>
          <w:szCs w:val="20"/>
          <w:color w:val="auto"/>
        </w:rPr>
        <w:t>8.2.1.</w:t>
      </w:r>
      <w:r>
        <w:rPr>
          <w:sz w:val="20"/>
          <w:szCs w:val="20"/>
          <w:color w:val="auto"/>
        </w:rPr>
        <w:tab/>
      </w:r>
      <w:r>
        <w:rPr>
          <w:rFonts w:ascii="Arial" w:cs="Arial" w:eastAsia="Arial" w:hAnsi="Arial"/>
          <w:sz w:val="20"/>
          <w:szCs w:val="20"/>
          <w:b w:val="1"/>
          <w:bCs w:val="1"/>
          <w:color w:val="auto"/>
        </w:rPr>
        <w:t>Sufficient Rights</w:t>
      </w:r>
      <w:r>
        <w:rPr>
          <w:rFonts w:ascii="Arial" w:cs="Arial" w:eastAsia="Arial" w:hAnsi="Arial"/>
          <w:sz w:val="20"/>
          <w:szCs w:val="20"/>
          <w:color w:val="auto"/>
        </w:rPr>
        <w:t>. Licensor is the sole owner of the Licensor Technology, free of any encumbrance, lien, or claim of</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by any Third Party, and has all rights necessary to grant the rights and licenses under the Licensor Technology that it purports to grant to Licensee in this Agreement.</w:t>
      </w:r>
    </w:p>
    <w:p>
      <w:pPr>
        <w:spacing w:after="0" w:line="178" w:lineRule="exact"/>
        <w:rPr>
          <w:sz w:val="20"/>
          <w:szCs w:val="20"/>
          <w:color w:val="auto"/>
        </w:rPr>
      </w:pPr>
    </w:p>
    <w:p>
      <w:pPr>
        <w:jc w:val="both"/>
        <w:ind w:left="1732" w:hanging="863"/>
        <w:spacing w:after="0" w:line="269" w:lineRule="auto"/>
        <w:tabs>
          <w:tab w:leader="none" w:pos="1712" w:val="left"/>
        </w:tabs>
        <w:rPr>
          <w:sz w:val="20"/>
          <w:szCs w:val="20"/>
          <w:color w:val="auto"/>
        </w:rPr>
      </w:pPr>
      <w:r>
        <w:rPr>
          <w:rFonts w:ascii="Arial" w:cs="Arial" w:eastAsia="Arial" w:hAnsi="Arial"/>
          <w:sz w:val="20"/>
          <w:szCs w:val="20"/>
          <w:color w:val="auto"/>
        </w:rPr>
        <w:t>8.2.2.</w:t>
      </w:r>
      <w:r>
        <w:rPr>
          <w:sz w:val="20"/>
          <w:szCs w:val="20"/>
          <w:color w:val="auto"/>
        </w:rPr>
        <w:tab/>
      </w:r>
      <w:r>
        <w:rPr>
          <w:rFonts w:ascii="Arial" w:cs="Arial" w:eastAsia="Arial" w:hAnsi="Arial"/>
          <w:sz w:val="18"/>
          <w:szCs w:val="18"/>
          <w:b w:val="1"/>
          <w:bCs w:val="1"/>
          <w:color w:val="auto"/>
        </w:rPr>
        <w:t>Licensor Patent Rights</w:t>
      </w:r>
      <w:r>
        <w:rPr>
          <w:rFonts w:ascii="Arial" w:cs="Arial" w:eastAsia="Arial" w:hAnsi="Arial"/>
          <w:sz w:val="18"/>
          <w:szCs w:val="18"/>
          <w:color w:val="auto"/>
        </w:rPr>
        <w:t>. To Licensor’s Knowledge,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1.59</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all Patent Rights owned or licensed by</w:t>
      </w:r>
      <w:r>
        <w:rPr>
          <w:rFonts w:ascii="Arial" w:cs="Arial" w:eastAsia="Arial" w:hAnsi="Arial"/>
          <w:sz w:val="18"/>
          <w:szCs w:val="18"/>
          <w:b w:val="1"/>
          <w:bCs w:val="1"/>
          <w:color w:val="auto"/>
        </w:rPr>
        <w:t xml:space="preserve"> </w:t>
      </w:r>
      <w:r>
        <w:rPr>
          <w:rFonts w:ascii="Arial" w:cs="Arial" w:eastAsia="Arial" w:hAnsi="Arial"/>
          <w:sz w:val="18"/>
          <w:szCs w:val="18"/>
          <w:color w:val="auto"/>
        </w:rPr>
        <w:t>Licensor or its Affiliates, or to which Licensor or its Affiliates otherwise have rights, that Cover a Licensed Compound or a Licensed Product or the Exploitation thereof in the Field or that are necessary for such Exploitation as contemplated as of the Effective Date. All such Patent Rights are subsisting, and to Licensor’s Knowledge, valid and enforceable. No written claim or litigation has been brought or asserted against Licensor or its Affiliates or with respect any such Patent Right (and to Licensor’s Knowledge, no such claims have been threatened) by any Person (a) alleging the invalidity, misuse, unregisterability, unenforceability, or non-infringement of any such Patent Rights, or (b) challenging Licensor’s ownership or control of any such Patent Rights The pending applications included in such Patent Rights are being prosecuted using reasonable efforts in the respective Patent Offices in the Territory in accordance with Applicable Law and Licensor and its Affiliates have presented all material references, documents and information of which it and the inventors are aware to the relevant patent examiner at the relevant Patent Office, and all such Patent Rights have been filed and maintained properly and correctly and all applicable fees have been paid on or before the due date for payment, as required under Applicable Law. To Licensor’s Knowledge, each of such Patent Rights properly identifies each and every inventor of the claims thereof as determined in accordance with the laws of the jurisdiction in which such patent is issued or such patent application is currently pending. True, complete, and correct copies of the file wrappers, and to the extent in the possession or control of Licensor or its Affiliates or their respective counsel, other non-privileged or non-work-product documents and materials relating to the Prosecution, defense, or maintenance of such Patent Rights have been provided or made available to Licensee.</w:t>
      </w:r>
    </w:p>
    <w:p>
      <w:pPr>
        <w:spacing w:after="0" w:line="173" w:lineRule="exact"/>
        <w:rPr>
          <w:sz w:val="20"/>
          <w:szCs w:val="20"/>
          <w:color w:val="auto"/>
        </w:rPr>
      </w:pPr>
    </w:p>
    <w:p>
      <w:pPr>
        <w:jc w:val="both"/>
        <w:ind w:left="1732" w:hanging="863"/>
        <w:spacing w:after="0" w:line="248" w:lineRule="auto"/>
        <w:tabs>
          <w:tab w:leader="none" w:pos="1712" w:val="left"/>
        </w:tabs>
        <w:rPr>
          <w:sz w:val="20"/>
          <w:szCs w:val="20"/>
          <w:color w:val="auto"/>
        </w:rPr>
      </w:pPr>
      <w:r>
        <w:rPr>
          <w:rFonts w:ascii="Arial" w:cs="Arial" w:eastAsia="Arial" w:hAnsi="Arial"/>
          <w:sz w:val="20"/>
          <w:szCs w:val="20"/>
          <w:color w:val="auto"/>
        </w:rPr>
        <w:t>8.2.3.</w:t>
      </w:r>
      <w:r>
        <w:rPr>
          <w:sz w:val="20"/>
          <w:szCs w:val="20"/>
          <w:color w:val="auto"/>
        </w:rPr>
        <w:tab/>
      </w:r>
      <w:r>
        <w:rPr>
          <w:rFonts w:ascii="Arial" w:cs="Arial" w:eastAsia="Arial" w:hAnsi="Arial"/>
          <w:sz w:val="20"/>
          <w:szCs w:val="20"/>
          <w:b w:val="1"/>
          <w:bCs w:val="1"/>
          <w:color w:val="auto"/>
        </w:rPr>
        <w:t>Licensor Know-How</w:t>
      </w:r>
      <w:r>
        <w:rPr>
          <w:rFonts w:ascii="Arial" w:cs="Arial" w:eastAsia="Arial" w:hAnsi="Arial"/>
          <w:sz w:val="20"/>
          <w:szCs w:val="20"/>
          <w:color w:val="auto"/>
        </w:rPr>
        <w:t>. To Licensor’s Knowledge, there is no Know-How owned by, or otherwise in the possession or</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of, Licensor or any of its Affiliates as that relates to the Licensed Compounds or the Licensed Products that is not included in the Licensor Know-How. Licensor has used reasonable efforts to preserve the confidentiality of trade secrets in the Licensed Know-How.</w:t>
      </w:r>
    </w:p>
    <w:p>
      <w:pPr>
        <w:spacing w:after="0" w:line="184" w:lineRule="exact"/>
        <w:rPr>
          <w:sz w:val="20"/>
          <w:szCs w:val="20"/>
          <w:color w:val="auto"/>
        </w:rPr>
      </w:pPr>
    </w:p>
    <w:p>
      <w:pPr>
        <w:jc w:val="both"/>
        <w:ind w:left="1732" w:hanging="863"/>
        <w:spacing w:after="0" w:line="253" w:lineRule="auto"/>
        <w:tabs>
          <w:tab w:leader="none" w:pos="1712" w:val="left"/>
        </w:tabs>
        <w:rPr>
          <w:sz w:val="20"/>
          <w:szCs w:val="20"/>
          <w:color w:val="auto"/>
        </w:rPr>
      </w:pPr>
      <w:r>
        <w:rPr>
          <w:rFonts w:ascii="Arial" w:cs="Arial" w:eastAsia="Arial" w:hAnsi="Arial"/>
          <w:sz w:val="20"/>
          <w:szCs w:val="20"/>
          <w:color w:val="auto"/>
        </w:rPr>
        <w:t>8.2.4.</w:t>
      </w:r>
      <w:r>
        <w:rPr>
          <w:sz w:val="20"/>
          <w:szCs w:val="20"/>
          <w:color w:val="auto"/>
        </w:rPr>
        <w:tab/>
      </w:r>
      <w:r>
        <w:rPr>
          <w:rFonts w:ascii="Arial" w:cs="Arial" w:eastAsia="Arial" w:hAnsi="Arial"/>
          <w:sz w:val="20"/>
          <w:szCs w:val="20"/>
          <w:b w:val="1"/>
          <w:bCs w:val="1"/>
          <w:color w:val="auto"/>
        </w:rPr>
        <w:t>Third Party Infringement</w:t>
      </w:r>
      <w:r>
        <w:rPr>
          <w:rFonts w:ascii="Arial" w:cs="Arial" w:eastAsia="Arial" w:hAnsi="Arial"/>
          <w:sz w:val="20"/>
          <w:szCs w:val="20"/>
          <w:color w:val="auto"/>
        </w:rPr>
        <w:t>. There is no claim pending by Licensor alleging that a Third Party is or was infringing,</w:t>
      </w:r>
      <w:r>
        <w:rPr>
          <w:rFonts w:ascii="Arial" w:cs="Arial" w:eastAsia="Arial" w:hAnsi="Arial"/>
          <w:sz w:val="20"/>
          <w:szCs w:val="20"/>
          <w:b w:val="1"/>
          <w:bCs w:val="1"/>
          <w:color w:val="auto"/>
        </w:rPr>
        <w:t xml:space="preserve"> </w:t>
      </w:r>
      <w:r>
        <w:rPr>
          <w:rFonts w:ascii="Arial" w:cs="Arial" w:eastAsia="Arial" w:hAnsi="Arial"/>
          <w:sz w:val="20"/>
          <w:szCs w:val="20"/>
          <w:color w:val="auto"/>
        </w:rPr>
        <w:t>misappropriating, or otherwise violating the Licensor Technology in the Territory in the Field, and, to Licensor’s Knowledge, no Third Party is infringing the Licensor Technology.</w:t>
      </w:r>
    </w:p>
    <w:p>
      <w:pPr>
        <w:spacing w:after="0" w:line="178" w:lineRule="exact"/>
        <w:rPr>
          <w:sz w:val="20"/>
          <w:szCs w:val="20"/>
          <w:color w:val="auto"/>
        </w:rPr>
      </w:pPr>
    </w:p>
    <w:p>
      <w:pPr>
        <w:jc w:val="both"/>
        <w:ind w:left="1732" w:hanging="863"/>
        <w:spacing w:after="0" w:line="245" w:lineRule="auto"/>
        <w:tabs>
          <w:tab w:leader="none" w:pos="1712" w:val="left"/>
        </w:tabs>
        <w:rPr>
          <w:sz w:val="20"/>
          <w:szCs w:val="20"/>
          <w:color w:val="auto"/>
        </w:rPr>
      </w:pPr>
      <w:r>
        <w:rPr>
          <w:rFonts w:ascii="Arial" w:cs="Arial" w:eastAsia="Arial" w:hAnsi="Arial"/>
          <w:sz w:val="20"/>
          <w:szCs w:val="20"/>
          <w:color w:val="auto"/>
        </w:rPr>
        <w:t>8.2.5.</w:t>
      </w:r>
      <w:r>
        <w:rPr>
          <w:sz w:val="20"/>
          <w:szCs w:val="20"/>
          <w:color w:val="auto"/>
        </w:rPr>
        <w:tab/>
      </w:r>
      <w:r>
        <w:rPr>
          <w:rFonts w:ascii="Arial" w:cs="Arial" w:eastAsia="Arial" w:hAnsi="Arial"/>
          <w:sz w:val="20"/>
          <w:szCs w:val="20"/>
          <w:b w:val="1"/>
          <w:bCs w:val="1"/>
          <w:color w:val="auto"/>
        </w:rPr>
        <w:t>No Infringement</w:t>
      </w:r>
      <w:r>
        <w:rPr>
          <w:rFonts w:ascii="Arial" w:cs="Arial" w:eastAsia="Arial" w:hAnsi="Arial"/>
          <w:sz w:val="20"/>
          <w:szCs w:val="20"/>
          <w:color w:val="auto"/>
        </w:rPr>
        <w:t>. To Licensor’s Knowledge, the Exploitation of [*] or other Licensed Compounds or Licensed Products</w:t>
      </w:r>
      <w:r>
        <w:rPr>
          <w:rFonts w:ascii="Arial" w:cs="Arial" w:eastAsia="Arial" w:hAnsi="Arial"/>
          <w:sz w:val="20"/>
          <w:szCs w:val="20"/>
          <w:b w:val="1"/>
          <w:bCs w:val="1"/>
          <w:color w:val="auto"/>
        </w:rPr>
        <w:t xml:space="preserve"> </w:t>
      </w:r>
      <w:r>
        <w:rPr>
          <w:rFonts w:ascii="Arial" w:cs="Arial" w:eastAsia="Arial" w:hAnsi="Arial"/>
          <w:sz w:val="20"/>
          <w:szCs w:val="20"/>
          <w:color w:val="auto"/>
        </w:rPr>
        <w:t>(where the active ingredient includes only Licensed Compounds) as contemplated under the Development Plan as of the Effective Date does not violate, infringe, or constitute misappropriation of or otherwise conflict or interfere with any Patent Rights or Know-How of any Third Party. There is no action or other proceeding duly filed and served against Licensor or any of its Affiliates, nor, to Licensor’s Knowledge, threatened against Licensor or any of its Affiliates alleging that the</w:t>
      </w:r>
    </w:p>
    <w:p>
      <w:pPr>
        <w:spacing w:after="0" w:line="200" w:lineRule="exact"/>
        <w:rPr>
          <w:sz w:val="20"/>
          <w:szCs w:val="20"/>
          <w:color w:val="auto"/>
        </w:rPr>
      </w:pPr>
    </w:p>
    <w:p>
      <w:pPr>
        <w:spacing w:after="0" w:line="210"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- 30 -</w:t>
      </w:r>
    </w:p>
    <w:p>
      <w:pPr>
        <w:spacing w:after="0" w:line="12" w:lineRule="exact"/>
        <w:rPr>
          <w:sz w:val="20"/>
          <w:szCs w:val="20"/>
          <w:color w:val="auto"/>
        </w:rPr>
      </w:pPr>
    </w:p>
    <w:p>
      <w:pPr>
        <w:ind w:left="-8" w:right="740" w:firstLine="8"/>
        <w:spacing w:after="0" w:line="226" w:lineRule="auto"/>
        <w:tabs>
          <w:tab w:leader="none" w:pos="2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0" w:right="239" w:bottom="1440" w:gutter="0" w:footer="0" w:header="0"/>
        </w:sectPr>
      </w:pPr>
    </w:p>
    <w:bookmarkStart w:id="168" w:name="page169"/>
    <w:bookmarkEnd w:id="168"/>
    <w:p>
      <w:pPr>
        <w:jc w:val="both"/>
        <w:ind w:left="1732"/>
        <w:spacing w:after="0" w:line="243" w:lineRule="auto"/>
        <w:rPr>
          <w:sz w:val="20"/>
          <w:szCs w:val="20"/>
          <w:color w:val="auto"/>
        </w:rPr>
      </w:pPr>
      <w:r>
        <w:rPr>
          <w:rFonts w:ascii="Arial" w:cs="Arial" w:eastAsia="Arial" w:hAnsi="Arial"/>
          <w:sz w:val="20"/>
          <w:szCs w:val="20"/>
          <w:color w:val="auto"/>
        </w:rPr>
        <w:t>Development, Manufacture, or Commercialization of any Licensed Compounds or Licensed Product or use of Licensor Know-How as contemplated herein violates, infringes, constitutes misappropriation, or otherwise conflicts or interferes with any Intellectual Property Right of any Third Party. There are no judgments, orders, writs, injunctions, decrees, awards, or settlements against or owed by Licensor or any of its Affiliates or to which Licensor or any of its Affiliates is a party or, to Licensor’s Knowledge, any actions, or claims threatened, in each case, relating to the Licensor Technology, Licensed Compounds, or Licensed Products.</w:t>
      </w:r>
    </w:p>
    <w:p>
      <w:pPr>
        <w:spacing w:after="0" w:line="191" w:lineRule="exact"/>
        <w:rPr>
          <w:sz w:val="20"/>
          <w:szCs w:val="20"/>
          <w:color w:val="auto"/>
        </w:rPr>
      </w:pPr>
    </w:p>
    <w:p>
      <w:pPr>
        <w:jc w:val="both"/>
        <w:ind w:left="1732" w:hanging="863"/>
        <w:spacing w:after="0" w:line="244" w:lineRule="auto"/>
        <w:tabs>
          <w:tab w:leader="none" w:pos="1712" w:val="left"/>
        </w:tabs>
        <w:rPr>
          <w:sz w:val="20"/>
          <w:szCs w:val="20"/>
          <w:color w:val="auto"/>
        </w:rPr>
      </w:pPr>
      <w:r>
        <w:rPr>
          <w:rFonts w:ascii="Arial" w:cs="Arial" w:eastAsia="Arial" w:hAnsi="Arial"/>
          <w:sz w:val="20"/>
          <w:szCs w:val="20"/>
          <w:color w:val="auto"/>
        </w:rPr>
        <w:t>8.2.6.</w:t>
      </w:r>
      <w:r>
        <w:rPr>
          <w:sz w:val="20"/>
          <w:szCs w:val="20"/>
          <w:color w:val="auto"/>
        </w:rPr>
        <w:tab/>
      </w:r>
      <w:r>
        <w:rPr>
          <w:rFonts w:ascii="Arial" w:cs="Arial" w:eastAsia="Arial" w:hAnsi="Arial"/>
          <w:sz w:val="20"/>
          <w:szCs w:val="20"/>
          <w:b w:val="1"/>
          <w:bCs w:val="1"/>
          <w:color w:val="auto"/>
        </w:rPr>
        <w:t>No Conflicting Rights</w:t>
      </w:r>
      <w:r>
        <w:rPr>
          <w:rFonts w:ascii="Arial" w:cs="Arial" w:eastAsia="Arial" w:hAnsi="Arial"/>
          <w:sz w:val="20"/>
          <w:szCs w:val="20"/>
          <w:color w:val="auto"/>
        </w:rPr>
        <w:t>. Neither Licensor nor any of its Affiliates has previously entered into any agreement, whether</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or oral, with respect to or otherwise assigned, transferred, licensed, conveyed, granted any right or forbearance with respect to, or otherwise encumbered its right, title or interest in or to the Licensor Technology, or any Patent Right or Know-How that would be Licensor Technology but for such assignment, transfer, license, conveyance, right, forbearance or encumbrance and it will not enter into any such agreements, grant any such right, title or interest to any person or entity that, in each case, is inconsistent with or otherwise diminish the rights and licenses granted to Licensee under this Agreement.</w:t>
      </w:r>
    </w:p>
    <w:p>
      <w:pPr>
        <w:spacing w:after="0" w:line="187" w:lineRule="exact"/>
        <w:rPr>
          <w:sz w:val="20"/>
          <w:szCs w:val="20"/>
          <w:color w:val="auto"/>
        </w:rPr>
      </w:pPr>
    </w:p>
    <w:p>
      <w:pPr>
        <w:jc w:val="both"/>
        <w:ind w:left="1732" w:hanging="863"/>
        <w:spacing w:after="0" w:line="246" w:lineRule="auto"/>
        <w:tabs>
          <w:tab w:leader="none" w:pos="1712" w:val="left"/>
        </w:tabs>
        <w:rPr>
          <w:sz w:val="20"/>
          <w:szCs w:val="20"/>
          <w:color w:val="auto"/>
        </w:rPr>
      </w:pPr>
      <w:r>
        <w:rPr>
          <w:rFonts w:ascii="Arial" w:cs="Arial" w:eastAsia="Arial" w:hAnsi="Arial"/>
          <w:sz w:val="20"/>
          <w:szCs w:val="20"/>
          <w:color w:val="auto"/>
        </w:rPr>
        <w:t>8.2.7.</w:t>
      </w:r>
      <w:r>
        <w:rPr>
          <w:sz w:val="20"/>
          <w:szCs w:val="20"/>
          <w:color w:val="auto"/>
        </w:rPr>
        <w:tab/>
      </w:r>
      <w:r>
        <w:rPr>
          <w:rFonts w:ascii="Arial" w:cs="Arial" w:eastAsia="Arial" w:hAnsi="Arial"/>
          <w:sz w:val="20"/>
          <w:szCs w:val="20"/>
          <w:b w:val="1"/>
          <w:bCs w:val="1"/>
          <w:color w:val="auto"/>
        </w:rPr>
        <w:t>No Other Payments</w:t>
      </w:r>
      <w:r>
        <w:rPr>
          <w:rFonts w:ascii="Arial" w:cs="Arial" w:eastAsia="Arial" w:hAnsi="Arial"/>
          <w:sz w:val="20"/>
          <w:szCs w:val="20"/>
          <w:color w:val="auto"/>
        </w:rPr>
        <w:t>. To Licensor’s Knowledge, there are no amounts that will be required to be paid to a Third Party or</w:t>
      </w:r>
      <w:r>
        <w:rPr>
          <w:rFonts w:ascii="Arial" w:cs="Arial" w:eastAsia="Arial" w:hAnsi="Arial"/>
          <w:sz w:val="20"/>
          <w:szCs w:val="20"/>
          <w:b w:val="1"/>
          <w:bCs w:val="1"/>
          <w:color w:val="auto"/>
        </w:rPr>
        <w:t xml:space="preserve"> </w:t>
      </w:r>
      <w:r>
        <w:rPr>
          <w:rFonts w:ascii="Arial" w:cs="Arial" w:eastAsia="Arial" w:hAnsi="Arial"/>
          <w:sz w:val="20"/>
          <w:szCs w:val="20"/>
          <w:color w:val="auto"/>
        </w:rPr>
        <w:t>any inventor of the Licensor Patent Rights (including under any applicable inventor remuneration laws) under any agreement to which Licensor or any of its Affiliates is a party, as a result of the Development, Manufacture, or Commercialization of the Licensed Compounds or Licensed Products as contemplated under the Development Plan as of the Effective Date.</w:t>
      </w:r>
    </w:p>
    <w:p>
      <w:pPr>
        <w:spacing w:after="0" w:line="185" w:lineRule="exact"/>
        <w:rPr>
          <w:sz w:val="20"/>
          <w:szCs w:val="20"/>
          <w:color w:val="auto"/>
        </w:rPr>
      </w:pPr>
    </w:p>
    <w:p>
      <w:pPr>
        <w:jc w:val="both"/>
        <w:ind w:left="1732" w:hanging="863"/>
        <w:spacing w:after="0" w:line="277" w:lineRule="auto"/>
        <w:tabs>
          <w:tab w:leader="none" w:pos="1712" w:val="left"/>
        </w:tabs>
        <w:rPr>
          <w:sz w:val="20"/>
          <w:szCs w:val="20"/>
          <w:color w:val="auto"/>
        </w:rPr>
      </w:pPr>
      <w:r>
        <w:rPr>
          <w:rFonts w:ascii="Arial" w:cs="Arial" w:eastAsia="Arial" w:hAnsi="Arial"/>
          <w:sz w:val="20"/>
          <w:szCs w:val="20"/>
          <w:color w:val="auto"/>
        </w:rPr>
        <w:t>8.2.8.</w:t>
      </w:r>
      <w:r>
        <w:rPr>
          <w:sz w:val="20"/>
          <w:szCs w:val="20"/>
          <w:color w:val="auto"/>
        </w:rPr>
        <w:tab/>
      </w:r>
      <w:r>
        <w:rPr>
          <w:rFonts w:ascii="Arial" w:cs="Arial" w:eastAsia="Arial" w:hAnsi="Arial"/>
          <w:sz w:val="18"/>
          <w:szCs w:val="18"/>
          <w:b w:val="1"/>
          <w:bCs w:val="1"/>
          <w:color w:val="auto"/>
        </w:rPr>
        <w:t>No Government Funding</w:t>
      </w:r>
      <w:r>
        <w:rPr>
          <w:rFonts w:ascii="Arial" w:cs="Arial" w:eastAsia="Arial" w:hAnsi="Arial"/>
          <w:sz w:val="18"/>
          <w:szCs w:val="18"/>
          <w:color w:val="auto"/>
        </w:rPr>
        <w:t>. Neither Licensor nor any of its Affiliates have been a party to any agreement with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federal government or an agency thereof pursuant to which the United States federal government or such agency provided funding for the Development of the Licensed Compounds or Licensed Products (to the extent that a Licensed Compound is the only active ingredient), and the inventions claimed or covered by the Licensor Patent Rights are not subject to the provisions of the Patent and Trademark Law Amendments Act of 1980, as amended, codified at 35 U.S.C. §§ 200-212, as amended, or any regulations promulgated pursuant thereto, including in 37 C.F.R. Part 401.</w:t>
      </w:r>
    </w:p>
    <w:p>
      <w:pPr>
        <w:spacing w:after="0" w:line="160" w:lineRule="exact"/>
        <w:rPr>
          <w:sz w:val="20"/>
          <w:szCs w:val="20"/>
          <w:color w:val="auto"/>
        </w:rPr>
      </w:pPr>
    </w:p>
    <w:p>
      <w:pPr>
        <w:jc w:val="both"/>
        <w:ind w:left="1732" w:right="20" w:hanging="863"/>
        <w:spacing w:after="0" w:line="253" w:lineRule="auto"/>
        <w:tabs>
          <w:tab w:leader="none" w:pos="1712" w:val="left"/>
        </w:tabs>
        <w:rPr>
          <w:sz w:val="20"/>
          <w:szCs w:val="20"/>
          <w:color w:val="auto"/>
        </w:rPr>
      </w:pPr>
      <w:r>
        <w:rPr>
          <w:rFonts w:ascii="Arial" w:cs="Arial" w:eastAsia="Arial" w:hAnsi="Arial"/>
          <w:sz w:val="20"/>
          <w:szCs w:val="20"/>
          <w:color w:val="auto"/>
        </w:rPr>
        <w:t>8.2.9.</w:t>
      </w:r>
      <w:r>
        <w:rPr>
          <w:sz w:val="20"/>
          <w:szCs w:val="20"/>
          <w:color w:val="auto"/>
        </w:rPr>
        <w:tab/>
      </w:r>
      <w:r>
        <w:rPr>
          <w:rFonts w:ascii="Arial" w:cs="Arial" w:eastAsia="Arial" w:hAnsi="Arial"/>
          <w:sz w:val="20"/>
          <w:szCs w:val="20"/>
          <w:b w:val="1"/>
          <w:bCs w:val="1"/>
          <w:color w:val="auto"/>
        </w:rPr>
        <w:t>Compliance</w:t>
      </w:r>
      <w:r>
        <w:rPr>
          <w:rFonts w:ascii="Arial" w:cs="Arial" w:eastAsia="Arial" w:hAnsi="Arial"/>
          <w:sz w:val="20"/>
          <w:szCs w:val="20"/>
          <w:color w:val="auto"/>
        </w:rPr>
        <w:t>. Licensor and its Affiliates, contractors, and consultants have conducted all Development activities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the Licensed Compounds and Licensed Products in accordance with good clinical practice, good laboratory practice, good manufacturing practice, as applicable, and all other Applicable Laws.</w:t>
      </w:r>
    </w:p>
    <w:p>
      <w:pPr>
        <w:spacing w:after="0" w:line="178" w:lineRule="exact"/>
        <w:rPr>
          <w:sz w:val="20"/>
          <w:szCs w:val="20"/>
          <w:color w:val="auto"/>
        </w:rPr>
      </w:pPr>
    </w:p>
    <w:p>
      <w:pPr>
        <w:jc w:val="both"/>
        <w:ind w:left="1732" w:hanging="863"/>
        <w:spacing w:after="0" w:line="245" w:lineRule="auto"/>
        <w:tabs>
          <w:tab w:leader="none" w:pos="1712" w:val="left"/>
        </w:tabs>
        <w:rPr>
          <w:sz w:val="20"/>
          <w:szCs w:val="20"/>
          <w:color w:val="auto"/>
        </w:rPr>
      </w:pPr>
      <w:r>
        <w:rPr>
          <w:rFonts w:ascii="Arial" w:cs="Arial" w:eastAsia="Arial" w:hAnsi="Arial"/>
          <w:sz w:val="20"/>
          <w:szCs w:val="20"/>
          <w:color w:val="auto"/>
        </w:rPr>
        <w:t>8.2.10.</w:t>
      </w:r>
      <w:r>
        <w:rPr>
          <w:sz w:val="20"/>
          <w:szCs w:val="20"/>
          <w:color w:val="auto"/>
        </w:rPr>
        <w:tab/>
      </w:r>
      <w:r>
        <w:rPr>
          <w:rFonts w:ascii="Arial" w:cs="Arial" w:eastAsia="Arial" w:hAnsi="Arial"/>
          <w:sz w:val="20"/>
          <w:szCs w:val="20"/>
          <w:b w:val="1"/>
          <w:bCs w:val="1"/>
          <w:color w:val="auto"/>
        </w:rPr>
        <w:t>No Debarment</w:t>
      </w:r>
      <w:r>
        <w:rPr>
          <w:rFonts w:ascii="Arial" w:cs="Arial" w:eastAsia="Arial" w:hAnsi="Arial"/>
          <w:sz w:val="20"/>
          <w:szCs w:val="20"/>
          <w:color w:val="auto"/>
        </w:rPr>
        <w:t>. To Licensor’s Knowledge, neither Licensor nor any of its Affiliates has been debarred by the FDA, and</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subject to any similar sanction of other Regulatory Authorities in the Territory, and to Licensor’s Knowledge, neither Licensor nor any of its Affiliates has used, in any capacity, in connection with this Agreement, any Person who either has been debarred by such a Regulatory Authority, or is the subject of a conviction described in Section 306 of the FFDCA, in each case, except to the extent that would not be material to this Agreement or the Licensed Technology, Licensed Compounds, or Licensed Products.</w:t>
      </w:r>
    </w:p>
    <w:p>
      <w:pPr>
        <w:spacing w:after="0" w:line="185" w:lineRule="exact"/>
        <w:rPr>
          <w:sz w:val="20"/>
          <w:szCs w:val="20"/>
          <w:color w:val="auto"/>
        </w:rPr>
      </w:pPr>
    </w:p>
    <w:p>
      <w:pPr>
        <w:jc w:val="both"/>
        <w:ind w:left="1732" w:hanging="863"/>
        <w:spacing w:after="0" w:line="267" w:lineRule="auto"/>
        <w:tabs>
          <w:tab w:leader="none" w:pos="1712" w:val="left"/>
        </w:tabs>
        <w:rPr>
          <w:sz w:val="20"/>
          <w:szCs w:val="20"/>
          <w:color w:val="auto"/>
        </w:rPr>
      </w:pPr>
      <w:r>
        <w:rPr>
          <w:rFonts w:ascii="Arial" w:cs="Arial" w:eastAsia="Arial" w:hAnsi="Arial"/>
          <w:sz w:val="20"/>
          <w:szCs w:val="20"/>
          <w:color w:val="auto"/>
        </w:rPr>
        <w:t>8.2.11.</w:t>
      </w:r>
      <w:r>
        <w:rPr>
          <w:sz w:val="20"/>
          <w:szCs w:val="20"/>
          <w:color w:val="auto"/>
        </w:rPr>
        <w:tab/>
      </w:r>
      <w:r>
        <w:rPr>
          <w:rFonts w:ascii="Arial" w:cs="Arial" w:eastAsia="Arial" w:hAnsi="Arial"/>
          <w:sz w:val="20"/>
          <w:szCs w:val="20"/>
          <w:b w:val="1"/>
          <w:bCs w:val="1"/>
          <w:color w:val="auto"/>
        </w:rPr>
        <w:t>Anti-Corruption</w:t>
      </w:r>
      <w:r>
        <w:rPr>
          <w:rFonts w:ascii="Arial" w:cs="Arial" w:eastAsia="Arial" w:hAnsi="Arial"/>
          <w:sz w:val="20"/>
          <w:szCs w:val="20"/>
          <w:color w:val="auto"/>
        </w:rPr>
        <w:t>. Licensor its Affiliates, and their respective officers, directors, employees, and to Licensor’s</w:t>
      </w:r>
      <w:r>
        <w:rPr>
          <w:rFonts w:ascii="Arial" w:cs="Arial" w:eastAsia="Arial" w:hAnsi="Arial"/>
          <w:sz w:val="20"/>
          <w:szCs w:val="20"/>
          <w:b w:val="1"/>
          <w:bCs w:val="1"/>
          <w:color w:val="auto"/>
        </w:rPr>
        <w:t xml:space="preserve"> </w:t>
      </w:r>
      <w:r>
        <w:rPr>
          <w:rFonts w:ascii="Arial" w:cs="Arial" w:eastAsia="Arial" w:hAnsi="Arial"/>
          <w:sz w:val="20"/>
          <w:szCs w:val="20"/>
          <w:color w:val="auto"/>
        </w:rPr>
        <w:t>Knowledge, each of Licensor’s and its Affiliates’</w:t>
      </w:r>
    </w:p>
    <w:p>
      <w:pPr>
        <w:spacing w:after="0" w:line="388"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- 31 -</w:t>
      </w:r>
    </w:p>
    <w:p>
      <w:pPr>
        <w:spacing w:after="0" w:line="12" w:lineRule="exact"/>
        <w:rPr>
          <w:sz w:val="20"/>
          <w:szCs w:val="20"/>
          <w:color w:val="auto"/>
        </w:rPr>
      </w:pPr>
    </w:p>
    <w:p>
      <w:pPr>
        <w:ind w:left="-8" w:right="740" w:firstLine="8"/>
        <w:spacing w:after="0" w:line="226" w:lineRule="auto"/>
        <w:tabs>
          <w:tab w:leader="none" w:pos="2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69" w:name="page170"/>
    <w:bookmarkEnd w:id="169"/>
    <w:p>
      <w:pPr>
        <w:jc w:val="both"/>
        <w:ind w:left="1740"/>
        <w:spacing w:after="0" w:line="243" w:lineRule="auto"/>
        <w:rPr>
          <w:sz w:val="20"/>
          <w:szCs w:val="20"/>
          <w:color w:val="auto"/>
        </w:rPr>
      </w:pPr>
      <w:r>
        <w:rPr>
          <w:rFonts w:ascii="Arial" w:cs="Arial" w:eastAsia="Arial" w:hAnsi="Arial"/>
          <w:sz w:val="20"/>
          <w:szCs w:val="20"/>
          <w:color w:val="auto"/>
        </w:rPr>
        <w:t>representatives, agents, or other Persons acting on behalf of Licensor or its Affiliates have complied with all Applicable Laws concerning bribery, money laundering, or corrupt practices or which in any manner prohibit the giving of anything of value to any official, agent, or employee of any government, political party, or public international organization, candidate for public office, health care professional, or to any officer, director, employee, or representative of any other organization specifically including the U.S. Foreign Corrupt Practices Act, and the UK Bribery Act, in each case, except to the extent that would not be material to this Agreement or the Licensed Technology, Licensed Compounds, or Licensed Products.</w:t>
      </w:r>
    </w:p>
    <w:p>
      <w:pPr>
        <w:spacing w:after="0" w:line="187"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6"/>
          <w:szCs w:val="16"/>
          <w:b w:val="1"/>
          <w:bCs w:val="1"/>
          <w:color w:val="auto"/>
        </w:rPr>
        <w:t>Licensee Covenants</w:t>
      </w:r>
      <w:r>
        <w:rPr>
          <w:rFonts w:ascii="Arial" w:cs="Arial" w:eastAsia="Arial" w:hAnsi="Arial"/>
          <w:sz w:val="16"/>
          <w:szCs w:val="16"/>
          <w:color w:val="auto"/>
        </w:rPr>
        <w:t>. Licensee covenants to Licensor that:</w:t>
      </w:r>
    </w:p>
    <w:p>
      <w:pPr>
        <w:spacing w:after="0" w:line="216" w:lineRule="exact"/>
        <w:rPr>
          <w:sz w:val="20"/>
          <w:szCs w:val="20"/>
          <w:color w:val="auto"/>
        </w:rPr>
      </w:pPr>
    </w:p>
    <w:p>
      <w:pPr>
        <w:jc w:val="both"/>
        <w:ind w:left="1740" w:right="20" w:hanging="863"/>
        <w:spacing w:after="0" w:line="267" w:lineRule="auto"/>
        <w:tabs>
          <w:tab w:leader="none" w:pos="1720" w:val="left"/>
        </w:tabs>
        <w:rPr>
          <w:sz w:val="20"/>
          <w:szCs w:val="20"/>
          <w:color w:val="auto"/>
        </w:rPr>
      </w:pPr>
      <w:r>
        <w:rPr>
          <w:rFonts w:ascii="Arial" w:cs="Arial" w:eastAsia="Arial" w:hAnsi="Arial"/>
          <w:sz w:val="20"/>
          <w:szCs w:val="20"/>
          <w:color w:val="auto"/>
        </w:rPr>
        <w:t>8.3.1.</w:t>
      </w:r>
      <w:r>
        <w:rPr>
          <w:sz w:val="20"/>
          <w:szCs w:val="20"/>
          <w:color w:val="auto"/>
        </w:rPr>
        <w:tab/>
      </w:r>
      <w:r>
        <w:rPr>
          <w:rFonts w:ascii="Arial" w:cs="Arial" w:eastAsia="Arial" w:hAnsi="Arial"/>
          <w:sz w:val="20"/>
          <w:szCs w:val="20"/>
          <w:b w:val="1"/>
          <w:bCs w:val="1"/>
          <w:color w:val="auto"/>
        </w:rPr>
        <w:t>Compliance with Law</w:t>
      </w:r>
      <w:r>
        <w:rPr>
          <w:rFonts w:ascii="Arial" w:cs="Arial" w:eastAsia="Arial" w:hAnsi="Arial"/>
          <w:sz w:val="20"/>
          <w:szCs w:val="20"/>
          <w:color w:val="auto"/>
        </w:rPr>
        <w:t>. Licensee will, and will ensure all Third Parties that it engages, comply with all Applicable Laws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performance of its obligations under this Agreement.</w:t>
      </w:r>
    </w:p>
    <w:p>
      <w:pPr>
        <w:spacing w:after="0" w:line="164" w:lineRule="exact"/>
        <w:rPr>
          <w:sz w:val="20"/>
          <w:szCs w:val="20"/>
          <w:color w:val="auto"/>
        </w:rPr>
      </w:pPr>
    </w:p>
    <w:p>
      <w:pPr>
        <w:jc w:val="both"/>
        <w:ind w:left="1740" w:hanging="863"/>
        <w:spacing w:after="0" w:line="275" w:lineRule="auto"/>
        <w:tabs>
          <w:tab w:leader="none" w:pos="1720" w:val="left"/>
        </w:tabs>
        <w:rPr>
          <w:sz w:val="20"/>
          <w:szCs w:val="20"/>
          <w:color w:val="auto"/>
        </w:rPr>
      </w:pPr>
      <w:r>
        <w:rPr>
          <w:rFonts w:ascii="Arial" w:cs="Arial" w:eastAsia="Arial" w:hAnsi="Arial"/>
          <w:sz w:val="20"/>
          <w:szCs w:val="20"/>
          <w:color w:val="auto"/>
        </w:rPr>
        <w:t>8.3.2.</w:t>
      </w:r>
      <w:r>
        <w:rPr>
          <w:sz w:val="20"/>
          <w:szCs w:val="20"/>
          <w:color w:val="auto"/>
        </w:rPr>
        <w:tab/>
      </w:r>
      <w:r>
        <w:rPr>
          <w:rFonts w:ascii="Arial" w:cs="Arial" w:eastAsia="Arial" w:hAnsi="Arial"/>
          <w:sz w:val="18"/>
          <w:szCs w:val="18"/>
          <w:b w:val="1"/>
          <w:bCs w:val="1"/>
          <w:color w:val="auto"/>
        </w:rPr>
        <w:t>No Debarment</w:t>
      </w:r>
      <w:r>
        <w:rPr>
          <w:rFonts w:ascii="Arial" w:cs="Arial" w:eastAsia="Arial" w:hAnsi="Arial"/>
          <w:sz w:val="18"/>
          <w:szCs w:val="18"/>
          <w:color w:val="auto"/>
        </w:rPr>
        <w:t>. Neither Licensee nor any of its Affiliates or Sublicensees will engage, in any capacity,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this Agreement, any Person who either has been debarred by such a Regulatory Authority, or is the subject of a conviction described in Section 306 of the FFDCA. Licensee will inform Licensor in writing promptly if it or any Person engaged by Licensee or any of its Affiliates or Sublicensees who is performing any activities under or in connection with this Agreement is debarred or is the subject of a conviction described in Section 306 of the FFDCA, or if any action, suit, claim, investigation, or legal or administrative proceeding is pending or, to Licensee’s knowledge, is threatened, relating to the debarment or conviction of Licensee, any of its Affiliates or Sublicensees, or any such Person performing activities.</w:t>
      </w:r>
    </w:p>
    <w:p>
      <w:pPr>
        <w:spacing w:after="0" w:line="163" w:lineRule="exact"/>
        <w:rPr>
          <w:sz w:val="20"/>
          <w:szCs w:val="20"/>
          <w:color w:val="auto"/>
        </w:rPr>
      </w:pPr>
    </w:p>
    <w:p>
      <w:pPr>
        <w:jc w:val="both"/>
        <w:ind w:left="1740" w:hanging="863"/>
        <w:spacing w:after="0" w:line="243" w:lineRule="auto"/>
        <w:tabs>
          <w:tab w:leader="none" w:pos="1720" w:val="left"/>
        </w:tabs>
        <w:rPr>
          <w:sz w:val="20"/>
          <w:szCs w:val="20"/>
          <w:color w:val="auto"/>
        </w:rPr>
      </w:pPr>
      <w:r>
        <w:rPr>
          <w:rFonts w:ascii="Arial" w:cs="Arial" w:eastAsia="Arial" w:hAnsi="Arial"/>
          <w:sz w:val="20"/>
          <w:szCs w:val="20"/>
          <w:color w:val="auto"/>
        </w:rPr>
        <w:t>8.3.3.</w:t>
      </w:r>
      <w:r>
        <w:rPr>
          <w:sz w:val="20"/>
          <w:szCs w:val="20"/>
          <w:color w:val="auto"/>
        </w:rPr>
        <w:tab/>
      </w:r>
      <w:r>
        <w:rPr>
          <w:rFonts w:ascii="Arial" w:cs="Arial" w:eastAsia="Arial" w:hAnsi="Arial"/>
          <w:sz w:val="20"/>
          <w:szCs w:val="20"/>
          <w:b w:val="1"/>
          <w:bCs w:val="1"/>
          <w:color w:val="auto"/>
        </w:rPr>
        <w:t>Anti-Corruption</w:t>
      </w:r>
      <w:r>
        <w:rPr>
          <w:rFonts w:ascii="Arial" w:cs="Arial" w:eastAsia="Arial" w:hAnsi="Arial"/>
          <w:sz w:val="20"/>
          <w:szCs w:val="20"/>
          <w:color w:val="auto"/>
        </w:rPr>
        <w:t>. Licensee will comply with all Applicable Laws concerning bribery, money laundering, or corrupt</w:t>
      </w:r>
      <w:r>
        <w:rPr>
          <w:rFonts w:ascii="Arial" w:cs="Arial" w:eastAsia="Arial" w:hAnsi="Arial"/>
          <w:sz w:val="20"/>
          <w:szCs w:val="20"/>
          <w:b w:val="1"/>
          <w:bCs w:val="1"/>
          <w:color w:val="auto"/>
        </w:rPr>
        <w:t xml:space="preserve"> </w:t>
      </w:r>
      <w:r>
        <w:rPr>
          <w:rFonts w:ascii="Arial" w:cs="Arial" w:eastAsia="Arial" w:hAnsi="Arial"/>
          <w:sz w:val="20"/>
          <w:szCs w:val="20"/>
          <w:color w:val="auto"/>
        </w:rPr>
        <w:t>practices or which in any manner prohibit the giving of anything of value to any official, agent, or employee of any government, political party, or public international organization, candidate for public office, health care professional, or to any officer, director, employee, or representative of any other organization specifically including the U.S. Foreign Corrupt Practices Act, and the UK Bribery Act, in each case, in connection with the activities conducted pursuant to this Agreement. Licensee will require any contractors, Subcontractors, distributors, or other Person that provide services to Licensee in connection with this Agreement to comply with Licensee’s obligations under this Section 8.3.3 (Anti-Corruption).</w:t>
      </w:r>
    </w:p>
    <w:p>
      <w:pPr>
        <w:spacing w:after="0" w:line="190" w:lineRule="exact"/>
        <w:rPr>
          <w:sz w:val="20"/>
          <w:szCs w:val="20"/>
          <w:color w:val="auto"/>
        </w:rPr>
      </w:pPr>
    </w:p>
    <w:p>
      <w:pPr>
        <w:jc w:val="both"/>
        <w:ind w:left="880" w:hanging="863"/>
        <w:spacing w:after="0" w:line="274" w:lineRule="auto"/>
        <w:tabs>
          <w:tab w:leader="none" w:pos="86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8"/>
          <w:szCs w:val="18"/>
          <w:b w:val="1"/>
          <w:bCs w:val="1"/>
          <w:color w:val="auto"/>
        </w:rPr>
        <w:t>No False Statements</w:t>
      </w:r>
      <w:r>
        <w:rPr>
          <w:rFonts w:ascii="Arial" w:cs="Arial" w:eastAsia="Arial" w:hAnsi="Arial"/>
          <w:sz w:val="18"/>
          <w:szCs w:val="18"/>
          <w:color w:val="auto"/>
        </w:rPr>
        <w:t>. Neither Party will, with respect to any activities conducted under this Agreement, (a) commit an act, (b)</w:t>
      </w:r>
      <w:r>
        <w:rPr>
          <w:rFonts w:ascii="Arial" w:cs="Arial" w:eastAsia="Arial" w:hAnsi="Arial"/>
          <w:sz w:val="18"/>
          <w:szCs w:val="18"/>
          <w:b w:val="1"/>
          <w:bCs w:val="1"/>
          <w:color w:val="auto"/>
        </w:rPr>
        <w:t xml:space="preserve"> </w:t>
      </w:r>
      <w:r>
        <w:rPr>
          <w:rFonts w:ascii="Arial" w:cs="Arial" w:eastAsia="Arial" w:hAnsi="Arial"/>
          <w:sz w:val="18"/>
          <w:szCs w:val="18"/>
          <w:color w:val="auto"/>
        </w:rPr>
        <w:t>make a statement, or (c) fail to act or make a statement, in any case ((a), (b), or (c)), that (i) would be or create an untrue statement of material fact or fraudulent statement to the FDA or any other Regulatory Authority with respect to the exercise of the rights granted to Licensee under the Licensor Technology or the Exploitation of any Licensed Compound or Licensed Product, or (ii) could reasonably be expected to provide a basis for the FDA to invoke its policy respecting “Fraud, Untrue Statements of Material Facts, Bribery and Illegal Gratuities,” set forth in 56 Fed. Reg. 46191 (September 10, 1991) and any amendments thereto or any analogous laws or policies in any country in the Territory, with respect to the exercise of the rights granted to Licensee under the Licensor Technology or the Exploitation of any Licensed Compound or Licensed Product.</w:t>
      </w:r>
    </w:p>
    <w:p>
      <w:pPr>
        <w:spacing w:after="0" w:line="3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- 32 -</w:t>
      </w:r>
    </w:p>
    <w:p>
      <w:pPr>
        <w:spacing w:after="0" w:line="12" w:lineRule="exact"/>
        <w:rPr>
          <w:sz w:val="20"/>
          <w:szCs w:val="20"/>
          <w:color w:val="auto"/>
        </w:rPr>
      </w:pPr>
    </w:p>
    <w:p>
      <w:pPr>
        <w:ind w:right="740" w:firstLine="8"/>
        <w:spacing w:after="0" w:line="226"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6"/>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8.5.</w:t>
            </w:r>
          </w:p>
        </w:tc>
        <w:tc>
          <w:tcPr>
            <w:tcW w:w="10560" w:type="dxa"/>
            <w:vAlign w:val="bottom"/>
          </w:tcPr>
          <w:p>
            <w:pPr>
              <w:ind w:left="20"/>
              <w:spacing w:after="0"/>
              <w:rPr>
                <w:sz w:val="20"/>
                <w:szCs w:val="20"/>
                <w:color w:val="auto"/>
              </w:rPr>
            </w:pPr>
            <w:r>
              <w:rPr>
                <w:rFonts w:ascii="Arial" w:cs="Arial" w:eastAsia="Arial" w:hAnsi="Arial"/>
                <w:sz w:val="20"/>
                <w:szCs w:val="20"/>
                <w:b w:val="1"/>
                <w:bCs w:val="1"/>
                <w:color w:val="auto"/>
                <w:w w:val="96"/>
              </w:rPr>
              <w:t>No Other Warranties</w:t>
            </w:r>
            <w:r>
              <w:rPr>
                <w:rFonts w:ascii="Arial" w:cs="Arial" w:eastAsia="Arial" w:hAnsi="Arial"/>
                <w:sz w:val="20"/>
                <w:szCs w:val="20"/>
                <w:color w:val="auto"/>
                <w:w w:val="96"/>
              </w:rPr>
              <w:t>.  EXCEPT AS EXPRESSLY STATED IN THIS Article 8 (REPRESENTATIONS, WARRANTIES, AND</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rPr>
              <w:t>COVENANTS),  NEITHER  PARTY  MAKES  ANY  REPRESENTATIONS  OR  EXTENDS  ANY  WARRANTIES  OR</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rPr>
              <w:t>CONDITIONS  OF  ANY  KIND,  EITHER  EXPRESS  OR  IMPLIED,  STATUTORY  OR  OTHERWISE,  INCLUDING</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9"/>
              </w:rPr>
              <w:t>WARRANTIES OF TITLE, NON-INFRINGEMENT, VALIDITY, ENFORCEABILITY, MERCHANTABILITY, OR FITNESS</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4"/>
              </w:rPr>
              <w:t>FOR A PARTICULAR PURPOSE WITH RESPECT TO THE LICENSOR MATERIALS, LICENSED COMPOUNDS, LICENSED</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5"/>
              </w:rPr>
              <w:t>PRODUCTS, THE LICENSOR TECHNOLOGY, OR THE SUBJECT MATTER OF THIS AGREEMENT. ANY INFORMATION</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9"/>
              </w:rPr>
              <w:t>PROVIDED BY LICENSOR OR ITS AFFILIATES IS MADE AVAILABLE ON AN “AS IS” BASIS WITHOUT WARRANTY</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rPr>
              <w:t>WITH RESPECT TO COMPLETENESS, COMPLIANCE WITH REGULATORY STANDARDS OR REGULATIONS OR</w:t>
            </w:r>
          </w:p>
        </w:tc>
      </w:tr>
      <w:tr>
        <w:trPr>
          <w:trHeight w:val="250"/>
        </w:trPr>
        <w:tc>
          <w:tcPr>
            <w:tcW w:w="860" w:type="dxa"/>
            <w:vAlign w:val="bottom"/>
          </w:tcPr>
          <w:p>
            <w:pPr>
              <w:spacing w:after="0"/>
              <w:rPr>
                <w:sz w:val="21"/>
                <w:szCs w:val="21"/>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6"/>
              </w:rPr>
              <w:t>FITNESS FOR A PARTICULAR PURPOSE OR ANY OTHER KIND OF WARRANTY WHETHER EXPRESS OR IMPLIED.</w:t>
            </w:r>
          </w:p>
        </w:tc>
      </w:tr>
      <w:tr>
        <w:trPr>
          <w:trHeight w:val="446"/>
        </w:trPr>
        <w:tc>
          <w:tcPr>
            <w:tcW w:w="860" w:type="dxa"/>
            <w:vAlign w:val="bottom"/>
          </w:tcPr>
          <w:p>
            <w:pPr>
              <w:jc w:val="right"/>
              <w:spacing w:after="0"/>
              <w:rPr>
                <w:sz w:val="20"/>
                <w:szCs w:val="20"/>
                <w:color w:val="auto"/>
              </w:rPr>
            </w:pPr>
            <w:r>
              <w:rPr>
                <w:rFonts w:ascii="Arial" w:cs="Arial" w:eastAsia="Arial" w:hAnsi="Arial"/>
                <w:sz w:val="20"/>
                <w:szCs w:val="20"/>
                <w:b w:val="1"/>
                <w:bCs w:val="1"/>
                <w:color w:val="auto"/>
                <w:w w:val="97"/>
              </w:rPr>
              <w:t>Article 9.</w:t>
            </w:r>
          </w:p>
        </w:tc>
        <w:tc>
          <w:tcPr>
            <w:tcW w:w="10560" w:type="dxa"/>
            <w:vAlign w:val="bottom"/>
          </w:tcPr>
          <w:p>
            <w:pPr>
              <w:ind w:left="4200"/>
              <w:spacing w:after="0"/>
              <w:rPr>
                <w:sz w:val="20"/>
                <w:szCs w:val="20"/>
                <w:color w:val="auto"/>
              </w:rPr>
            </w:pPr>
            <w:r>
              <w:rPr>
                <w:rFonts w:ascii="Arial" w:cs="Arial" w:eastAsia="Arial" w:hAnsi="Arial"/>
                <w:sz w:val="20"/>
                <w:szCs w:val="20"/>
                <w:b w:val="1"/>
                <w:bCs w:val="1"/>
                <w:color w:val="auto"/>
              </w:rPr>
              <w:t>TERM; TERMINATION</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9.1.</w:t>
            </w:r>
          </w:p>
        </w:tc>
        <w:tc>
          <w:tcPr>
            <w:tcW w:w="10560" w:type="dxa"/>
            <w:vAlign w:val="bottom"/>
          </w:tcPr>
          <w:p>
            <w:pPr>
              <w:ind w:left="20"/>
              <w:spacing w:after="0"/>
              <w:rPr>
                <w:sz w:val="20"/>
                <w:szCs w:val="20"/>
                <w:color w:val="auto"/>
              </w:rPr>
            </w:pPr>
            <w:r>
              <w:rPr>
                <w:rFonts w:ascii="Arial" w:cs="Arial" w:eastAsia="Arial" w:hAnsi="Arial"/>
                <w:sz w:val="20"/>
                <w:szCs w:val="20"/>
                <w:b w:val="1"/>
                <w:bCs w:val="1"/>
                <w:color w:val="auto"/>
                <w:w w:val="97"/>
              </w:rPr>
              <w:t>Term</w:t>
            </w:r>
            <w:r>
              <w:rPr>
                <w:rFonts w:ascii="Arial" w:cs="Arial" w:eastAsia="Arial" w:hAnsi="Arial"/>
                <w:sz w:val="20"/>
                <w:szCs w:val="20"/>
                <w:color w:val="auto"/>
                <w:w w:val="97"/>
              </w:rPr>
              <w:t>. This Agreement will become effective as of the Effective Date and will continue in full force and effect unless earlier</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5"/>
              </w:rPr>
              <w:t>terminated pursuant to this Article 9 (Term; Termination), until the expiration of the Royalty Term with respect to all Licensed</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1"/>
              </w:rPr>
              <w:t>Products in all countries in the Territory. On a Licensed Product-by-Licensed Product and country-by-country basis, effective upon</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2"/>
              </w:rPr>
              <w:t>the expiration of the Royalty Term for a Licensed Product in a country (but not upon any earlier termination of this Agreement for</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89"/>
              </w:rPr>
              <w:t>any other reason) and subject to Licensee’s timely payment of all Payments due to Licensor with respect to such Licensed Product in</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4"/>
              </w:rPr>
              <w:t>such country during the applicable Royalty Term in accordance with Article 5 (Consideration and Financial Terms), the license</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1"/>
              </w:rPr>
              <w:t>granted to Licensee in Section 2.1 (Exclusive License Grant) under the Licensor Know-How will become fully-paid up, royalty-free,</w:t>
            </w:r>
          </w:p>
        </w:tc>
      </w:tr>
      <w:tr>
        <w:trPr>
          <w:trHeight w:val="250"/>
        </w:trPr>
        <w:tc>
          <w:tcPr>
            <w:tcW w:w="860" w:type="dxa"/>
            <w:vAlign w:val="bottom"/>
          </w:tcPr>
          <w:p>
            <w:pPr>
              <w:spacing w:after="0"/>
              <w:rPr>
                <w:sz w:val="21"/>
                <w:szCs w:val="21"/>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rPr>
              <w:t>irrevocable and perpetual in such country.</w:t>
            </w:r>
          </w:p>
        </w:tc>
      </w:tr>
      <w:tr>
        <w:trPr>
          <w:trHeight w:val="446"/>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9.2.</w:t>
            </w:r>
          </w:p>
        </w:tc>
        <w:tc>
          <w:tcPr>
            <w:tcW w:w="10560" w:type="dxa"/>
            <w:vAlign w:val="bottom"/>
          </w:tcPr>
          <w:p>
            <w:pPr>
              <w:ind w:left="20"/>
              <w:spacing w:after="0"/>
              <w:rPr>
                <w:sz w:val="20"/>
                <w:szCs w:val="20"/>
                <w:color w:val="auto"/>
              </w:rPr>
            </w:pPr>
            <w:r>
              <w:rPr>
                <w:rFonts w:ascii="Arial" w:cs="Arial" w:eastAsia="Arial" w:hAnsi="Arial"/>
                <w:sz w:val="20"/>
                <w:szCs w:val="20"/>
                <w:b w:val="1"/>
                <w:bCs w:val="1"/>
                <w:color w:val="auto"/>
              </w:rPr>
              <w:t xml:space="preserve">Mutual Termination. </w:t>
            </w:r>
            <w:r>
              <w:rPr>
                <w:rFonts w:ascii="Arial" w:cs="Arial" w:eastAsia="Arial" w:hAnsi="Arial"/>
                <w:sz w:val="20"/>
                <w:szCs w:val="20"/>
                <w:color w:val="auto"/>
              </w:rPr>
              <w:t>This Agreement may be terminated by written agreement of each Party</w:t>
            </w:r>
            <w:r>
              <w:rPr>
                <w:rFonts w:ascii="Arial" w:cs="Arial" w:eastAsia="Arial" w:hAnsi="Arial"/>
                <w:sz w:val="20"/>
                <w:szCs w:val="20"/>
                <w:b w:val="1"/>
                <w:bCs w:val="1"/>
                <w:color w:val="auto"/>
              </w:rPr>
              <w:t>.</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9.3.</w:t>
            </w:r>
          </w:p>
        </w:tc>
        <w:tc>
          <w:tcPr>
            <w:tcW w:w="10560" w:type="dxa"/>
            <w:vAlign w:val="bottom"/>
          </w:tcPr>
          <w:p>
            <w:pPr>
              <w:ind w:left="20"/>
              <w:spacing w:after="0"/>
              <w:rPr>
                <w:sz w:val="20"/>
                <w:szCs w:val="20"/>
                <w:color w:val="auto"/>
              </w:rPr>
            </w:pPr>
            <w:r>
              <w:rPr>
                <w:rFonts w:ascii="Arial" w:cs="Arial" w:eastAsia="Arial" w:hAnsi="Arial"/>
                <w:sz w:val="20"/>
                <w:szCs w:val="20"/>
                <w:b w:val="1"/>
                <w:bCs w:val="1"/>
                <w:color w:val="auto"/>
                <w:w w:val="93"/>
              </w:rPr>
              <w:t>Termination at Will</w:t>
            </w:r>
            <w:r>
              <w:rPr>
                <w:rFonts w:ascii="Arial" w:cs="Arial" w:eastAsia="Arial" w:hAnsi="Arial"/>
                <w:sz w:val="20"/>
                <w:szCs w:val="20"/>
                <w:color w:val="auto"/>
                <w:w w:val="93"/>
              </w:rPr>
              <w:t>. Licensee may terminate this Agreement at will, in its sole discretion, in its entirety on not less than [*] prior</w:t>
            </w:r>
          </w:p>
        </w:tc>
      </w:tr>
      <w:tr>
        <w:trPr>
          <w:trHeight w:val="250"/>
        </w:trPr>
        <w:tc>
          <w:tcPr>
            <w:tcW w:w="860" w:type="dxa"/>
            <w:vAlign w:val="bottom"/>
          </w:tcPr>
          <w:p>
            <w:pPr>
              <w:spacing w:after="0"/>
              <w:rPr>
                <w:sz w:val="21"/>
                <w:szCs w:val="21"/>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rPr>
              <w:t>written notice to Licensor.</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9.4.</w:t>
            </w:r>
          </w:p>
        </w:tc>
        <w:tc>
          <w:tcPr>
            <w:tcW w:w="10560" w:type="dxa"/>
            <w:vAlign w:val="bottom"/>
          </w:tcPr>
          <w:p>
            <w:pPr>
              <w:ind w:left="20"/>
              <w:spacing w:after="0"/>
              <w:rPr>
                <w:sz w:val="20"/>
                <w:szCs w:val="20"/>
                <w:color w:val="auto"/>
              </w:rPr>
            </w:pPr>
            <w:r>
              <w:rPr>
                <w:rFonts w:ascii="Arial" w:cs="Arial" w:eastAsia="Arial" w:hAnsi="Arial"/>
                <w:sz w:val="20"/>
                <w:szCs w:val="20"/>
                <w:b w:val="1"/>
                <w:bCs w:val="1"/>
                <w:color w:val="auto"/>
                <w:w w:val="93"/>
              </w:rPr>
              <w:t>Termination for Cause</w:t>
            </w:r>
            <w:r>
              <w:rPr>
                <w:rFonts w:ascii="Arial" w:cs="Arial" w:eastAsia="Arial" w:hAnsi="Arial"/>
                <w:sz w:val="20"/>
                <w:szCs w:val="20"/>
                <w:color w:val="auto"/>
                <w:w w:val="93"/>
              </w:rPr>
              <w:t>. Either Party (the “Non-Breaching Party”) may, without prejudice to any other remedies available to it at</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0"/>
              </w:rPr>
              <w:t>law or in equity, terminate this Agreement in its entirety in the event the other Party (the “Breaching Party”) has materially breached</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0"/>
              </w:rPr>
              <w:t>this Agreement, and such material breach has not been cured (a) within [*] Business Days of receiving notice thereof with respect to</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0"/>
              </w:rPr>
              <w:t>any breach of any undisputed payment obligation under this Agreement, and (b) within [*] of receiving notice thereof with respect to</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1"/>
              </w:rPr>
              <w:t>any other breach (as applicable, the “Cure Period”). The written notice describing the alleged material breach will provide sufficient</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1"/>
              </w:rPr>
              <w:t>detail to put the Breaching Party on notice of such material breach. Any termination of this Agreement pursuant to this Section 9.4</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89"/>
              </w:rPr>
              <w:t>(Termination for Cause) will become effective at the end of the Cure Period, unless the Breaching Party has cured any such material</w:t>
            </w:r>
          </w:p>
        </w:tc>
      </w:tr>
      <w:tr>
        <w:trPr>
          <w:trHeight w:val="250"/>
        </w:trPr>
        <w:tc>
          <w:tcPr>
            <w:tcW w:w="860" w:type="dxa"/>
            <w:vAlign w:val="bottom"/>
          </w:tcPr>
          <w:p>
            <w:pPr>
              <w:spacing w:after="0"/>
              <w:rPr>
                <w:sz w:val="21"/>
                <w:szCs w:val="21"/>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rPr>
              <w:t>breach prior to the expiration of such Cure Period.</w:t>
            </w:r>
          </w:p>
        </w:tc>
      </w:tr>
      <w:tr>
        <w:trPr>
          <w:trHeight w:val="425"/>
        </w:trPr>
        <w:tc>
          <w:tcPr>
            <w:tcW w:w="860" w:type="dxa"/>
            <w:vAlign w:val="bottom"/>
          </w:tcPr>
          <w:p>
            <w:pPr>
              <w:jc w:val="right"/>
              <w:ind w:right="461"/>
              <w:spacing w:after="0"/>
              <w:rPr>
                <w:sz w:val="20"/>
                <w:szCs w:val="20"/>
                <w:color w:val="auto"/>
              </w:rPr>
            </w:pPr>
            <w:r>
              <w:rPr>
                <w:rFonts w:ascii="Arial" w:cs="Arial" w:eastAsia="Arial" w:hAnsi="Arial"/>
                <w:sz w:val="20"/>
                <w:szCs w:val="20"/>
                <w:b w:val="1"/>
                <w:bCs w:val="1"/>
                <w:color w:val="auto"/>
                <w:w w:val="83"/>
              </w:rPr>
              <w:t>9.5.</w:t>
            </w:r>
          </w:p>
        </w:tc>
        <w:tc>
          <w:tcPr>
            <w:tcW w:w="10560" w:type="dxa"/>
            <w:vAlign w:val="bottom"/>
          </w:tcPr>
          <w:p>
            <w:pPr>
              <w:ind w:left="20"/>
              <w:spacing w:after="0"/>
              <w:rPr>
                <w:sz w:val="20"/>
                <w:szCs w:val="20"/>
                <w:color w:val="auto"/>
              </w:rPr>
            </w:pPr>
            <w:r>
              <w:rPr>
                <w:rFonts w:ascii="Arial" w:cs="Arial" w:eastAsia="Arial" w:hAnsi="Arial"/>
                <w:sz w:val="20"/>
                <w:szCs w:val="20"/>
                <w:b w:val="1"/>
                <w:bCs w:val="1"/>
                <w:color w:val="auto"/>
                <w:w w:val="94"/>
              </w:rPr>
              <w:t>Termination for Patent Challenges</w:t>
            </w:r>
            <w:r>
              <w:rPr>
                <w:rFonts w:ascii="Arial" w:cs="Arial" w:eastAsia="Arial" w:hAnsi="Arial"/>
                <w:sz w:val="20"/>
                <w:szCs w:val="20"/>
                <w:color w:val="auto"/>
                <w:w w:val="94"/>
              </w:rPr>
              <w:t>.  If Licensee, or any of Licensee’s Affiliates or Sublicensees, directly, or indirectly through</w:t>
            </w:r>
          </w:p>
        </w:tc>
      </w:tr>
      <w:tr>
        <w:trPr>
          <w:trHeight w:val="230"/>
        </w:trPr>
        <w:tc>
          <w:tcPr>
            <w:tcW w:w="860" w:type="dxa"/>
            <w:vAlign w:val="bottom"/>
          </w:tcPr>
          <w:p>
            <w:pPr>
              <w:spacing w:after="0"/>
              <w:rPr>
                <w:sz w:val="19"/>
                <w:szCs w:val="19"/>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0"/>
              </w:rPr>
              <w:t>assistance granted to a Third Party, commences any Challenge with respect to any Licensor Patent Right, then Licensor may, in its</w:t>
            </w:r>
          </w:p>
        </w:tc>
      </w:tr>
      <w:tr>
        <w:trPr>
          <w:trHeight w:val="246"/>
        </w:trPr>
        <w:tc>
          <w:tcPr>
            <w:tcW w:w="860" w:type="dxa"/>
            <w:vAlign w:val="bottom"/>
          </w:tcPr>
          <w:p>
            <w:pPr>
              <w:spacing w:after="0"/>
              <w:rPr>
                <w:sz w:val="21"/>
                <w:szCs w:val="21"/>
                <w:color w:val="auto"/>
              </w:rPr>
            </w:pPr>
          </w:p>
        </w:tc>
        <w:tc>
          <w:tcPr>
            <w:tcW w:w="10560" w:type="dxa"/>
            <w:vAlign w:val="bottom"/>
          </w:tcPr>
          <w:p>
            <w:pPr>
              <w:ind w:left="20"/>
              <w:spacing w:after="0"/>
              <w:rPr>
                <w:sz w:val="20"/>
                <w:szCs w:val="20"/>
                <w:color w:val="auto"/>
              </w:rPr>
            </w:pPr>
            <w:r>
              <w:rPr>
                <w:rFonts w:ascii="Arial" w:cs="Arial" w:eastAsia="Arial" w:hAnsi="Arial"/>
                <w:sz w:val="20"/>
                <w:szCs w:val="20"/>
                <w:color w:val="auto"/>
                <w:w w:val="95"/>
              </w:rPr>
              <w:t>sole discretion, upon written notice to Licensee terminate this Agreement in its entirety, or, if at the time of such Challenge by</w:t>
            </w:r>
          </w:p>
        </w:tc>
      </w:tr>
    </w:tbl>
    <w:p>
      <w:pPr>
        <w:jc w:val="both"/>
        <w:ind w:left="880"/>
        <w:spacing w:after="0" w:line="241" w:lineRule="auto"/>
        <w:rPr>
          <w:sz w:val="20"/>
          <w:szCs w:val="20"/>
          <w:color w:val="auto"/>
        </w:rPr>
      </w:pPr>
      <w:r>
        <w:rPr>
          <w:rFonts w:ascii="Arial" w:cs="Arial" w:eastAsia="Arial" w:hAnsi="Arial"/>
          <w:sz w:val="20"/>
          <w:szCs w:val="20"/>
          <w:color w:val="auto"/>
        </w:rPr>
        <w:t>Licensee or any of its Affiliates or Sublicensees, Licensor is unable to so terminate this Agreement under Applicable Law for any reason, then Licensor may, by written notice to Licensee, [*] by [*]% (but only for [*]) so that [*] is [*]. In addition, in any case, if Licensor so chooses upon any such</w:t>
      </w:r>
    </w:p>
    <w:p>
      <w:pPr>
        <w:spacing w:after="0" w:line="200" w:lineRule="exact"/>
        <w:rPr>
          <w:sz w:val="20"/>
          <w:szCs w:val="20"/>
          <w:color w:val="auto"/>
        </w:rPr>
      </w:pPr>
    </w:p>
    <w:p>
      <w:pPr>
        <w:spacing w:after="0" w:line="21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- 33 -</w:t>
      </w:r>
    </w:p>
    <w:p>
      <w:pPr>
        <w:spacing w:after="0" w:line="12" w:lineRule="exact"/>
        <w:rPr>
          <w:sz w:val="20"/>
          <w:szCs w:val="20"/>
          <w:color w:val="auto"/>
        </w:rPr>
      </w:pPr>
    </w:p>
    <w:p>
      <w:pPr>
        <w:ind w:right="740" w:firstLine="8"/>
        <w:spacing w:after="0" w:line="226" w:lineRule="auto"/>
        <w:tabs>
          <w:tab w:leader="none" w:pos="2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1" w:name="page172"/>
    <w:bookmarkEnd w:id="171"/>
    <w:p>
      <w:pPr>
        <w:jc w:val="center"/>
        <w:ind w:right="-11"/>
        <w:spacing w:after="0"/>
        <w:rPr>
          <w:sz w:val="20"/>
          <w:szCs w:val="20"/>
          <w:color w:val="auto"/>
        </w:rPr>
      </w:pPr>
      <w:r>
        <w:rPr>
          <w:rFonts w:ascii="Arial" w:cs="Arial" w:eastAsia="Arial" w:hAnsi="Arial"/>
          <w:sz w:val="20"/>
          <w:szCs w:val="20"/>
          <w:color w:val="auto"/>
        </w:rPr>
        <w:t>Challenge, Licensor may bring any action against Licensee in any forum of competent jurisdiction of Licensor’s choosing.</w:t>
      </w:r>
    </w:p>
    <w:p>
      <w:pPr>
        <w:spacing w:after="0" w:line="210" w:lineRule="exact"/>
        <w:rPr>
          <w:sz w:val="20"/>
          <w:szCs w:val="20"/>
          <w:color w:val="auto"/>
        </w:rPr>
      </w:pPr>
    </w:p>
    <w:p>
      <w:pPr>
        <w:jc w:val="both"/>
        <w:ind w:left="872" w:hanging="863"/>
        <w:spacing w:after="0" w:line="259" w:lineRule="auto"/>
        <w:tabs>
          <w:tab w:leader="none" w:pos="852"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19"/>
          <w:szCs w:val="19"/>
          <w:b w:val="1"/>
          <w:bCs w:val="1"/>
          <w:color w:val="auto"/>
        </w:rPr>
        <w:t>Termination for an Insolvency Event</w:t>
      </w:r>
      <w:r>
        <w:rPr>
          <w:rFonts w:ascii="Arial" w:cs="Arial" w:eastAsia="Arial" w:hAnsi="Arial"/>
          <w:sz w:val="19"/>
          <w:szCs w:val="19"/>
          <w:color w:val="auto"/>
        </w:rPr>
        <w:t>. Either Party may terminate this Agreement in its entirety upon providing written notice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Party on or after the time that such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or action remains un-dismissed or un-stayed for a period of more than 60 days.</w:t>
      </w:r>
    </w:p>
    <w:p>
      <w:pPr>
        <w:spacing w:after="0" w:line="173" w:lineRule="exact"/>
        <w:rPr>
          <w:sz w:val="20"/>
          <w:szCs w:val="20"/>
          <w:color w:val="auto"/>
        </w:rPr>
      </w:pPr>
    </w:p>
    <w:p>
      <w:pPr>
        <w:jc w:val="both"/>
        <w:ind w:left="872" w:hanging="863"/>
        <w:spacing w:after="0" w:line="253" w:lineRule="auto"/>
        <w:tabs>
          <w:tab w:leader="none" w:pos="852" w:val="left"/>
        </w:tabs>
        <w:rPr>
          <w:sz w:val="20"/>
          <w:szCs w:val="20"/>
          <w:color w:val="auto"/>
        </w:rPr>
      </w:pPr>
      <w:r>
        <w:rPr>
          <w:rFonts w:ascii="Arial" w:cs="Arial" w:eastAsia="Arial" w:hAnsi="Arial"/>
          <w:sz w:val="20"/>
          <w:szCs w:val="20"/>
          <w:b w:val="1"/>
          <w:bCs w:val="1"/>
          <w:color w:val="auto"/>
        </w:rPr>
        <w:t>9.7.</w:t>
      </w:r>
      <w:r>
        <w:rPr>
          <w:sz w:val="20"/>
          <w:szCs w:val="20"/>
          <w:color w:val="auto"/>
        </w:rPr>
        <w:tab/>
      </w:r>
      <w:r>
        <w:rPr>
          <w:rFonts w:ascii="Arial" w:cs="Arial" w:eastAsia="Arial" w:hAnsi="Arial"/>
          <w:sz w:val="20"/>
          <w:szCs w:val="20"/>
          <w:b w:val="1"/>
          <w:bCs w:val="1"/>
          <w:color w:val="auto"/>
        </w:rPr>
        <w:t>Effects of Termination</w:t>
      </w:r>
      <w:r>
        <w:rPr>
          <w:rFonts w:ascii="Arial" w:cs="Arial" w:eastAsia="Arial" w:hAnsi="Arial"/>
          <w:sz w:val="20"/>
          <w:szCs w:val="20"/>
          <w:color w:val="auto"/>
        </w:rPr>
        <w:t>. All of the following effects of termination (but not expiration) are in addition to the other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remedies that may be available to either of the Parties under this Agreement and will not be construed to limit any such rights or remedies. In the event of any termination of this Agreement for any reason:</w:t>
      </w:r>
    </w:p>
    <w:p>
      <w:pPr>
        <w:spacing w:after="0" w:line="178" w:lineRule="exact"/>
        <w:rPr>
          <w:sz w:val="20"/>
          <w:szCs w:val="20"/>
          <w:color w:val="auto"/>
        </w:rPr>
      </w:pPr>
    </w:p>
    <w:p>
      <w:pPr>
        <w:jc w:val="both"/>
        <w:ind w:left="1732" w:hanging="863"/>
        <w:spacing w:after="0" w:line="273" w:lineRule="auto"/>
        <w:tabs>
          <w:tab w:leader="none" w:pos="1712" w:val="left"/>
        </w:tabs>
        <w:rPr>
          <w:sz w:val="20"/>
          <w:szCs w:val="20"/>
          <w:color w:val="auto"/>
        </w:rPr>
      </w:pPr>
      <w:r>
        <w:rPr>
          <w:rFonts w:ascii="Arial" w:cs="Arial" w:eastAsia="Arial" w:hAnsi="Arial"/>
          <w:sz w:val="20"/>
          <w:szCs w:val="20"/>
          <w:color w:val="auto"/>
        </w:rPr>
        <w:t>9.7.1.</w:t>
      </w:r>
      <w:r>
        <w:rPr>
          <w:sz w:val="20"/>
          <w:szCs w:val="20"/>
          <w:color w:val="auto"/>
        </w:rPr>
        <w:tab/>
      </w:r>
      <w:r>
        <w:rPr>
          <w:rFonts w:ascii="Arial" w:cs="Arial" w:eastAsia="Arial" w:hAnsi="Arial"/>
          <w:sz w:val="19"/>
          <w:szCs w:val="19"/>
          <w:b w:val="1"/>
          <w:bCs w:val="1"/>
          <w:color w:val="auto"/>
        </w:rPr>
        <w:t>Reversion of Rights</w:t>
      </w:r>
      <w:r>
        <w:rPr>
          <w:rFonts w:ascii="Arial" w:cs="Arial" w:eastAsia="Arial" w:hAnsi="Arial"/>
          <w:sz w:val="19"/>
          <w:szCs w:val="19"/>
          <w:color w:val="auto"/>
        </w:rPr>
        <w:t>. All Licensed Compounds and Licensed Products and all rights related thereto will revert to</w:t>
      </w:r>
      <w:r>
        <w:rPr>
          <w:rFonts w:ascii="Arial" w:cs="Arial" w:eastAsia="Arial" w:hAnsi="Arial"/>
          <w:sz w:val="19"/>
          <w:szCs w:val="19"/>
          <w:b w:val="1"/>
          <w:bCs w:val="1"/>
          <w:color w:val="auto"/>
        </w:rPr>
        <w:t xml:space="preserve"> </w:t>
      </w:r>
      <w:r>
        <w:rPr>
          <w:rFonts w:ascii="Arial" w:cs="Arial" w:eastAsia="Arial" w:hAnsi="Arial"/>
          <w:sz w:val="19"/>
          <w:szCs w:val="19"/>
          <w:color w:val="auto"/>
        </w:rPr>
        <w:t>Licensor, including all rights under the Licensor Technology, and Licensor will have the right, in its sole discretion, to Exploit all Licensed Compounds and Licensed Products in the Field throughout the Territory.</w:t>
      </w:r>
    </w:p>
    <w:p>
      <w:pPr>
        <w:spacing w:after="0" w:line="159" w:lineRule="exact"/>
        <w:rPr>
          <w:sz w:val="20"/>
          <w:szCs w:val="20"/>
          <w:color w:val="auto"/>
        </w:rPr>
      </w:pPr>
    </w:p>
    <w:p>
      <w:pPr>
        <w:jc w:val="both"/>
        <w:ind w:left="1732" w:right="20" w:hanging="863"/>
        <w:spacing w:after="0" w:line="267" w:lineRule="auto"/>
        <w:tabs>
          <w:tab w:leader="none" w:pos="1712" w:val="left"/>
        </w:tabs>
        <w:rPr>
          <w:sz w:val="20"/>
          <w:szCs w:val="20"/>
          <w:color w:val="auto"/>
        </w:rPr>
      </w:pPr>
      <w:r>
        <w:rPr>
          <w:rFonts w:ascii="Arial" w:cs="Arial" w:eastAsia="Arial" w:hAnsi="Arial"/>
          <w:sz w:val="20"/>
          <w:szCs w:val="20"/>
          <w:color w:val="auto"/>
        </w:rPr>
        <w:t>9.7.2.</w:t>
      </w:r>
      <w:r>
        <w:rPr>
          <w:sz w:val="20"/>
          <w:szCs w:val="20"/>
          <w:color w:val="auto"/>
        </w:rPr>
        <w:tab/>
      </w:r>
      <w:r>
        <w:rPr>
          <w:rFonts w:ascii="Arial" w:cs="Arial" w:eastAsia="Arial" w:hAnsi="Arial"/>
          <w:sz w:val="20"/>
          <w:szCs w:val="20"/>
          <w:b w:val="1"/>
          <w:bCs w:val="1"/>
          <w:color w:val="auto"/>
        </w:rPr>
        <w:t>Termination of Rights and Obligations</w:t>
      </w:r>
      <w:r>
        <w:rPr>
          <w:rFonts w:ascii="Arial" w:cs="Arial" w:eastAsia="Arial" w:hAnsi="Arial"/>
          <w:sz w:val="20"/>
          <w:szCs w:val="20"/>
          <w:color w:val="auto"/>
        </w:rPr>
        <w:t>. Subject to this Section 9.7 (Effects of Termination) and Section 9.10 (Survival),</w:t>
      </w:r>
      <w:r>
        <w:rPr>
          <w:rFonts w:ascii="Arial" w:cs="Arial" w:eastAsia="Arial" w:hAnsi="Arial"/>
          <w:sz w:val="20"/>
          <w:szCs w:val="20"/>
          <w:b w:val="1"/>
          <w:bCs w:val="1"/>
          <w:color w:val="auto"/>
        </w:rPr>
        <w:t xml:space="preserve"> </w:t>
      </w:r>
      <w:r>
        <w:rPr>
          <w:rFonts w:ascii="Arial" w:cs="Arial" w:eastAsia="Arial" w:hAnsi="Arial"/>
          <w:sz w:val="20"/>
          <w:szCs w:val="20"/>
          <w:color w:val="auto"/>
        </w:rPr>
        <w:t>all other rights and obligations of the Parties under this Agreement will terminate.</w:t>
      </w:r>
    </w:p>
    <w:p>
      <w:pPr>
        <w:spacing w:after="0" w:line="164" w:lineRule="exact"/>
        <w:rPr>
          <w:sz w:val="20"/>
          <w:szCs w:val="20"/>
          <w:color w:val="auto"/>
        </w:rPr>
      </w:pPr>
    </w:p>
    <w:p>
      <w:pPr>
        <w:jc w:val="both"/>
        <w:ind w:left="1732" w:hanging="863"/>
        <w:spacing w:after="0" w:line="271" w:lineRule="auto"/>
        <w:tabs>
          <w:tab w:leader="none" w:pos="1712" w:val="left"/>
        </w:tabs>
        <w:rPr>
          <w:sz w:val="20"/>
          <w:szCs w:val="20"/>
          <w:color w:val="auto"/>
        </w:rPr>
      </w:pPr>
      <w:r>
        <w:rPr>
          <w:rFonts w:ascii="Arial" w:cs="Arial" w:eastAsia="Arial" w:hAnsi="Arial"/>
          <w:sz w:val="20"/>
          <w:szCs w:val="20"/>
          <w:color w:val="auto"/>
        </w:rPr>
        <w:t>9.7.3.</w:t>
      </w:r>
      <w:r>
        <w:rPr>
          <w:sz w:val="20"/>
          <w:szCs w:val="20"/>
          <w:color w:val="auto"/>
        </w:rPr>
        <w:tab/>
      </w:r>
      <w:r>
        <w:rPr>
          <w:rFonts w:ascii="Arial" w:cs="Arial" w:eastAsia="Arial" w:hAnsi="Arial"/>
          <w:sz w:val="18"/>
          <w:szCs w:val="18"/>
          <w:b w:val="1"/>
          <w:bCs w:val="1"/>
          <w:color w:val="auto"/>
        </w:rPr>
        <w:t>Assignment of Regulatory Submissions</w:t>
      </w:r>
      <w:r>
        <w:rPr>
          <w:rFonts w:ascii="Arial" w:cs="Arial" w:eastAsia="Arial" w:hAnsi="Arial"/>
          <w:sz w:val="18"/>
          <w:szCs w:val="18"/>
          <w:color w:val="auto"/>
        </w:rPr>
        <w:t>. Licensee will and hereby does, and will cause its Affiliates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to, (a) effective as of the effective date of termination, assign to Licensor all of its rights, title, and interests in and to all Clinical Trial data, Regulatory Submissions, and Regulatory Approvals applicable to any Licensed Compounds or Licensed Products and then owned or otherwise Controlled by Licensee or any of its Affiliates or its Sublicensees, and (b) to the extent assignment pursuant to clause (a) is delayed or is not permitted by the applicable Regulatory Authority, permit Licensor to cross-reference and rely upon any Clinical Trial data, Regulatory Submissions, and Regulatory Approvals filed by Licensee or its Affiliates or Sublicensees with respect to any Licensed Product. Licensee will take all reasonable steps necessary to transfer, or will cause its Affiliates and Sublicensees to transfer, ownership of all such assigned Regulatory Submissions and Regulatory Approvals to Licensor, including submitting to each applicable Regulatory Authority a letter or other necessary documentation (with a copy to Licensor) notifying such Regulatory Authority of the transfer of such ownership of each Regulatory Submission or Regulatory Approval.</w:t>
      </w:r>
    </w:p>
    <w:p>
      <w:pPr>
        <w:spacing w:after="0" w:line="171" w:lineRule="exact"/>
        <w:rPr>
          <w:sz w:val="20"/>
          <w:szCs w:val="20"/>
          <w:color w:val="auto"/>
        </w:rPr>
      </w:pPr>
    </w:p>
    <w:p>
      <w:pPr>
        <w:jc w:val="both"/>
        <w:ind w:left="1732" w:hanging="863"/>
        <w:spacing w:after="0" w:line="277" w:lineRule="auto"/>
        <w:tabs>
          <w:tab w:leader="none" w:pos="1712" w:val="left"/>
        </w:tabs>
        <w:rPr>
          <w:sz w:val="20"/>
          <w:szCs w:val="20"/>
          <w:color w:val="auto"/>
        </w:rPr>
      </w:pPr>
      <w:r>
        <w:rPr>
          <w:rFonts w:ascii="Arial" w:cs="Arial" w:eastAsia="Arial" w:hAnsi="Arial"/>
          <w:sz w:val="20"/>
          <w:szCs w:val="20"/>
          <w:color w:val="auto"/>
        </w:rPr>
        <w:t>9.7.4.</w:t>
      </w:r>
      <w:r>
        <w:rPr>
          <w:sz w:val="20"/>
          <w:szCs w:val="20"/>
          <w:color w:val="auto"/>
        </w:rPr>
        <w:tab/>
      </w:r>
      <w:r>
        <w:rPr>
          <w:rFonts w:ascii="Arial" w:cs="Arial" w:eastAsia="Arial" w:hAnsi="Arial"/>
          <w:sz w:val="18"/>
          <w:szCs w:val="18"/>
          <w:b w:val="1"/>
          <w:bCs w:val="1"/>
          <w:color w:val="auto"/>
        </w:rPr>
        <w:t>License Grant to Licensor</w:t>
      </w:r>
      <w:r>
        <w:rPr>
          <w:rFonts w:ascii="Arial" w:cs="Arial" w:eastAsia="Arial" w:hAnsi="Arial"/>
          <w:sz w:val="18"/>
          <w:szCs w:val="18"/>
          <w:color w:val="auto"/>
        </w:rPr>
        <w:t>. Licensee will and hereby does, and will cause its Affiliates and its Sublicensees to,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effective date of termination, grant to Licensor an exclusive, fully paid-up, royalty-bearing (in accordance with Section 9.7.5 (Royalty to Licensee)), worldwide, transferable, perpetual, and irrevocable license and right of reference, with the right to sublicense through multiple tiers, in and to any and all (a) Regulatory Submissions and Regulatory Approvals applicable to any Licensed Compounds or Licensed Products and owned or otherwise Controlled by Licensee or its Affiliates or Sublicensees as of the effective date of termination that are not assigned to</w:t>
      </w:r>
    </w:p>
    <w:p>
      <w:pPr>
        <w:spacing w:after="0" w:line="385"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- 34 -</w:t>
      </w:r>
    </w:p>
    <w:p>
      <w:pPr>
        <w:spacing w:after="0" w:line="12" w:lineRule="exact"/>
        <w:rPr>
          <w:sz w:val="20"/>
          <w:szCs w:val="20"/>
          <w:color w:val="auto"/>
        </w:rPr>
      </w:pPr>
    </w:p>
    <w:p>
      <w:pPr>
        <w:ind w:left="-8" w:right="740" w:firstLine="8"/>
        <w:spacing w:after="0" w:line="226" w:lineRule="auto"/>
        <w:tabs>
          <w:tab w:leader="none" w:pos="2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72" w:name="page173"/>
    <w:bookmarkEnd w:id="172"/>
    <w:p>
      <w:pPr>
        <w:jc w:val="both"/>
        <w:ind w:left="1732"/>
        <w:spacing w:after="0" w:line="268" w:lineRule="auto"/>
        <w:rPr>
          <w:sz w:val="20"/>
          <w:szCs w:val="20"/>
          <w:color w:val="auto"/>
        </w:rPr>
      </w:pPr>
      <w:r>
        <w:rPr>
          <w:rFonts w:ascii="Arial" w:cs="Arial" w:eastAsia="Arial" w:hAnsi="Arial"/>
          <w:sz w:val="18"/>
          <w:szCs w:val="18"/>
          <w:color w:val="auto"/>
        </w:rPr>
        <w:t>Licensor pursuant to Section 9.7.3 (Assignment of Regulatory Submissions), and (b) all Patent Rights and Know-How (i) invented, conceived, discovered, created, or otherwise developed by or on behalf of Licensee or any Affiliate or Sublicensee in the performance of activities under this Agreement and that are necessary or useful for the Exploitation of Licensed Compounds or Licensed Products, or (ii) that have been or are being used by Licensee, its Affiliates or Sublicensees to Exploit any Licensed Compound or Licensed Product prior to and as of the effective date of termination; provided that, for purposes of this clause (ii), Licensee shall not be required, prior to the effective date of termination, to maintain licenses to, or preserve any, intellectual property that had been used prior to the effective date of termination but which is no longer being used as of the effective date of termination ((i) and (ii), the “</w:t>
      </w:r>
      <w:r>
        <w:rPr>
          <w:rFonts w:ascii="Arial" w:cs="Arial" w:eastAsia="Arial" w:hAnsi="Arial"/>
          <w:sz w:val="18"/>
          <w:szCs w:val="18"/>
          <w:b w:val="1"/>
          <w:bCs w:val="1"/>
          <w:color w:val="auto"/>
        </w:rPr>
        <w:t>Licensee Grantback</w:t>
      </w:r>
      <w:r>
        <w:rPr>
          <w:rFonts w:ascii="Arial" w:cs="Arial" w:eastAsia="Arial" w:hAnsi="Arial"/>
          <w:sz w:val="18"/>
          <w:szCs w:val="18"/>
          <w:color w:val="auto"/>
        </w:rPr>
        <w:t xml:space="preserve"> </w:t>
      </w:r>
      <w:r>
        <w:rPr>
          <w:rFonts w:ascii="Arial" w:cs="Arial" w:eastAsia="Arial" w:hAnsi="Arial"/>
          <w:sz w:val="18"/>
          <w:szCs w:val="18"/>
          <w:b w:val="1"/>
          <w:bCs w:val="1"/>
          <w:color w:val="auto"/>
        </w:rPr>
        <w:t>Technology</w:t>
      </w:r>
      <w:r>
        <w:rPr>
          <w:rFonts w:ascii="Arial" w:cs="Arial" w:eastAsia="Arial" w:hAnsi="Arial"/>
          <w:sz w:val="18"/>
          <w:szCs w:val="18"/>
          <w:color w:val="auto"/>
        </w:rPr>
        <w:t>”), in each case ((a) and (b)), to Exploit any Licensed Compounds and Licensed Products (which license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limited to the extent necessary for any Sublicensee that has entered into a direct license agreement with Licensor in accordance with Section 2.2.5 (Continuation of Sublicenses Upon Termination of this Agreement) to exercise its rights under such direct license for so long as such Sublicensee is granted such direct license). Notwithstanding the foregoing, Licensee shall retain sufficient rights under the Licensee Grantback Technology for it and its Affiliates and Sublicensees to carry out its and their post-termination rights and obligations hereunder. In addition to the royalties owed by Licensor to Licensee pursuant to Section 9.7.5 (Royalty to Licensee), Licensor will reimburse Licensee for any amounts owed by Licensee to Third Parties as a result of the grant of the license to Licensor under, or Licensor’s practice of, the Licensee Grantback Technology;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Licensor has been, at the time of termination of this Agreement notified of the terms of such payment obligations to any such Third Party, and, if Licensor notifies Licensee that it does not wish to have the Intellectual Property Rights that are subject to such payment obligations included in the Licensee Grantback Technology, then such Intellectual Property Rights will be excluded from the Licensee Grantback Technology, and Licensor will have no obligation to reimburse Licensee for any such payments. Licensee agrees to execute, acknowledge, and deliver any further documents or instruments and to perform all such other reasonable acts as may be necessary or appropriate in order to effect such right of reference. For clarity, clause (ii) of the definition of Licensee Grantbank Technology excludes any Patent Rights or Know-How that has been in-licensed by Licensee, its Affiliates or Sublicensees from a non-Sublicensee or non-Subcontractor Third Party under a non-sublicenseable license, provided that rights to such Patent Rights or Know-How are commercially available or otherwise available to Licensor on commercially reasonable terms and Licensor is actually able to obtain rights to such Patent Rights or Know-How from such Third Party.</w:t>
      </w:r>
    </w:p>
    <w:p>
      <w:pPr>
        <w:spacing w:after="0" w:line="398" w:lineRule="exact"/>
        <w:rPr>
          <w:sz w:val="20"/>
          <w:szCs w:val="20"/>
          <w:color w:val="auto"/>
        </w:rPr>
      </w:pPr>
    </w:p>
    <w:p>
      <w:pPr>
        <w:jc w:val="both"/>
        <w:ind w:left="1732" w:hanging="863"/>
        <w:spacing w:after="0" w:line="273" w:lineRule="auto"/>
        <w:tabs>
          <w:tab w:leader="none" w:pos="1712" w:val="left"/>
        </w:tabs>
        <w:rPr>
          <w:sz w:val="20"/>
          <w:szCs w:val="20"/>
          <w:color w:val="auto"/>
        </w:rPr>
      </w:pPr>
      <w:r>
        <w:rPr>
          <w:rFonts w:ascii="Arial" w:cs="Arial" w:eastAsia="Arial" w:hAnsi="Arial"/>
          <w:sz w:val="20"/>
          <w:szCs w:val="20"/>
          <w:color w:val="auto"/>
        </w:rPr>
        <w:t>9.7.5.</w:t>
      </w:r>
      <w:r>
        <w:rPr>
          <w:sz w:val="20"/>
          <w:szCs w:val="20"/>
          <w:color w:val="auto"/>
        </w:rPr>
        <w:tab/>
      </w:r>
      <w:r>
        <w:rPr>
          <w:rFonts w:ascii="Arial" w:cs="Arial" w:eastAsia="Arial" w:hAnsi="Arial"/>
          <w:sz w:val="18"/>
          <w:szCs w:val="18"/>
          <w:b w:val="1"/>
          <w:bCs w:val="1"/>
          <w:color w:val="auto"/>
        </w:rPr>
        <w:t>Royalty to Licensee</w:t>
      </w:r>
      <w:r>
        <w:rPr>
          <w:rFonts w:ascii="Arial" w:cs="Arial" w:eastAsia="Arial" w:hAnsi="Arial"/>
          <w:sz w:val="18"/>
          <w:szCs w:val="18"/>
          <w:color w:val="auto"/>
        </w:rPr>
        <w:t>. Licensor will pay to Licensee royalties on the Net Sales of each Licensed Product in the Territory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during the applicable Royalty Term for such Licensed Product in each country, which royalties will be (a) [*]% of Net Sales for each Licensed Product with respect to which the effective date of such termination occurs after [*] for such Licensed Product, but prior to [*], and (b) [*]% of Net Sales for each Licensed Product with respect to which the effective date of such termination occurs after [*]. In such case, the applicable terms of the definition of Net Sales, the definition of Royalty Term, Section 5.5 (Royalty Payments), Section 5.7 (Payment Reports), Section 5.8 (Other Payments), Section 5.9 (No Refunds; Offsets), Section 5.10 (Exchange Rate), Section 5.11 (Taxes), Section 5.12 (Audit), and Section 5.13 (Manner of Payment; Late Payment)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with Licensor or its Affiliates and sublicensees as the Party selling the Licensed Products and making payments. On a Licensed Product-by-Licensed Product and</w:t>
      </w:r>
    </w:p>
    <w:p>
      <w:pPr>
        <w:spacing w:after="0" w:line="388"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- 35 -</w:t>
      </w:r>
    </w:p>
    <w:p>
      <w:pPr>
        <w:spacing w:after="0" w:line="12" w:lineRule="exact"/>
        <w:rPr>
          <w:sz w:val="20"/>
          <w:szCs w:val="20"/>
          <w:color w:val="auto"/>
        </w:rPr>
      </w:pPr>
    </w:p>
    <w:p>
      <w:pPr>
        <w:ind w:left="-8" w:right="740" w:firstLine="8"/>
        <w:spacing w:after="0" w:line="226" w:lineRule="auto"/>
        <w:tabs>
          <w:tab w:leader="none" w:pos="2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73" w:name="page174"/>
    <w:bookmarkEnd w:id="173"/>
    <w:p>
      <w:pPr>
        <w:jc w:val="both"/>
        <w:ind w:left="1732"/>
        <w:spacing w:after="0" w:line="244" w:lineRule="auto"/>
        <w:rPr>
          <w:sz w:val="20"/>
          <w:szCs w:val="20"/>
          <w:color w:val="auto"/>
        </w:rPr>
      </w:pPr>
      <w:r>
        <w:rPr>
          <w:rFonts w:ascii="Arial" w:cs="Arial" w:eastAsia="Arial" w:hAnsi="Arial"/>
          <w:sz w:val="20"/>
          <w:szCs w:val="20"/>
          <w:color w:val="auto"/>
        </w:rPr>
        <w:t>country-by-country basis, effective upon the expiration of the Royalty Term for a Licensed Product in a country (but not upon any earlier termination of this Agreement for any other reason), the license granted to Licensor in Section 9.7.4 (License Grant to Licensor) under the Know-How included in the Licensee Grantback Technology will become fully-paid up, royalty-free, irrevocable and perpetual in such country. For the avoidance of doubt, if this Agreement is terminated prior to [*], then Licensor will [*].</w:t>
      </w:r>
    </w:p>
    <w:p>
      <w:pPr>
        <w:spacing w:after="0" w:line="189" w:lineRule="exact"/>
        <w:rPr>
          <w:sz w:val="20"/>
          <w:szCs w:val="20"/>
          <w:color w:val="auto"/>
        </w:rPr>
      </w:pPr>
    </w:p>
    <w:p>
      <w:pPr>
        <w:jc w:val="both"/>
        <w:ind w:left="1732" w:hanging="863"/>
        <w:spacing w:after="0" w:line="246" w:lineRule="auto"/>
        <w:tabs>
          <w:tab w:leader="none" w:pos="1712" w:val="left"/>
        </w:tabs>
        <w:rPr>
          <w:sz w:val="20"/>
          <w:szCs w:val="20"/>
          <w:color w:val="auto"/>
        </w:rPr>
      </w:pPr>
      <w:r>
        <w:rPr>
          <w:rFonts w:ascii="Arial" w:cs="Arial" w:eastAsia="Arial" w:hAnsi="Arial"/>
          <w:sz w:val="20"/>
          <w:szCs w:val="20"/>
          <w:color w:val="auto"/>
        </w:rPr>
        <w:t>9.7.6.</w:t>
      </w:r>
      <w:r>
        <w:rPr>
          <w:sz w:val="20"/>
          <w:szCs w:val="20"/>
          <w:color w:val="auto"/>
        </w:rPr>
        <w:tab/>
      </w:r>
      <w:r>
        <w:rPr>
          <w:rFonts w:ascii="Arial" w:cs="Arial" w:eastAsia="Arial" w:hAnsi="Arial"/>
          <w:sz w:val="20"/>
          <w:szCs w:val="20"/>
          <w:b w:val="1"/>
          <w:bCs w:val="1"/>
          <w:color w:val="auto"/>
        </w:rPr>
        <w:t>Patent Information</w:t>
      </w:r>
      <w:r>
        <w:rPr>
          <w:rFonts w:ascii="Arial" w:cs="Arial" w:eastAsia="Arial" w:hAnsi="Arial"/>
          <w:sz w:val="20"/>
          <w:szCs w:val="20"/>
          <w:color w:val="auto"/>
        </w:rPr>
        <w:t>. Licensee, if requested in writing by Licensor, will provide (a) any and all material correspondence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relevant Patent Offices pertaining to the Licensee’s prosecution of any Licensor Patent Rights to the extent not previously provided to Licensor during the course of the Agreement, and (b) a report detailing the status as of the effective date of termination of all Licensor Patent Rights that Licensee is Prosecuting or maintaining, and all Patent Rights included in the Licensee Grantback Technology.</w:t>
      </w:r>
    </w:p>
    <w:p>
      <w:pPr>
        <w:spacing w:after="0" w:line="185" w:lineRule="exact"/>
        <w:rPr>
          <w:sz w:val="20"/>
          <w:szCs w:val="20"/>
          <w:color w:val="auto"/>
        </w:rPr>
      </w:pPr>
    </w:p>
    <w:p>
      <w:pPr>
        <w:ind w:left="872"/>
        <w:spacing w:after="0"/>
        <w:tabs>
          <w:tab w:leader="none" w:pos="1712" w:val="left"/>
        </w:tabs>
        <w:rPr>
          <w:sz w:val="20"/>
          <w:szCs w:val="20"/>
          <w:color w:val="auto"/>
        </w:rPr>
      </w:pPr>
      <w:r>
        <w:rPr>
          <w:rFonts w:ascii="Arial" w:cs="Arial" w:eastAsia="Arial" w:hAnsi="Arial"/>
          <w:sz w:val="20"/>
          <w:szCs w:val="20"/>
          <w:color w:val="auto"/>
        </w:rPr>
        <w:t>9.7.7.</w:t>
      </w:r>
      <w:r>
        <w:rPr>
          <w:sz w:val="20"/>
          <w:szCs w:val="20"/>
          <w:color w:val="auto"/>
        </w:rPr>
        <w:tab/>
      </w:r>
      <w:r>
        <w:rPr>
          <w:rFonts w:ascii="Arial" w:cs="Arial" w:eastAsia="Arial" w:hAnsi="Arial"/>
          <w:sz w:val="18"/>
          <w:szCs w:val="18"/>
          <w:b w:val="1"/>
          <w:bCs w:val="1"/>
          <w:color w:val="auto"/>
        </w:rPr>
        <w:t>Ongoing Clinical Trials</w:t>
      </w:r>
      <w:r>
        <w:rPr>
          <w:rFonts w:ascii="Arial" w:cs="Arial" w:eastAsia="Arial" w:hAnsi="Arial"/>
          <w:sz w:val="18"/>
          <w:szCs w:val="18"/>
          <w:color w:val="auto"/>
        </w:rPr>
        <w:t>.</w:t>
      </w:r>
    </w:p>
    <w:p>
      <w:pPr>
        <w:spacing w:after="0" w:line="222" w:lineRule="exact"/>
        <w:rPr>
          <w:sz w:val="20"/>
          <w:szCs w:val="20"/>
          <w:color w:val="auto"/>
        </w:rPr>
      </w:pPr>
    </w:p>
    <w:p>
      <w:pPr>
        <w:jc w:val="both"/>
        <w:ind w:left="2612" w:hanging="870"/>
        <w:spacing w:after="0" w:line="255" w:lineRule="auto"/>
        <w:tabs>
          <w:tab w:leader="none" w:pos="2612"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Transfer to Licensor</w:t>
      </w:r>
      <w:r>
        <w:rPr>
          <w:rFonts w:ascii="Arial" w:cs="Arial" w:eastAsia="Arial" w:hAnsi="Arial"/>
          <w:sz w:val="19"/>
          <w:szCs w:val="19"/>
          <w:color w:val="auto"/>
        </w:rPr>
        <w:t xml:space="preserve">. Unless expressly prohibited by any Regulatory Authority, at Licensor’s written request, Licensee will and hereby does, and will cause its Affiliates, and its Sublicensees to, transfer control of all Clinical Trials involving any Licensed Products being conducted by or on behalf of Licensee, an Affiliate, or a Sublicensee as of the effective date of termination to Licensor or its Affiliates or a Third Party that is designated in writing by Licensor. Licensee will continue to conduct such Clinical Trials, at Licensor’s cost, until such transfer is completed in order to enable such transfer to be completed without interruption of any such Clinical Trial (including the assignment of all related Regulatory Submissions, Regulatory Approvals, and investigator and other agreements relating to such Clinical Trials);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Licensor will not have any obligation to continue any Clinical Trial unless required by Applicable Law or under the terms of any agreement relating to such Clinical Trial that Licensor agrees to assume. Licensor will pay all out-of-pocket costs incurred by either Party to complete such Clinical Trials if Licensor requests that such Clinical Trials be completed.</w:t>
      </w:r>
    </w:p>
    <w:p>
      <w:pPr>
        <w:spacing w:after="0" w:line="185" w:lineRule="exact"/>
        <w:rPr>
          <w:rFonts w:ascii="Arial" w:cs="Arial" w:eastAsia="Arial" w:hAnsi="Arial"/>
          <w:sz w:val="19"/>
          <w:szCs w:val="19"/>
          <w:color w:val="auto"/>
        </w:rPr>
      </w:pPr>
    </w:p>
    <w:p>
      <w:pPr>
        <w:jc w:val="both"/>
        <w:ind w:left="2612" w:hanging="870"/>
        <w:spacing w:after="0" w:line="256" w:lineRule="auto"/>
        <w:tabs>
          <w:tab w:leader="none" w:pos="2612"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Licensee Wind-Down</w:t>
      </w:r>
      <w:r>
        <w:rPr>
          <w:rFonts w:ascii="Arial" w:cs="Arial" w:eastAsia="Arial" w:hAnsi="Arial"/>
          <w:sz w:val="19"/>
          <w:szCs w:val="19"/>
          <w:color w:val="auto"/>
        </w:rPr>
        <w:t>. If Licensor does not elect to assume control of any such Clinical Trials, then Licensee will responsibly wind-down any on-going Clinical Trials of Licensed Products for which it has responsibility hereunder in which patient dosing has commenced, in each case, in accordance with Applicable Law, accepted pharmaceutical industry norms, ethical practices, and regulatory requirements associated with discontinuing any Clinical Trial, which norms, practices, or requirements may require Licensee to continue (and not wind-down) a Clinical Trial for a Licensed Product. In addition, in such case, Licensee will maintain the IND during any such wind-down period until the completion of the wind-down of all Clinical Trials of Licensed Products, unless the IND has been inactivated. In addition, Licensee will be responsible for any out-of-pocket costs associated with such wind-down.</w:t>
      </w:r>
    </w:p>
    <w:p>
      <w:pPr>
        <w:spacing w:after="0" w:line="179" w:lineRule="exact"/>
        <w:rPr>
          <w:sz w:val="20"/>
          <w:szCs w:val="20"/>
          <w:color w:val="auto"/>
        </w:rPr>
      </w:pPr>
    </w:p>
    <w:p>
      <w:pPr>
        <w:jc w:val="both"/>
        <w:ind w:left="1732" w:hanging="863"/>
        <w:spacing w:after="0" w:line="246" w:lineRule="auto"/>
        <w:tabs>
          <w:tab w:leader="none" w:pos="1712" w:val="left"/>
        </w:tabs>
        <w:rPr>
          <w:sz w:val="20"/>
          <w:szCs w:val="20"/>
          <w:color w:val="auto"/>
        </w:rPr>
      </w:pPr>
      <w:r>
        <w:rPr>
          <w:rFonts w:ascii="Arial" w:cs="Arial" w:eastAsia="Arial" w:hAnsi="Arial"/>
          <w:sz w:val="20"/>
          <w:szCs w:val="20"/>
          <w:color w:val="auto"/>
        </w:rPr>
        <w:t>9.7.8.</w:t>
      </w:r>
      <w:r>
        <w:rPr>
          <w:sz w:val="20"/>
          <w:szCs w:val="20"/>
          <w:color w:val="auto"/>
        </w:rPr>
        <w:tab/>
      </w:r>
      <w:r>
        <w:rPr>
          <w:rFonts w:ascii="Arial" w:cs="Arial" w:eastAsia="Arial" w:hAnsi="Arial"/>
          <w:sz w:val="20"/>
          <w:szCs w:val="20"/>
          <w:b w:val="1"/>
          <w:bCs w:val="1"/>
          <w:color w:val="auto"/>
        </w:rPr>
        <w:t>Licensee Knowledge Transfer; Inventory</w:t>
      </w:r>
      <w:r>
        <w:rPr>
          <w:rFonts w:ascii="Arial" w:cs="Arial" w:eastAsia="Arial" w:hAnsi="Arial"/>
          <w:sz w:val="20"/>
          <w:szCs w:val="20"/>
          <w:color w:val="auto"/>
        </w:rPr>
        <w:t>. Licensee will provide all knowledge transfer and other training to Licensor</w:t>
      </w:r>
      <w:r>
        <w:rPr>
          <w:rFonts w:ascii="Arial" w:cs="Arial" w:eastAsia="Arial" w:hAnsi="Arial"/>
          <w:sz w:val="20"/>
          <w:szCs w:val="20"/>
          <w:b w:val="1"/>
          <w:bCs w:val="1"/>
          <w:color w:val="auto"/>
        </w:rPr>
        <w:t xml:space="preserve"> </w:t>
      </w:r>
      <w:r>
        <w:rPr>
          <w:rFonts w:ascii="Arial" w:cs="Arial" w:eastAsia="Arial" w:hAnsi="Arial"/>
          <w:sz w:val="20"/>
          <w:szCs w:val="20"/>
          <w:color w:val="auto"/>
        </w:rPr>
        <w:t>or its designated Affiliate or Third Party as reasonably necessary for Licensor or such designated Affiliate or Third Party to Exploit the Licensed Compounds and Licensed Products. In connection with such transfer, Licensee will, at Licensor’s option in its sole discretion, at the end of any post-termination Commercialization period pursuant to Section 9.7.10 (Further Sales) (a) transfer to</w:t>
      </w:r>
    </w:p>
    <w:p>
      <w:pPr>
        <w:spacing w:after="0" w:line="200" w:lineRule="exact"/>
        <w:rPr>
          <w:sz w:val="20"/>
          <w:szCs w:val="20"/>
          <w:color w:val="auto"/>
        </w:rPr>
      </w:pPr>
    </w:p>
    <w:p>
      <w:pPr>
        <w:spacing w:after="0" w:line="210"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- 36 -</w:t>
      </w:r>
    </w:p>
    <w:p>
      <w:pPr>
        <w:spacing w:after="0" w:line="12" w:lineRule="exact"/>
        <w:rPr>
          <w:sz w:val="20"/>
          <w:szCs w:val="20"/>
          <w:color w:val="auto"/>
        </w:rPr>
      </w:pPr>
    </w:p>
    <w:p>
      <w:pPr>
        <w:ind w:left="-8" w:right="740" w:firstLine="8"/>
        <w:spacing w:after="0" w:line="226" w:lineRule="auto"/>
        <w:tabs>
          <w:tab w:leader="none" w:pos="2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74" w:name="page175"/>
    <w:bookmarkEnd w:id="174"/>
    <w:p>
      <w:pPr>
        <w:jc w:val="both"/>
        <w:ind w:left="1732"/>
        <w:spacing w:after="0" w:line="256" w:lineRule="auto"/>
        <w:rPr>
          <w:sz w:val="20"/>
          <w:szCs w:val="20"/>
          <w:color w:val="auto"/>
        </w:rPr>
      </w:pPr>
      <w:r>
        <w:rPr>
          <w:rFonts w:ascii="Arial" w:cs="Arial" w:eastAsia="Arial" w:hAnsi="Arial"/>
          <w:sz w:val="19"/>
          <w:szCs w:val="19"/>
          <w:color w:val="auto"/>
        </w:rPr>
        <w:t>Licensor or its designated Affiliate or Third Party, on an “as-is” basis, all inventory of Licensed Compounds and Licensed Products and components and works in process that are then held by or on behalf of Licensee with respect to the Manufacture of Licensed Compounds and Licensed Products (if any), for a transfer price equal to [*], or (b) destroy, at no cost to Licensor, all inventory of Licensed Compounds and Licensed Products and components and works in process that are held by or on behalf of Licensee with respect to the Manufacture of Licensed Compounds and Licensed Products and that are not transferred to Licensor or its designated Affiliate or Third Party pursuant to the foregoing clause (a). Licensor will bear the out-of-pocket costs associated with the knowledge transfer and transfer of inventory set forth in this Section 9.7.8 (Licensee Knowledge Transfer) in the event of [*], and in the event of [*], Licensee will bear such out-of-pocket costs.</w:t>
      </w:r>
    </w:p>
    <w:p>
      <w:pPr>
        <w:spacing w:after="0" w:line="179" w:lineRule="exact"/>
        <w:rPr>
          <w:sz w:val="20"/>
          <w:szCs w:val="20"/>
          <w:color w:val="auto"/>
        </w:rPr>
      </w:pPr>
    </w:p>
    <w:p>
      <w:pPr>
        <w:jc w:val="both"/>
        <w:ind w:left="1732" w:hanging="863"/>
        <w:spacing w:after="0" w:line="270" w:lineRule="auto"/>
        <w:tabs>
          <w:tab w:leader="none" w:pos="1712" w:val="left"/>
        </w:tabs>
        <w:rPr>
          <w:sz w:val="20"/>
          <w:szCs w:val="20"/>
          <w:color w:val="auto"/>
        </w:rPr>
      </w:pPr>
      <w:r>
        <w:rPr>
          <w:rFonts w:ascii="Arial" w:cs="Arial" w:eastAsia="Arial" w:hAnsi="Arial"/>
          <w:sz w:val="20"/>
          <w:szCs w:val="20"/>
          <w:color w:val="auto"/>
        </w:rPr>
        <w:t>9.7.9.</w:t>
      </w:r>
      <w:r>
        <w:rPr>
          <w:sz w:val="20"/>
          <w:szCs w:val="20"/>
          <w:color w:val="auto"/>
        </w:rPr>
        <w:tab/>
      </w:r>
      <w:r>
        <w:rPr>
          <w:rFonts w:ascii="Arial" w:cs="Arial" w:eastAsia="Arial" w:hAnsi="Arial"/>
          <w:sz w:val="18"/>
          <w:szCs w:val="18"/>
          <w:b w:val="1"/>
          <w:bCs w:val="1"/>
          <w:color w:val="auto"/>
        </w:rPr>
        <w:t>Selected Third Party Agreements</w:t>
      </w:r>
      <w:r>
        <w:rPr>
          <w:rFonts w:ascii="Arial" w:cs="Arial" w:eastAsia="Arial" w:hAnsi="Arial"/>
          <w:sz w:val="18"/>
          <w:szCs w:val="18"/>
          <w:color w:val="auto"/>
        </w:rPr>
        <w:t>. At Licensor’s written request, Licensee will, and cause its Affiliates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Sublicensees to, assign to Licensor any Selected Third Party Agreement related to any Licensed Compounds or Licensed Products requested by Licensor, unless any Selected Third Party Agreement expressly prohibits such assignment, in which case Licensee (or such Affiliate or Sublicensee, as applicable) will cooperate with Licensor in all reasonable respects to secure the consent of the applicable Third Party to such assignment. If any such consent cannot be obtained with respect to a Selected Third Party Agreement, then Licensee will, and cause its Affiliates and its Sublicensees to, obtain for Licensor substantially all of the practical benefit and burden under such Selected Third Party Agreement, including by (a) entering into appropriate and reasonable alternative arrangements on terms agreeable to each of Licensor and Licensee (or such Affiliate or Sublicensee, as applicable), and (b) subject to the consent and control of Licensor, enforcing, at Licensor’s cost and expense and for the account of Licensor, any and all rights of Licensee (or such Affiliate or Sublicensee, as applicable) against the other party thereto arising out of the breach or cancellation thereof by such other party or otherwise. Notwithstanding the foregoing, Licensee’s obligations under this Section 9.7.9 (Selected Third Party Agreement) will not apply to any Selected Third Party Agreements that are necessary for Licensee to exercise its continuing right to sell the Licensed Products pursuant to Section 9.7.10 (Further Sales) until the expiration of such rights (at which time the obligations under this Section 9.7.9 (Selected Third Party Agreement) will apply).</w:t>
      </w:r>
    </w:p>
    <w:p>
      <w:pPr>
        <w:spacing w:after="0" w:line="167" w:lineRule="exact"/>
        <w:rPr>
          <w:sz w:val="20"/>
          <w:szCs w:val="20"/>
          <w:color w:val="auto"/>
        </w:rPr>
      </w:pPr>
    </w:p>
    <w:p>
      <w:pPr>
        <w:jc w:val="both"/>
        <w:ind w:left="1732" w:hanging="863"/>
        <w:spacing w:after="0" w:line="271" w:lineRule="auto"/>
        <w:tabs>
          <w:tab w:leader="none" w:pos="1712" w:val="left"/>
        </w:tabs>
        <w:rPr>
          <w:sz w:val="20"/>
          <w:szCs w:val="20"/>
          <w:color w:val="auto"/>
        </w:rPr>
      </w:pPr>
      <w:r>
        <w:rPr>
          <w:rFonts w:ascii="Arial" w:cs="Arial" w:eastAsia="Arial" w:hAnsi="Arial"/>
          <w:sz w:val="20"/>
          <w:szCs w:val="20"/>
          <w:color w:val="auto"/>
        </w:rPr>
        <w:t>9.7.10.</w:t>
      </w:r>
      <w:r>
        <w:rPr>
          <w:sz w:val="20"/>
          <w:szCs w:val="20"/>
          <w:color w:val="auto"/>
        </w:rPr>
        <w:tab/>
      </w:r>
      <w:r>
        <w:rPr>
          <w:rFonts w:ascii="Arial" w:cs="Arial" w:eastAsia="Arial" w:hAnsi="Arial"/>
          <w:sz w:val="18"/>
          <w:szCs w:val="18"/>
          <w:b w:val="1"/>
          <w:bCs w:val="1"/>
          <w:color w:val="auto"/>
        </w:rPr>
        <w:t>Further Sales</w:t>
      </w:r>
      <w:r>
        <w:rPr>
          <w:rFonts w:ascii="Arial" w:cs="Arial" w:eastAsia="Arial" w:hAnsi="Arial"/>
          <w:sz w:val="18"/>
          <w:szCs w:val="18"/>
          <w:color w:val="auto"/>
        </w:rPr>
        <w:t>. If this Agreement is terminated for any reason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by Licensor for Licensee’s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breach pursuant to Section 9.4 (Termination for Cause) or by Licensor for a Challenge pursuant to Section 9.5 (Termination for Patent Challenges), then for a period of up to [*] after the effective date of such termination, (a) Licensee or its Affiliate or Sublicensee will have the continued right to sell the Licensed Products in such country from its inventory and the obligation to comply with the terms of this Agreement in connection with such Commercialization, and</w:t>
      </w:r>
    </w:p>
    <w:p>
      <w:pPr>
        <w:spacing w:after="0" w:line="1" w:lineRule="exact"/>
        <w:rPr>
          <w:sz w:val="20"/>
          <w:szCs w:val="20"/>
          <w:color w:val="auto"/>
        </w:rPr>
      </w:pPr>
    </w:p>
    <w:p>
      <w:pPr>
        <w:jc w:val="both"/>
        <w:ind w:left="1732" w:hanging="3"/>
        <w:spacing w:after="0" w:line="241" w:lineRule="auto"/>
        <w:tabs>
          <w:tab w:leader="none" w:pos="2032" w:val="left"/>
        </w:tabs>
        <w:numPr>
          <w:ilvl w:val="0"/>
          <w:numId w:val="134"/>
        </w:numPr>
        <w:rPr>
          <w:rFonts w:ascii="Arial" w:cs="Arial" w:eastAsia="Arial" w:hAnsi="Arial"/>
          <w:sz w:val="20"/>
          <w:szCs w:val="20"/>
          <w:color w:val="auto"/>
        </w:rPr>
      </w:pPr>
      <w:r>
        <w:rPr>
          <w:rFonts w:ascii="Arial" w:cs="Arial" w:eastAsia="Arial" w:hAnsi="Arial"/>
          <w:sz w:val="20"/>
          <w:szCs w:val="20"/>
          <w:color w:val="auto"/>
        </w:rPr>
        <w:t>Licensee’s and its Affiliates’ and Sublicensees’ obligations under this Agreement with respect to all such Licensed Product that Licensee or its Affiliates or Sublicensees sell, including the obligation to remit Royalties to Licensor hereunder, will continue in full force and effect during such period.</w:t>
      </w:r>
    </w:p>
    <w:p>
      <w:pPr>
        <w:spacing w:after="0" w:line="190" w:lineRule="exact"/>
        <w:rPr>
          <w:sz w:val="20"/>
          <w:szCs w:val="20"/>
          <w:color w:val="auto"/>
        </w:rPr>
      </w:pPr>
    </w:p>
    <w:p>
      <w:pPr>
        <w:jc w:val="both"/>
        <w:ind w:left="1732" w:hanging="863"/>
        <w:spacing w:after="0" w:line="248" w:lineRule="auto"/>
        <w:tabs>
          <w:tab w:leader="none" w:pos="1712" w:val="left"/>
        </w:tabs>
        <w:rPr>
          <w:sz w:val="20"/>
          <w:szCs w:val="20"/>
          <w:color w:val="auto"/>
        </w:rPr>
      </w:pPr>
      <w:r>
        <w:rPr>
          <w:rFonts w:ascii="Arial" w:cs="Arial" w:eastAsia="Arial" w:hAnsi="Arial"/>
          <w:sz w:val="20"/>
          <w:szCs w:val="20"/>
          <w:color w:val="auto"/>
        </w:rPr>
        <w:t>9.7.11.</w:t>
      </w:r>
      <w:r>
        <w:rPr>
          <w:sz w:val="20"/>
          <w:szCs w:val="20"/>
          <w:color w:val="auto"/>
        </w:rPr>
        <w:tab/>
      </w:r>
      <w:r>
        <w:rPr>
          <w:rFonts w:ascii="Arial" w:cs="Arial" w:eastAsia="Arial" w:hAnsi="Arial"/>
          <w:sz w:val="20"/>
          <w:szCs w:val="20"/>
          <w:b w:val="1"/>
          <w:bCs w:val="1"/>
          <w:color w:val="auto"/>
        </w:rPr>
        <w:t>Appointment as Exclusive Distributor</w:t>
      </w:r>
      <w:r>
        <w:rPr>
          <w:rFonts w:ascii="Arial" w:cs="Arial" w:eastAsia="Arial" w:hAnsi="Arial"/>
          <w:sz w:val="20"/>
          <w:szCs w:val="20"/>
          <w:color w:val="auto"/>
        </w:rPr>
        <w:t>. If any Licensed Products are being Commercialized by Licensee in any country</w:t>
      </w:r>
      <w:r>
        <w:rPr>
          <w:rFonts w:ascii="Arial" w:cs="Arial" w:eastAsia="Arial" w:hAnsi="Arial"/>
          <w:sz w:val="20"/>
          <w:szCs w:val="20"/>
          <w:b w:val="1"/>
          <w:bCs w:val="1"/>
          <w:color w:val="auto"/>
        </w:rPr>
        <w:t xml:space="preserve"> </w:t>
      </w:r>
      <w:r>
        <w:rPr>
          <w:rFonts w:ascii="Arial" w:cs="Arial" w:eastAsia="Arial" w:hAnsi="Arial"/>
          <w:sz w:val="20"/>
          <w:szCs w:val="20"/>
          <w:color w:val="auto"/>
        </w:rPr>
        <w:t>in the Territory as of the effective date of termination, then, at Licensor’s election (in its sole discretion) on a country-by-country basis in the Territory, subject to Licensee’s continuing right to Commercialize pursuant to Section 9.7.10 (Further Sales), until such time as all Regulatory Approvals (where</w:t>
      </w:r>
    </w:p>
    <w:p>
      <w:pPr>
        <w:spacing w:after="0" w:line="200" w:lineRule="exact"/>
        <w:rPr>
          <w:sz w:val="20"/>
          <w:szCs w:val="20"/>
          <w:color w:val="auto"/>
        </w:rPr>
      </w:pPr>
    </w:p>
    <w:p>
      <w:pPr>
        <w:spacing w:after="0" w:line="208"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- 37 -</w:t>
      </w:r>
    </w:p>
    <w:p>
      <w:pPr>
        <w:spacing w:after="0" w:line="12" w:lineRule="exact"/>
        <w:rPr>
          <w:sz w:val="20"/>
          <w:szCs w:val="20"/>
          <w:color w:val="auto"/>
        </w:rPr>
      </w:pPr>
    </w:p>
    <w:p>
      <w:pPr>
        <w:ind w:left="-8" w:right="740" w:firstLine="8"/>
        <w:spacing w:after="0" w:line="226" w:lineRule="auto"/>
        <w:tabs>
          <w:tab w:leader="none" w:pos="2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0"/>
          <w:szCs w:val="20"/>
          <w:color w:val="auto"/>
        </w:rPr>
        <w:t>applicable) with respect to such Licensed Products in such country have been assigned and transferred to Licensor, either</w:t>
      </w:r>
    </w:p>
    <w:p>
      <w:pPr>
        <w:spacing w:after="0" w:line="16" w:lineRule="exact"/>
        <w:rPr>
          <w:sz w:val="20"/>
          <w:szCs w:val="20"/>
          <w:color w:val="auto"/>
        </w:rPr>
      </w:pPr>
    </w:p>
    <w:p>
      <w:pPr>
        <w:jc w:val="both"/>
        <w:ind w:left="1740" w:hanging="3"/>
        <w:spacing w:after="0" w:line="270" w:lineRule="auto"/>
        <w:tabs>
          <w:tab w:leader="none" w:pos="201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Licensee will, or will cause its Affiliate or Sublicensee to, appoint Licensor or its designee as its exclusive distributor of such Licensed Products in such country and grant Licensor or its designee the right to appoint sub-distributors, to the extent not prohibited by any written agreement between Licensee or any of its Affiliates or Sublicensees and a Third Party, or (b) Licensee or its Affiliate or Sublicensee will have the continued right to sell the Licensed Products in such country from its inventory, and the obligation to comply with the terms of this Agreement in connection with such Commercialization in such country, and Licensee’s and its Affiliates’ and Sublicensees’ obligations under this Agreement with respect to all such Licensed Product that Licensee or its Affiliates or Sublicensees sell, including the obligation to remit Royalties to Licensor hereunder, will continue in full force and effect during such period.</w:t>
      </w:r>
    </w:p>
    <w:p>
      <w:pPr>
        <w:spacing w:after="0" w:line="168" w:lineRule="exact"/>
        <w:rPr>
          <w:sz w:val="20"/>
          <w:szCs w:val="20"/>
          <w:color w:val="auto"/>
        </w:rPr>
      </w:pPr>
    </w:p>
    <w:p>
      <w:pPr>
        <w:jc w:val="both"/>
        <w:ind w:left="1740" w:hanging="863"/>
        <w:spacing w:after="0" w:line="255" w:lineRule="auto"/>
        <w:tabs>
          <w:tab w:leader="none" w:pos="1720" w:val="left"/>
        </w:tabs>
        <w:rPr>
          <w:sz w:val="20"/>
          <w:szCs w:val="20"/>
          <w:color w:val="auto"/>
        </w:rPr>
      </w:pPr>
      <w:r>
        <w:rPr>
          <w:rFonts w:ascii="Arial" w:cs="Arial" w:eastAsia="Arial" w:hAnsi="Arial"/>
          <w:sz w:val="20"/>
          <w:szCs w:val="20"/>
          <w:color w:val="auto"/>
        </w:rPr>
        <w:t>9.7.12.</w:t>
      </w:r>
      <w:r>
        <w:rPr>
          <w:sz w:val="20"/>
          <w:szCs w:val="20"/>
          <w:color w:val="auto"/>
        </w:rPr>
        <w:tab/>
      </w:r>
      <w:r>
        <w:rPr>
          <w:rFonts w:ascii="Arial" w:cs="Arial" w:eastAsia="Arial" w:hAnsi="Arial"/>
          <w:sz w:val="19"/>
          <w:szCs w:val="19"/>
          <w:b w:val="1"/>
          <w:bCs w:val="1"/>
          <w:color w:val="auto"/>
        </w:rPr>
        <w:t>Supply of Product</w:t>
      </w:r>
      <w:r>
        <w:rPr>
          <w:rFonts w:ascii="Arial" w:cs="Arial" w:eastAsia="Arial" w:hAnsi="Arial"/>
          <w:sz w:val="19"/>
          <w:szCs w:val="19"/>
          <w:color w:val="auto"/>
        </w:rPr>
        <w:t>. At Licensor’s written request, Licensee will continue to use commercially reasonable efforts to</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or cause to be manufactured and to supply or cause to be supplied to Licensor such quantities of Licensed Compounds and Licensed Products (in bulk drug substance, bulk drug product, or finished drug product form, in each case to the extent Licensee manufactures or has manufactured such form(s) at the time of termination) as Licensor indicates in written forecasts and orders therefor from time-to-time at Licensee’s actual cost of goods for such Licensed Compounds and Licensed Products plus [*]%, until the earliest of (a) such time as Licensor has established an alternate, validated source of supply for such Licensed Compounds and Licensed Products, and Licensor is receiving supply from such alternative source, (b) [*] following the effective date of termination of this Agreement and (c) if, at the time of such termination, the manufacture of Licensed Compounds and Licensed Products is being conducted by Third Party manufacturers on Licensee’s behalf and all such agreements with such Third Parties can be assigned to Licensor (in whole or, if such agreements relate to products other than Licensed Products, in relevant part) and Licensor requests such assignment of such agreements, upon such assignment to Licensor of all such agreements. Licensor acknowledges and agrees that the terms under which Licensee manufactures and supplies Licensed Compounds and Licensed Products to Licensor hereunder will be subject to then existing terms and conditions of Licensee’s agreements with its manufacturers and suppliers.</w:t>
      </w:r>
    </w:p>
    <w:p>
      <w:pPr>
        <w:spacing w:after="0" w:line="178" w:lineRule="exact"/>
        <w:rPr>
          <w:sz w:val="20"/>
          <w:szCs w:val="20"/>
          <w:color w:val="auto"/>
        </w:rPr>
      </w:pPr>
    </w:p>
    <w:p>
      <w:pPr>
        <w:jc w:val="both"/>
        <w:ind w:left="1740" w:hanging="863"/>
        <w:spacing w:after="0" w:line="271" w:lineRule="auto"/>
        <w:tabs>
          <w:tab w:leader="none" w:pos="1720" w:val="left"/>
        </w:tabs>
        <w:rPr>
          <w:sz w:val="20"/>
          <w:szCs w:val="20"/>
          <w:color w:val="auto"/>
        </w:rPr>
      </w:pPr>
      <w:r>
        <w:rPr>
          <w:rFonts w:ascii="Arial" w:cs="Arial" w:eastAsia="Arial" w:hAnsi="Arial"/>
          <w:sz w:val="20"/>
          <w:szCs w:val="20"/>
          <w:color w:val="auto"/>
        </w:rPr>
        <w:t>9.7.13.</w:t>
      </w:r>
      <w:r>
        <w:rPr>
          <w:sz w:val="20"/>
          <w:szCs w:val="20"/>
          <w:color w:val="auto"/>
        </w:rPr>
        <w:tab/>
      </w:r>
      <w:r>
        <w:rPr>
          <w:rFonts w:ascii="Arial" w:cs="Arial" w:eastAsia="Arial" w:hAnsi="Arial"/>
          <w:sz w:val="18"/>
          <w:szCs w:val="18"/>
          <w:b w:val="1"/>
          <w:bCs w:val="1"/>
          <w:color w:val="auto"/>
        </w:rPr>
        <w:t>Trademark License</w:t>
      </w:r>
      <w:r>
        <w:rPr>
          <w:rFonts w:ascii="Arial" w:cs="Arial" w:eastAsia="Arial" w:hAnsi="Arial"/>
          <w:sz w:val="18"/>
          <w:szCs w:val="18"/>
          <w:color w:val="auto"/>
        </w:rPr>
        <w:t>. Effective as of the date of termination, Licensee hereby grants and agrees to grant to Licensor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fully paid-up, royalty-free, worldwide, transferable, sublicensable (through multiple tiers), perpetual, and irrevocable license to use the Trademarks owned or otherwise Controlled by Licensee solely identifying each Licensed Product (which will not include any of Licensee’s housemarks) for the purpose of Commercializing the Licensed Product. In addition, during the period commencing on the effective date of termination of this Agreement and continuing until the date upon which (a) all Regulatory Approvals have been assigned to Licensor, and (b) the applicable Regulatory Authorities in each country in the Territory have approved, and Licensor (or its designee) is prepared to Commercialize the Licensed Products under, new packaging and labeling bearing Licensor’s housemarks (or its designees’ housemarks) and branding for each Licensed Product, Licensee hereby grants and agrees to grant to Licensor a fully paid-up, royalty-free, worldwide, transferable, sublicensable (through multiple tiers) license to use any Licensee housemarks and branding that, as of the effective date of termination of this Agreement, are included on the packaging and labeling of any Licensed Product for the purpose of Commercializing the Licensed Products,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Licensor complies</w:t>
      </w:r>
    </w:p>
    <w:p>
      <w:pPr>
        <w:spacing w:after="0" w:line="39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- 38 -</w:t>
      </w:r>
    </w:p>
    <w:p>
      <w:pPr>
        <w:spacing w:after="0" w:line="12" w:lineRule="exact"/>
        <w:rPr>
          <w:sz w:val="20"/>
          <w:szCs w:val="20"/>
          <w:color w:val="auto"/>
        </w:rPr>
      </w:pPr>
    </w:p>
    <w:p>
      <w:pPr>
        <w:ind w:right="740" w:firstLine="8"/>
        <w:spacing w:after="0" w:line="226" w:lineRule="auto"/>
        <w:tabs>
          <w:tab w:leader="none" w:pos="25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76" w:name="page177"/>
    <w:bookmarkEnd w:id="176"/>
    <w:p>
      <w:pPr>
        <w:jc w:val="both"/>
        <w:ind w:left="1732"/>
        <w:spacing w:after="0" w:line="276" w:lineRule="auto"/>
        <w:rPr>
          <w:sz w:val="20"/>
          <w:szCs w:val="20"/>
          <w:color w:val="auto"/>
        </w:rPr>
      </w:pPr>
      <w:r>
        <w:rPr>
          <w:rFonts w:ascii="Arial" w:cs="Arial" w:eastAsia="Arial" w:hAnsi="Arial"/>
          <w:sz w:val="18"/>
          <w:szCs w:val="18"/>
          <w:color w:val="auto"/>
        </w:rPr>
        <w:t xml:space="preserve">with any and all use guidelines applicable to such housemarks and branding that are provided by Licensee from time to time;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Licensee shall only use such Licensee housemarks and branding pursuant to this Section for so long as is reasonably necessary for Licensor to ensure a smooth transition of commercialization of the Licensed Product and to comply with Applicable Law, and Licensor shall use reasonable efforts to convert the packaging and labeling of Licensed Product to Licensor’s housemarks and branding as soon as practical following termination of this Agreement, consistent with Licensor’s Commercialization needs and Applicable Law.</w:t>
      </w:r>
    </w:p>
    <w:p>
      <w:pPr>
        <w:spacing w:after="0" w:line="159" w:lineRule="exact"/>
        <w:rPr>
          <w:sz w:val="20"/>
          <w:szCs w:val="20"/>
          <w:color w:val="auto"/>
        </w:rPr>
      </w:pPr>
    </w:p>
    <w:p>
      <w:pPr>
        <w:jc w:val="both"/>
        <w:ind w:left="1732" w:hanging="863"/>
        <w:spacing w:after="0" w:line="266" w:lineRule="auto"/>
        <w:tabs>
          <w:tab w:leader="none" w:pos="1712" w:val="left"/>
        </w:tabs>
        <w:rPr>
          <w:sz w:val="20"/>
          <w:szCs w:val="20"/>
          <w:color w:val="auto"/>
        </w:rPr>
      </w:pPr>
      <w:r>
        <w:rPr>
          <w:rFonts w:ascii="Arial" w:cs="Arial" w:eastAsia="Arial" w:hAnsi="Arial"/>
          <w:sz w:val="20"/>
          <w:szCs w:val="20"/>
          <w:color w:val="auto"/>
        </w:rPr>
        <w:t>9.7.14.</w:t>
      </w:r>
      <w:r>
        <w:rPr>
          <w:sz w:val="20"/>
          <w:szCs w:val="20"/>
          <w:color w:val="auto"/>
        </w:rPr>
        <w:tab/>
      </w:r>
      <w:r>
        <w:rPr>
          <w:rFonts w:ascii="Arial" w:cs="Arial" w:eastAsia="Arial" w:hAnsi="Arial"/>
          <w:sz w:val="19"/>
          <w:szCs w:val="19"/>
          <w:b w:val="1"/>
          <w:bCs w:val="1"/>
          <w:color w:val="auto"/>
        </w:rPr>
        <w:t>Further Assistance</w:t>
      </w:r>
      <w:r>
        <w:rPr>
          <w:rFonts w:ascii="Arial" w:cs="Arial" w:eastAsia="Arial" w:hAnsi="Arial"/>
          <w:sz w:val="19"/>
          <w:szCs w:val="19"/>
          <w:color w:val="auto"/>
        </w:rPr>
        <w:t>. Licensee will, and will cause its Affiliates and Sublicensees to, provide any other assistance or take</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actions, in each case reasonably requested by Licensor, as necessary to transfer to Licensor the Exploitation of the Licensed Compounds and Licensed Products, and will execute all documents as may be reasonably requested by Licensor in order to give effect to this Section 9.7 (Effects of Termination).</w:t>
      </w:r>
    </w:p>
    <w:p>
      <w:pPr>
        <w:spacing w:after="0" w:line="166" w:lineRule="exact"/>
        <w:rPr>
          <w:sz w:val="20"/>
          <w:szCs w:val="20"/>
          <w:color w:val="auto"/>
        </w:rPr>
      </w:pPr>
    </w:p>
    <w:p>
      <w:pPr>
        <w:jc w:val="both"/>
        <w:ind w:left="872" w:hanging="863"/>
        <w:spacing w:after="0" w:line="274" w:lineRule="auto"/>
        <w:tabs>
          <w:tab w:leader="none" w:pos="852" w:val="left"/>
        </w:tabs>
        <w:rPr>
          <w:sz w:val="20"/>
          <w:szCs w:val="20"/>
          <w:color w:val="auto"/>
        </w:rPr>
      </w:pPr>
      <w:r>
        <w:rPr>
          <w:rFonts w:ascii="Arial" w:cs="Arial" w:eastAsia="Arial" w:hAnsi="Arial"/>
          <w:sz w:val="20"/>
          <w:szCs w:val="20"/>
          <w:b w:val="1"/>
          <w:bCs w:val="1"/>
          <w:color w:val="auto"/>
        </w:rPr>
        <w:t>9.8.</w:t>
      </w:r>
      <w:r>
        <w:rPr>
          <w:sz w:val="20"/>
          <w:szCs w:val="20"/>
          <w:color w:val="auto"/>
        </w:rPr>
        <w:tab/>
      </w:r>
      <w:r>
        <w:rPr>
          <w:rFonts w:ascii="Arial" w:cs="Arial" w:eastAsia="Arial" w:hAnsi="Arial"/>
          <w:sz w:val="18"/>
          <w:szCs w:val="18"/>
          <w:b w:val="1"/>
          <w:bCs w:val="1"/>
          <w:color w:val="auto"/>
        </w:rPr>
        <w:t>Accrued Rights</w:t>
      </w:r>
      <w:r>
        <w:rPr>
          <w:rFonts w:ascii="Arial" w:cs="Arial" w:eastAsia="Arial" w:hAnsi="Arial"/>
          <w:sz w:val="18"/>
          <w:szCs w:val="18"/>
          <w:color w:val="auto"/>
        </w:rPr>
        <w:t>. Expiration or termination of this Agreement will not relieve the Parties of any liability that accrued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effective date of such expiration or termination, nor preclude either Party from pursuing all rights and remedies it may have hereunder or at law or in equity with respect to any breach of this Agreement, and any such termination will be without prejudice to the rights of either Party against the other. The remedies provided in this Article 9 (Term; Termination) are not exclusive of any other remedies that a Party may have in law or equity. Without limiting the generality of the foregoing, upon expiration or termination of this Agreement Licensee will pay to Licensor all amounts due under this Agreement to Licensor as of the effective date of termination or expiration within 30 days following such effective date of termination or expiration. All payments made pursuant to this Section 9.8 (Accrued Rights) will be non-creditable and non-refundable.</w:t>
      </w:r>
    </w:p>
    <w:p>
      <w:pPr>
        <w:spacing w:after="0" w:line="162" w:lineRule="exact"/>
        <w:rPr>
          <w:sz w:val="20"/>
          <w:szCs w:val="20"/>
          <w:color w:val="auto"/>
        </w:rPr>
      </w:pPr>
    </w:p>
    <w:p>
      <w:pPr>
        <w:jc w:val="both"/>
        <w:ind w:left="872" w:hanging="863"/>
        <w:spacing w:after="0" w:line="267" w:lineRule="auto"/>
        <w:tabs>
          <w:tab w:leader="none" w:pos="852" w:val="left"/>
        </w:tabs>
        <w:rPr>
          <w:sz w:val="20"/>
          <w:szCs w:val="20"/>
          <w:color w:val="auto"/>
        </w:rPr>
      </w:pPr>
      <w:r>
        <w:rPr>
          <w:rFonts w:ascii="Arial" w:cs="Arial" w:eastAsia="Arial" w:hAnsi="Arial"/>
          <w:sz w:val="20"/>
          <w:szCs w:val="20"/>
          <w:b w:val="1"/>
          <w:bCs w:val="1"/>
          <w:color w:val="auto"/>
        </w:rPr>
        <w:t>9.9.</w:t>
      </w:r>
      <w:r>
        <w:rPr>
          <w:sz w:val="20"/>
          <w:szCs w:val="20"/>
          <w:color w:val="auto"/>
        </w:rPr>
        <w:tab/>
      </w:r>
      <w:r>
        <w:rPr>
          <w:rFonts w:ascii="Arial" w:cs="Arial" w:eastAsia="Arial" w:hAnsi="Arial"/>
          <w:sz w:val="20"/>
          <w:szCs w:val="20"/>
          <w:b w:val="1"/>
          <w:bCs w:val="1"/>
          <w:color w:val="auto"/>
        </w:rPr>
        <w:t>No Waiver</w:t>
      </w:r>
      <w:r>
        <w:rPr>
          <w:rFonts w:ascii="Arial" w:cs="Arial" w:eastAsia="Arial" w:hAnsi="Arial"/>
          <w:sz w:val="20"/>
          <w:szCs w:val="20"/>
          <w:color w:val="auto"/>
        </w:rPr>
        <w:t>. The right of a Party to terminate this Agreement, as provided in this Article 9 (Term; Termination), will not be affected</w:t>
      </w:r>
      <w:r>
        <w:rPr>
          <w:rFonts w:ascii="Arial" w:cs="Arial" w:eastAsia="Arial" w:hAnsi="Arial"/>
          <w:sz w:val="20"/>
          <w:szCs w:val="20"/>
          <w:b w:val="1"/>
          <w:bCs w:val="1"/>
          <w:color w:val="auto"/>
        </w:rPr>
        <w:t xml:space="preserve"> </w:t>
      </w:r>
      <w:r>
        <w:rPr>
          <w:rFonts w:ascii="Arial" w:cs="Arial" w:eastAsia="Arial" w:hAnsi="Arial"/>
          <w:sz w:val="20"/>
          <w:szCs w:val="20"/>
          <w:color w:val="auto"/>
        </w:rPr>
        <w:t>in any way by its waiver or failure to take action with respect to any prior default.</w:t>
      </w:r>
    </w:p>
    <w:p>
      <w:pPr>
        <w:spacing w:after="0" w:line="164" w:lineRule="exact"/>
        <w:rPr>
          <w:sz w:val="20"/>
          <w:szCs w:val="20"/>
          <w:color w:val="auto"/>
        </w:rPr>
      </w:pPr>
    </w:p>
    <w:p>
      <w:pPr>
        <w:jc w:val="both"/>
        <w:ind w:left="872" w:hanging="863"/>
        <w:spacing w:after="0" w:line="262" w:lineRule="auto"/>
        <w:tabs>
          <w:tab w:leader="none" w:pos="852" w:val="left"/>
        </w:tabs>
        <w:rPr>
          <w:sz w:val="20"/>
          <w:szCs w:val="20"/>
          <w:color w:val="auto"/>
        </w:rPr>
      </w:pPr>
      <w:r>
        <w:rPr>
          <w:rFonts w:ascii="Arial" w:cs="Arial" w:eastAsia="Arial" w:hAnsi="Arial"/>
          <w:sz w:val="20"/>
          <w:szCs w:val="20"/>
          <w:b w:val="1"/>
          <w:bCs w:val="1"/>
          <w:color w:val="auto"/>
        </w:rPr>
        <w:t>9.10.</w:t>
      </w:r>
      <w:r>
        <w:rPr>
          <w:sz w:val="20"/>
          <w:szCs w:val="20"/>
          <w:color w:val="auto"/>
        </w:rPr>
        <w:tab/>
      </w:r>
      <w:r>
        <w:rPr>
          <w:rFonts w:ascii="Arial" w:cs="Arial" w:eastAsia="Arial" w:hAnsi="Arial"/>
          <w:sz w:val="19"/>
          <w:szCs w:val="19"/>
          <w:b w:val="1"/>
          <w:bCs w:val="1"/>
          <w:color w:val="auto"/>
        </w:rPr>
        <w:t>Survival</w:t>
      </w:r>
      <w:r>
        <w:rPr>
          <w:rFonts w:ascii="Arial" w:cs="Arial" w:eastAsia="Arial" w:hAnsi="Arial"/>
          <w:sz w:val="19"/>
          <w:szCs w:val="19"/>
          <w:color w:val="auto"/>
        </w:rPr>
        <w:t>. The provisions of Section 2.4 (Retained Rights), Section 3.3 (Licensor Technology Disclaimer), Section 5.8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Section 5.9 (No Refunds; Offsets), Section 5.10 (Exchange Rate), Section 5.11 (Taxes), Section 5.12 (Audit), Section 5.13 (Manner of Payment; Late Payment), Article 6 (Intellectual Property Rights), Article 7 (Confidentiality), Article 8 (Representations, Warranties, and Covenants), Article 9 (Term; Termination), Article 10 (Dispute Resolution), Article 11 (Indemnification; Insurance), and Article 12 (Miscellaneous) will survive expiration or termination of this Agreement.</w:t>
      </w:r>
    </w:p>
    <w:p>
      <w:pPr>
        <w:spacing w:after="0" w:line="171" w:lineRule="exact"/>
        <w:rPr>
          <w:sz w:val="20"/>
          <w:szCs w:val="20"/>
          <w:color w:val="auto"/>
        </w:rPr>
      </w:pPr>
    </w:p>
    <w:p>
      <w:pPr>
        <w:ind w:left="12"/>
        <w:spacing w:after="0"/>
        <w:tabs>
          <w:tab w:leader="none" w:pos="4972" w:val="left"/>
        </w:tabs>
        <w:rPr>
          <w:sz w:val="20"/>
          <w:szCs w:val="20"/>
          <w:color w:val="auto"/>
        </w:rPr>
      </w:pPr>
      <w:r>
        <w:rPr>
          <w:rFonts w:ascii="Arial" w:cs="Arial" w:eastAsia="Arial" w:hAnsi="Arial"/>
          <w:sz w:val="20"/>
          <w:szCs w:val="20"/>
          <w:b w:val="1"/>
          <w:bCs w:val="1"/>
          <w:color w:val="auto"/>
        </w:rPr>
        <w:t>Article 10.</w:t>
      </w:r>
      <w:r>
        <w:rPr>
          <w:sz w:val="20"/>
          <w:szCs w:val="20"/>
          <w:color w:val="auto"/>
        </w:rPr>
        <w:tab/>
      </w:r>
      <w:r>
        <w:rPr>
          <w:rFonts w:ascii="Arial" w:cs="Arial" w:eastAsia="Arial" w:hAnsi="Arial"/>
          <w:sz w:val="19"/>
          <w:szCs w:val="19"/>
          <w:b w:val="1"/>
          <w:bCs w:val="1"/>
          <w:color w:val="auto"/>
        </w:rPr>
        <w:t>DISPUTE RESOLUTION</w:t>
      </w:r>
    </w:p>
    <w:p>
      <w:pPr>
        <w:spacing w:after="0" w:line="216" w:lineRule="exact"/>
        <w:rPr>
          <w:sz w:val="20"/>
          <w:szCs w:val="20"/>
          <w:color w:val="auto"/>
        </w:rPr>
      </w:pPr>
    </w:p>
    <w:p>
      <w:pPr>
        <w:jc w:val="both"/>
        <w:ind w:left="872" w:hanging="863"/>
        <w:spacing w:after="0" w:line="248" w:lineRule="auto"/>
        <w:tabs>
          <w:tab w:leader="none" w:pos="852"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20"/>
          <w:szCs w:val="20"/>
          <w:b w:val="1"/>
          <w:bCs w:val="1"/>
          <w:color w:val="auto"/>
        </w:rPr>
        <w:t>Exclusive Dispute Resolution Mechanism</w:t>
      </w:r>
      <w:r>
        <w:rPr>
          <w:rFonts w:ascii="Arial" w:cs="Arial" w:eastAsia="Arial" w:hAnsi="Arial"/>
          <w:sz w:val="20"/>
          <w:szCs w:val="20"/>
          <w:color w:val="auto"/>
        </w:rPr>
        <w:t>. The Parties agree that the procedures set forth in this Article 10 (Dispute Resolution)</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the exclusive mechanism for resolving disputes, actions, claims, controversies, suits, or proceedings arising in whole or in part out of, related to, based upon or in connection with this Agreement or the subject matter hereof between the Parties (each, a “</w:t>
      </w:r>
      <w:r>
        <w:rPr>
          <w:rFonts w:ascii="Arial" w:cs="Arial" w:eastAsia="Arial" w:hAnsi="Arial"/>
          <w:sz w:val="20"/>
          <w:szCs w:val="20"/>
          <w:b w:val="1"/>
          <w:bCs w:val="1"/>
          <w:color w:val="auto"/>
        </w:rPr>
        <w:t>Dispute</w:t>
      </w:r>
      <w:r>
        <w:rPr>
          <w:rFonts w:ascii="Arial" w:cs="Arial" w:eastAsia="Arial" w:hAnsi="Arial"/>
          <w:sz w:val="20"/>
          <w:szCs w:val="20"/>
          <w:color w:val="auto"/>
        </w:rPr>
        <w:t>,” and collectively, the “</w:t>
      </w:r>
      <w:r>
        <w:rPr>
          <w:rFonts w:ascii="Arial" w:cs="Arial" w:eastAsia="Arial" w:hAnsi="Arial"/>
          <w:sz w:val="20"/>
          <w:szCs w:val="20"/>
          <w:b w:val="1"/>
          <w:bCs w:val="1"/>
          <w:color w:val="auto"/>
        </w:rPr>
        <w:t>Disputes</w:t>
      </w:r>
      <w:r>
        <w:rPr>
          <w:rFonts w:ascii="Arial" w:cs="Arial" w:eastAsia="Arial" w:hAnsi="Arial"/>
          <w:sz w:val="20"/>
          <w:szCs w:val="20"/>
          <w:color w:val="auto"/>
        </w:rPr>
        <w:t>”).</w:t>
      </w:r>
    </w:p>
    <w:p>
      <w:pPr>
        <w:spacing w:after="0" w:line="184" w:lineRule="exact"/>
        <w:rPr>
          <w:sz w:val="20"/>
          <w:szCs w:val="20"/>
          <w:color w:val="auto"/>
        </w:rPr>
      </w:pPr>
    </w:p>
    <w:p>
      <w:pPr>
        <w:jc w:val="both"/>
        <w:ind w:left="872" w:hanging="863"/>
        <w:spacing w:after="0" w:line="294" w:lineRule="auto"/>
        <w:tabs>
          <w:tab w:leader="none" w:pos="852"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8"/>
          <w:szCs w:val="18"/>
          <w:b w:val="1"/>
          <w:bCs w:val="1"/>
          <w:color w:val="auto"/>
        </w:rPr>
        <w:t>Resolution by Executive Officers</w:t>
      </w:r>
      <w:r>
        <w:rPr>
          <w:rFonts w:ascii="Arial" w:cs="Arial" w:eastAsia="Arial" w:hAnsi="Arial"/>
          <w:sz w:val="18"/>
          <w:szCs w:val="18"/>
          <w:color w:val="auto"/>
        </w:rPr>
        <w:t>. In the event of any Dispute the Parties will first attempt in good faith to resolve such Dispute by</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and consultation between themselves on an informal basis for a period of [*] Business Days after receipt of written notice of such Dispute by a Party. If such Dispute is not resolved within such [*] Business Day period, then either Party may,</w:t>
      </w:r>
    </w:p>
    <w:p>
      <w:pPr>
        <w:spacing w:after="0" w:line="369"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- 39 -</w:t>
      </w:r>
    </w:p>
    <w:p>
      <w:pPr>
        <w:spacing w:after="0" w:line="12" w:lineRule="exact"/>
        <w:rPr>
          <w:sz w:val="20"/>
          <w:szCs w:val="20"/>
          <w:color w:val="auto"/>
        </w:rPr>
      </w:pPr>
    </w:p>
    <w:p>
      <w:pPr>
        <w:ind w:left="-8" w:right="740" w:firstLine="8"/>
        <w:spacing w:after="0" w:line="226" w:lineRule="auto"/>
        <w:tabs>
          <w:tab w:leader="none" w:pos="24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77" w:name="page178"/>
    <w:bookmarkEnd w:id="177"/>
    <w:p>
      <w:pPr>
        <w:jc w:val="both"/>
        <w:ind w:left="880"/>
        <w:spacing w:after="0" w:line="248" w:lineRule="auto"/>
        <w:rPr>
          <w:sz w:val="20"/>
          <w:szCs w:val="20"/>
          <w:color w:val="auto"/>
        </w:rPr>
      </w:pPr>
      <w:r>
        <w:rPr>
          <w:rFonts w:ascii="Arial" w:cs="Arial" w:eastAsia="Arial" w:hAnsi="Arial"/>
          <w:sz w:val="20"/>
          <w:szCs w:val="20"/>
          <w:color w:val="auto"/>
        </w:rPr>
        <w:t>by written notice to the other Party, refer the Dispute to the senior executive officer (or his or her delegate) (each, an “</w:t>
      </w:r>
      <w:r>
        <w:rPr>
          <w:rFonts w:ascii="Arial" w:cs="Arial" w:eastAsia="Arial" w:hAnsi="Arial"/>
          <w:sz w:val="20"/>
          <w:szCs w:val="20"/>
          <w:b w:val="1"/>
          <w:bCs w:val="1"/>
          <w:color w:val="auto"/>
        </w:rPr>
        <w:t>Executive</w:t>
      </w:r>
      <w:r>
        <w:rPr>
          <w:rFonts w:ascii="Arial" w:cs="Arial" w:eastAsia="Arial" w:hAnsi="Arial"/>
          <w:sz w:val="20"/>
          <w:szCs w:val="20"/>
          <w:color w:val="auto"/>
        </w:rPr>
        <w:t xml:space="preserve"> </w:t>
      </w:r>
      <w:r>
        <w:rPr>
          <w:rFonts w:ascii="Arial" w:cs="Arial" w:eastAsia="Arial" w:hAnsi="Arial"/>
          <w:sz w:val="20"/>
          <w:szCs w:val="20"/>
          <w:b w:val="1"/>
          <w:bCs w:val="1"/>
          <w:color w:val="auto"/>
        </w:rPr>
        <w:t>Officer</w:t>
      </w:r>
      <w:r>
        <w:rPr>
          <w:rFonts w:ascii="Arial" w:cs="Arial" w:eastAsia="Arial" w:hAnsi="Arial"/>
          <w:sz w:val="20"/>
          <w:szCs w:val="20"/>
          <w:color w:val="auto"/>
        </w:rPr>
        <w:t>”) of the other Party for attempted resolution by good faith negotiation within [*] after such notice is received. Each Party</w:t>
      </w:r>
      <w:r>
        <w:rPr>
          <w:rFonts w:ascii="Arial" w:cs="Arial" w:eastAsia="Arial" w:hAnsi="Arial"/>
          <w:sz w:val="20"/>
          <w:szCs w:val="20"/>
          <w:b w:val="1"/>
          <w:bCs w:val="1"/>
          <w:color w:val="auto"/>
        </w:rPr>
        <w:t xml:space="preserve"> </w:t>
      </w:r>
      <w:r>
        <w:rPr>
          <w:rFonts w:ascii="Arial" w:cs="Arial" w:eastAsia="Arial" w:hAnsi="Arial"/>
          <w:sz w:val="20"/>
          <w:szCs w:val="20"/>
          <w:color w:val="auto"/>
        </w:rPr>
        <w:t>may, in its sole discretion, seek resolution of any and all Disputes that are not resolved under this Section 10.2 (Resolution by Executive Officers) in accordance with Section 10.3 (Litigation).</w:t>
      </w:r>
    </w:p>
    <w:p>
      <w:pPr>
        <w:spacing w:after="0" w:line="184" w:lineRule="exact"/>
        <w:rPr>
          <w:sz w:val="20"/>
          <w:szCs w:val="20"/>
          <w:color w:val="auto"/>
        </w:rPr>
      </w:pPr>
    </w:p>
    <w:p>
      <w:pPr>
        <w:jc w:val="both"/>
        <w:ind w:left="880" w:hanging="863"/>
        <w:spacing w:after="0" w:line="294" w:lineRule="auto"/>
        <w:tabs>
          <w:tab w:leader="none" w:pos="86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8"/>
          <w:szCs w:val="18"/>
          <w:b w:val="1"/>
          <w:bCs w:val="1"/>
          <w:color w:val="auto"/>
        </w:rPr>
        <w:t>Litigation</w:t>
      </w:r>
      <w:r>
        <w:rPr>
          <w:rFonts w:ascii="Arial" w:cs="Arial" w:eastAsia="Arial" w:hAnsi="Arial"/>
          <w:sz w:val="18"/>
          <w:szCs w:val="18"/>
          <w:color w:val="auto"/>
        </w:rPr>
        <w:t>. Any unresolved Dispute which was subject to Section 10.2 (Resolution by Executive Officers) must be brought</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exclusively in a court of competent jurisdiction, federal or state, located in the State of New York, and in no other jurisdiction. Each Party hereby consents to personal jurisdiction and venue in, and agrees to service of process issued or authorized by, such court.</w:t>
      </w:r>
    </w:p>
    <w:p>
      <w:pPr>
        <w:spacing w:after="0" w:line="144" w:lineRule="exact"/>
        <w:rPr>
          <w:sz w:val="20"/>
          <w:szCs w:val="20"/>
          <w:color w:val="auto"/>
        </w:rPr>
      </w:pPr>
    </w:p>
    <w:p>
      <w:pPr>
        <w:jc w:val="both"/>
        <w:ind w:left="880" w:hanging="863"/>
        <w:spacing w:after="0" w:line="270" w:lineRule="auto"/>
        <w:tabs>
          <w:tab w:leader="none" w:pos="86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8"/>
          <w:szCs w:val="18"/>
          <w:b w:val="1"/>
          <w:bCs w:val="1"/>
          <w:color w:val="auto"/>
        </w:rPr>
        <w:t>Jurisdiction</w:t>
      </w:r>
      <w:r>
        <w:rPr>
          <w:rFonts w:ascii="Arial" w:cs="Arial" w:eastAsia="Arial" w:hAnsi="Arial"/>
          <w:sz w:val="18"/>
          <w:szCs w:val="18"/>
          <w:color w:val="auto"/>
        </w:rPr>
        <w:t>. Each Party to this Agreement, by its execution hereof, (a) hereby irrevocably submits to the exclusive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United States District Court for the Southern District of New York and state courts located in New York, New York for the purpose of any and all unresolved Disputes which were subject to Section 10.2 (Resolution by Execution Officers), (b) hereby waives to the extent not prohibited by Applicable Law, and agrees not to assert, by way of motion, as a defense or otherwise, in any such action, any claim that it is not subject personally to the jurisdiction of the above-named courts, that its property is exempt or immune from attachment or execution, that any such action brought in one of the above-named courts in such jurisdiction should be dismissed on grounds of </w:t>
      </w:r>
      <w:r>
        <w:rPr>
          <w:rFonts w:ascii="Arial" w:cs="Arial" w:eastAsia="Arial" w:hAnsi="Arial"/>
          <w:sz w:val="18"/>
          <w:szCs w:val="18"/>
          <w:i w:val="1"/>
          <w:iCs w:val="1"/>
          <w:color w:val="auto"/>
        </w:rPr>
        <w:t>forum non conveniens</w:t>
      </w:r>
      <w:r>
        <w:rPr>
          <w:rFonts w:ascii="Arial" w:cs="Arial" w:eastAsia="Arial" w:hAnsi="Arial"/>
          <w:sz w:val="18"/>
          <w:szCs w:val="18"/>
          <w:color w:val="auto"/>
        </w:rPr>
        <w:t>, should be transferred to any court other than one of the above-named courts, or should be stayed by reason of the pendency of some other proceeding in any other court other than one of the above-named courts, or that this Agreement or the subject matter hereof may not be enforced in or by such court, and (c) hereby agrees not to commence any such action other than before one of the above-named courts nor to make any motion or take any other action seeking or intending to cause the transfer or removal of any such action to any court other than one of the above-named courts whether on the grounds of inconvenient forum or otherwise. Notwithstanding anything to the contrary set forth in this Agreement, application may be made to any court of competent jurisdiction with respect to the enforcement of any judgment or award.</w:t>
      </w:r>
    </w:p>
    <w:p>
      <w:pPr>
        <w:spacing w:after="0" w:line="174"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20"/>
          <w:szCs w:val="20"/>
          <w:b w:val="1"/>
          <w:bCs w:val="1"/>
          <w:color w:val="auto"/>
        </w:rPr>
        <w:t>Injunctive Relief</w:t>
      </w:r>
      <w:r>
        <w:rPr>
          <w:rFonts w:ascii="Arial" w:cs="Arial" w:eastAsia="Arial" w:hAnsi="Arial"/>
          <w:sz w:val="20"/>
          <w:szCs w:val="20"/>
          <w:color w:val="auto"/>
        </w:rPr>
        <w:t>. Notwithstanding anything to the contrary set forth in this Agreement, in the event of an actual or threatened</w:t>
      </w:r>
      <w:r>
        <w:rPr>
          <w:rFonts w:ascii="Arial" w:cs="Arial" w:eastAsia="Arial" w:hAnsi="Arial"/>
          <w:sz w:val="20"/>
          <w:szCs w:val="20"/>
          <w:b w:val="1"/>
          <w:bCs w:val="1"/>
          <w:color w:val="auto"/>
        </w:rPr>
        <w:t xml:space="preserve"> </w:t>
      </w:r>
      <w:r>
        <w:rPr>
          <w:rFonts w:ascii="Arial" w:cs="Arial" w:eastAsia="Arial" w:hAnsi="Arial"/>
          <w:sz w:val="20"/>
          <w:szCs w:val="20"/>
          <w:color w:val="auto"/>
        </w:rPr>
        <w:t>breach hereunder, the aggrieved Party may seek equitable relief (including restraining orders, specific performance or other injunctive relief) in any court or other forum, without first submitting to the dispute resolution procedures set forth in Section 10.2 (Resolution by Executive Officers).</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10.6.</w:t>
      </w:r>
      <w:r>
        <w:rPr>
          <w:sz w:val="20"/>
          <w:szCs w:val="20"/>
          <w:color w:val="auto"/>
        </w:rPr>
        <w:tab/>
      </w:r>
      <w:r>
        <w:rPr>
          <w:rFonts w:ascii="Arial" w:cs="Arial" w:eastAsia="Arial" w:hAnsi="Arial"/>
          <w:sz w:val="19"/>
          <w:szCs w:val="19"/>
          <w:b w:val="1"/>
          <w:bCs w:val="1"/>
          <w:color w:val="auto"/>
        </w:rPr>
        <w:t>Waiver of Right to Jury Trial</w:t>
      </w:r>
      <w:r>
        <w:rPr>
          <w:rFonts w:ascii="Arial" w:cs="Arial" w:eastAsia="Arial" w:hAnsi="Arial"/>
          <w:sz w:val="19"/>
          <w:szCs w:val="19"/>
          <w:color w:val="auto"/>
        </w:rPr>
        <w:t>.  IN CONNECTION WITH THE PARTIES’ RIGHTS UNDER SECTION 10.3 (LITIGATION),</w:t>
      </w:r>
    </w:p>
    <w:p>
      <w:pPr>
        <w:spacing w:after="0" w:line="22" w:lineRule="exact"/>
        <w:rPr>
          <w:sz w:val="20"/>
          <w:szCs w:val="20"/>
          <w:color w:val="auto"/>
        </w:rPr>
      </w:pPr>
    </w:p>
    <w:p>
      <w:pPr>
        <w:jc w:val="both"/>
        <w:ind w:left="880"/>
        <w:spacing w:after="0"/>
        <w:rPr>
          <w:sz w:val="20"/>
          <w:szCs w:val="20"/>
          <w:color w:val="auto"/>
        </w:rPr>
      </w:pPr>
      <w:r>
        <w:rPr>
          <w:rFonts w:ascii="Arial" w:cs="Arial" w:eastAsia="Arial" w:hAnsi="Arial"/>
          <w:sz w:val="20"/>
          <w:szCs w:val="20"/>
          <w:color w:val="auto"/>
        </w:rPr>
        <w:t>EACH PARTY, TO THE EXTENT PERMITTED BY APPLICABLE LAW, KNOWINGLY, VOLUNTARILY, AND INTENTIONALLY WAIVES ITS RIGHT TO A TRIAL BY JURY IN ANY ACTION OR OTHER LEGAL PROCEEDING ARISING OUT OF OR RELATING TO THIS AGREEMENT AND THE TRANSACTIONS IT CONTEMPLATES. THIS WAIVER APPLIES TO ANY ACTION OR LEGAL PROCEEDING, WHETHER SOUNDING IN CONTRACT, TORT, OR OTHERWISE.</w:t>
      </w:r>
    </w:p>
    <w:p>
      <w:pPr>
        <w:spacing w:after="0" w:line="192" w:lineRule="exact"/>
        <w:rPr>
          <w:sz w:val="20"/>
          <w:szCs w:val="20"/>
          <w:color w:val="auto"/>
        </w:rPr>
      </w:pPr>
    </w:p>
    <w:p>
      <w:pPr>
        <w:ind w:left="20"/>
        <w:spacing w:after="0"/>
        <w:tabs>
          <w:tab w:leader="none" w:pos="4540" w:val="left"/>
        </w:tabs>
        <w:rPr>
          <w:sz w:val="20"/>
          <w:szCs w:val="20"/>
          <w:color w:val="auto"/>
        </w:rPr>
      </w:pPr>
      <w:r>
        <w:rPr>
          <w:rFonts w:ascii="Arial" w:cs="Arial" w:eastAsia="Arial" w:hAnsi="Arial"/>
          <w:sz w:val="20"/>
          <w:szCs w:val="20"/>
          <w:b w:val="1"/>
          <w:bCs w:val="1"/>
          <w:color w:val="auto"/>
        </w:rPr>
        <w:t>Article 11.</w:t>
      </w:r>
      <w:r>
        <w:rPr>
          <w:sz w:val="20"/>
          <w:szCs w:val="20"/>
          <w:color w:val="auto"/>
        </w:rPr>
        <w:tab/>
      </w:r>
      <w:r>
        <w:rPr>
          <w:rFonts w:ascii="Arial" w:cs="Arial" w:eastAsia="Arial" w:hAnsi="Arial"/>
          <w:sz w:val="20"/>
          <w:szCs w:val="20"/>
          <w:b w:val="1"/>
          <w:bCs w:val="1"/>
          <w:color w:val="auto"/>
        </w:rPr>
        <w:t>INDEMNIFICATION; INSURANCE</w:t>
      </w:r>
    </w:p>
    <w:p>
      <w:pPr>
        <w:spacing w:after="0" w:line="216" w:lineRule="exact"/>
        <w:rPr>
          <w:sz w:val="20"/>
          <w:szCs w:val="20"/>
          <w:color w:val="auto"/>
        </w:rPr>
      </w:pPr>
    </w:p>
    <w:p>
      <w:pPr>
        <w:jc w:val="both"/>
        <w:ind w:left="880" w:hanging="863"/>
        <w:spacing w:after="0" w:line="285" w:lineRule="auto"/>
        <w:tabs>
          <w:tab w:leader="none" w:pos="86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8"/>
          <w:szCs w:val="18"/>
          <w:b w:val="1"/>
          <w:bCs w:val="1"/>
          <w:color w:val="auto"/>
        </w:rPr>
        <w:t>Indemnification by Licensee</w:t>
      </w:r>
      <w:r>
        <w:rPr>
          <w:rFonts w:ascii="Arial" w:cs="Arial" w:eastAsia="Arial" w:hAnsi="Arial"/>
          <w:sz w:val="18"/>
          <w:szCs w:val="18"/>
          <w:color w:val="auto"/>
        </w:rPr>
        <w:t>. Licensee hereby agrees to defend, indemnify, and hold harmless Licensor and its Affiliates, and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their respective directors, officers, employees, agents, and representatives (each, a “</w:t>
      </w:r>
      <w:r>
        <w:rPr>
          <w:rFonts w:ascii="Arial" w:cs="Arial" w:eastAsia="Arial" w:hAnsi="Arial"/>
          <w:sz w:val="18"/>
          <w:szCs w:val="18"/>
          <w:b w:val="1"/>
          <w:bCs w:val="1"/>
          <w:color w:val="auto"/>
        </w:rPr>
        <w:t>Licensor Indemnitee</w:t>
      </w:r>
      <w:r>
        <w:rPr>
          <w:rFonts w:ascii="Arial" w:cs="Arial" w:eastAsia="Arial" w:hAnsi="Arial"/>
          <w:sz w:val="18"/>
          <w:szCs w:val="18"/>
          <w:color w:val="auto"/>
        </w:rPr>
        <w:t xml:space="preserve">”) from and against any and all claims, suits, actions, demands, or other proceedings brought by any Third Party (each, a </w:t>
      </w:r>
      <w:r>
        <w:rPr>
          <w:rFonts w:ascii="Arial" w:cs="Arial" w:eastAsia="Arial" w:hAnsi="Arial"/>
          <w:sz w:val="18"/>
          <w:szCs w:val="18"/>
          <w:i w:val="1"/>
          <w:iCs w:val="1"/>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and all liabilities, expenses, damages, or losses, including reasonable legal expense and attorneys’ fees (collectively,</w:t>
      </w:r>
    </w:p>
    <w:p>
      <w:pPr>
        <w:spacing w:after="0" w:line="3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- 40 -</w:t>
      </w:r>
    </w:p>
    <w:p>
      <w:pPr>
        <w:spacing w:after="0" w:line="12" w:lineRule="exact"/>
        <w:rPr>
          <w:sz w:val="20"/>
          <w:szCs w:val="20"/>
          <w:color w:val="auto"/>
        </w:rPr>
      </w:pPr>
    </w:p>
    <w:p>
      <w:pPr>
        <w:ind w:right="740" w:firstLine="8"/>
        <w:spacing w:after="0" w:line="226" w:lineRule="auto"/>
        <w:tabs>
          <w:tab w:leader="none" w:pos="2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8" w:name="page179"/>
    <w:bookmarkEnd w:id="178"/>
    <w:p>
      <w:pPr>
        <w:jc w:val="both"/>
        <w:ind w:left="880"/>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to which any Licensor Indemnitee may become subject as a result of any such Claim to the extent such Claim arises or results from: (a) the practice by Licensee or its Affiliates or Sublicensees under any license granted to it under Section 2.1 (Exclusive License Grant) or the use of any Licensor Materials provided to Licensee hereunder; (b) the Exploitation of the Licensor Materials, Licensed Compounds, or Licensed Products by or on behalf of Licensee, or its Affiliates, Subcontractors, or Sublicensees, including any Claim related to any product liability, personal injury, or death caused by any Licensed Compound or Licensed Product; (c) the breach by Licensee of any warranty, representation, covenant, or agreement made by Licensee in this Agreement;</w:t>
      </w:r>
    </w:p>
    <w:p>
      <w:pPr>
        <w:spacing w:after="0" w:line="2" w:lineRule="exact"/>
        <w:rPr>
          <w:sz w:val="20"/>
          <w:szCs w:val="20"/>
          <w:color w:val="auto"/>
        </w:rPr>
      </w:pPr>
    </w:p>
    <w:p>
      <w:pPr>
        <w:jc w:val="both"/>
        <w:ind w:left="880" w:hanging="8"/>
        <w:spacing w:after="0" w:line="256" w:lineRule="auto"/>
        <w:tabs>
          <w:tab w:leader="none" w:pos="1201"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fraud, negligence, or willful misconduct of Licensee, or its Affiliates, Subcontractors, or Sublicensees, or any officer, director, employee, agent, or representative thereof; or (e) the failure to comply with Applicable Law by or on behalf of Licensee under this Agreement or in connection with the Exploitation of any Licensed Compound or Licensed Product; except, with respect to each of subsections (a) through (e), to the extent such Losses arise directly or indirectly from the fraud, negligence, or willful misconduct of any Licensor Indemnitee or breach of this Agreement by Licensor.</w:t>
      </w:r>
    </w:p>
    <w:p>
      <w:pPr>
        <w:spacing w:after="0" w:line="177" w:lineRule="exact"/>
        <w:rPr>
          <w:sz w:val="20"/>
          <w:szCs w:val="20"/>
          <w:color w:val="auto"/>
        </w:rPr>
      </w:pPr>
    </w:p>
    <w:p>
      <w:pPr>
        <w:jc w:val="both"/>
        <w:ind w:left="880" w:hanging="863"/>
        <w:spacing w:after="0" w:line="255" w:lineRule="auto"/>
        <w:tabs>
          <w:tab w:leader="none" w:pos="86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9"/>
          <w:szCs w:val="19"/>
          <w:b w:val="1"/>
          <w:bCs w:val="1"/>
          <w:color w:val="auto"/>
        </w:rPr>
        <w:t>Indemnification by Licensor</w:t>
      </w:r>
      <w:r>
        <w:rPr>
          <w:rFonts w:ascii="Arial" w:cs="Arial" w:eastAsia="Arial" w:hAnsi="Arial"/>
          <w:sz w:val="19"/>
          <w:szCs w:val="19"/>
          <w:color w:val="auto"/>
        </w:rPr>
        <w:t>. Licensor hereby agrees to defend, indemnify, and hold harmless Licensee and its Affiliates and each</w:t>
      </w:r>
      <w:r>
        <w:rPr>
          <w:rFonts w:ascii="Arial" w:cs="Arial" w:eastAsia="Arial" w:hAnsi="Arial"/>
          <w:sz w:val="19"/>
          <w:szCs w:val="19"/>
          <w:b w:val="1"/>
          <w:bCs w:val="1"/>
          <w:color w:val="auto"/>
        </w:rPr>
        <w:t xml:space="preserve"> </w:t>
      </w:r>
      <w:r>
        <w:rPr>
          <w:rFonts w:ascii="Arial" w:cs="Arial" w:eastAsia="Arial" w:hAnsi="Arial"/>
          <w:sz w:val="19"/>
          <w:szCs w:val="19"/>
          <w:color w:val="auto"/>
        </w:rPr>
        <w:t>of their respective directors, officers, employees, agents, and representatives (each, a “</w:t>
      </w:r>
      <w:r>
        <w:rPr>
          <w:rFonts w:ascii="Arial" w:cs="Arial" w:eastAsia="Arial" w:hAnsi="Arial"/>
          <w:sz w:val="19"/>
          <w:szCs w:val="19"/>
          <w:b w:val="1"/>
          <w:bCs w:val="1"/>
          <w:color w:val="auto"/>
        </w:rPr>
        <w:t>Licensee Indemnitee</w:t>
      </w:r>
      <w:r>
        <w:rPr>
          <w:rFonts w:ascii="Arial" w:cs="Arial" w:eastAsia="Arial" w:hAnsi="Arial"/>
          <w:sz w:val="19"/>
          <w:szCs w:val="19"/>
          <w:color w:val="auto"/>
        </w:rPr>
        <w:t xml:space="preserve">”) from and against any and all Claims and all Losses to which any Licensee Indemnitee may incur, suffer, or be required to pay, or may become subject as a result of, or arising in connection with, any Claim to the extent such Claims arise or result from: (a) the breach by Licensor of any warranty, representation, covenant, or agreement made by Licensor in this Agreement; (b) the fraud, negligence, or willful misconduct of Licensor or its Affiliates, or any officer, director, employee, agent or representative thereof; (c) the Exploitation of the Licensed Compounds or Licensed Products following the effective date of termination of this Agreement by or on behalf of Licensor, or its Affiliates, subcontractors, or licensees (other than Licensee), including any Claim related to any product liability, personal injury, or death caused by any Licensed Compound or Licensed Product, </w:t>
      </w:r>
      <w:r>
        <w:rPr>
          <w:rFonts w:ascii="Arial" w:cs="Arial" w:eastAsia="Arial" w:hAnsi="Arial"/>
          <w:sz w:val="19"/>
          <w:szCs w:val="19"/>
          <w:i w:val="1"/>
          <w:iCs w:val="1"/>
          <w:color w:val="auto"/>
        </w:rPr>
        <w:t>except</w:t>
      </w:r>
      <w:r>
        <w:rPr>
          <w:rFonts w:ascii="Arial" w:cs="Arial" w:eastAsia="Arial" w:hAnsi="Arial"/>
          <w:sz w:val="19"/>
          <w:szCs w:val="19"/>
          <w:color w:val="auto"/>
        </w:rPr>
        <w:t xml:space="preserve"> with respect to any Losses arising from any failure of any Licensed Compound or Licensed Product manufactured or supplied to Licensor pursuant to Section 9.7.12 to meet applicable specifications, or any adulteration, misbranding, or other defect in any such Licensed Compounds or Licensed Products; or (d) the failure to comply with Applicable Law by or on behalf of Licensor under this Agreement or in connection with the Exploitation of any Licensed Compound or Licensed Product; except, with respect to each of subsections (a) through (d), to the extent such Losses result from the fraud, negligence, or willful misconduct of any Licensee Indemnitee or breach of this Agreement by Licensee.</w:t>
      </w:r>
    </w:p>
    <w:p>
      <w:pPr>
        <w:spacing w:after="0" w:line="17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6"/>
          <w:szCs w:val="16"/>
          <w:b w:val="1"/>
          <w:bCs w:val="1"/>
          <w:color w:val="auto"/>
        </w:rPr>
        <w:t>Indemnification Procedures</w:t>
      </w:r>
      <w:r>
        <w:rPr>
          <w:rFonts w:ascii="Arial" w:cs="Arial" w:eastAsia="Arial" w:hAnsi="Arial"/>
          <w:sz w:val="16"/>
          <w:szCs w:val="16"/>
          <w:color w:val="auto"/>
        </w:rPr>
        <w:t>.</w:t>
      </w:r>
    </w:p>
    <w:p>
      <w:pPr>
        <w:spacing w:after="0" w:line="216" w:lineRule="exact"/>
        <w:rPr>
          <w:sz w:val="20"/>
          <w:szCs w:val="20"/>
          <w:color w:val="auto"/>
        </w:rPr>
      </w:pPr>
    </w:p>
    <w:p>
      <w:pPr>
        <w:jc w:val="both"/>
        <w:ind w:left="1740" w:hanging="863"/>
        <w:spacing w:after="0" w:line="260" w:lineRule="auto"/>
        <w:tabs>
          <w:tab w:leader="none" w:pos="1720" w:val="left"/>
        </w:tabs>
        <w:rPr>
          <w:sz w:val="20"/>
          <w:szCs w:val="20"/>
          <w:color w:val="auto"/>
        </w:rPr>
      </w:pPr>
      <w:r>
        <w:rPr>
          <w:rFonts w:ascii="Arial" w:cs="Arial" w:eastAsia="Arial" w:hAnsi="Arial"/>
          <w:sz w:val="20"/>
          <w:szCs w:val="20"/>
          <w:color w:val="auto"/>
        </w:rPr>
        <w:t>11.3.1.</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Promptly after a Licensor Indemnitee or a Licensee Indemnitee (each, an “</w:t>
      </w:r>
      <w:r>
        <w:rPr>
          <w:rFonts w:ascii="Arial" w:cs="Arial" w:eastAsia="Arial" w:hAnsi="Arial"/>
          <w:sz w:val="19"/>
          <w:szCs w:val="19"/>
          <w:b w:val="1"/>
          <w:bCs w:val="1"/>
          <w:color w:val="auto"/>
        </w:rPr>
        <w:t>Indemnitee</w:t>
      </w:r>
      <w:r>
        <w:rPr>
          <w:rFonts w:ascii="Arial" w:cs="Arial" w:eastAsia="Arial" w:hAnsi="Arial"/>
          <w:sz w:val="19"/>
          <w:szCs w:val="19"/>
          <w:color w:val="auto"/>
        </w:rPr>
        <w:t>”) receives notice of a</w:t>
      </w:r>
      <w:r>
        <w:rPr>
          <w:rFonts w:ascii="Arial" w:cs="Arial" w:eastAsia="Arial" w:hAnsi="Arial"/>
          <w:sz w:val="19"/>
          <w:szCs w:val="19"/>
          <w:b w:val="1"/>
          <w:bCs w:val="1"/>
          <w:color w:val="auto"/>
        </w:rPr>
        <w:t xml:space="preserve"> </w:t>
      </w:r>
      <w:r>
        <w:rPr>
          <w:rFonts w:ascii="Arial" w:cs="Arial" w:eastAsia="Arial" w:hAnsi="Arial"/>
          <w:sz w:val="19"/>
          <w:szCs w:val="19"/>
          <w:color w:val="auto"/>
        </w:rPr>
        <w:t>pending or threatened Claim, such Indemnitee will give written notice of the Claim to the Party from whom the Indemnitee is entitled to receive indemnification pursuant to Section 11.1 (Indemnification by Licensee) or Section 11.2 (Indemnification by Licensor), as applicable (the “</w:t>
      </w:r>
      <w:r>
        <w:rPr>
          <w:rFonts w:ascii="Arial" w:cs="Arial" w:eastAsia="Arial" w:hAnsi="Arial"/>
          <w:sz w:val="19"/>
          <w:szCs w:val="19"/>
          <w:b w:val="1"/>
          <w:bCs w:val="1"/>
          <w:color w:val="auto"/>
        </w:rPr>
        <w:t>Indemnifying Party</w:t>
      </w:r>
      <w:r>
        <w:rPr>
          <w:rFonts w:ascii="Arial" w:cs="Arial" w:eastAsia="Arial" w:hAnsi="Arial"/>
          <w:sz w:val="19"/>
          <w:szCs w:val="19"/>
          <w:color w:val="auto"/>
        </w:rPr>
        <w:t>”). However, an Indemnitee’s delay in providing or failure to provide such notice will not relieve the Indemnifying Party of its indemnification obligations, except to the extent it can demonstrate prejudice due to the delay or lack of notice.</w:t>
      </w:r>
    </w:p>
    <w:p>
      <w:pPr>
        <w:spacing w:after="0" w:line="173" w:lineRule="exact"/>
        <w:rPr>
          <w:sz w:val="20"/>
          <w:szCs w:val="20"/>
          <w:color w:val="auto"/>
        </w:rPr>
      </w:pPr>
    </w:p>
    <w:p>
      <w:pPr>
        <w:jc w:val="both"/>
        <w:ind w:left="1740" w:hanging="863"/>
        <w:spacing w:after="0" w:line="253" w:lineRule="auto"/>
        <w:tabs>
          <w:tab w:leader="none" w:pos="1720" w:val="left"/>
        </w:tabs>
        <w:rPr>
          <w:sz w:val="20"/>
          <w:szCs w:val="20"/>
          <w:color w:val="auto"/>
        </w:rPr>
      </w:pPr>
      <w:r>
        <w:rPr>
          <w:rFonts w:ascii="Arial" w:cs="Arial" w:eastAsia="Arial" w:hAnsi="Arial"/>
          <w:sz w:val="20"/>
          <w:szCs w:val="20"/>
          <w:color w:val="auto"/>
        </w:rPr>
        <w:t>11.3.2.</w:t>
      </w:r>
      <w:r>
        <w:rPr>
          <w:sz w:val="20"/>
          <w:szCs w:val="20"/>
          <w:color w:val="auto"/>
        </w:rPr>
        <w:tab/>
      </w:r>
      <w:r>
        <w:rPr>
          <w:rFonts w:ascii="Arial" w:cs="Arial" w:eastAsia="Arial" w:hAnsi="Arial"/>
          <w:sz w:val="20"/>
          <w:szCs w:val="20"/>
          <w:b w:val="1"/>
          <w:bCs w:val="1"/>
          <w:color w:val="auto"/>
        </w:rPr>
        <w:t>Defense</w:t>
      </w:r>
      <w:r>
        <w:rPr>
          <w:rFonts w:ascii="Arial" w:cs="Arial" w:eastAsia="Arial" w:hAnsi="Arial"/>
          <w:sz w:val="20"/>
          <w:szCs w:val="20"/>
          <w:color w:val="auto"/>
        </w:rPr>
        <w:t>. Upon receipt of notice under Section 11.3.1 (Notice) from the Indemnitee, the Indemnifying Party will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duty to either compromise or defend, at its own expense and by counsel (reasonably satisfactory to Indemnitee), such Claim. The Indemnifying</w:t>
      </w:r>
    </w:p>
    <w:p>
      <w:pPr>
        <w:spacing w:after="0" w:line="200" w:lineRule="exact"/>
        <w:rPr>
          <w:sz w:val="20"/>
          <w:szCs w:val="20"/>
          <w:color w:val="auto"/>
        </w:rPr>
      </w:pP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- 41 -</w:t>
      </w:r>
    </w:p>
    <w:p>
      <w:pPr>
        <w:spacing w:after="0" w:line="12" w:lineRule="exact"/>
        <w:rPr>
          <w:sz w:val="20"/>
          <w:szCs w:val="20"/>
          <w:color w:val="auto"/>
        </w:rPr>
      </w:pPr>
    </w:p>
    <w:p>
      <w:pPr>
        <w:ind w:right="740" w:firstLine="8"/>
        <w:spacing w:after="0" w:line="226" w:lineRule="auto"/>
        <w:tabs>
          <w:tab w:leader="none" w:pos="2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9" w:name="page180"/>
    <w:bookmarkEnd w:id="179"/>
    <w:p>
      <w:pPr>
        <w:jc w:val="both"/>
        <w:ind w:left="1732"/>
        <w:spacing w:after="0" w:line="254" w:lineRule="auto"/>
        <w:rPr>
          <w:sz w:val="20"/>
          <w:szCs w:val="20"/>
          <w:color w:val="auto"/>
        </w:rPr>
      </w:pPr>
      <w:r>
        <w:rPr>
          <w:rFonts w:ascii="Arial" w:cs="Arial" w:eastAsia="Arial" w:hAnsi="Arial"/>
          <w:sz w:val="19"/>
          <w:szCs w:val="19"/>
          <w:color w:val="auto"/>
        </w:rPr>
        <w:t xml:space="preserve">Party will promptly (and in any event not more than [*] after receipt of the Indemnitee’s original notice) notify the Indemnitee in writing that it acknowledges its obligation to indemnify the Indemnitee with respect to the Claim pursuant to this Article 11 (Indemnification; Insurance) and of its intention either to compromise or defend such Claim. Once the Indemnifying Party gives such notice to the Indemnitee, (a) the Indemnifying Party will have the right to control the defense and settlement of such Claim, subject to this Section 11.3 (Indemnification Procedures) and (b) the Indemnifying Party is not liable to the Indemnitee for the fees of other counsel or any other expenses subsequently incurred by the Indemnitee in connection with such defense, other than the Indemnitee’s reasonable expenses of investigation and cooperation. Any Indemnitee will be entitled to participate in, but not control, the defense of any Claim and to retain counsel of its choice for such purpose;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retention will be at the Indemnitee’s own cost and expense unless (i) the Indemnifying Party has failed to assume the defense and retain counsel in accordance with this Section 11.3.2 (Defense) (in which case the indemnified Party will control the defense at the Indemnifying Party’s cost and expense), or (ii) the interests of the Indemnitee and the Indemnifying Party with respect to such Claim are sufficiently adverse to prohibit the representation by the same counsel of both Parties under any legal requirement, ethical rules, or equitable principles.</w:t>
      </w:r>
    </w:p>
    <w:p>
      <w:pPr>
        <w:spacing w:after="0" w:line="187" w:lineRule="exact"/>
        <w:rPr>
          <w:sz w:val="20"/>
          <w:szCs w:val="20"/>
          <w:color w:val="auto"/>
        </w:rPr>
      </w:pPr>
    </w:p>
    <w:p>
      <w:pPr>
        <w:jc w:val="both"/>
        <w:ind w:left="1732" w:hanging="863"/>
        <w:spacing w:after="0" w:line="248" w:lineRule="auto"/>
        <w:tabs>
          <w:tab w:leader="none" w:pos="1712" w:val="left"/>
        </w:tabs>
        <w:rPr>
          <w:sz w:val="20"/>
          <w:szCs w:val="20"/>
          <w:color w:val="auto"/>
        </w:rPr>
      </w:pPr>
      <w:r>
        <w:rPr>
          <w:rFonts w:ascii="Arial" w:cs="Arial" w:eastAsia="Arial" w:hAnsi="Arial"/>
          <w:sz w:val="20"/>
          <w:szCs w:val="20"/>
          <w:color w:val="auto"/>
        </w:rPr>
        <w:t>11.3.3.</w:t>
      </w:r>
      <w:r>
        <w:rPr>
          <w:sz w:val="20"/>
          <w:szCs w:val="20"/>
          <w:color w:val="auto"/>
        </w:rPr>
        <w:tab/>
      </w:r>
      <w:r>
        <w:rPr>
          <w:rFonts w:ascii="Arial" w:cs="Arial" w:eastAsia="Arial" w:hAnsi="Arial"/>
          <w:sz w:val="20"/>
          <w:szCs w:val="20"/>
          <w:b w:val="1"/>
          <w:bCs w:val="1"/>
          <w:color w:val="auto"/>
        </w:rPr>
        <w:t>Cooperation</w:t>
      </w:r>
      <w:r>
        <w:rPr>
          <w:rFonts w:ascii="Arial" w:cs="Arial" w:eastAsia="Arial" w:hAnsi="Arial"/>
          <w:sz w:val="20"/>
          <w:szCs w:val="20"/>
          <w:color w:val="auto"/>
        </w:rPr>
        <w:t>. The Indemnitee will cooperate fully with the Indemnifying Party and its legal representatives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investigation and defense of any Claim. The Indemnifying Party will keep the Indemnitee informed on a reasonable and timely basis as to the status of such Claim (to the extent the Indemnitee is not participating in the defense of such Claim) and conduct the defense of such Claim in a prudent manner.</w:t>
      </w:r>
    </w:p>
    <w:p>
      <w:pPr>
        <w:spacing w:after="0" w:line="184" w:lineRule="exact"/>
        <w:rPr>
          <w:sz w:val="20"/>
          <w:szCs w:val="20"/>
          <w:color w:val="auto"/>
        </w:rPr>
      </w:pPr>
    </w:p>
    <w:p>
      <w:pPr>
        <w:jc w:val="both"/>
        <w:ind w:left="872" w:hanging="863"/>
        <w:spacing w:after="0" w:line="274" w:lineRule="auto"/>
        <w:tabs>
          <w:tab w:leader="none" w:pos="852"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8"/>
          <w:szCs w:val="18"/>
          <w:b w:val="1"/>
          <w:bCs w:val="1"/>
          <w:color w:val="auto"/>
        </w:rPr>
        <w:t>Settlement</w:t>
      </w:r>
      <w:r>
        <w:rPr>
          <w:rFonts w:ascii="Arial" w:cs="Arial" w:eastAsia="Arial" w:hAnsi="Arial"/>
          <w:sz w:val="18"/>
          <w:szCs w:val="18"/>
          <w:color w:val="auto"/>
        </w:rPr>
        <w:t>. If an Indemnifying Party assumes the defense of a Claim, then no compromise or settlement of such Claim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effected by the Indemnifying Party without the Indemnitee’s written consent (which consent will not be unreasonably withheld), unless: (a) there is no finding or admission of any violation of law or any violation of the rights of any person and no effect on any other claims that may be made against the Indemnitee; (b) the sole relief provided is monetary damages that are paid in full by the Indemnifying Party; and (c) the Indemnitee’s rights under this Agreement are not adversely affected. If the Indemnifying Party fails to assume defense of a Claim within a reasonable time, then the Indemnitee may settle such Claim on such terms as it deems appropriate with the consent of the Indemnifying Party (which consent will not be unreasonably withheld), and the Indemnifying Party will be obligated to indemnify the Indemnitee for such settlement as provided in this Article 11 (Indemnification; Insurance).</w:t>
      </w:r>
    </w:p>
    <w:p>
      <w:pPr>
        <w:spacing w:after="0" w:line="162" w:lineRule="exact"/>
        <w:rPr>
          <w:sz w:val="20"/>
          <w:szCs w:val="20"/>
          <w:color w:val="auto"/>
        </w:rPr>
      </w:pPr>
    </w:p>
    <w:p>
      <w:pPr>
        <w:jc w:val="both"/>
        <w:ind w:left="872" w:hanging="863"/>
        <w:spacing w:after="0" w:line="275" w:lineRule="auto"/>
        <w:tabs>
          <w:tab w:leader="none" w:pos="852"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8"/>
          <w:szCs w:val="18"/>
          <w:b w:val="1"/>
          <w:bCs w:val="1"/>
          <w:color w:val="auto"/>
        </w:rPr>
        <w:t>Insurance</w:t>
      </w:r>
      <w:r>
        <w:rPr>
          <w:rFonts w:ascii="Arial" w:cs="Arial" w:eastAsia="Arial" w:hAnsi="Arial"/>
          <w:sz w:val="18"/>
          <w:szCs w:val="18"/>
          <w:color w:val="auto"/>
        </w:rPr>
        <w:t>. Licensee, at its own expense, will maintain liability insurance in an amount consistent with industry standards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but in no event will such insurance be in an amount less than $[*] per occurrence and annual aggregate during the Term. In addition, during the term of Commercialization of any Licensed Product and for a period of at least 5 years thereafter, Licensee will maintain product liability insurance in an amount not less than $[*] per occurrence and annual aggregate. Licensee will maintain clinical trial insurance in compliance with all Applicable Law pertaining to the jurisdictions in which such Clinical Trials are conducted. Licensee will provide a certificate of insurance evidencing such coverage to Licensor on the Effective Date, and will maintain Licensor as an additional insured. Licensee will notify Licensor 30 days in advance of cancelation of any such insurance.</w:t>
      </w:r>
    </w:p>
    <w:p>
      <w:pPr>
        <w:spacing w:after="0" w:line="388"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- 42 -</w:t>
      </w:r>
    </w:p>
    <w:p>
      <w:pPr>
        <w:spacing w:after="0" w:line="12" w:lineRule="exact"/>
        <w:rPr>
          <w:sz w:val="20"/>
          <w:szCs w:val="20"/>
          <w:color w:val="auto"/>
        </w:rPr>
      </w:pPr>
    </w:p>
    <w:p>
      <w:pPr>
        <w:ind w:left="-8" w:right="740" w:firstLine="8"/>
        <w:spacing w:after="0" w:line="226" w:lineRule="auto"/>
        <w:tabs>
          <w:tab w:leader="none" w:pos="2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80" w:name="page181"/>
    <w:bookmarkEnd w:id="180"/>
    <w:p>
      <w:pPr>
        <w:ind w:left="20"/>
        <w:spacing w:after="0"/>
        <w:tabs>
          <w:tab w:leader="none" w:pos="5280" w:val="left"/>
        </w:tabs>
        <w:rPr>
          <w:sz w:val="20"/>
          <w:szCs w:val="20"/>
          <w:color w:val="auto"/>
        </w:rPr>
      </w:pPr>
      <w:r>
        <w:rPr>
          <w:rFonts w:ascii="Arial" w:cs="Arial" w:eastAsia="Arial" w:hAnsi="Arial"/>
          <w:sz w:val="20"/>
          <w:szCs w:val="20"/>
          <w:b w:val="1"/>
          <w:bCs w:val="1"/>
          <w:color w:val="auto"/>
        </w:rPr>
        <w:t>Article 12.</w:t>
      </w:r>
      <w:r>
        <w:rPr>
          <w:sz w:val="20"/>
          <w:szCs w:val="20"/>
          <w:color w:val="auto"/>
        </w:rPr>
        <w:tab/>
      </w:r>
      <w:r>
        <w:rPr>
          <w:rFonts w:ascii="Arial" w:cs="Arial" w:eastAsia="Arial" w:hAnsi="Arial"/>
          <w:sz w:val="19"/>
          <w:szCs w:val="19"/>
          <w:b w:val="1"/>
          <w:bCs w:val="1"/>
          <w:color w:val="auto"/>
        </w:rPr>
        <w:t>MISCELLANEOUS</w:t>
      </w:r>
    </w:p>
    <w:p>
      <w:pPr>
        <w:spacing w:after="0" w:line="216" w:lineRule="exact"/>
        <w:rPr>
          <w:sz w:val="20"/>
          <w:szCs w:val="20"/>
          <w:color w:val="auto"/>
        </w:rPr>
      </w:pPr>
    </w:p>
    <w:p>
      <w:pPr>
        <w:jc w:val="both"/>
        <w:ind w:left="880" w:hanging="863"/>
        <w:spacing w:after="0" w:line="248" w:lineRule="auto"/>
        <w:tabs>
          <w:tab w:leader="none" w:pos="86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20"/>
          <w:szCs w:val="20"/>
          <w:b w:val="1"/>
          <w:bCs w:val="1"/>
          <w:color w:val="auto"/>
        </w:rPr>
        <w:t>Notice</w:t>
      </w:r>
      <w:r>
        <w:rPr>
          <w:rFonts w:ascii="Arial" w:cs="Arial" w:eastAsia="Arial" w:hAnsi="Arial"/>
          <w:sz w:val="20"/>
          <w:szCs w:val="20"/>
          <w:color w:val="auto"/>
        </w:rPr>
        <w:t>. Any notice, request, or other communication permitted or required under this Agreement will be in writing, will refer</w:t>
      </w:r>
      <w:r>
        <w:rPr>
          <w:rFonts w:ascii="Arial" w:cs="Arial" w:eastAsia="Arial" w:hAnsi="Arial"/>
          <w:sz w:val="20"/>
          <w:szCs w:val="20"/>
          <w:b w:val="1"/>
          <w:bCs w:val="1"/>
          <w:color w:val="auto"/>
        </w:rPr>
        <w:t xml:space="preserve"> </w:t>
      </w:r>
      <w:r>
        <w:rPr>
          <w:rFonts w:ascii="Arial" w:cs="Arial" w:eastAsia="Arial" w:hAnsi="Arial"/>
          <w:sz w:val="20"/>
          <w:szCs w:val="20"/>
          <w:color w:val="auto"/>
        </w:rPr>
        <w:t>specifically to this Agreement and will be hand delivered or sent by a recognized overnight delivery service, expenses prepaid, or by facsimile (with transmission confirmed), to the following addresses or to such other addresses as a Party may designate by written notice in accordance with this Section 12.1 (Notice):</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Licensor:</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Vitae Pharmaceuticals, Inc.</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Morris Corporate Center III</w:t>
      </w:r>
    </w:p>
    <w:p>
      <w:pPr>
        <w:ind w:left="1760"/>
        <w:spacing w:after="0"/>
        <w:rPr>
          <w:sz w:val="20"/>
          <w:szCs w:val="20"/>
          <w:color w:val="auto"/>
        </w:rPr>
      </w:pPr>
      <w:r>
        <w:rPr>
          <w:rFonts w:ascii="Arial" w:cs="Arial" w:eastAsia="Arial" w:hAnsi="Arial"/>
          <w:sz w:val="20"/>
          <w:szCs w:val="20"/>
          <w:color w:val="auto"/>
        </w:rPr>
        <w:t>400 Interpace Parkway</w:t>
      </w:r>
    </w:p>
    <w:p>
      <w:pPr>
        <w:ind w:left="1760"/>
        <w:spacing w:after="0"/>
        <w:rPr>
          <w:sz w:val="20"/>
          <w:szCs w:val="20"/>
          <w:color w:val="auto"/>
        </w:rPr>
      </w:pPr>
      <w:r>
        <w:rPr>
          <w:rFonts w:ascii="Arial" w:cs="Arial" w:eastAsia="Arial" w:hAnsi="Arial"/>
          <w:sz w:val="20"/>
          <w:szCs w:val="20"/>
          <w:color w:val="auto"/>
        </w:rPr>
        <w:t>Parsippany, NJ 07054</w:t>
      </w:r>
    </w:p>
    <w:p>
      <w:pPr>
        <w:ind w:left="1760"/>
        <w:spacing w:after="0"/>
        <w:rPr>
          <w:sz w:val="20"/>
          <w:szCs w:val="20"/>
          <w:color w:val="auto"/>
        </w:rPr>
      </w:pPr>
      <w:r>
        <w:rPr>
          <w:rFonts w:ascii="Arial" w:cs="Arial" w:eastAsia="Arial" w:hAnsi="Arial"/>
          <w:sz w:val="20"/>
          <w:szCs w:val="20"/>
          <w:color w:val="auto"/>
        </w:rPr>
        <w:t>Attention: General Counsel</w:t>
      </w:r>
    </w:p>
    <w:p>
      <w:pPr>
        <w:ind w:left="1760"/>
        <w:spacing w:after="0"/>
        <w:rPr>
          <w:sz w:val="20"/>
          <w:szCs w:val="20"/>
          <w:color w:val="auto"/>
        </w:rPr>
      </w:pPr>
      <w:r>
        <w:rPr>
          <w:rFonts w:ascii="Arial" w:cs="Arial" w:eastAsia="Arial" w:hAnsi="Arial"/>
          <w:sz w:val="20"/>
          <w:szCs w:val="20"/>
          <w:color w:val="auto"/>
        </w:rPr>
        <w:t>Facsimile: (862) 261-7923</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Copy to:</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Allergan, Inc.</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Morris Corporate Center III</w:t>
      </w:r>
    </w:p>
    <w:p>
      <w:pPr>
        <w:ind w:left="1760"/>
        <w:spacing w:after="0"/>
        <w:rPr>
          <w:sz w:val="20"/>
          <w:szCs w:val="20"/>
          <w:color w:val="auto"/>
        </w:rPr>
      </w:pPr>
      <w:r>
        <w:rPr>
          <w:rFonts w:ascii="Arial" w:cs="Arial" w:eastAsia="Arial" w:hAnsi="Arial"/>
          <w:sz w:val="20"/>
          <w:szCs w:val="20"/>
          <w:color w:val="auto"/>
        </w:rPr>
        <w:t>400 Interpace Parkway</w:t>
      </w:r>
    </w:p>
    <w:p>
      <w:pPr>
        <w:ind w:left="1760"/>
        <w:spacing w:after="0"/>
        <w:rPr>
          <w:sz w:val="20"/>
          <w:szCs w:val="20"/>
          <w:color w:val="auto"/>
        </w:rPr>
      </w:pPr>
      <w:r>
        <w:rPr>
          <w:rFonts w:ascii="Arial" w:cs="Arial" w:eastAsia="Arial" w:hAnsi="Arial"/>
          <w:sz w:val="20"/>
          <w:szCs w:val="20"/>
          <w:color w:val="auto"/>
        </w:rPr>
        <w:t>Parsippany, NJ 07054</w:t>
      </w:r>
    </w:p>
    <w:p>
      <w:pPr>
        <w:ind w:left="1760"/>
        <w:spacing w:after="0"/>
        <w:rPr>
          <w:sz w:val="20"/>
          <w:szCs w:val="20"/>
          <w:color w:val="auto"/>
        </w:rPr>
      </w:pPr>
      <w:r>
        <w:rPr>
          <w:rFonts w:ascii="Arial" w:cs="Arial" w:eastAsia="Arial" w:hAnsi="Arial"/>
          <w:sz w:val="20"/>
          <w:szCs w:val="20"/>
          <w:color w:val="auto"/>
        </w:rPr>
        <w:t>Attention: General Counsel</w:t>
      </w:r>
    </w:p>
    <w:p>
      <w:pPr>
        <w:ind w:left="1760"/>
        <w:spacing w:after="0"/>
        <w:rPr>
          <w:sz w:val="20"/>
          <w:szCs w:val="20"/>
          <w:color w:val="auto"/>
        </w:rPr>
      </w:pPr>
      <w:r>
        <w:rPr>
          <w:rFonts w:ascii="Arial" w:cs="Arial" w:eastAsia="Arial" w:hAnsi="Arial"/>
          <w:sz w:val="20"/>
          <w:szCs w:val="20"/>
          <w:color w:val="auto"/>
        </w:rPr>
        <w:t>Facsimile: (862) 261-7923</w:t>
      </w:r>
    </w:p>
    <w:p>
      <w:pPr>
        <w:spacing w:after="0" w:line="200" w:lineRule="exact"/>
        <w:rPr>
          <w:sz w:val="20"/>
          <w:szCs w:val="20"/>
          <w:color w:val="auto"/>
        </w:rPr>
      </w:pPr>
    </w:p>
    <w:p>
      <w:pPr>
        <w:jc w:val="center"/>
        <w:ind w:right="6300"/>
        <w:spacing w:after="0"/>
        <w:rPr>
          <w:sz w:val="20"/>
          <w:szCs w:val="20"/>
          <w:color w:val="auto"/>
        </w:rPr>
      </w:pPr>
      <w:r>
        <w:rPr>
          <w:rFonts w:ascii="Arial" w:cs="Arial" w:eastAsia="Arial" w:hAnsi="Arial"/>
          <w:sz w:val="20"/>
          <w:szCs w:val="20"/>
          <w:color w:val="auto"/>
        </w:rPr>
        <w:t>Copy to (which will not constitute notice):</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Ropes &amp; Gray LLP</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800 Boylston Street; Prudential Tower</w:t>
      </w:r>
    </w:p>
    <w:p>
      <w:pPr>
        <w:ind w:left="1760"/>
        <w:spacing w:after="0"/>
        <w:rPr>
          <w:sz w:val="20"/>
          <w:szCs w:val="20"/>
          <w:color w:val="auto"/>
        </w:rPr>
      </w:pPr>
      <w:r>
        <w:rPr>
          <w:rFonts w:ascii="Arial" w:cs="Arial" w:eastAsia="Arial" w:hAnsi="Arial"/>
          <w:sz w:val="20"/>
          <w:szCs w:val="20"/>
          <w:color w:val="auto"/>
        </w:rPr>
        <w:t>Boston, MA 02199</w:t>
      </w:r>
    </w:p>
    <w:p>
      <w:pPr>
        <w:ind w:left="1760"/>
        <w:spacing w:after="0"/>
        <w:rPr>
          <w:sz w:val="20"/>
          <w:szCs w:val="20"/>
          <w:color w:val="auto"/>
        </w:rPr>
      </w:pPr>
      <w:r>
        <w:rPr>
          <w:rFonts w:ascii="Arial" w:cs="Arial" w:eastAsia="Arial" w:hAnsi="Arial"/>
          <w:sz w:val="20"/>
          <w:szCs w:val="20"/>
          <w:color w:val="auto"/>
        </w:rPr>
        <w:t>Attention: Marc A. Rubenstein</w:t>
      </w:r>
    </w:p>
    <w:p>
      <w:pPr>
        <w:ind w:left="1760"/>
        <w:spacing w:after="0"/>
        <w:rPr>
          <w:sz w:val="20"/>
          <w:szCs w:val="20"/>
          <w:color w:val="auto"/>
        </w:rPr>
      </w:pPr>
      <w:r>
        <w:rPr>
          <w:rFonts w:ascii="Arial" w:cs="Arial" w:eastAsia="Arial" w:hAnsi="Arial"/>
          <w:sz w:val="20"/>
          <w:szCs w:val="20"/>
          <w:color w:val="auto"/>
        </w:rPr>
        <w:t>Facsimile: (617) 235-0706</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Licensee:</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Syndax Pharmaceuticals, Inc.</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35 Gatehouse Drive, Building D, Floor 3</w:t>
      </w:r>
    </w:p>
    <w:p>
      <w:pPr>
        <w:ind w:left="1760"/>
        <w:spacing w:after="0"/>
        <w:rPr>
          <w:sz w:val="20"/>
          <w:szCs w:val="20"/>
          <w:color w:val="auto"/>
        </w:rPr>
      </w:pPr>
      <w:r>
        <w:rPr>
          <w:rFonts w:ascii="Arial" w:cs="Arial" w:eastAsia="Arial" w:hAnsi="Arial"/>
          <w:sz w:val="20"/>
          <w:szCs w:val="20"/>
          <w:color w:val="auto"/>
        </w:rPr>
        <w:t>Waltham, MA 02451</w:t>
      </w:r>
    </w:p>
    <w:p>
      <w:pPr>
        <w:ind w:left="1760"/>
        <w:spacing w:after="0"/>
        <w:rPr>
          <w:sz w:val="20"/>
          <w:szCs w:val="20"/>
          <w:color w:val="auto"/>
        </w:rPr>
      </w:pPr>
      <w:r>
        <w:rPr>
          <w:rFonts w:ascii="Arial" w:cs="Arial" w:eastAsia="Arial" w:hAnsi="Arial"/>
          <w:sz w:val="20"/>
          <w:szCs w:val="20"/>
          <w:color w:val="auto"/>
        </w:rPr>
        <w:t>Attention: President</w:t>
      </w:r>
    </w:p>
    <w:p>
      <w:pPr>
        <w:ind w:left="1760"/>
        <w:spacing w:after="0"/>
        <w:rPr>
          <w:sz w:val="20"/>
          <w:szCs w:val="20"/>
          <w:color w:val="auto"/>
        </w:rPr>
      </w:pPr>
      <w:r>
        <w:rPr>
          <w:rFonts w:ascii="Arial" w:cs="Arial" w:eastAsia="Arial" w:hAnsi="Arial"/>
          <w:sz w:val="20"/>
          <w:szCs w:val="20"/>
          <w:color w:val="auto"/>
        </w:rPr>
        <w:t>Facsimile: (781) 419-1420</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Copy to:</w:t>
      </w:r>
    </w:p>
    <w:p>
      <w:pPr>
        <w:spacing w:after="0" w:line="216"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DLA Piper LLP (US)</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2000 University Avenue</w:t>
      </w:r>
    </w:p>
    <w:p>
      <w:pPr>
        <w:ind w:left="1760"/>
        <w:spacing w:after="0"/>
        <w:rPr>
          <w:sz w:val="20"/>
          <w:szCs w:val="20"/>
          <w:color w:val="auto"/>
        </w:rPr>
      </w:pPr>
      <w:r>
        <w:rPr>
          <w:rFonts w:ascii="Arial" w:cs="Arial" w:eastAsia="Arial" w:hAnsi="Arial"/>
          <w:sz w:val="20"/>
          <w:szCs w:val="20"/>
          <w:color w:val="auto"/>
        </w:rPr>
        <w:t>East Palo Alto, CA 94303</w:t>
      </w:r>
    </w:p>
    <w:p>
      <w:pPr>
        <w:ind w:left="1760"/>
        <w:spacing w:after="0"/>
        <w:rPr>
          <w:sz w:val="20"/>
          <w:szCs w:val="20"/>
          <w:color w:val="auto"/>
        </w:rPr>
      </w:pPr>
      <w:r>
        <w:rPr>
          <w:rFonts w:ascii="Arial" w:cs="Arial" w:eastAsia="Arial" w:hAnsi="Arial"/>
          <w:sz w:val="20"/>
          <w:szCs w:val="20"/>
          <w:color w:val="auto"/>
        </w:rPr>
        <w:t>Attention: Shane R. Albright</w:t>
      </w:r>
    </w:p>
    <w:p>
      <w:pPr>
        <w:ind w:left="1760"/>
        <w:spacing w:after="0"/>
        <w:rPr>
          <w:sz w:val="20"/>
          <w:szCs w:val="20"/>
          <w:color w:val="auto"/>
        </w:rPr>
      </w:pPr>
      <w:r>
        <w:rPr>
          <w:rFonts w:ascii="Arial" w:cs="Arial" w:eastAsia="Arial" w:hAnsi="Arial"/>
          <w:sz w:val="20"/>
          <w:szCs w:val="20"/>
          <w:color w:val="auto"/>
        </w:rPr>
        <w:t>Facsimile: (650) 687-9295</w:t>
      </w: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- 43 -</w:t>
      </w:r>
    </w:p>
    <w:p>
      <w:pPr>
        <w:spacing w:after="0" w:line="12" w:lineRule="exact"/>
        <w:rPr>
          <w:sz w:val="20"/>
          <w:szCs w:val="20"/>
          <w:color w:val="auto"/>
        </w:rPr>
      </w:pPr>
    </w:p>
    <w:p>
      <w:pPr>
        <w:ind w:right="740" w:firstLine="8"/>
        <w:spacing w:after="0" w:line="226"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1" w:name="page182"/>
    <w:bookmarkEnd w:id="181"/>
    <w:p>
      <w:pPr>
        <w:jc w:val="both"/>
        <w:ind w:left="880" w:hanging="863"/>
        <w:spacing w:after="0" w:line="280" w:lineRule="auto"/>
        <w:tabs>
          <w:tab w:leader="none" w:pos="86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8"/>
          <w:szCs w:val="18"/>
          <w:b w:val="1"/>
          <w:bCs w:val="1"/>
          <w:color w:val="auto"/>
        </w:rPr>
        <w:t>Non-Solicit</w:t>
      </w:r>
      <w:r>
        <w:rPr>
          <w:rFonts w:ascii="Arial" w:cs="Arial" w:eastAsia="Arial" w:hAnsi="Arial"/>
          <w:sz w:val="18"/>
          <w:szCs w:val="18"/>
          <w:color w:val="auto"/>
        </w:rPr>
        <w:t>. Licensee, without the prior written consent of Licensor, during the Term, will not solicit, induce, encourage, or</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participate in soliciting, inducing, or encouraging any employee of Licensor, or any of its Affiliates, in each case who have been [*] in the [*] prior to [*], to terminate his or her relationship with Licensor or Licensor’s Affiliate and accept employment with Licensee. An offer of employment to an employee of Licensor by Licensee which results directly from unsolicited responses to general advertisements for employment or from an unsolicited inquiry by such employee will not be a violation of this provision.</w:t>
      </w:r>
    </w:p>
    <w:p>
      <w:pPr>
        <w:spacing w:after="0" w:line="157" w:lineRule="exact"/>
        <w:rPr>
          <w:sz w:val="20"/>
          <w:szCs w:val="20"/>
          <w:color w:val="auto"/>
        </w:rPr>
      </w:pPr>
    </w:p>
    <w:p>
      <w:pPr>
        <w:jc w:val="both"/>
        <w:ind w:left="880" w:hanging="863"/>
        <w:spacing w:after="0" w:line="244" w:lineRule="auto"/>
        <w:tabs>
          <w:tab w:leader="none" w:pos="86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20"/>
          <w:szCs w:val="20"/>
          <w:b w:val="1"/>
          <w:bCs w:val="1"/>
          <w:color w:val="auto"/>
        </w:rPr>
        <w:t>Designation of Affiliates</w:t>
      </w:r>
      <w:r>
        <w:rPr>
          <w:rFonts w:ascii="Arial" w:cs="Arial" w:eastAsia="Arial" w:hAnsi="Arial"/>
          <w:sz w:val="20"/>
          <w:szCs w:val="20"/>
          <w:color w:val="auto"/>
        </w:rPr>
        <w:t>. Subject to Section 2.2 (Sublicense Rights), each Party may discharge any obligations and exercise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rights hereunder through delegation of its obligations or rights to any of its Affiliates, but only for so long as such Person remains an Affiliate of such Party for purposes of this Agreement. Each Party hereby guarantees the performance by its Affiliates of such Party’s obligations under this Agreement, and will cause its Affiliates to comply with the provisions of this Agreement in connection with such performance. Any breach by a Party’s Affiliate of any of such Party’s obligations under this Agreement will be a breach by such Party, and the other Party may proceed directly against such Party without any obligation to first proceed against such Party’s Affiliate.</w:t>
      </w:r>
    </w:p>
    <w:p>
      <w:pPr>
        <w:spacing w:after="0" w:line="187" w:lineRule="exact"/>
        <w:rPr>
          <w:sz w:val="20"/>
          <w:szCs w:val="20"/>
          <w:color w:val="auto"/>
        </w:rPr>
      </w:pPr>
    </w:p>
    <w:p>
      <w:pPr>
        <w:jc w:val="both"/>
        <w:ind w:left="880" w:hanging="863"/>
        <w:spacing w:after="0" w:line="256" w:lineRule="auto"/>
        <w:tabs>
          <w:tab w:leader="none" w:pos="86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9"/>
          <w:szCs w:val="19"/>
          <w:b w:val="1"/>
          <w:bCs w:val="1"/>
          <w:color w:val="auto"/>
        </w:rPr>
        <w:t>Assignment</w:t>
      </w:r>
      <w:r>
        <w:rPr>
          <w:rFonts w:ascii="Arial" w:cs="Arial" w:eastAsia="Arial" w:hAnsi="Arial"/>
          <w:sz w:val="19"/>
          <w:szCs w:val="19"/>
          <w:color w:val="auto"/>
        </w:rPr>
        <w:t>. Neither Party may assign or transfer this Agreement or any rights or obligations hereunder without the prior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consent of the other Party (such consent not to be unreasonably withheld), except that: (a) each Party may assign its rights and obligations under this Agreement in whole or in part to one or more of its Affiliates without the consent of, but upon written notice to, the other Party; (b) each Party may assign this Agreement in connection with the sale or other transfer of all or substantially all of the assets of the business to which this Agreement relates (whether such transaction occurs by way of a sale of assets, merger, consolidation or similar transaction); and (c) Licensor may assign its right to receive payments under this Agreement as part of a royalty factoring transaction. Any successor or assignee of rights or obligations permitted hereunder will, in writing to the other Party, expressly assume performance of such rights or obligations. Any permitted assignment will be binding on the successors of the assigning Party. Any assignment or attempted assignment by either Party in violation of the terms of this Section 12.4 (Assignment) will be null, void, and of no legal effect.</w:t>
      </w:r>
    </w:p>
    <w:p>
      <w:pPr>
        <w:spacing w:after="0" w:line="181" w:lineRule="exact"/>
        <w:rPr>
          <w:sz w:val="20"/>
          <w:szCs w:val="20"/>
          <w:color w:val="auto"/>
        </w:rPr>
      </w:pPr>
    </w:p>
    <w:p>
      <w:pPr>
        <w:jc w:val="both"/>
        <w:ind w:left="880" w:hanging="863"/>
        <w:spacing w:after="0" w:line="242" w:lineRule="auto"/>
        <w:tabs>
          <w:tab w:leader="none" w:pos="86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20"/>
          <w:szCs w:val="20"/>
          <w:b w:val="1"/>
          <w:bCs w:val="1"/>
          <w:color w:val="auto"/>
        </w:rPr>
        <w:t>Limitation of Liability</w:t>
      </w:r>
      <w:r>
        <w:rPr>
          <w:rFonts w:ascii="Arial" w:cs="Arial" w:eastAsia="Arial" w:hAnsi="Arial"/>
          <w:sz w:val="20"/>
          <w:szCs w:val="20"/>
          <w:color w:val="auto"/>
        </w:rPr>
        <w:t>. EXCEPT WITH RESPECT TO (a) Article 7 (CONFIDENTIALITY), (b) A CLAIM FOR GROSS</w:t>
      </w:r>
      <w:r>
        <w:rPr>
          <w:rFonts w:ascii="Arial" w:cs="Arial" w:eastAsia="Arial" w:hAnsi="Arial"/>
          <w:sz w:val="20"/>
          <w:szCs w:val="20"/>
          <w:b w:val="1"/>
          <w:bCs w:val="1"/>
          <w:color w:val="auto"/>
        </w:rPr>
        <w:t xml:space="preserve"> </w:t>
      </w:r>
      <w:r>
        <w:rPr>
          <w:rFonts w:ascii="Arial" w:cs="Arial" w:eastAsia="Arial" w:hAnsi="Arial"/>
          <w:sz w:val="20"/>
          <w:szCs w:val="20"/>
          <w:color w:val="auto"/>
        </w:rPr>
        <w:t>NEGLIGENCE, FRAUD, OR WILLFUL MISCONDUCT, (c) A CLAIM BY EITHER PARTY THAT THE OTHER PARTY IS INFRINGING ANY INTELLECTUAL PROPERTY RIGHTS OF THE CLAIMING PARTY THAT ARE LICENSED TO SUCH OTHER PARTY UNDER THIS AGREEMENT AS A RESULT OF SUCH OTHER PARTY’S OR ANY OF ITS AFFILIATES EXPLOITING SUCH INTELLECTUAL PROPERTY RIGHTS OUTSIDE THE SCOPE OF THE LICENSE GRANTED IN THIS AGREEMENT, OR (d) A CLAIM FOR INDEMNIFICATION PURSUANT TO Article 11 (INDEMNIFICATION; INSURANCE), NEITHER PARTY NOR ANY OF ITS AFFILIATES WILL BE LIABLE UNDER ANY CONTRACT, WARRANTY, NEGLIGENCE, TORT, STRICT LIABILITY, OR OTHER LEGAL OR EQUITABLE THEORY FOR ANY LOST PROFITS, SPECIAL, INDIRECT, INCIDENTAL, PUNITIVE, OR CONSEQUENTIAL DAMAGES ARISING OUT OF OR IN CONNECTION WITH THIS AGREEMENT OR ITS SUBJECT MATTER.</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20"/>
          <w:szCs w:val="20"/>
          <w:b w:val="1"/>
          <w:bCs w:val="1"/>
          <w:color w:val="auto"/>
        </w:rPr>
        <w:t>[*]</w:t>
      </w:r>
    </w:p>
    <w:p>
      <w:pPr>
        <w:spacing w:after="0" w:line="216" w:lineRule="exact"/>
        <w:rPr>
          <w:sz w:val="20"/>
          <w:szCs w:val="20"/>
          <w:color w:val="auto"/>
        </w:rPr>
      </w:pPr>
    </w:p>
    <w:p>
      <w:pPr>
        <w:jc w:val="both"/>
        <w:ind w:left="880" w:hanging="863"/>
        <w:spacing w:after="0" w:line="253" w:lineRule="auto"/>
        <w:tabs>
          <w:tab w:leader="none" w:pos="86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20"/>
          <w:szCs w:val="20"/>
          <w:b w:val="1"/>
          <w:bCs w:val="1"/>
          <w:color w:val="auto"/>
        </w:rPr>
        <w:t>Severability</w:t>
      </w:r>
      <w:r>
        <w:rPr>
          <w:rFonts w:ascii="Arial" w:cs="Arial" w:eastAsia="Arial" w:hAnsi="Arial"/>
          <w:sz w:val="20"/>
          <w:szCs w:val="20"/>
          <w:color w:val="auto"/>
        </w:rPr>
        <w:t>. If any one or more of the provisions of this Agreement is held to be invalid or unenforceable by any court of</w:t>
      </w:r>
      <w:r>
        <w:rPr>
          <w:rFonts w:ascii="Arial" w:cs="Arial" w:eastAsia="Arial" w:hAnsi="Arial"/>
          <w:sz w:val="20"/>
          <w:szCs w:val="20"/>
          <w:b w:val="1"/>
          <w:bCs w:val="1"/>
          <w:color w:val="auto"/>
        </w:rPr>
        <w:t xml:space="preserve"> </w:t>
      </w:r>
      <w:r>
        <w:rPr>
          <w:rFonts w:ascii="Arial" w:cs="Arial" w:eastAsia="Arial" w:hAnsi="Arial"/>
          <w:sz w:val="20"/>
          <w:szCs w:val="20"/>
          <w:color w:val="auto"/>
        </w:rPr>
        <w:t>competent jurisdiction from which no appeal can be or is taken, the provision will be considered severed from this Agreement and will not serve to invalidate any</w:t>
      </w:r>
    </w:p>
    <w:p>
      <w:pPr>
        <w:spacing w:after="0" w:line="200" w:lineRule="exact"/>
        <w:rPr>
          <w:sz w:val="20"/>
          <w:szCs w:val="20"/>
          <w:color w:val="auto"/>
        </w:rPr>
      </w:pPr>
    </w:p>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- 44 -</w:t>
      </w:r>
    </w:p>
    <w:p>
      <w:pPr>
        <w:spacing w:after="0" w:line="12" w:lineRule="exact"/>
        <w:rPr>
          <w:sz w:val="20"/>
          <w:szCs w:val="20"/>
          <w:color w:val="auto"/>
        </w:rPr>
      </w:pPr>
    </w:p>
    <w:p>
      <w:pPr>
        <w:ind w:right="740" w:firstLine="8"/>
        <w:spacing w:after="0" w:line="226" w:lineRule="auto"/>
        <w:tabs>
          <w:tab w:leader="none" w:pos="2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wp:posOffset>
            </wp:positionV>
            <wp:extent cx="72891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2" w:name="page183"/>
    <w:bookmarkEnd w:id="182"/>
    <w:p>
      <w:pPr>
        <w:ind w:left="872"/>
        <w:spacing w:after="0" w:line="316" w:lineRule="auto"/>
        <w:rPr>
          <w:sz w:val="20"/>
          <w:szCs w:val="20"/>
          <w:color w:val="auto"/>
        </w:rPr>
      </w:pPr>
      <w:r>
        <w:rPr>
          <w:rFonts w:ascii="Arial" w:cs="Arial" w:eastAsia="Arial" w:hAnsi="Arial"/>
          <w:sz w:val="18"/>
          <w:szCs w:val="18"/>
          <w:color w:val="auto"/>
        </w:rPr>
        <w:t>remaining provisions hereof. The Parties will make a good faith effort to replace any invalid or unenforceable provision with a valid and enforceable one such that the objectives contemplated by the Parties when entering this Agreement may be realized.</w:t>
      </w:r>
    </w:p>
    <w:p>
      <w:pPr>
        <w:spacing w:after="0" w:line="124" w:lineRule="exact"/>
        <w:rPr>
          <w:sz w:val="20"/>
          <w:szCs w:val="20"/>
          <w:color w:val="auto"/>
        </w:rPr>
      </w:pPr>
    </w:p>
    <w:p>
      <w:pPr>
        <w:jc w:val="both"/>
        <w:ind w:left="872" w:hanging="863"/>
        <w:spacing w:after="0" w:line="277" w:lineRule="auto"/>
        <w:tabs>
          <w:tab w:leader="none" w:pos="852"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18"/>
          <w:szCs w:val="18"/>
          <w:b w:val="1"/>
          <w:bCs w:val="1"/>
          <w:color w:val="auto"/>
        </w:rPr>
        <w:t>Waiver and Non-Exclusion of Remedies</w:t>
      </w:r>
      <w:r>
        <w:rPr>
          <w:rFonts w:ascii="Arial" w:cs="Arial" w:eastAsia="Arial" w:hAnsi="Arial"/>
          <w:sz w:val="18"/>
          <w:szCs w:val="18"/>
          <w:color w:val="auto"/>
        </w:rPr>
        <w:t>. Any term or condition of this Agreement may be waived at any time by the Party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the benefit thereof, but no such waiver will be effective unless set forth in a written instrument duly executed by or on behalf of the Party waiving such term or condition. The waiver by either Party of any right hereunder or of the failure to perform or of a breach by the other Party will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160" w:lineRule="exact"/>
        <w:rPr>
          <w:sz w:val="20"/>
          <w:szCs w:val="20"/>
          <w:color w:val="auto"/>
        </w:rPr>
      </w:pPr>
    </w:p>
    <w:p>
      <w:pPr>
        <w:jc w:val="both"/>
        <w:ind w:left="872" w:hanging="863"/>
        <w:spacing w:after="0" w:line="245" w:lineRule="auto"/>
        <w:tabs>
          <w:tab w:leader="none" w:pos="852" w:val="left"/>
        </w:tabs>
        <w:rPr>
          <w:sz w:val="20"/>
          <w:szCs w:val="20"/>
          <w:color w:val="auto"/>
        </w:rPr>
      </w:pPr>
      <w:r>
        <w:rPr>
          <w:rFonts w:ascii="Arial" w:cs="Arial" w:eastAsia="Arial" w:hAnsi="Arial"/>
          <w:sz w:val="20"/>
          <w:szCs w:val="20"/>
          <w:b w:val="1"/>
          <w:bCs w:val="1"/>
          <w:color w:val="auto"/>
        </w:rPr>
        <w:t>12.9.</w:t>
      </w:r>
      <w:r>
        <w:rPr>
          <w:sz w:val="20"/>
          <w:szCs w:val="20"/>
          <w:color w:val="auto"/>
        </w:rPr>
        <w:tab/>
      </w:r>
      <w:r>
        <w:rPr>
          <w:rFonts w:ascii="Arial" w:cs="Arial" w:eastAsia="Arial" w:hAnsi="Arial"/>
          <w:sz w:val="20"/>
          <w:szCs w:val="20"/>
          <w:b w:val="1"/>
          <w:bCs w:val="1"/>
          <w:color w:val="auto"/>
        </w:rPr>
        <w:t>Relationship of the Parties</w:t>
      </w:r>
      <w:r>
        <w:rPr>
          <w:rFonts w:ascii="Arial" w:cs="Arial" w:eastAsia="Arial" w:hAnsi="Arial"/>
          <w:sz w:val="20"/>
          <w:szCs w:val="20"/>
          <w:color w:val="auto"/>
        </w:rPr>
        <w:t>. It is expressly agreed that Licensor, on the one hand, and Licensee, on the other hand,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 contractors and that the relationship between the two Parties will not constitute a partnership, joint venture, or agency. Neither Licensor nor Licensee will have the authority to make any statements, representations or commitments of any kind, or to take any action which will be binding on the other, without the prior written consent of the other Party to do so. All persons employed by a Party will be employees of that Party and not of the other Party and all expenses and obligations incurred by reason of such employment will be for the account and expense of such Party.</w:t>
      </w:r>
    </w:p>
    <w:p>
      <w:pPr>
        <w:spacing w:after="0" w:line="185" w:lineRule="exact"/>
        <w:rPr>
          <w:sz w:val="20"/>
          <w:szCs w:val="20"/>
          <w:color w:val="auto"/>
        </w:rPr>
      </w:pPr>
    </w:p>
    <w:p>
      <w:pPr>
        <w:jc w:val="both"/>
        <w:ind w:left="872" w:hanging="863"/>
        <w:spacing w:after="0" w:line="285" w:lineRule="auto"/>
        <w:tabs>
          <w:tab w:leader="none" w:pos="852" w:val="left"/>
        </w:tabs>
        <w:rPr>
          <w:sz w:val="20"/>
          <w:szCs w:val="20"/>
          <w:color w:val="auto"/>
        </w:rPr>
      </w:pPr>
      <w:r>
        <w:rPr>
          <w:rFonts w:ascii="Arial" w:cs="Arial" w:eastAsia="Arial" w:hAnsi="Arial"/>
          <w:sz w:val="20"/>
          <w:szCs w:val="20"/>
          <w:b w:val="1"/>
          <w:bCs w:val="1"/>
          <w:color w:val="auto"/>
        </w:rPr>
        <w:t>12.10.</w:t>
      </w:r>
      <w:r>
        <w:rPr>
          <w:sz w:val="20"/>
          <w:szCs w:val="20"/>
          <w:color w:val="auto"/>
        </w:rPr>
        <w:tab/>
      </w:r>
      <w:r>
        <w:rPr>
          <w:rFonts w:ascii="Arial" w:cs="Arial" w:eastAsia="Arial" w:hAnsi="Arial"/>
          <w:sz w:val="18"/>
          <w:szCs w:val="18"/>
          <w:b w:val="1"/>
          <w:bCs w:val="1"/>
          <w:color w:val="auto"/>
        </w:rPr>
        <w:t>No Third Party Beneficiaries</w:t>
      </w:r>
      <w:r>
        <w:rPr>
          <w:rFonts w:ascii="Arial" w:cs="Arial" w:eastAsia="Arial" w:hAnsi="Arial"/>
          <w:sz w:val="18"/>
          <w:szCs w:val="18"/>
          <w:color w:val="auto"/>
        </w:rPr>
        <w:t>. The warranties and agreements set forth in this Agreement are for the sole benefit of each Party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Affiliates, successors, and permitted assigns, and such warranties and agreements will not be construed as conferring any rights to any other Persons other than, with respect to the Parties’ obligations in Section 11.1 (Indemnification by Licensee) and Section 11.2 (Indemnification by Licensor), the other Persons expressly referenced as indemnitees thereunder.</w:t>
      </w:r>
    </w:p>
    <w:p>
      <w:pPr>
        <w:spacing w:after="0" w:line="151" w:lineRule="exact"/>
        <w:rPr>
          <w:sz w:val="20"/>
          <w:szCs w:val="20"/>
          <w:color w:val="auto"/>
        </w:rPr>
      </w:pPr>
    </w:p>
    <w:p>
      <w:pPr>
        <w:jc w:val="both"/>
        <w:ind w:left="872" w:hanging="863"/>
        <w:spacing w:after="0" w:line="270" w:lineRule="auto"/>
        <w:tabs>
          <w:tab w:leader="none" w:pos="852" w:val="left"/>
        </w:tabs>
        <w:rPr>
          <w:sz w:val="20"/>
          <w:szCs w:val="20"/>
          <w:color w:val="auto"/>
        </w:rPr>
      </w:pPr>
      <w:r>
        <w:rPr>
          <w:rFonts w:ascii="Arial" w:cs="Arial" w:eastAsia="Arial" w:hAnsi="Arial"/>
          <w:sz w:val="20"/>
          <w:szCs w:val="20"/>
          <w:b w:val="1"/>
          <w:bCs w:val="1"/>
          <w:color w:val="auto"/>
        </w:rPr>
        <w:t>12.11.</w:t>
      </w:r>
      <w:r>
        <w:rPr>
          <w:sz w:val="20"/>
          <w:szCs w:val="20"/>
          <w:color w:val="auto"/>
        </w:rPr>
        <w:tab/>
      </w:r>
      <w:r>
        <w:rPr>
          <w:rFonts w:ascii="Arial" w:cs="Arial" w:eastAsia="Arial" w:hAnsi="Arial"/>
          <w:sz w:val="18"/>
          <w:szCs w:val="18"/>
          <w:b w:val="1"/>
          <w:bCs w:val="1"/>
          <w:color w:val="auto"/>
        </w:rPr>
        <w:t>Construction; Rules of Construction</w:t>
      </w:r>
      <w:r>
        <w:rPr>
          <w:rFonts w:ascii="Arial" w:cs="Arial" w:eastAsia="Arial" w:hAnsi="Arial"/>
          <w:sz w:val="18"/>
          <w:szCs w:val="18"/>
          <w:color w:val="auto"/>
        </w:rPr>
        <w:t>. Interpretation of this Agreement will be governed by the following rules of construction: (a)</w:t>
      </w:r>
      <w:r>
        <w:rPr>
          <w:rFonts w:ascii="Arial" w:cs="Arial" w:eastAsia="Arial" w:hAnsi="Arial"/>
          <w:sz w:val="18"/>
          <w:szCs w:val="18"/>
          <w:b w:val="1"/>
          <w:bCs w:val="1"/>
          <w:color w:val="auto"/>
        </w:rPr>
        <w:t xml:space="preserve"> </w:t>
      </w:r>
      <w:r>
        <w:rPr>
          <w:rFonts w:ascii="Arial" w:cs="Arial" w:eastAsia="Arial" w:hAnsi="Arial"/>
          <w:sz w:val="18"/>
          <w:szCs w:val="18"/>
          <w:color w:val="auto"/>
        </w:rPr>
        <w:t>words in the singular will be held to include the plural and vice versa, and words of one gender will be held to include the other gender as the context requires; (b) references to the terms “Section”, “Exhibit”, or “Schedule” are to a Section, Exhibit, or Schedule of this Agreement unless otherwise specified; (c) the terms “hereof”, “hereby”, “hereto”, and derivative or similar words refer to this entire Agreement; (d) references to “$” or “Dollars” will mean the currency of the United States and all references to “€” or “Euros” will mean the currency of the European Union; (e) the word “including” and words of similar import when used in this Agreement will mean “including without limitation,” unless otherwise specified; (f) the word “or” will not be exclusive; (g) references to “written” or “in writing” include in electronic form; (h) the titles and headings contained in this Agreement are for reference purposes only and will not affect in any way the meaning or interpretation of this Agreement; (i) each of the Parties has participated in the negotiation and drafting of this Agreement and if an ambiguity or question of interpretation should arise, this Agreement will be construed as if drafted jointly by the Parties and no presumption or burden of proof will arise favoring or burdening either Party by virtue of the authorship of any of the provisions in this Agreement or any interim drafts of this Agreement; (j) the word “shall” will be construed to have the same meaning and effect as the word “will”; (k) references to “days” will mean calendar days, unless otherwise specified; and (l) a reference to any Person includes such Person’s successors and permitted assigns.</w:t>
      </w:r>
    </w:p>
    <w:p>
      <w:pPr>
        <w:spacing w:after="0" w:line="170" w:lineRule="exact"/>
        <w:rPr>
          <w:sz w:val="20"/>
          <w:szCs w:val="20"/>
          <w:color w:val="auto"/>
        </w:rPr>
      </w:pPr>
    </w:p>
    <w:p>
      <w:pPr>
        <w:jc w:val="both"/>
        <w:ind w:left="872" w:hanging="863"/>
        <w:spacing w:after="0" w:line="267" w:lineRule="auto"/>
        <w:tabs>
          <w:tab w:leader="none" w:pos="852" w:val="left"/>
        </w:tabs>
        <w:rPr>
          <w:sz w:val="20"/>
          <w:szCs w:val="20"/>
          <w:color w:val="auto"/>
        </w:rPr>
      </w:pPr>
      <w:r>
        <w:rPr>
          <w:rFonts w:ascii="Arial" w:cs="Arial" w:eastAsia="Arial" w:hAnsi="Arial"/>
          <w:sz w:val="20"/>
          <w:szCs w:val="20"/>
          <w:b w:val="1"/>
          <w:bCs w:val="1"/>
          <w:color w:val="auto"/>
        </w:rPr>
        <w:t>12.12.</w:t>
      </w:r>
      <w:r>
        <w:rPr>
          <w:sz w:val="20"/>
          <w:szCs w:val="20"/>
          <w:color w:val="auto"/>
        </w:rPr>
        <w:tab/>
      </w:r>
      <w:r>
        <w:rPr>
          <w:rFonts w:ascii="Arial" w:cs="Arial" w:eastAsia="Arial" w:hAnsi="Arial"/>
          <w:sz w:val="20"/>
          <w:szCs w:val="20"/>
          <w:b w:val="1"/>
          <w:bCs w:val="1"/>
          <w:color w:val="auto"/>
        </w:rPr>
        <w:t>Governing Law</w:t>
      </w:r>
      <w:r>
        <w:rPr>
          <w:rFonts w:ascii="Arial" w:cs="Arial" w:eastAsia="Arial" w:hAnsi="Arial"/>
          <w:sz w:val="20"/>
          <w:szCs w:val="20"/>
          <w:color w:val="auto"/>
        </w:rPr>
        <w:t>. This Agreement was prepared in the English language, which language will govern the interpretation of,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Dispute regarding, the terms of this Agreement. This</w:t>
      </w:r>
    </w:p>
    <w:p>
      <w:pPr>
        <w:spacing w:after="0" w:line="388"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- 45 -</w:t>
      </w:r>
    </w:p>
    <w:p>
      <w:pPr>
        <w:spacing w:after="0" w:line="12" w:lineRule="exact"/>
        <w:rPr>
          <w:sz w:val="20"/>
          <w:szCs w:val="20"/>
          <w:color w:val="auto"/>
        </w:rPr>
      </w:pPr>
    </w:p>
    <w:p>
      <w:pPr>
        <w:ind w:left="-8" w:right="740" w:firstLine="8"/>
        <w:spacing w:after="0" w:line="226" w:lineRule="auto"/>
        <w:tabs>
          <w:tab w:leader="none" w:pos="2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83" w:name="page184"/>
    <w:bookmarkEnd w:id="183"/>
    <w:p>
      <w:pPr>
        <w:jc w:val="both"/>
        <w:ind w:left="872"/>
        <w:spacing w:after="0" w:line="250" w:lineRule="auto"/>
        <w:rPr>
          <w:sz w:val="20"/>
          <w:szCs w:val="20"/>
          <w:color w:val="auto"/>
        </w:rPr>
      </w:pPr>
      <w:r>
        <w:rPr>
          <w:rFonts w:ascii="Arial" w:cs="Arial" w:eastAsia="Arial" w:hAnsi="Arial"/>
          <w:sz w:val="20"/>
          <w:szCs w:val="20"/>
          <w:color w:val="auto"/>
        </w:rPr>
        <w:t>Agreement and all Disputes arising out of or related to this Agreement or any breach hereof will be governed by and construed under the laws of the State of New York, without giving effect to any choice of law principles that would require the application of the laws of a different state.</w:t>
      </w:r>
    </w:p>
    <w:p>
      <w:pPr>
        <w:spacing w:after="0" w:line="180" w:lineRule="exact"/>
        <w:rPr>
          <w:sz w:val="20"/>
          <w:szCs w:val="20"/>
          <w:color w:val="auto"/>
        </w:rPr>
      </w:pPr>
    </w:p>
    <w:p>
      <w:pPr>
        <w:jc w:val="both"/>
        <w:ind w:left="872" w:hanging="863"/>
        <w:spacing w:after="0" w:line="272" w:lineRule="auto"/>
        <w:tabs>
          <w:tab w:leader="none" w:pos="852" w:val="left"/>
        </w:tabs>
        <w:rPr>
          <w:sz w:val="20"/>
          <w:szCs w:val="20"/>
          <w:color w:val="auto"/>
        </w:rPr>
      </w:pPr>
      <w:r>
        <w:rPr>
          <w:rFonts w:ascii="Arial" w:cs="Arial" w:eastAsia="Arial" w:hAnsi="Arial"/>
          <w:sz w:val="20"/>
          <w:szCs w:val="20"/>
          <w:b w:val="1"/>
          <w:bCs w:val="1"/>
          <w:color w:val="auto"/>
        </w:rPr>
        <w:t>12.13.</w:t>
      </w:r>
      <w:r>
        <w:rPr>
          <w:sz w:val="20"/>
          <w:szCs w:val="20"/>
          <w:color w:val="auto"/>
        </w:rPr>
        <w:tab/>
      </w: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including the Exhibits and Schedules hereto, together with the Confidential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 by and between the Licensee and Allergan (the “</w:t>
      </w:r>
      <w:r>
        <w:rPr>
          <w:rFonts w:ascii="Arial" w:cs="Arial" w:eastAsia="Arial" w:hAnsi="Arial"/>
          <w:sz w:val="18"/>
          <w:szCs w:val="18"/>
          <w:b w:val="1"/>
          <w:bCs w:val="1"/>
          <w:color w:val="auto"/>
        </w:rPr>
        <w:t>CDA</w:t>
      </w:r>
      <w:r>
        <w:rPr>
          <w:rFonts w:ascii="Arial" w:cs="Arial" w:eastAsia="Arial" w:hAnsi="Arial"/>
          <w:sz w:val="18"/>
          <w:szCs w:val="18"/>
          <w:color w:val="auto"/>
        </w:rPr>
        <w:t>”), sets forth the complete, final, and exclusive agreement and all the covenants, promises, agreements, warranties, representations, conditions, and understandings between the Parties with respect to the subject matter hereof and supersedes, as of the Effective Date, all prior agreements and understandings between the Parties with respect to the subject matter hereof. There are no covenants, promises, agreements, warranties, representations, conditions, or understandings, either oral or written, between the Parties other than as are set forth herein and in the CDA. No subsequent alteration, amendment, change, or addition to this Agreement will be binding upon the Parties unless reduced to writing and signed by an authorized officer of each Party. In the event of any inconsistency between the body of this Agreement and the Exhibits or Schedules to this Agreement or any subsequent agreements ancillary to this Agreement, unless otherwise expressly stated to the contrary in such Exhibit or subsequent ancillary agreement, the terms contained in this Agreement will control.</w:t>
      </w:r>
    </w:p>
    <w:p>
      <w:pPr>
        <w:spacing w:after="0" w:line="166" w:lineRule="exact"/>
        <w:rPr>
          <w:sz w:val="20"/>
          <w:szCs w:val="20"/>
          <w:color w:val="auto"/>
        </w:rPr>
      </w:pPr>
    </w:p>
    <w:p>
      <w:pPr>
        <w:jc w:val="both"/>
        <w:ind w:left="872" w:hanging="863"/>
        <w:spacing w:after="0" w:line="248" w:lineRule="auto"/>
        <w:tabs>
          <w:tab w:leader="none" w:pos="852" w:val="left"/>
        </w:tabs>
        <w:rPr>
          <w:sz w:val="20"/>
          <w:szCs w:val="20"/>
          <w:color w:val="auto"/>
        </w:rPr>
      </w:pPr>
      <w:r>
        <w:rPr>
          <w:rFonts w:ascii="Arial" w:cs="Arial" w:eastAsia="Arial" w:hAnsi="Arial"/>
          <w:sz w:val="20"/>
          <w:szCs w:val="20"/>
          <w:b w:val="1"/>
          <w:bCs w:val="1"/>
          <w:color w:val="auto"/>
        </w:rPr>
        <w:t>12.14.</w:t>
      </w:r>
      <w:r>
        <w:rPr>
          <w:sz w:val="20"/>
          <w:szCs w:val="20"/>
          <w:color w:val="auto"/>
        </w:rPr>
        <w:tab/>
      </w: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two or more counterparts, each of which will be deemed an original, but all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together will constitute one and the same instrument. This Agreement may be executed by facsimile, .pdf, or other electronically transmitted signatures and such signatures will be deemed to bind each Party hereto as if they were the original signatures.</w:t>
      </w:r>
    </w:p>
    <w:p>
      <w:pPr>
        <w:spacing w:after="0" w:line="190" w:lineRule="exact"/>
        <w:rPr>
          <w:sz w:val="20"/>
          <w:szCs w:val="20"/>
          <w:color w:val="auto"/>
        </w:rPr>
      </w:pPr>
    </w:p>
    <w:p>
      <w:pPr>
        <w:ind w:left="5112"/>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72"/>
        <w:spacing w:after="0"/>
        <w:rPr>
          <w:sz w:val="20"/>
          <w:szCs w:val="20"/>
          <w:color w:val="auto"/>
        </w:rPr>
      </w:pPr>
      <w:r>
        <w:rPr>
          <w:rFonts w:ascii="Arial" w:cs="Arial" w:eastAsia="Arial" w:hAnsi="Arial"/>
          <w:sz w:val="18"/>
          <w:szCs w:val="18"/>
          <w:color w:val="auto"/>
        </w:rPr>
        <w:t>- 46 -</w:t>
      </w:r>
    </w:p>
    <w:p>
      <w:pPr>
        <w:spacing w:after="0" w:line="12" w:lineRule="exact"/>
        <w:rPr>
          <w:sz w:val="20"/>
          <w:szCs w:val="20"/>
          <w:color w:val="auto"/>
        </w:rPr>
      </w:pPr>
    </w:p>
    <w:p>
      <w:pPr>
        <w:ind w:left="-8" w:right="740" w:firstLine="8"/>
        <w:spacing w:after="0" w:line="226" w:lineRule="auto"/>
        <w:tabs>
          <w:tab w:leader="none" w:pos="24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38735</wp:posOffset>
            </wp:positionV>
            <wp:extent cx="72891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66" w:right="239" w:bottom="1440" w:gutter="0" w:footer="0" w:header="0"/>
        </w:sectPr>
      </w:pPr>
    </w:p>
    <w:bookmarkStart w:id="184" w:name="page185"/>
    <w:bookmarkEnd w:id="184"/>
    <w:p>
      <w:pPr>
        <w:ind w:left="880"/>
        <w:spacing w:after="0"/>
        <w:rPr>
          <w:sz w:val="20"/>
          <w:szCs w:val="20"/>
          <w:color w:val="auto"/>
        </w:rPr>
      </w:pPr>
      <w:r>
        <w:rPr>
          <w:rFonts w:ascii="Arial" w:cs="Arial" w:eastAsia="Arial" w:hAnsi="Arial"/>
          <w:sz w:val="18"/>
          <w:szCs w:val="18"/>
          <w:color w:val="auto"/>
        </w:rPr>
        <w:t>IN WITNESS WHEREOF, duly authorized representatives of the Parties have duly executed this Agreement as of the Effective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40" w:type="dxa"/>
        <w:tblCellMar>
          <w:top w:w="0" w:type="dxa"/>
          <w:left w:w="0" w:type="dxa"/>
          <w:bottom w:w="0" w:type="dxa"/>
          <w:right w:w="0" w:type="dxa"/>
        </w:tblCellMar>
      </w:tblPr>
      <w:tr>
        <w:trPr>
          <w:trHeight w:val="281"/>
        </w:trPr>
        <w:tc>
          <w:tcPr>
            <w:tcW w:w="3760" w:type="dxa"/>
            <w:vAlign w:val="bottom"/>
            <w:gridSpan w:val="3"/>
          </w:tcPr>
          <w:p>
            <w:pPr>
              <w:spacing w:after="0"/>
              <w:rPr>
                <w:sz w:val="20"/>
                <w:szCs w:val="20"/>
                <w:color w:val="auto"/>
              </w:rPr>
            </w:pPr>
            <w:r>
              <w:rPr>
                <w:rFonts w:ascii="Arial" w:cs="Arial" w:eastAsia="Arial" w:hAnsi="Arial"/>
                <w:sz w:val="22"/>
                <w:szCs w:val="22"/>
                <w:b w:val="1"/>
                <w:bCs w:val="1"/>
                <w:color w:val="auto"/>
              </w:rPr>
              <w:t>VITAE PHARMACEUTICALS, INC.</w:t>
            </w:r>
          </w:p>
        </w:tc>
        <w:tc>
          <w:tcPr>
            <w:tcW w:w="20" w:type="dxa"/>
            <w:vAlign w:val="bottom"/>
          </w:tcPr>
          <w:p>
            <w:pPr>
              <w:spacing w:after="0"/>
              <w:rPr>
                <w:sz w:val="24"/>
                <w:szCs w:val="24"/>
                <w:color w:val="auto"/>
              </w:rPr>
            </w:pPr>
          </w:p>
        </w:tc>
        <w:tc>
          <w:tcPr>
            <w:tcW w:w="4540" w:type="dxa"/>
            <w:vAlign w:val="bottom"/>
            <w:gridSpan w:val="2"/>
          </w:tcPr>
          <w:p>
            <w:pPr>
              <w:ind w:left="420"/>
              <w:spacing w:after="0"/>
              <w:rPr>
                <w:sz w:val="20"/>
                <w:szCs w:val="20"/>
                <w:color w:val="auto"/>
              </w:rPr>
            </w:pPr>
            <w:r>
              <w:rPr>
                <w:rFonts w:ascii="Arial" w:cs="Arial" w:eastAsia="Arial" w:hAnsi="Arial"/>
                <w:sz w:val="22"/>
                <w:szCs w:val="22"/>
                <w:b w:val="1"/>
                <w:bCs w:val="1"/>
                <w:color w:val="auto"/>
              </w:rPr>
              <w:t>SYNDAX PHARMACEUTICALS, INC.</w:t>
            </w:r>
          </w:p>
        </w:tc>
      </w:tr>
      <w:tr>
        <w:trPr>
          <w:trHeight w:val="436"/>
        </w:trPr>
        <w:tc>
          <w:tcPr>
            <w:tcW w:w="3760" w:type="dxa"/>
            <w:vAlign w:val="bottom"/>
            <w:gridSpan w:val="3"/>
          </w:tcPr>
          <w:p>
            <w:pPr>
              <w:spacing w:after="0"/>
              <w:rPr>
                <w:sz w:val="20"/>
                <w:szCs w:val="20"/>
                <w:color w:val="auto"/>
              </w:rPr>
            </w:pPr>
            <w:r>
              <w:rPr>
                <w:rFonts w:ascii="Arial" w:cs="Arial" w:eastAsia="Arial" w:hAnsi="Arial"/>
                <w:sz w:val="20"/>
                <w:szCs w:val="20"/>
                <w:color w:val="auto"/>
              </w:rPr>
              <w:t>By:  /s/ A. Robert D. Bailey</w:t>
            </w:r>
          </w:p>
        </w:tc>
        <w:tc>
          <w:tcPr>
            <w:tcW w:w="20" w:type="dxa"/>
            <w:vAlign w:val="bottom"/>
          </w:tcPr>
          <w:p>
            <w:pPr>
              <w:spacing w:after="0"/>
              <w:rPr>
                <w:sz w:val="24"/>
                <w:szCs w:val="24"/>
                <w:color w:val="auto"/>
              </w:rPr>
            </w:pPr>
          </w:p>
        </w:tc>
        <w:tc>
          <w:tcPr>
            <w:tcW w:w="4540" w:type="dxa"/>
            <w:vAlign w:val="bottom"/>
            <w:gridSpan w:val="2"/>
          </w:tcPr>
          <w:p>
            <w:pPr>
              <w:ind w:left="420"/>
              <w:spacing w:after="0"/>
              <w:rPr>
                <w:sz w:val="20"/>
                <w:szCs w:val="20"/>
                <w:color w:val="auto"/>
              </w:rPr>
            </w:pPr>
            <w:r>
              <w:rPr>
                <w:rFonts w:ascii="Arial" w:cs="Arial" w:eastAsia="Arial" w:hAnsi="Arial"/>
                <w:sz w:val="20"/>
                <w:szCs w:val="20"/>
                <w:color w:val="auto"/>
              </w:rPr>
              <w:t>By:  /s/ Luke J. Albrecht</w:t>
            </w:r>
          </w:p>
        </w:tc>
      </w:tr>
      <w:tr>
        <w:trPr>
          <w:trHeight w:val="20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 A. Robert D. Bailey</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Name: Luke J. Albrecht</w:t>
            </w:r>
          </w:p>
        </w:tc>
      </w:tr>
      <w:tr>
        <w:trPr>
          <w:trHeight w:val="230"/>
        </w:trPr>
        <w:tc>
          <w:tcPr>
            <w:tcW w:w="46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20"/>
                <w:szCs w:val="20"/>
                <w:color w:val="auto"/>
              </w:rPr>
              <w:t>Title:  President</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20"/>
                <w:szCs w:val="20"/>
                <w:color w:val="auto"/>
              </w:rPr>
              <w:t>Title:  General Counsel &amp; Corporate</w:t>
            </w:r>
          </w:p>
        </w:tc>
      </w:tr>
      <w:tr>
        <w:trPr>
          <w:trHeight w:val="250"/>
        </w:trPr>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80" w:type="dxa"/>
            <w:vAlign w:val="bottom"/>
          </w:tcPr>
          <w:p>
            <w:pPr>
              <w:spacing w:after="0"/>
              <w:rPr>
                <w:sz w:val="20"/>
                <w:szCs w:val="20"/>
                <w:color w:val="auto"/>
              </w:rPr>
            </w:pPr>
            <w:r>
              <w:rPr>
                <w:rFonts w:ascii="Arial" w:cs="Arial" w:eastAsia="Arial" w:hAnsi="Arial"/>
                <w:sz w:val="20"/>
                <w:szCs w:val="20"/>
                <w:color w:val="auto"/>
              </w:rPr>
              <w:t>Secretary</w:t>
            </w:r>
          </w:p>
        </w:tc>
      </w:tr>
      <w:tr>
        <w:trPr>
          <w:trHeight w:val="893"/>
        </w:trPr>
        <w:tc>
          <w:tcPr>
            <w:tcW w:w="3760" w:type="dxa"/>
            <w:vAlign w:val="bottom"/>
            <w:gridSpan w:val="3"/>
          </w:tcPr>
          <w:p>
            <w:pPr>
              <w:spacing w:after="0"/>
              <w:rPr>
                <w:sz w:val="20"/>
                <w:szCs w:val="20"/>
                <w:color w:val="auto"/>
              </w:rPr>
            </w:pPr>
            <w:r>
              <w:rPr>
                <w:rFonts w:ascii="Arial" w:cs="Arial" w:eastAsia="Arial" w:hAnsi="Arial"/>
                <w:sz w:val="22"/>
                <w:szCs w:val="22"/>
                <w:b w:val="1"/>
                <w:bCs w:val="1"/>
                <w:color w:val="auto"/>
              </w:rPr>
              <w:t xml:space="preserve">ALLERGAN, INC. </w:t>
            </w:r>
            <w:r>
              <w:rPr>
                <w:rFonts w:ascii="Arial" w:cs="Arial" w:eastAsia="Arial" w:hAnsi="Arial"/>
                <w:sz w:val="22"/>
                <w:szCs w:val="22"/>
                <w:color w:val="auto"/>
              </w:rPr>
              <w:t>(Solely for the</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75"/>
        </w:trPr>
        <w:tc>
          <w:tcPr>
            <w:tcW w:w="3760" w:type="dxa"/>
            <w:vAlign w:val="bottom"/>
            <w:gridSpan w:val="3"/>
          </w:tcPr>
          <w:p>
            <w:pPr>
              <w:spacing w:after="0"/>
              <w:rPr>
                <w:sz w:val="20"/>
                <w:szCs w:val="20"/>
                <w:color w:val="auto"/>
              </w:rPr>
            </w:pPr>
            <w:r>
              <w:rPr>
                <w:rFonts w:ascii="Arial" w:cs="Arial" w:eastAsia="Arial" w:hAnsi="Arial"/>
                <w:sz w:val="22"/>
                <w:szCs w:val="22"/>
                <w:color w:val="auto"/>
              </w:rPr>
              <w:t>purposes of [*])</w:t>
            </w: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680" w:type="dxa"/>
            <w:vAlign w:val="bottom"/>
          </w:tcPr>
          <w:p>
            <w:pPr>
              <w:spacing w:after="0"/>
              <w:rPr>
                <w:sz w:val="23"/>
                <w:szCs w:val="23"/>
                <w:color w:val="auto"/>
              </w:rPr>
            </w:pPr>
          </w:p>
        </w:tc>
      </w:tr>
      <w:tr>
        <w:trPr>
          <w:trHeight w:val="436"/>
        </w:trPr>
        <w:tc>
          <w:tcPr>
            <w:tcW w:w="3760" w:type="dxa"/>
            <w:vAlign w:val="bottom"/>
            <w:gridSpan w:val="3"/>
          </w:tcPr>
          <w:p>
            <w:pPr>
              <w:spacing w:after="0"/>
              <w:rPr>
                <w:sz w:val="20"/>
                <w:szCs w:val="20"/>
                <w:color w:val="auto"/>
              </w:rPr>
            </w:pPr>
            <w:r>
              <w:rPr>
                <w:rFonts w:ascii="Arial" w:cs="Arial" w:eastAsia="Arial" w:hAnsi="Arial"/>
                <w:sz w:val="20"/>
                <w:szCs w:val="20"/>
                <w:color w:val="auto"/>
              </w:rPr>
              <w:t>By:  /s/ A. Robert D. Bailey</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6"/>
        </w:trPr>
        <w:tc>
          <w:tcPr>
            <w:tcW w:w="460" w:type="dxa"/>
            <w:vAlign w:val="bottom"/>
          </w:tcPr>
          <w:p>
            <w:pPr>
              <w:spacing w:after="0"/>
              <w:rPr>
                <w:sz w:val="17"/>
                <w:szCs w:val="17"/>
                <w:color w:val="auto"/>
              </w:rPr>
            </w:pPr>
          </w:p>
        </w:tc>
        <w:tc>
          <w:tcPr>
            <w:tcW w:w="3300" w:type="dxa"/>
            <w:vAlign w:val="bottom"/>
            <w:tcBorders>
              <w:top w:val="single" w:sz="8" w:color="auto"/>
            </w:tcBorders>
            <w:gridSpan w:val="2"/>
          </w:tcPr>
          <w:p>
            <w:pPr>
              <w:spacing w:after="0" w:line="207" w:lineRule="exact"/>
              <w:rPr>
                <w:sz w:val="20"/>
                <w:szCs w:val="20"/>
                <w:color w:val="auto"/>
              </w:rPr>
            </w:pPr>
            <w:r>
              <w:rPr>
                <w:rFonts w:ascii="Arial" w:cs="Arial" w:eastAsia="Arial" w:hAnsi="Arial"/>
                <w:sz w:val="20"/>
                <w:szCs w:val="20"/>
                <w:color w:val="auto"/>
              </w:rPr>
              <w:t>Name: A. Robert D. Bailey</w:t>
            </w:r>
          </w:p>
        </w:tc>
        <w:tc>
          <w:tcPr>
            <w:tcW w:w="2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250"/>
        </w:trPr>
        <w:tc>
          <w:tcPr>
            <w:tcW w:w="46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Arial" w:cs="Arial" w:eastAsia="Arial" w:hAnsi="Arial"/>
                <w:sz w:val="20"/>
                <w:szCs w:val="20"/>
                <w:color w:val="auto"/>
              </w:rPr>
              <w:t>Title:  President</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720" w:firstLine="8"/>
        <w:spacing w:after="0" w:line="277" w:lineRule="auto"/>
        <w:tabs>
          <w:tab w:leader="none" w:pos="25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6" w:right="259" w:bottom="1440" w:gutter="0" w:footer="0" w:header="0"/>
        </w:sectPr>
      </w:pPr>
    </w:p>
    <w:bookmarkStart w:id="185" w:name="page186"/>
    <w:bookmarkEnd w:id="185"/>
    <w:p>
      <w:pPr>
        <w:jc w:val="center"/>
        <w:spacing w:after="0"/>
        <w:rPr>
          <w:sz w:val="20"/>
          <w:szCs w:val="20"/>
          <w:color w:val="auto"/>
        </w:rPr>
      </w:pPr>
      <w:r>
        <w:rPr>
          <w:rFonts w:ascii="Arial" w:cs="Arial" w:eastAsia="Arial" w:hAnsi="Arial"/>
          <w:sz w:val="20"/>
          <w:szCs w:val="20"/>
          <w:b w:val="1"/>
          <w:bCs w:val="1"/>
          <w:color w:val="auto"/>
        </w:rPr>
        <w:t>Schedule 1.59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Licensor Patent Rights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1980" w:type="dxa"/>
            <w:vAlign w:val="bottom"/>
            <w:tcBorders>
              <w:top w:val="single" w:sz="8" w:color="auto"/>
              <w:left w:val="single" w:sz="8" w:color="auto"/>
            </w:tcBorders>
          </w:tcPr>
          <w:p>
            <w:pPr>
              <w:ind w:left="20"/>
              <w:spacing w:after="0" w:line="236" w:lineRule="exact"/>
              <w:rPr>
                <w:sz w:val="20"/>
                <w:szCs w:val="20"/>
                <w:color w:val="auto"/>
              </w:rPr>
            </w:pPr>
            <w:r>
              <w:rPr>
                <w:rFonts w:ascii="Arial" w:cs="Arial" w:eastAsia="Arial" w:hAnsi="Arial"/>
                <w:sz w:val="22"/>
                <w:szCs w:val="22"/>
                <w:b w:val="1"/>
                <w:bCs w:val="1"/>
                <w:color w:val="auto"/>
              </w:rPr>
              <w:t>FR Ref. No.</w:t>
            </w:r>
          </w:p>
        </w:tc>
        <w:tc>
          <w:tcPr>
            <w:tcW w:w="3240" w:type="dxa"/>
            <w:vAlign w:val="bottom"/>
            <w:tcBorders>
              <w:top w:val="single" w:sz="8" w:color="auto"/>
            </w:tcBorders>
          </w:tcPr>
          <w:p>
            <w:pPr>
              <w:ind w:left="860"/>
              <w:spacing w:after="0" w:line="236" w:lineRule="exact"/>
              <w:rPr>
                <w:sz w:val="20"/>
                <w:szCs w:val="20"/>
                <w:color w:val="auto"/>
              </w:rPr>
            </w:pPr>
            <w:r>
              <w:rPr>
                <w:rFonts w:ascii="Arial" w:cs="Arial" w:eastAsia="Arial" w:hAnsi="Arial"/>
                <w:sz w:val="22"/>
                <w:szCs w:val="22"/>
                <w:b w:val="1"/>
                <w:bCs w:val="1"/>
                <w:color w:val="auto"/>
              </w:rPr>
              <w:t>Application Number</w:t>
            </w:r>
          </w:p>
        </w:tc>
        <w:tc>
          <w:tcPr>
            <w:tcW w:w="2420" w:type="dxa"/>
            <w:vAlign w:val="bottom"/>
            <w:tcBorders>
              <w:top w:val="single" w:sz="8" w:color="auto"/>
            </w:tcBorders>
          </w:tcPr>
          <w:p>
            <w:pPr>
              <w:ind w:left="480"/>
              <w:spacing w:after="0" w:line="236" w:lineRule="exact"/>
              <w:rPr>
                <w:sz w:val="20"/>
                <w:szCs w:val="20"/>
                <w:color w:val="auto"/>
              </w:rPr>
            </w:pPr>
            <w:r>
              <w:rPr>
                <w:rFonts w:ascii="Arial" w:cs="Arial" w:eastAsia="Arial" w:hAnsi="Arial"/>
                <w:sz w:val="22"/>
                <w:szCs w:val="22"/>
                <w:b w:val="1"/>
                <w:bCs w:val="1"/>
                <w:color w:val="auto"/>
              </w:rPr>
              <w:t>Filing Date</w:t>
            </w:r>
          </w:p>
        </w:tc>
        <w:tc>
          <w:tcPr>
            <w:tcW w:w="3780" w:type="dxa"/>
            <w:vAlign w:val="bottom"/>
            <w:tcBorders>
              <w:top w:val="single" w:sz="8" w:color="auto"/>
              <w:right w:val="single" w:sz="8" w:color="auto"/>
            </w:tcBorders>
          </w:tcPr>
          <w:p>
            <w:pPr>
              <w:ind w:left="900"/>
              <w:spacing w:after="0" w:line="236" w:lineRule="exact"/>
              <w:rPr>
                <w:sz w:val="20"/>
                <w:szCs w:val="20"/>
                <w:color w:val="auto"/>
              </w:rPr>
            </w:pPr>
            <w:r>
              <w:rPr>
                <w:rFonts w:ascii="Arial" w:cs="Arial" w:eastAsia="Arial" w:hAnsi="Arial"/>
                <w:sz w:val="22"/>
                <w:szCs w:val="22"/>
                <w:b w:val="1"/>
                <w:bCs w:val="1"/>
                <w:color w:val="auto"/>
              </w:rPr>
              <w:t>Jurisdiction</w:t>
            </w:r>
          </w:p>
        </w:tc>
      </w:tr>
      <w:tr>
        <w:trPr>
          <w:trHeight w:val="265"/>
        </w:trPr>
        <w:tc>
          <w:tcPr>
            <w:tcW w:w="19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2"/>
                <w:szCs w:val="22"/>
                <w:color w:val="auto"/>
              </w:rPr>
              <w:t>[*]</w:t>
            </w:r>
          </w:p>
        </w:tc>
        <w:tc>
          <w:tcPr>
            <w:tcW w:w="3240" w:type="dxa"/>
            <w:vAlign w:val="bottom"/>
            <w:tcBorders>
              <w:bottom w:val="single" w:sz="8" w:color="auto"/>
            </w:tcBorders>
          </w:tcPr>
          <w:p>
            <w:pPr>
              <w:ind w:left="860"/>
              <w:spacing w:after="0"/>
              <w:rPr>
                <w:sz w:val="20"/>
                <w:szCs w:val="20"/>
                <w:color w:val="auto"/>
              </w:rPr>
            </w:pPr>
            <w:r>
              <w:rPr>
                <w:rFonts w:ascii="Arial" w:cs="Arial" w:eastAsia="Arial" w:hAnsi="Arial"/>
                <w:sz w:val="22"/>
                <w:szCs w:val="22"/>
                <w:color w:val="auto"/>
              </w:rPr>
              <w:t>[*]</w:t>
            </w:r>
          </w:p>
        </w:tc>
        <w:tc>
          <w:tcPr>
            <w:tcW w:w="2420" w:type="dxa"/>
            <w:vAlign w:val="bottom"/>
            <w:tcBorders>
              <w:bottom w:val="single" w:sz="8" w:color="auto"/>
            </w:tcBorders>
          </w:tcPr>
          <w:p>
            <w:pPr>
              <w:ind w:left="480"/>
              <w:spacing w:after="0"/>
              <w:rPr>
                <w:sz w:val="20"/>
                <w:szCs w:val="20"/>
                <w:color w:val="auto"/>
              </w:rPr>
            </w:pPr>
            <w:r>
              <w:rPr>
                <w:rFonts w:ascii="Arial" w:cs="Arial" w:eastAsia="Arial" w:hAnsi="Arial"/>
                <w:sz w:val="22"/>
                <w:szCs w:val="22"/>
                <w:color w:val="auto"/>
              </w:rPr>
              <w:t>[*]</w:t>
            </w:r>
          </w:p>
        </w:tc>
        <w:tc>
          <w:tcPr>
            <w:tcW w:w="378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31" w:lineRule="exact"/>
        <w:rPr>
          <w:sz w:val="20"/>
          <w:szCs w:val="20"/>
          <w:color w:val="auto"/>
        </w:rPr>
      </w:pPr>
    </w:p>
    <w:p>
      <w:pPr>
        <w:ind w:right="380" w:firstLine="8"/>
        <w:spacing w:after="0" w:line="277" w:lineRule="auto"/>
        <w:tabs>
          <w:tab w:leader="none" w:pos="2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One page of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6" w:name="page187"/>
    <w:bookmarkEnd w:id="186"/>
    <w:p>
      <w:pPr>
        <w:jc w:val="center"/>
        <w:ind w:right="-391"/>
        <w:spacing w:after="0"/>
        <w:rPr>
          <w:sz w:val="20"/>
          <w:szCs w:val="20"/>
          <w:color w:val="auto"/>
        </w:rPr>
      </w:pPr>
      <w:r>
        <w:rPr>
          <w:rFonts w:ascii="Arial" w:cs="Arial" w:eastAsia="Arial" w:hAnsi="Arial"/>
          <w:sz w:val="20"/>
          <w:szCs w:val="20"/>
          <w:b w:val="1"/>
          <w:bCs w:val="1"/>
          <w:color w:val="auto"/>
        </w:rPr>
        <w:t>Schedule 3.1(a)</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Licensed Compound Inventory</w:t>
      </w:r>
    </w:p>
    <w:p>
      <w:pPr>
        <w:spacing w:after="0" w:line="234" w:lineRule="exact"/>
        <w:rPr>
          <w:sz w:val="20"/>
          <w:szCs w:val="20"/>
          <w:color w:val="auto"/>
        </w:rPr>
      </w:pPr>
    </w:p>
    <w:tbl>
      <w:tblPr>
        <w:tblLayout w:type="fixed"/>
        <w:tblInd w:w="1072"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b w:val="1"/>
                <w:bCs w:val="1"/>
                <w:color w:val="auto"/>
                <w:w w:val="89"/>
              </w:rPr>
              <w:t>Compound Name</w:t>
            </w:r>
          </w:p>
        </w:tc>
        <w:tc>
          <w:tcPr>
            <w:tcW w:w="1380" w:type="dxa"/>
            <w:vAlign w:val="bottom"/>
          </w:tcPr>
          <w:p>
            <w:pPr>
              <w:spacing w:after="0"/>
              <w:rPr>
                <w:sz w:val="17"/>
                <w:szCs w:val="17"/>
                <w:color w:val="auto"/>
              </w:rPr>
            </w:pPr>
          </w:p>
        </w:tc>
        <w:tc>
          <w:tcPr>
            <w:tcW w:w="37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8"/>
              </w:rPr>
              <w:t>BATCH</w:t>
            </w:r>
          </w:p>
        </w:tc>
        <w:tc>
          <w:tcPr>
            <w:tcW w:w="12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Amount</w:t>
            </w:r>
          </w:p>
        </w:tc>
        <w:tc>
          <w:tcPr>
            <w:tcW w:w="104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8"/>
              </w:rPr>
              <w:t>Units</w:t>
            </w:r>
          </w:p>
        </w:tc>
      </w:tr>
      <w:tr>
        <w:trPr>
          <w:trHeight w:val="277"/>
        </w:trPr>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6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 w:firstLine="8"/>
        <w:spacing w:after="0" w:line="277" w:lineRule="auto"/>
        <w:tabs>
          <w:tab w:leader="none" w:pos="2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One page of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891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32"/>
          </w:cols>
          <w:pgMar w:left="248" w:top="360" w:right="619" w:bottom="1440" w:gutter="0" w:footer="0" w:header="0"/>
        </w:sectPr>
      </w:pPr>
    </w:p>
    <w:bookmarkStart w:id="187" w:name="page188"/>
    <w:bookmarkEnd w:id="187"/>
    <w:p>
      <w:pPr>
        <w:jc w:val="center"/>
        <w:ind w:right="-391"/>
        <w:spacing w:after="0"/>
        <w:rPr>
          <w:sz w:val="20"/>
          <w:szCs w:val="20"/>
          <w:color w:val="auto"/>
        </w:rPr>
      </w:pPr>
      <w:r>
        <w:rPr>
          <w:rFonts w:ascii="Arial" w:cs="Arial" w:eastAsia="Arial" w:hAnsi="Arial"/>
          <w:sz w:val="20"/>
          <w:szCs w:val="20"/>
          <w:b w:val="1"/>
          <w:bCs w:val="1"/>
          <w:color w:val="auto"/>
        </w:rPr>
        <w:t>Schedule 3.1(b)</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Other Materials</w:t>
      </w:r>
    </w:p>
    <w:p>
      <w:pPr>
        <w:spacing w:after="0" w:line="235" w:lineRule="exact"/>
        <w:rPr>
          <w:sz w:val="20"/>
          <w:szCs w:val="20"/>
          <w:color w:val="auto"/>
        </w:rPr>
      </w:pPr>
    </w:p>
    <w:p>
      <w:pPr>
        <w:jc w:val="center"/>
        <w:ind w:right="-391"/>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 w:firstLine="8"/>
        <w:spacing w:after="0" w:line="277" w:lineRule="auto"/>
        <w:tabs>
          <w:tab w:leader="none" w:pos="2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One page of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891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32"/>
          </w:cols>
          <w:pgMar w:left="248" w:top="360" w:right="619" w:bottom="1440" w:gutter="0" w:footer="0" w:header="0"/>
        </w:sectPr>
      </w:pPr>
    </w:p>
    <w:bookmarkStart w:id="188" w:name="page189"/>
    <w:bookmarkEnd w:id="188"/>
    <w:p>
      <w:pPr>
        <w:jc w:val="center"/>
        <w:ind w:right="-391"/>
        <w:spacing w:after="0"/>
        <w:rPr>
          <w:sz w:val="20"/>
          <w:szCs w:val="20"/>
          <w:color w:val="auto"/>
        </w:rPr>
      </w:pPr>
      <w:r>
        <w:rPr>
          <w:rFonts w:ascii="Arial" w:cs="Arial" w:eastAsia="Arial" w:hAnsi="Arial"/>
          <w:sz w:val="20"/>
          <w:szCs w:val="20"/>
          <w:b w:val="1"/>
          <w:bCs w:val="1"/>
          <w:color w:val="auto"/>
        </w:rPr>
        <w:t>Schedule 4.3</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Development Plan</w:t>
      </w:r>
    </w:p>
    <w:p>
      <w:pPr>
        <w:spacing w:after="0" w:line="22"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32" w:lineRule="exact"/>
        <w:rPr>
          <w:sz w:val="20"/>
          <w:szCs w:val="20"/>
          <w:color w:val="auto"/>
        </w:rPr>
      </w:pPr>
    </w:p>
    <w:p>
      <w:pPr>
        <w:ind w:left="-8" w:firstLine="8"/>
        <w:spacing w:after="0" w:line="277" w:lineRule="auto"/>
        <w:tabs>
          <w:tab w:leader="none" w:pos="2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One page of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32"/>
          </w:cols>
          <w:pgMar w:left="248" w:top="360" w:right="619" w:bottom="1440" w:gutter="0" w:footer="0" w:header="0"/>
        </w:sectPr>
      </w:pPr>
    </w:p>
    <w:bookmarkStart w:id="189" w:name="page190"/>
    <w:bookmarkEnd w:id="189"/>
    <w:p>
      <w:pPr>
        <w:jc w:val="center"/>
        <w:ind w:right="-391"/>
        <w:spacing w:after="0"/>
        <w:rPr>
          <w:sz w:val="20"/>
          <w:szCs w:val="20"/>
          <w:color w:val="auto"/>
        </w:rPr>
      </w:pPr>
      <w:r>
        <w:rPr>
          <w:rFonts w:ascii="Arial" w:cs="Arial" w:eastAsia="Arial" w:hAnsi="Arial"/>
          <w:sz w:val="20"/>
          <w:szCs w:val="20"/>
          <w:b w:val="1"/>
          <w:bCs w:val="1"/>
          <w:color w:val="auto"/>
        </w:rPr>
        <w:t>Schedule 5.2</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Patent Expenses</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 w:firstLine="8"/>
        <w:spacing w:after="0" w:line="277" w:lineRule="auto"/>
        <w:tabs>
          <w:tab w:leader="none" w:pos="2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One page of confidential information contained in this document, marked by brackets, has been omitted and filed separately with the Securities and Exchange Commission pursuant to Rule 24b-2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32"/>
          </w:cols>
          <w:pgMar w:left="248" w:top="549" w:right="619" w:bottom="1440" w:gutter="0" w:footer="0" w:header="0"/>
        </w:sectPr>
      </w:pPr>
    </w:p>
    <w:bookmarkStart w:id="190" w:name="page191"/>
    <w:bookmarkEnd w:id="190"/>
    <w:p>
      <w:pPr>
        <w:jc w:val="center"/>
        <w:ind w:right="-391"/>
        <w:spacing w:after="0"/>
        <w:rPr>
          <w:sz w:val="20"/>
          <w:szCs w:val="20"/>
          <w:color w:val="auto"/>
        </w:rPr>
      </w:pPr>
      <w:r>
        <w:rPr>
          <w:rFonts w:ascii="Arial" w:cs="Arial" w:eastAsia="Arial" w:hAnsi="Arial"/>
          <w:sz w:val="20"/>
          <w:szCs w:val="20"/>
          <w:b w:val="1"/>
          <w:bCs w:val="1"/>
          <w:color w:val="auto"/>
        </w:rPr>
        <w:t>Schedule 8.2</w:t>
      </w:r>
    </w:p>
    <w:p>
      <w:pPr>
        <w:spacing w:after="0" w:line="229" w:lineRule="exact"/>
        <w:rPr>
          <w:sz w:val="20"/>
          <w:szCs w:val="20"/>
          <w:color w:val="auto"/>
        </w:rPr>
      </w:pPr>
    </w:p>
    <w:p>
      <w:pPr>
        <w:jc w:val="center"/>
        <w:ind w:right="-391"/>
        <w:spacing w:after="0"/>
        <w:rPr>
          <w:sz w:val="20"/>
          <w:szCs w:val="20"/>
          <w:color w:val="auto"/>
        </w:rPr>
      </w:pPr>
      <w:r>
        <w:rPr>
          <w:rFonts w:ascii="Arial" w:cs="Arial" w:eastAsia="Arial" w:hAnsi="Arial"/>
          <w:sz w:val="20"/>
          <w:szCs w:val="20"/>
          <w:b w:val="1"/>
          <w:bCs w:val="1"/>
          <w:color w:val="auto"/>
        </w:rPr>
        <w:t>Disclosure Schedule</w:t>
      </w:r>
    </w:p>
    <w:p>
      <w:pPr>
        <w:spacing w:after="0" w:line="200" w:lineRule="exact"/>
        <w:rPr>
          <w:sz w:val="20"/>
          <w:szCs w:val="20"/>
          <w:color w:val="auto"/>
        </w:rPr>
      </w:pPr>
    </w:p>
    <w:p>
      <w:pPr>
        <w:spacing w:after="0" w:line="265" w:lineRule="exact"/>
        <w:rPr>
          <w:sz w:val="20"/>
          <w:szCs w:val="20"/>
          <w:color w:val="auto"/>
        </w:rPr>
      </w:pPr>
    </w:p>
    <w:p>
      <w:pPr>
        <w:jc w:val="center"/>
        <w:ind w:right="-391"/>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48" w:lineRule="exact"/>
        <w:rPr>
          <w:sz w:val="20"/>
          <w:szCs w:val="20"/>
          <w:color w:val="auto"/>
        </w:rPr>
      </w:pPr>
    </w:p>
    <w:p>
      <w:pPr>
        <w:ind w:left="-8" w:firstLine="8"/>
        <w:spacing w:after="0" w:line="277" w:lineRule="auto"/>
        <w:tabs>
          <w:tab w:leader="none" w:pos="2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One page of confidential information contained in this document, marked by brackets, has been omitted and filed separately with the Securities and Exchange Commission pursuant to Rule 24b-2 of the Securities Exchange Act of 1934, as amended.</w:t>
      </w:r>
    </w:p>
    <w:p>
      <w:pPr>
        <w:sectPr>
          <w:pgSz w:w="11900" w:h="16838" w:orient="portrait"/>
          <w:cols w:equalWidth="0" w:num="1">
            <w:col w:w="11032"/>
          </w:cols>
          <w:pgMar w:left="248" w:top="549" w:right="6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Nos. 333-210412 and 333-220172 on Form S-8 and Registration Statement No. 333-217172 on Form S-3 of our report dated March 8, 2018, relating to the financial statements of Syndax Pharmaceuticals, Inc. appearing in this Annual Report on Form 10-K of Syndax Pharmaceuticals, Inc.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ectPr>
          <w:pgSz w:w="11900" w:h="16838" w:orient="portrait"/>
          <w:cols w:equalWidth="0" w:num="1">
            <w:col w:w="11420"/>
          </w:cols>
          <w:pgMar w:left="240" w:top="121"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Briggs W. Morrison, M.D., certify that:</w:t>
      </w:r>
    </w:p>
    <w:p>
      <w:pPr>
        <w:spacing w:after="0" w:line="117" w:lineRule="exact"/>
        <w:rPr>
          <w:sz w:val="20"/>
          <w:szCs w:val="20"/>
          <w:color w:val="auto"/>
        </w:rPr>
      </w:pPr>
    </w:p>
    <w:p>
      <w:pPr>
        <w:ind w:left="780" w:hanging="174"/>
        <w:spacing w:after="0"/>
        <w:tabs>
          <w:tab w:leader="none" w:pos="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60" w:firstLine="606"/>
        <w:spacing w:after="0" w:line="277" w:lineRule="auto"/>
        <w:tabs>
          <w:tab w:leader="none" w:pos="77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00" w:firstLine="570"/>
        <w:spacing w:after="0" w:line="264" w:lineRule="auto"/>
        <w:tabs>
          <w:tab w:leader="none" w:pos="141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0"/>
        <w:spacing w:after="0" w:line="264" w:lineRule="auto"/>
        <w:tabs>
          <w:tab w:leader="none" w:pos="142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0"/>
        <w:spacing w:after="0" w:line="342" w:lineRule="auto"/>
        <w:tabs>
          <w:tab w:leader="none" w:pos="141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0"/>
        <w:spacing w:after="0" w:line="264" w:lineRule="auto"/>
        <w:tabs>
          <w:tab w:leader="none" w:pos="142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20" w:firstLine="606"/>
        <w:spacing w:after="0" w:line="308" w:lineRule="auto"/>
        <w:tabs>
          <w:tab w:leader="none" w:pos="77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0"/>
        <w:spacing w:after="0" w:line="308" w:lineRule="auto"/>
        <w:tabs>
          <w:tab w:leader="none" w:pos="1411"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0"/>
        <w:spacing w:after="0" w:line="277" w:lineRule="auto"/>
        <w:tabs>
          <w:tab w:leader="none" w:pos="142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26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Briggs W.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14605</wp:posOffset>
            </wp:positionV>
            <wp:extent cx="25641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Briggs W. Morrison, M.D.</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P. Shea, certify that:</w:t>
      </w:r>
    </w:p>
    <w:p>
      <w:pPr>
        <w:spacing w:after="0" w:line="117" w:lineRule="exact"/>
        <w:rPr>
          <w:sz w:val="20"/>
          <w:szCs w:val="20"/>
          <w:color w:val="auto"/>
        </w:rPr>
      </w:pPr>
    </w:p>
    <w:p>
      <w:pPr>
        <w:ind w:left="780" w:hanging="174"/>
        <w:spacing w:after="0"/>
        <w:tabs>
          <w:tab w:leader="none" w:pos="7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Syndax Pharmaceuticals, Inc.;</w:t>
      </w:r>
    </w:p>
    <w:p>
      <w:pPr>
        <w:spacing w:after="0" w:line="225" w:lineRule="exact"/>
        <w:rPr>
          <w:rFonts w:ascii="Arial" w:cs="Arial" w:eastAsia="Arial" w:hAnsi="Arial"/>
          <w:sz w:val="18"/>
          <w:szCs w:val="18"/>
          <w:color w:val="auto"/>
        </w:rPr>
      </w:pPr>
    </w:p>
    <w:p>
      <w:pPr>
        <w:ind w:right="160" w:firstLine="606"/>
        <w:spacing w:after="0" w:line="342" w:lineRule="auto"/>
        <w:tabs>
          <w:tab w:leader="none" w:pos="77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20" w:firstLine="606"/>
        <w:spacing w:after="0" w:line="277" w:lineRule="auto"/>
        <w:tabs>
          <w:tab w:leader="none" w:pos="7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60" w:firstLine="606"/>
        <w:spacing w:after="0" w:line="277" w:lineRule="auto"/>
        <w:tabs>
          <w:tab w:leader="none" w:pos="7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00" w:firstLine="570"/>
        <w:spacing w:after="0" w:line="264" w:lineRule="auto"/>
        <w:tabs>
          <w:tab w:leader="none" w:pos="141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180" w:firstLine="570"/>
        <w:spacing w:after="0" w:line="264" w:lineRule="auto"/>
        <w:tabs>
          <w:tab w:leader="none" w:pos="142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300" w:firstLine="570"/>
        <w:spacing w:after="0" w:line="342" w:lineRule="auto"/>
        <w:tabs>
          <w:tab w:leader="none" w:pos="141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00" w:right="260" w:firstLine="570"/>
        <w:spacing w:after="0" w:line="264" w:lineRule="auto"/>
        <w:tabs>
          <w:tab w:leader="none" w:pos="142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20" w:firstLine="606"/>
        <w:spacing w:after="0" w:line="308" w:lineRule="auto"/>
        <w:tabs>
          <w:tab w:leader="none" w:pos="77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520" w:firstLine="570"/>
        <w:spacing w:after="0" w:line="308" w:lineRule="auto"/>
        <w:tabs>
          <w:tab w:leader="none" w:pos="1411"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00" w:right="200" w:firstLine="570"/>
        <w:spacing w:after="0" w:line="277" w:lineRule="auto"/>
        <w:tabs>
          <w:tab w:leader="none" w:pos="1421"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266" w:lineRule="exact"/>
        <w:rPr>
          <w:sz w:val="20"/>
          <w:szCs w:val="20"/>
          <w:color w:val="auto"/>
        </w:rPr>
      </w:pPr>
    </w:p>
    <w:p>
      <w:pPr>
        <w:ind w:left="728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P.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14605</wp:posOffset>
            </wp:positionV>
            <wp:extent cx="23666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2">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Richard P. Shea</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(Principal Financial Officer and Principal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12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In connection with the Annual Report on Form 10-K of Syndax Pharmaceuticals, Inc. (the “Company”) for the year ended December 31, 2017, as filed with the Securities and Exchange Commission on the date hereof (the “Report”), each of the undersigned officers of the Company hereby certifies, pursuant to 18 U.S.C. Section 1350, that to his or her knowledge:</w:t>
      </w:r>
    </w:p>
    <w:p>
      <w:pPr>
        <w:spacing w:after="0" w:line="181" w:lineRule="exact"/>
        <w:rPr>
          <w:sz w:val="20"/>
          <w:szCs w:val="20"/>
          <w:color w:val="auto"/>
        </w:rPr>
      </w:pPr>
    </w:p>
    <w:p>
      <w:pPr>
        <w:ind w:left="860" w:hanging="254"/>
        <w:spacing w:after="0"/>
        <w:tabs>
          <w:tab w:leader="none" w:pos="8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120" w:firstLine="606"/>
        <w:spacing w:after="0" w:line="524" w:lineRule="auto"/>
        <w:tabs>
          <w:tab w:leader="none" w:pos="85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8,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ind w:left="7340"/>
              <w:spacing w:after="0"/>
              <w:rPr>
                <w:sz w:val="20"/>
                <w:szCs w:val="20"/>
                <w:color w:val="auto"/>
              </w:rPr>
            </w:pPr>
            <w:r>
              <w:rPr>
                <w:rFonts w:ascii="Arial" w:cs="Arial" w:eastAsia="Arial" w:hAnsi="Arial"/>
                <w:sz w:val="18"/>
                <w:szCs w:val="18"/>
                <w:color w:val="auto"/>
              </w:rPr>
              <w:t>By</w:t>
            </w: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Briggs W. Morrison, M.D.</w:t>
            </w:r>
          </w:p>
        </w:tc>
      </w:tr>
      <w:tr>
        <w:trPr>
          <w:trHeight w:val="222"/>
        </w:trPr>
        <w:tc>
          <w:tcPr>
            <w:tcW w:w="770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Briggs W. Morrison, M.D.</w:t>
            </w:r>
          </w:p>
        </w:tc>
      </w:tr>
      <w:tr>
        <w:trPr>
          <w:trHeight w:val="230"/>
        </w:trPr>
        <w:tc>
          <w:tcPr>
            <w:tcW w:w="7700" w:type="dxa"/>
            <w:vAlign w:val="bottom"/>
          </w:tcPr>
          <w:p>
            <w:pPr>
              <w:spacing w:after="0"/>
              <w:rPr>
                <w:sz w:val="20"/>
                <w:szCs w:val="20"/>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7700" w:type="dxa"/>
            <w:vAlign w:val="bottom"/>
          </w:tcPr>
          <w:p>
            <w:pPr>
              <w:spacing w:after="0"/>
              <w:rPr>
                <w:sz w:val="20"/>
                <w:szCs w:val="20"/>
                <w:color w:val="auto"/>
              </w:rPr>
            </w:pPr>
            <w:r>
              <w:rPr>
                <w:rFonts w:ascii="Arial" w:cs="Arial" w:eastAsia="Arial" w:hAnsi="Arial"/>
                <w:sz w:val="18"/>
                <w:szCs w:val="18"/>
                <w:color w:val="auto"/>
              </w:rPr>
              <w:t>Date: March 8, 2018</w:t>
            </w: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459"/>
        </w:trPr>
        <w:tc>
          <w:tcPr>
            <w:tcW w:w="7700" w:type="dxa"/>
            <w:vAlign w:val="bottom"/>
          </w:tcPr>
          <w:p>
            <w:pPr>
              <w:ind w:left="732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 Shea</w:t>
            </w:r>
          </w:p>
        </w:tc>
      </w:tr>
      <w:tr>
        <w:trPr>
          <w:trHeight w:val="222"/>
        </w:trPr>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Richard P. Shea</w:t>
            </w:r>
          </w:p>
        </w:tc>
      </w:tr>
      <w:tr>
        <w:trPr>
          <w:trHeight w:val="230"/>
        </w:trPr>
        <w:tc>
          <w:tcPr>
            <w:tcW w:w="7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1)"/>
      <w:numFmt w:val="lowerRoman"/>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1)"/>
      <w:numFmt w:val="decimal"/>
      <w:start w:val="78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1)"/>
      <w:numFmt w:val="decimal"/>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1)"/>
      <w:numFmt w:val="decimal"/>
      <w:start w:val="1"/>
    </w:lvl>
  </w:abstractNum>
  <w:abstractNum w:abstractNumId="47">
    <w:nsid w:val="7DE67713"/>
    <w:multiLevelType w:val="hybridMultilevel"/>
    <w:lvl w:ilvl="0">
      <w:lvlJc w:val="left"/>
      <w:lvlText w:val="•"/>
      <w:numFmt w:val="bullet"/>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1."/>
      <w:numFmt w:val="decimal"/>
      <w:start w:val="3"/>
    </w:lvl>
  </w:abstractNum>
  <w:abstractNum w:abstractNumId="52">
    <w:nsid w:val="71C91298"/>
    <w:multiLevelType w:val="hybridMultilevel"/>
    <w:lvl w:ilvl="0">
      <w:lvlJc w:val="left"/>
      <w:lvlText w:val="(%1)"/>
      <w:numFmt w:val="lowerRoman"/>
      <w:start w:val="1"/>
    </w:lvl>
  </w:abstractNum>
  <w:abstractNum w:abstractNumId="53">
    <w:nsid w:val="9DAF632"/>
    <w:multiLevelType w:val="hybridMultilevel"/>
    <w:lvl w:ilvl="0">
      <w:lvlJc w:val="left"/>
      <w:lvlText w:val="(%1)"/>
      <w:numFmt w:val="decimal"/>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1."/>
      <w:numFmt w:val="upperLetter"/>
      <w:start w:val="1"/>
    </w:lvl>
    <w:lvl w:ilvl="1">
      <w:lvlJc w:val="left"/>
      <w:lvlText w:val="%2."/>
      <w:numFmt w:val="upperLetter"/>
      <w:start w:val="4"/>
    </w:lvl>
  </w:abstractNum>
  <w:abstractNum w:abstractNumId="56">
    <w:nsid w:val="5092CA79"/>
    <w:multiLevelType w:val="hybridMultilevel"/>
    <w:lvl w:ilvl="0">
      <w:lvlJc w:val="left"/>
      <w:lvlText w:val="%1."/>
      <w:numFmt w:val="upperLetter"/>
      <w:start w:val="5"/>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1."/>
      <w:numFmt w:val="upperLetter"/>
      <w:start w:val="1"/>
    </w:lvl>
  </w:abstractNum>
  <w:abstractNum w:abstractNumId="60">
    <w:nsid w:val="2A155DBC"/>
    <w:multiLevelType w:val="hybridMultilevel"/>
    <w:lvl w:ilvl="0">
      <w:lvlJc w:val="left"/>
      <w:lvlText w:val="%1."/>
      <w:numFmt w:val="decimal"/>
      <w:start w:val="1"/>
    </w:lvl>
  </w:abstractNum>
  <w:abstractNum w:abstractNumId="61">
    <w:nsid w:val="1D9F6E5F"/>
    <w:multiLevelType w:val="hybridMultilevel"/>
    <w:lvl w:ilvl="0">
      <w:lvlJc w:val="left"/>
      <w:lvlText w:val="%1."/>
      <w:numFmt w:val="decimal"/>
      <w:start w:val="2"/>
    </w:lvl>
  </w:abstractNum>
  <w:abstractNum w:abstractNumId="62">
    <w:nsid w:val="97E1B4E"/>
    <w:multiLevelType w:val="hybridMultilevel"/>
    <w:lvl w:ilvl="0">
      <w:lvlJc w:val="left"/>
      <w:lvlText w:val="%1."/>
      <w:numFmt w:val="decimal"/>
      <w:start w:val="3"/>
    </w:lvl>
  </w:abstractNum>
  <w:abstractNum w:abstractNumId="63">
    <w:nsid w:val="51088277"/>
    <w:multiLevelType w:val="hybridMultilevel"/>
    <w:lvl w:ilvl="0">
      <w:lvlJc w:val="left"/>
      <w:lvlText w:val="%1."/>
      <w:numFmt w:val="decimal"/>
      <w:start w:val="4"/>
    </w:lvl>
  </w:abstractNum>
  <w:abstractNum w:abstractNumId="64">
    <w:nsid w:val="1CA0C5FA"/>
    <w:multiLevelType w:val="hybridMultilevel"/>
    <w:lvl w:ilvl="0">
      <w:lvlJc w:val="left"/>
      <w:lvlText w:val="%1."/>
      <w:numFmt w:val="decimal"/>
      <w:start w:val="5"/>
    </w:lvl>
  </w:abstractNum>
  <w:abstractNum w:abstractNumId="65">
    <w:nsid w:val="53584BCB"/>
    <w:multiLevelType w:val="hybridMultilevel"/>
    <w:lvl w:ilvl="0">
      <w:lvlJc w:val="left"/>
      <w:lvlText w:val="[*]"/>
      <w:numFmt w:val="bullet"/>
      <w:start w:val="1"/>
    </w:lvl>
    <w:lvl w:ilvl="1">
      <w:lvlJc w:val="left"/>
      <w:lvlText w:val="%2."/>
      <w:numFmt w:val="decimal"/>
      <w:start w:val="6"/>
    </w:lvl>
  </w:abstractNum>
  <w:abstractNum w:abstractNumId="66">
    <w:nsid w:val="415E286C"/>
    <w:multiLevelType w:val="hybridMultilevel"/>
    <w:lvl w:ilvl="0">
      <w:lvlJc w:val="left"/>
      <w:lvlText w:val="%1."/>
      <w:numFmt w:val="decimal"/>
      <w:start w:val="7"/>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1."/>
      <w:numFmt w:val="decimal"/>
      <w:start w:val="8"/>
    </w:lvl>
  </w:abstractNum>
  <w:abstractNum w:abstractNumId="69">
    <w:nsid w:val="45E6D486"/>
    <w:multiLevelType w:val="hybridMultilevel"/>
    <w:lvl w:ilvl="0">
      <w:lvlJc w:val="left"/>
      <w:lvlText w:val="%1."/>
      <w:numFmt w:val="decimal"/>
      <w:start w:val="9"/>
    </w:lvl>
  </w:abstractNum>
  <w:abstractNum w:abstractNumId="70">
    <w:nsid w:val="5C10FE21"/>
    <w:multiLevelType w:val="hybridMultilevel"/>
    <w:lvl w:ilvl="0">
      <w:lvlJc w:val="left"/>
      <w:lvlText w:val="%1."/>
      <w:numFmt w:val="decimal"/>
      <w:start w:val="10"/>
    </w:lvl>
  </w:abstractNum>
  <w:abstractNum w:abstractNumId="71">
    <w:nsid w:val="E7FFA2B"/>
    <w:multiLevelType w:val="hybridMultilevel"/>
    <w:lvl w:ilvl="0">
      <w:lvlJc w:val="left"/>
      <w:lvlText w:val="%1."/>
      <w:numFmt w:val="upperLetter"/>
      <w:start w:val="2"/>
    </w:lvl>
  </w:abstractNum>
  <w:abstractNum w:abstractNumId="72">
    <w:nsid w:val="3C5991AA"/>
    <w:multiLevelType w:val="hybridMultilevel"/>
    <w:lvl w:ilvl="0">
      <w:lvlJc w:val="left"/>
      <w:lvlText w:val="%1."/>
      <w:numFmt w:val="upperLetter"/>
      <w:start w:val="3"/>
    </w:lvl>
  </w:abstractNum>
  <w:abstractNum w:abstractNumId="73">
    <w:nsid w:val="4BD8591A"/>
    <w:multiLevelType w:val="hybridMultilevel"/>
    <w:lvl w:ilvl="0">
      <w:lvlJc w:val="left"/>
      <w:lvlText w:val="%1."/>
      <w:numFmt w:val="upperLetter"/>
      <w:start w:val="4"/>
    </w:lvl>
  </w:abstractNum>
  <w:abstractNum w:abstractNumId="74">
    <w:nsid w:val="78DF6A55"/>
    <w:multiLevelType w:val="hybridMultilevel"/>
    <w:lvl w:ilvl="0">
      <w:lvlJc w:val="left"/>
      <w:lvlText w:val="%1."/>
      <w:numFmt w:val="upperLetter"/>
      <w:start w:val="5"/>
    </w:lvl>
  </w:abstractNum>
  <w:abstractNum w:abstractNumId="75">
    <w:nsid w:val="39B7AAA2"/>
    <w:multiLevelType w:val="hybridMultilevel"/>
    <w:lvl w:ilvl="0">
      <w:lvlJc w:val="left"/>
      <w:lvlText w:val="[*]"/>
      <w:numFmt w:val="bullet"/>
      <w:start w:val="1"/>
    </w:lvl>
  </w:abstractNum>
  <w:abstractNum w:abstractNumId="76">
    <w:nsid w:val="2B0D8DBE"/>
    <w:multiLevelType w:val="hybridMultilevel"/>
    <w:lvl w:ilvl="0">
      <w:lvlJc w:val="left"/>
      <w:lvlText w:val="%1."/>
      <w:numFmt w:val="upperLetter"/>
      <w:start w:val="6"/>
    </w:lvl>
  </w:abstractNum>
  <w:abstractNum w:abstractNumId="77">
    <w:nsid w:val="6C80EC70"/>
    <w:multiLevelType w:val="hybridMultilevel"/>
    <w:lvl w:ilvl="0">
      <w:lvlJc w:val="left"/>
      <w:lvlText w:val="%1."/>
      <w:numFmt w:val="upperLetter"/>
      <w:start w:val="7"/>
    </w:lvl>
  </w:abstractNum>
  <w:abstractNum w:abstractNumId="78">
    <w:nsid w:val="379E21B5"/>
    <w:multiLevelType w:val="hybridMultilevel"/>
    <w:lvl w:ilvl="0">
      <w:lvlJc w:val="left"/>
      <w:lvlText w:val="%1."/>
      <w:numFmt w:val="upperLetter"/>
      <w:start w:val="8"/>
    </w:lvl>
  </w:abstractNum>
  <w:abstractNum w:abstractNumId="79">
    <w:nsid w:val="69E373"/>
    <w:multiLevelType w:val="hybridMultilevel"/>
    <w:lvl w:ilvl="0">
      <w:lvlJc w:val="left"/>
      <w:lvlText w:val="%1."/>
      <w:numFmt w:val="upperLetter"/>
      <w:start w:val="9"/>
    </w:lvl>
  </w:abstractNum>
  <w:abstractNum w:abstractNumId="80">
    <w:nsid w:val="2C27173B"/>
    <w:multiLevelType w:val="hybridMultilevel"/>
    <w:lvl w:ilvl="0">
      <w:lvlJc w:val="left"/>
      <w:lvlText w:val="%1."/>
      <w:numFmt w:val="upperLetter"/>
      <w:start w:val="10"/>
    </w:lvl>
  </w:abstractNum>
  <w:abstractNum w:abstractNumId="81">
    <w:nsid w:val="4C9B0904"/>
    <w:multiLevelType w:val="hybridMultilevel"/>
    <w:lvl w:ilvl="0">
      <w:lvlJc w:val="left"/>
      <w:lvlText w:val="[*]"/>
      <w:numFmt w:val="bullet"/>
      <w:start w:val="1"/>
    </w:lvl>
  </w:abstractNum>
  <w:abstractNum w:abstractNumId="82">
    <w:nsid w:val="6AA7B75C"/>
    <w:multiLevelType w:val="hybridMultilevel"/>
    <w:lvl w:ilvl="0">
      <w:lvlJc w:val="left"/>
      <w:lvlText w:val="[*]"/>
      <w:numFmt w:val="bullet"/>
      <w:start w:val="1"/>
    </w:lvl>
  </w:abstractNum>
  <w:abstractNum w:abstractNumId="83">
    <w:nsid w:val="1DF029D3"/>
    <w:multiLevelType w:val="hybridMultilevel"/>
    <w:lvl w:ilvl="0">
      <w:lvlJc w:val="left"/>
      <w:lvlText w:val="[*]"/>
      <w:numFmt w:val="bullet"/>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
      <w:numFmt w:val="bullet"/>
      <w:start w:val="1"/>
    </w:lvl>
  </w:abstractNum>
  <w:abstractNum w:abstractNumId="86">
    <w:nsid w:val="3DB012B3"/>
    <w:multiLevelType w:val="hybridMultilevel"/>
    <w:lvl w:ilvl="0">
      <w:lvlJc w:val="left"/>
      <w:lvlText w:val="[*]"/>
      <w:numFmt w:val="bullet"/>
      <w:start w:val="1"/>
    </w:lvl>
  </w:abstractNum>
  <w:abstractNum w:abstractNumId="87">
    <w:nsid w:val="2708C9AF"/>
    <w:multiLevelType w:val="hybridMultilevel"/>
    <w:lvl w:ilvl="0">
      <w:lvlJc w:val="left"/>
      <w:lvlText w:val="[*]"/>
      <w:numFmt w:val="bullet"/>
      <w:start w:val="1"/>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
      <w:numFmt w:val="bullet"/>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
      <w:numFmt w:val="bullet"/>
      <w:start w:val="1"/>
    </w:lvl>
  </w:abstractNum>
  <w:abstractNum w:abstractNumId="94">
    <w:nsid w:val="56438D15"/>
    <w:multiLevelType w:val="hybridMultilevel"/>
    <w:lvl w:ilvl="0">
      <w:lvlJc w:val="left"/>
      <w:lvlText w:val="(%1)"/>
      <w:numFmt w:val="lowerLetter"/>
      <w:start w:val="1"/>
    </w:lvl>
  </w:abstractNum>
  <w:abstractNum w:abstractNumId="95">
    <w:nsid w:val="519E3149"/>
    <w:multiLevelType w:val="hybridMultilevel"/>
    <w:lvl w:ilvl="0">
      <w:lvlJc w:val="left"/>
      <w:lvlText w:val="[*]"/>
      <w:numFmt w:val="bullet"/>
      <w:start w:val="1"/>
    </w:lvl>
  </w:abstractNum>
  <w:abstractNum w:abstractNumId="96">
    <w:nsid w:val="2C6E4AFD"/>
    <w:multiLevelType w:val="hybridMultilevel"/>
    <w:lvl w:ilvl="0">
      <w:lvlJc w:val="left"/>
      <w:lvlText w:val="[*]"/>
      <w:numFmt w:val="bullet"/>
      <w:start w:val="1"/>
    </w:lvl>
  </w:abstractNum>
  <w:abstractNum w:abstractNumId="97">
    <w:nsid w:val="17A1B582"/>
    <w:multiLevelType w:val="hybridMultilevel"/>
    <w:lvl w:ilvl="0">
      <w:lvlJc w:val="left"/>
      <w:lvlText w:val="[*]"/>
      <w:numFmt w:val="bullet"/>
      <w:start w:val="1"/>
    </w:lvl>
  </w:abstractNum>
  <w:abstractNum w:abstractNumId="98">
    <w:nsid w:val="4DF72E4E"/>
    <w:multiLevelType w:val="hybridMultilevel"/>
    <w:lvl w:ilvl="0">
      <w:lvlJc w:val="left"/>
      <w:lvlText w:val="(%1)"/>
      <w:numFmt w:val="lowerLetter"/>
      <w:start w:val="3"/>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
      <w:numFmt w:val="bullet"/>
      <w:start w:val="1"/>
    </w:lvl>
  </w:abstractNum>
  <w:abstractNum w:abstractNumId="101">
    <w:nsid w:val="2A082C70"/>
    <w:multiLevelType w:val="hybridMultilevel"/>
    <w:lvl w:ilvl="0">
      <w:lvlJc w:val="left"/>
      <w:lvlText w:val="[*]"/>
      <w:numFmt w:val="bullet"/>
      <w:start w:val="1"/>
    </w:lvl>
  </w:abstractNum>
  <w:abstractNum w:abstractNumId="102">
    <w:nsid w:val="5EC6AFD4"/>
    <w:multiLevelType w:val="hybridMultilevel"/>
    <w:lvl w:ilvl="0">
      <w:lvlJc w:val="left"/>
      <w:lvlText w:val="[*]"/>
      <w:numFmt w:val="bullet"/>
      <w:start w:val="1"/>
    </w:lvl>
  </w:abstractNum>
  <w:abstractNum w:abstractNumId="103">
    <w:nsid w:val="19E21BB2"/>
    <w:multiLevelType w:val="hybridMultilevel"/>
    <w:lvl w:ilvl="0">
      <w:lvlJc w:val="left"/>
      <w:lvlText w:val="[*]"/>
      <w:numFmt w:val="bullet"/>
      <w:start w:val="1"/>
    </w:lvl>
  </w:abstractNum>
  <w:abstractNum w:abstractNumId="104">
    <w:nsid w:val="75E0858A"/>
    <w:multiLevelType w:val="hybridMultilevel"/>
    <w:lvl w:ilvl="0">
      <w:lvlJc w:val="left"/>
      <w:lvlText w:val="[*]"/>
      <w:numFmt w:val="bullet"/>
      <w:start w:val="1"/>
    </w:lvl>
  </w:abstractNum>
  <w:abstractNum w:abstractNumId="105">
    <w:nsid w:val="57A61A29"/>
    <w:multiLevelType w:val="hybridMultilevel"/>
    <w:lvl w:ilvl="0">
      <w:lvlJc w:val="left"/>
      <w:lvlText w:val="[*]"/>
      <w:numFmt w:val="bullet"/>
      <w:start w:val="1"/>
    </w:lvl>
  </w:abstractNum>
  <w:abstractNum w:abstractNumId="106">
    <w:nsid w:val="5399C654"/>
    <w:multiLevelType w:val="hybridMultilevel"/>
    <w:lvl w:ilvl="0">
      <w:lvlJc w:val="left"/>
      <w:lvlText w:val="[*]"/>
      <w:numFmt w:val="bullet"/>
      <w:start w:val="1"/>
    </w:lvl>
  </w:abstractNum>
  <w:abstractNum w:abstractNumId="107">
    <w:nsid w:val="20EE1348"/>
    <w:multiLevelType w:val="hybridMultilevel"/>
    <w:lvl w:ilvl="0">
      <w:lvlJc w:val="left"/>
      <w:lvlText w:val="[*]"/>
      <w:numFmt w:val="bullet"/>
      <w:start w:val="1"/>
    </w:lvl>
  </w:abstractNum>
  <w:abstractNum w:abstractNumId="108">
    <w:nsid w:val="4427069A"/>
    <w:multiLevelType w:val="hybridMultilevel"/>
    <w:lvl w:ilvl="0">
      <w:lvlJc w:val="left"/>
      <w:lvlText w:val="[*]"/>
      <w:numFmt w:val="bullet"/>
      <w:start w:val="1"/>
    </w:lvl>
  </w:abstractNum>
  <w:abstractNum w:abstractNumId="109">
    <w:nsid w:val="B37E80A"/>
    <w:multiLevelType w:val="hybridMultilevel"/>
    <w:lvl w:ilvl="0">
      <w:lvlJc w:val="left"/>
      <w:lvlText w:val="(%1)"/>
      <w:numFmt w:val="lowerLetter"/>
      <w:start w:val="1"/>
    </w:lvl>
  </w:abstractNum>
  <w:abstractNum w:abstractNumId="110">
    <w:nsid w:val="2157F6BC"/>
    <w:multiLevelType w:val="hybridMultilevel"/>
    <w:lvl w:ilvl="0">
      <w:lvlJc w:val="left"/>
      <w:lvlText w:val="[*]"/>
      <w:numFmt w:val="bullet"/>
      <w:start w:val="1"/>
    </w:lvl>
  </w:abstractNum>
  <w:abstractNum w:abstractNumId="111">
    <w:nsid w:val="704E1DD5"/>
    <w:multiLevelType w:val="hybridMultilevel"/>
    <w:lvl w:ilvl="0">
      <w:lvlJc w:val="left"/>
      <w:lvlText w:val="(%1)"/>
      <w:numFmt w:val="lowerLetter"/>
      <w:start w:val="2"/>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
      <w:numFmt w:val="bullet"/>
      <w:start w:val="1"/>
    </w:lvl>
  </w:abstractNum>
  <w:abstractNum w:abstractNumId="114">
    <w:nsid w:val="E3E47A8"/>
    <w:multiLevelType w:val="hybridMultilevel"/>
    <w:lvl w:ilvl="0">
      <w:lvlJc w:val="left"/>
      <w:lvlText w:val="[*]"/>
      <w:numFmt w:val="bullet"/>
      <w:start w:val="1"/>
    </w:lvl>
  </w:abstractNum>
  <w:abstractNum w:abstractNumId="115">
    <w:nsid w:val="2E48F044"/>
    <w:multiLevelType w:val="hybridMultilevel"/>
    <w:lvl w:ilvl="0">
      <w:lvlJc w:val="left"/>
      <w:lvlText w:val="[*]"/>
      <w:numFmt w:val="bullet"/>
      <w:start w:val="1"/>
    </w:lvl>
  </w:abstractNum>
  <w:abstractNum w:abstractNumId="116">
    <w:nsid w:val="49D0FEAC"/>
    <w:multiLevelType w:val="hybridMultilevel"/>
    <w:lvl w:ilvl="0">
      <w:lvlJc w:val="left"/>
      <w:lvlText w:val="[*]"/>
      <w:numFmt w:val="bullet"/>
      <w:start w:val="1"/>
    </w:lvl>
  </w:abstractNum>
  <w:abstractNum w:abstractNumId="117">
    <w:nsid w:val="4BEE5A5B"/>
    <w:multiLevelType w:val="hybridMultilevel"/>
    <w:lvl w:ilvl="0">
      <w:lvlJc w:val="left"/>
      <w:lvlText w:val="(%1)"/>
      <w:numFmt w:val="lowerLetter"/>
      <w:start w:val="1"/>
    </w:lvl>
  </w:abstractNum>
  <w:abstractNum w:abstractNumId="118">
    <w:nsid w:val="5551B9F3"/>
    <w:multiLevelType w:val="hybridMultilevel"/>
    <w:lvl w:ilvl="0">
      <w:lvlJc w:val="left"/>
      <w:lvlText w:val="[*]"/>
      <w:numFmt w:val="bullet"/>
      <w:start w:val="1"/>
    </w:lvl>
  </w:abstractNum>
  <w:abstractNum w:abstractNumId="119">
    <w:nsid w:val="24F6AB8E"/>
    <w:multiLevelType w:val="hybridMultilevel"/>
    <w:lvl w:ilvl="0">
      <w:lvlJc w:val="left"/>
      <w:lvlText w:val="(%1)"/>
      <w:numFmt w:val="lowerLetter"/>
      <w:start w:val="5"/>
    </w:lvl>
  </w:abstractNum>
  <w:abstractNum w:abstractNumId="120">
    <w:nsid w:val="634C574C"/>
    <w:multiLevelType w:val="hybridMultilevel"/>
    <w:lvl w:ilvl="0">
      <w:lvlJc w:val="left"/>
      <w:lvlText w:val="[*]"/>
      <w:numFmt w:val="bullet"/>
      <w:start w:val="1"/>
    </w:lvl>
  </w:abstractNum>
  <w:abstractNum w:abstractNumId="121">
    <w:nsid w:val="24E99DD7"/>
    <w:multiLevelType w:val="hybridMultilevel"/>
    <w:lvl w:ilvl="0">
      <w:lvlJc w:val="left"/>
      <w:lvlText w:val="[*]"/>
      <w:numFmt w:val="bullet"/>
      <w:start w:val="1"/>
    </w:lvl>
  </w:abstractNum>
  <w:abstractNum w:abstractNumId="122">
    <w:nsid w:val="2A31B62D"/>
    <w:multiLevelType w:val="hybridMultilevel"/>
    <w:lvl w:ilvl="0">
      <w:lvlJc w:val="left"/>
      <w:lvlText w:val="(%1)"/>
      <w:numFmt w:val="lowerLetter"/>
      <w:start w:val="1"/>
    </w:lvl>
  </w:abstractNum>
  <w:abstractNum w:abstractNumId="123">
    <w:nsid w:val="1849C29B"/>
    <w:multiLevelType w:val="hybridMultilevel"/>
    <w:lvl w:ilvl="0">
      <w:lvlJc w:val="left"/>
      <w:lvlText w:val="[*]"/>
      <w:numFmt w:val="bullet"/>
      <w:start w:val="1"/>
    </w:lvl>
  </w:abstractNum>
  <w:abstractNum w:abstractNumId="124">
    <w:nsid w:val="7DFF9D09"/>
    <w:multiLevelType w:val="hybridMultilevel"/>
    <w:lvl w:ilvl="0">
      <w:lvlJc w:val="left"/>
      <w:lvlText w:val="[*]"/>
      <w:numFmt w:val="bullet"/>
      <w:start w:val="1"/>
    </w:lvl>
  </w:abstractNum>
  <w:abstractNum w:abstractNumId="125">
    <w:nsid w:val="754342"/>
    <w:multiLevelType w:val="hybridMultilevel"/>
    <w:lvl w:ilvl="0">
      <w:lvlJc w:val="left"/>
      <w:lvlText w:val="[*]"/>
      <w:numFmt w:val="bullet"/>
      <w:start w:val="1"/>
    </w:lvl>
  </w:abstractNum>
  <w:abstractNum w:abstractNumId="126">
    <w:nsid w:val="69E7F3E5"/>
    <w:multiLevelType w:val="hybridMultilevel"/>
    <w:lvl w:ilvl="0">
      <w:lvlJc w:val="left"/>
      <w:lvlText w:val="[*]"/>
      <w:numFmt w:val="bullet"/>
      <w:start w:val="1"/>
    </w:lvl>
  </w:abstractNum>
  <w:abstractNum w:abstractNumId="127">
    <w:nsid w:val="2A6DE806"/>
    <w:multiLevelType w:val="hybridMultilevel"/>
    <w:lvl w:ilvl="0">
      <w:lvlJc w:val="left"/>
      <w:lvlText w:val="[*]"/>
      <w:numFmt w:val="bullet"/>
      <w:start w:val="1"/>
    </w:lvl>
  </w:abstractNum>
  <w:abstractNum w:abstractNumId="128">
    <w:nsid w:val="1816F8C4"/>
    <w:multiLevelType w:val="hybridMultilevel"/>
    <w:lvl w:ilvl="0">
      <w:lvlJc w:val="left"/>
      <w:lvlText w:val="[*]"/>
      <w:numFmt w:val="bullet"/>
      <w:start w:val="1"/>
    </w:lvl>
  </w:abstractNum>
  <w:abstractNum w:abstractNumId="129">
    <w:nsid w:val="37DF2233"/>
    <w:multiLevelType w:val="hybridMultilevel"/>
    <w:lvl w:ilvl="0">
      <w:lvlJc w:val="left"/>
      <w:lvlText w:val="[*]"/>
      <w:numFmt w:val="bullet"/>
      <w:start w:val="1"/>
    </w:lvl>
  </w:abstractNum>
  <w:abstractNum w:abstractNumId="130">
    <w:nsid w:val="7AB49DAF"/>
    <w:multiLevelType w:val="hybridMultilevel"/>
    <w:lvl w:ilvl="0">
      <w:lvlJc w:val="left"/>
      <w:lvlText w:val="[*]"/>
      <w:numFmt w:val="bullet"/>
      <w:start w:val="1"/>
    </w:lvl>
  </w:abstractNum>
  <w:abstractNum w:abstractNumId="131">
    <w:nsid w:val="759F82CD"/>
    <w:multiLevelType w:val="hybridMultilevel"/>
    <w:lvl w:ilvl="0">
      <w:lvlJc w:val="left"/>
      <w:lvlText w:val="(%1)"/>
      <w:numFmt w:val="lowerLetter"/>
      <w:start w:val="1"/>
    </w:lvl>
  </w:abstractNum>
  <w:abstractNum w:abstractNumId="132">
    <w:nsid w:val="61E74EA3"/>
    <w:multiLevelType w:val="hybridMultilevel"/>
    <w:lvl w:ilvl="0">
      <w:lvlJc w:val="left"/>
      <w:lvlText w:val="[*]"/>
      <w:numFmt w:val="bullet"/>
      <w:start w:val="1"/>
    </w:lvl>
  </w:abstractNum>
  <w:abstractNum w:abstractNumId="133">
    <w:nsid w:val="597B4D84"/>
    <w:multiLevelType w:val="hybridMultilevel"/>
    <w:lvl w:ilvl="0">
      <w:lvlJc w:val="left"/>
      <w:lvlText w:val="(%1)"/>
      <w:numFmt w:val="lowerLetter"/>
      <w:start w:val="2"/>
    </w:lvl>
  </w:abstractNum>
  <w:abstractNum w:abstractNumId="134">
    <w:nsid w:val="F819E7F"/>
    <w:multiLevelType w:val="hybridMultilevel"/>
    <w:lvl w:ilvl="0">
      <w:lvlJc w:val="left"/>
      <w:lvlText w:val="[*]"/>
      <w:numFmt w:val="bullet"/>
      <w:start w:val="1"/>
    </w:lvl>
  </w:abstractNum>
  <w:abstractNum w:abstractNumId="135">
    <w:nsid w:val="57C7D42D"/>
    <w:multiLevelType w:val="hybridMultilevel"/>
    <w:lvl w:ilvl="0">
      <w:lvlJc w:val="left"/>
      <w:lvlText w:val="(%1)"/>
      <w:numFmt w:val="lowerLetter"/>
      <w:start w:val="1"/>
    </w:lvl>
  </w:abstractNum>
  <w:abstractNum w:abstractNumId="136">
    <w:nsid w:val="312167AD"/>
    <w:multiLevelType w:val="hybridMultilevel"/>
    <w:lvl w:ilvl="0">
      <w:lvlJc w:val="left"/>
      <w:lvlText w:val="[*]"/>
      <w:numFmt w:val="bullet"/>
      <w:start w:val="1"/>
    </w:lvl>
  </w:abstractNum>
  <w:abstractNum w:abstractNumId="137">
    <w:nsid w:val="631B64D4"/>
    <w:multiLevelType w:val="hybridMultilevel"/>
    <w:lvl w:ilvl="0">
      <w:lvlJc w:val="left"/>
      <w:lvlText w:val="[*]"/>
      <w:numFmt w:val="bullet"/>
      <w:start w:val="1"/>
    </w:lvl>
  </w:abstractNum>
  <w:abstractNum w:abstractNumId="138">
    <w:nsid w:val="78B5E776"/>
    <w:multiLevelType w:val="hybridMultilevel"/>
    <w:lvl w:ilvl="0">
      <w:lvlJc w:val="left"/>
      <w:lvlText w:val="[*]"/>
      <w:numFmt w:val="bullet"/>
      <w:start w:val="1"/>
    </w:lvl>
  </w:abstractNum>
  <w:abstractNum w:abstractNumId="139">
    <w:nsid w:val="75486E47"/>
    <w:multiLevelType w:val="hybridMultilevel"/>
    <w:lvl w:ilvl="0">
      <w:lvlJc w:val="left"/>
      <w:lvlText w:val="(%1)"/>
      <w:numFmt w:val="lowerLetter"/>
      <w:start w:val="4"/>
    </w:lvl>
  </w:abstractNum>
  <w:abstractNum w:abstractNumId="140">
    <w:nsid w:val="6E534CDE"/>
    <w:multiLevelType w:val="hybridMultilevel"/>
    <w:lvl w:ilvl="0">
      <w:lvlJc w:val="left"/>
      <w:lvlText w:val="[*]"/>
      <w:numFmt w:val="bullet"/>
      <w:start w:val="1"/>
    </w:lvl>
  </w:abstractNum>
  <w:abstractNum w:abstractNumId="141">
    <w:nsid w:val="1A0DDE32"/>
    <w:multiLevelType w:val="hybridMultilevel"/>
    <w:lvl w:ilvl="0">
      <w:lvlJc w:val="left"/>
      <w:lvlText w:val="[*]"/>
      <w:numFmt w:val="bullet"/>
      <w:start w:val="1"/>
    </w:lvl>
  </w:abstractNum>
  <w:abstractNum w:abstractNumId="142">
    <w:nsid w:val="65968C1C"/>
    <w:multiLevelType w:val="hybridMultilevel"/>
    <w:lvl w:ilvl="0">
      <w:lvlJc w:val="left"/>
      <w:lvlText w:val="[*]"/>
      <w:numFmt w:val="bullet"/>
      <w:start w:val="1"/>
    </w:lvl>
  </w:abstractNum>
  <w:abstractNum w:abstractNumId="143">
    <w:nsid w:val="46263DEC"/>
    <w:multiLevelType w:val="hybridMultilevel"/>
    <w:lvl w:ilvl="0">
      <w:lvlJc w:val="left"/>
      <w:lvlText w:val="[*]"/>
      <w:numFmt w:val="bullet"/>
      <w:start w:val="1"/>
    </w:lvl>
  </w:abstractNum>
  <w:abstractNum w:abstractNumId="144">
    <w:nsid w:val="260D8C4A"/>
    <w:multiLevelType w:val="hybridMultilevel"/>
    <w:lvl w:ilvl="0">
      <w:lvlJc w:val="left"/>
      <w:lvlText w:val="[*]"/>
      <w:numFmt w:val="bullet"/>
      <w:start w:val="1"/>
    </w:lvl>
  </w:abstractNum>
  <w:abstractNum w:abstractNumId="145">
    <w:nsid w:val="73D4D3C4"/>
    <w:multiLevelType w:val="hybridMultilevel"/>
    <w:lvl w:ilvl="0">
      <w:lvlJc w:val="left"/>
      <w:lvlText w:val="[*]"/>
      <w:numFmt w:val="bullet"/>
      <w:start w:val="1"/>
    </w:lvl>
  </w:abstractNum>
  <w:abstractNum w:abstractNumId="146">
    <w:nsid w:val="746F2E30"/>
    <w:multiLevelType w:val="hybridMultilevel"/>
    <w:lvl w:ilvl="0">
      <w:lvlJc w:val="left"/>
      <w:lvlText w:val="[*]"/>
      <w:numFmt w:val="bullet"/>
      <w:start w:val="1"/>
    </w:lvl>
  </w:abstractNum>
  <w:abstractNum w:abstractNumId="147">
    <w:nsid w:val="6FDE8AF6"/>
    <w:multiLevelType w:val="hybridMultilevel"/>
    <w:lvl w:ilvl="0">
      <w:lvlJc w:val="left"/>
      <w:lvlText w:val="[*]"/>
      <w:numFmt w:val="bullet"/>
      <w:start w:val="1"/>
    </w:lvl>
  </w:abstractNum>
  <w:abstractNum w:abstractNumId="148">
    <w:nsid w:val="3FC32E20"/>
    <w:multiLevelType w:val="hybridMultilevel"/>
    <w:lvl w:ilvl="0">
      <w:lvlJc w:val="left"/>
      <w:lvlText w:val="[*]"/>
      <w:numFmt w:val="bullet"/>
      <w:start w:val="1"/>
    </w:lvl>
  </w:abstractNum>
  <w:abstractNum w:abstractNumId="149">
    <w:nsid w:val="49C0E823"/>
    <w:multiLevelType w:val="hybridMultilevel"/>
    <w:lvl w:ilvl="0">
      <w:lvlJc w:val="left"/>
      <w:lvlText w:val="[*]"/>
      <w:numFmt w:val="bullet"/>
      <w:start w:val="1"/>
    </w:lvl>
  </w:abstractNum>
  <w:abstractNum w:abstractNumId="150">
    <w:nsid w:val="14D53685"/>
    <w:multiLevelType w:val="hybridMultilevel"/>
    <w:lvl w:ilvl="0">
      <w:lvlJc w:val="left"/>
      <w:lvlText w:val="[*]"/>
      <w:numFmt w:val="bullet"/>
      <w:start w:val="1"/>
    </w:lvl>
  </w:abstractNum>
  <w:abstractNum w:abstractNumId="151">
    <w:nsid w:val="230F856C"/>
    <w:multiLevelType w:val="hybridMultilevel"/>
    <w:lvl w:ilvl="0">
      <w:lvlJc w:val="left"/>
      <w:lvlText w:val="[*]"/>
      <w:numFmt w:val="bullet"/>
      <w:start w:val="1"/>
    </w:lvl>
  </w:abstractNum>
  <w:abstractNum w:abstractNumId="152">
    <w:nsid w:val="6EAA85FB"/>
    <w:multiLevelType w:val="hybridMultilevel"/>
    <w:lvl w:ilvl="0">
      <w:lvlJc w:val="left"/>
      <w:lvlText w:val="[*]"/>
      <w:numFmt w:val="bullet"/>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lvl w:ilvl="1">
      <w:lvlJc w:val="left"/>
      <w:lvlText w:val="(%2)"/>
      <w:numFmt w:val="lowerLetter"/>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180" Type="http://schemas.openxmlformats.org/officeDocument/2006/relationships/image" Target="media/image118.png"/><Relationship Id="rId181" Type="http://schemas.openxmlformats.org/officeDocument/2006/relationships/image" Target="media/image119.png"/><Relationship Id="rId182" Type="http://schemas.openxmlformats.org/officeDocument/2006/relationships/image" Target="media/image120.png"/><Relationship Id="rId183" Type="http://schemas.openxmlformats.org/officeDocument/2006/relationships/image" Target="media/image121.png"/><Relationship Id="rId184" Type="http://schemas.openxmlformats.org/officeDocument/2006/relationships/image" Target="media/image122.png"/><Relationship Id="rId185" Type="http://schemas.openxmlformats.org/officeDocument/2006/relationships/image" Target="media/image123.png"/><Relationship Id="rId186" Type="http://schemas.openxmlformats.org/officeDocument/2006/relationships/image" Target="media/image124.png"/><Relationship Id="rId187" Type="http://schemas.openxmlformats.org/officeDocument/2006/relationships/image" Target="media/image125.png"/><Relationship Id="rId188" Type="http://schemas.openxmlformats.org/officeDocument/2006/relationships/image" Target="media/image126.png"/><Relationship Id="rId189" Type="http://schemas.openxmlformats.org/officeDocument/2006/relationships/image" Target="media/image127.png"/><Relationship Id="rId190" Type="http://schemas.openxmlformats.org/officeDocument/2006/relationships/image" Target="media/image128.png"/><Relationship Id="rId191" Type="http://schemas.openxmlformats.org/officeDocument/2006/relationships/image" Target="media/image129.png"/><Relationship Id="rId192" Type="http://schemas.openxmlformats.org/officeDocument/2006/relationships/image" Target="media/image130.png"/><Relationship Id="rId193" Type="http://schemas.openxmlformats.org/officeDocument/2006/relationships/image" Target="media/image131.png"/><Relationship Id="rId194" Type="http://schemas.openxmlformats.org/officeDocument/2006/relationships/image" Target="media/image132.png"/><Relationship Id="rId195" Type="http://schemas.openxmlformats.org/officeDocument/2006/relationships/image" Target="media/image133.png"/><Relationship Id="rId196" Type="http://schemas.openxmlformats.org/officeDocument/2006/relationships/image" Target="media/image134.png"/><Relationship Id="rId197" Type="http://schemas.openxmlformats.org/officeDocument/2006/relationships/image" Target="media/image135.png"/><Relationship Id="rId198" Type="http://schemas.openxmlformats.org/officeDocument/2006/relationships/image" Target="media/image136.png"/><Relationship Id="rId199" Type="http://schemas.openxmlformats.org/officeDocument/2006/relationships/image" Target="media/image137.png"/><Relationship Id="rId200" Type="http://schemas.openxmlformats.org/officeDocument/2006/relationships/image" Target="media/image138.png"/><Relationship Id="rId201" Type="http://schemas.openxmlformats.org/officeDocument/2006/relationships/image" Target="media/image139.png"/><Relationship Id="rId202" Type="http://schemas.openxmlformats.org/officeDocument/2006/relationships/image" Target="media/image140.png"/><Relationship Id="rId203" Type="http://schemas.openxmlformats.org/officeDocument/2006/relationships/image" Target="media/image141.png"/><Relationship Id="rId204"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208"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218" Type="http://schemas.openxmlformats.org/officeDocument/2006/relationships/image" Target="media/image156.png"/><Relationship Id="rId219" Type="http://schemas.openxmlformats.org/officeDocument/2006/relationships/image" Target="media/image157.png"/><Relationship Id="rId220" Type="http://schemas.openxmlformats.org/officeDocument/2006/relationships/image" Target="media/image158.png"/><Relationship Id="rId221" Type="http://schemas.openxmlformats.org/officeDocument/2006/relationships/image" Target="media/image159.png"/><Relationship Id="rId222" Type="http://schemas.openxmlformats.org/officeDocument/2006/relationships/image" Target="media/image160.png"/><Relationship Id="rId223" Type="http://schemas.openxmlformats.org/officeDocument/2006/relationships/image" Target="media/image161.png"/><Relationship Id="rId224" Type="http://schemas.openxmlformats.org/officeDocument/2006/relationships/image" Target="media/image162.png"/><Relationship Id="rId225" Type="http://schemas.openxmlformats.org/officeDocument/2006/relationships/image" Target="media/image163.png"/><Relationship Id="rId226" Type="http://schemas.openxmlformats.org/officeDocument/2006/relationships/image" Target="media/image164.png"/><Relationship Id="rId227" Type="http://schemas.openxmlformats.org/officeDocument/2006/relationships/image" Target="media/image165.png"/><Relationship Id="rId228" Type="http://schemas.openxmlformats.org/officeDocument/2006/relationships/image" Target="media/image166.png"/><Relationship Id="rId229" Type="http://schemas.openxmlformats.org/officeDocument/2006/relationships/image" Target="media/image167.png"/><Relationship Id="rId23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33"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276"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79" Type="http://schemas.openxmlformats.org/officeDocument/2006/relationships/image" Target="media/image217.png"/><Relationship Id="rId280" Type="http://schemas.openxmlformats.org/officeDocument/2006/relationships/image" Target="media/image218.png"/><Relationship Id="rId281" Type="http://schemas.openxmlformats.org/officeDocument/2006/relationships/image" Target="media/image219.png"/><Relationship Id="rId282" Type="http://schemas.openxmlformats.org/officeDocument/2006/relationships/image" Target="media/image220.png"/><Relationship Id="rId283" Type="http://schemas.openxmlformats.org/officeDocument/2006/relationships/image" Target="media/image221.png"/><Relationship Id="rId284" Type="http://schemas.openxmlformats.org/officeDocument/2006/relationships/image" Target="media/image222.png"/><Relationship Id="rId285" Type="http://schemas.openxmlformats.org/officeDocument/2006/relationships/image" Target="media/image223.png"/><Relationship Id="rId286" Type="http://schemas.openxmlformats.org/officeDocument/2006/relationships/image" Target="media/image224.png"/><Relationship Id="rId287" Type="http://schemas.openxmlformats.org/officeDocument/2006/relationships/image" Target="media/image225.png"/><Relationship Id="rId288" Type="http://schemas.openxmlformats.org/officeDocument/2006/relationships/image" Target="media/image226.png"/><Relationship Id="rId289" Type="http://schemas.openxmlformats.org/officeDocument/2006/relationships/image" Target="media/image227.png"/><Relationship Id="rId290" Type="http://schemas.openxmlformats.org/officeDocument/2006/relationships/image" Target="media/image228.png"/><Relationship Id="rId291" Type="http://schemas.openxmlformats.org/officeDocument/2006/relationships/image" Target="media/image229.png"/><Relationship Id="rId292" Type="http://schemas.openxmlformats.org/officeDocument/2006/relationships/image" Target="media/image230.png"/><Relationship Id="rId117" Type="http://schemas.openxmlformats.org/officeDocument/2006/relationships/hyperlink" Target="http://www.sec.gov/Archives/edgar/data/1395937/000119312516496764/d119516dex31.htm" TargetMode="External"/><Relationship Id="rId118" Type="http://schemas.openxmlformats.org/officeDocument/2006/relationships/hyperlink" Target="http://www.sec.gov/Archives/edgar/data/1395937/000119312516496764/d119516dex32.htm" TargetMode="External"/><Relationship Id="rId121" Type="http://schemas.openxmlformats.org/officeDocument/2006/relationships/hyperlink" Target="http://www.sec.gov/Archives/edgar/data/1395937/000119312516457615/d117131dex41.htm" TargetMode="External"/><Relationship Id="rId122" Type="http://schemas.openxmlformats.org/officeDocument/2006/relationships/hyperlink" Target="http://www.sec.gov/Archives/edgar/data/1395937/000119312516420122/d39288dex42.htm" TargetMode="External"/><Relationship Id="rId123" Type="http://schemas.openxmlformats.org/officeDocument/2006/relationships/hyperlink" Target="http://www.sec.gov/Archives/edgar/data/1395937/000119312517113521/d370158dex45.htm" TargetMode="External"/><Relationship Id="rId124" Type="http://schemas.openxmlformats.org/officeDocument/2006/relationships/hyperlink" Target="http://www.sec.gov/Archives/edgar/data/1395937/000119312517113521/d370158dex47.htm" TargetMode="External"/><Relationship Id="rId125" Type="http://schemas.openxmlformats.org/officeDocument/2006/relationships/hyperlink" Target="http://www.sec.gov/Archives/edgar/data/1395937/000119312517113521/d370158dex49.htm" TargetMode="External"/><Relationship Id="rId126" Type="http://schemas.openxmlformats.org/officeDocument/2006/relationships/hyperlink" Target="http://www.sec.gov/Archives/edgar/data/1395937/000119312517113521/d370158dex48.htm" TargetMode="External"/><Relationship Id="rId127" Type="http://schemas.openxmlformats.org/officeDocument/2006/relationships/hyperlink" Target="http://www.sec.gov/Archives/edgar/data/1395937/000119312516420122/d39288dex102.htm" TargetMode="External"/><Relationship Id="rId128" Type="http://schemas.openxmlformats.org/officeDocument/2006/relationships/hyperlink" Target="http://www.sec.gov/Archives/edgar/data/1395937/000119312516420122/d39288dex103.htm" TargetMode="External"/><Relationship Id="rId129" Type="http://schemas.openxmlformats.org/officeDocument/2006/relationships/hyperlink" Target="http://www.sec.gov/Archives/edgar/data/1395937/000119312516420122/d39288dex104.htm" TargetMode="External"/><Relationship Id="rId130" Type="http://schemas.openxmlformats.org/officeDocument/2006/relationships/hyperlink" Target="http://www.sec.gov/Archives/edgar/data/1395937/000119312516420122/d39288dex105.htm" TargetMode="External"/><Relationship Id="rId131" Type="http://schemas.openxmlformats.org/officeDocument/2006/relationships/hyperlink" Target="http://www.sec.gov/Archives/edgar/data/1395937/000119312516420122/d39288dex106.htm" TargetMode="External"/><Relationship Id="rId132" Type="http://schemas.openxmlformats.org/officeDocument/2006/relationships/hyperlink" Target="http://www.sec.gov/Archives/edgar/data/1395937/000119312516420122/d39288dex107.htm" TargetMode="External"/><Relationship Id="rId133" Type="http://schemas.openxmlformats.org/officeDocument/2006/relationships/hyperlink" Target="http://www.sec.gov/Archives/edgar/data/1395937/000119312516420122/d39288dex108.htm" TargetMode="External"/><Relationship Id="rId134" Type="http://schemas.openxmlformats.org/officeDocument/2006/relationships/hyperlink" Target="http://www.sec.gov/Archives/edgar/data/1395937/000119312516420122/d39288dex109.htm" TargetMode="External"/><Relationship Id="rId135" Type="http://schemas.openxmlformats.org/officeDocument/2006/relationships/hyperlink" Target="http://www.sec.gov/Archives/edgar/data/1395937/000119312516420122/d39288dex1010.htm" TargetMode="External"/><Relationship Id="rId138" Type="http://schemas.openxmlformats.org/officeDocument/2006/relationships/hyperlink" Target="http://www.sec.gov/Archives/edgar/data/1395937/000119312516420122/d39288dex1011.htm" TargetMode="External"/><Relationship Id="rId139" Type="http://schemas.openxmlformats.org/officeDocument/2006/relationships/hyperlink" Target="http://www.sec.gov/Archives/edgar/data/1395937/000119312516518181/d166957dex413.htm" TargetMode="External"/><Relationship Id="rId140" Type="http://schemas.openxmlformats.org/officeDocument/2006/relationships/hyperlink" Target="http://www.sec.gov/Archives/edgar/data/1395937/000119312516420122/d39288dex1013.htm" TargetMode="External"/><Relationship Id="rId141" Type="http://schemas.openxmlformats.org/officeDocument/2006/relationships/hyperlink" Target="http://www.sec.gov/Archives/edgar/data/1395937/000119312516420122/d39288dex1014.htm" TargetMode="External"/><Relationship Id="rId142" Type="http://schemas.openxmlformats.org/officeDocument/2006/relationships/hyperlink" Target="http://www.sec.gov/Archives/edgar/data/1395937/000119312516518181/d166957dex416.htm" TargetMode="External"/><Relationship Id="rId143" Type="http://schemas.openxmlformats.org/officeDocument/2006/relationships/hyperlink" Target="http://www.sec.gov/Archives/edgar/data/1395937/000119312516420122/d39288dex1016.htm" TargetMode="External"/><Relationship Id="rId144" Type="http://schemas.openxmlformats.org/officeDocument/2006/relationships/hyperlink" Target="http://www.sec.gov/Archives/edgar/data/1395937/000119312516420122/d39288dex1017.htm" TargetMode="External"/><Relationship Id="rId145" Type="http://schemas.openxmlformats.org/officeDocument/2006/relationships/hyperlink" Target="http://www.sec.gov/Archives/edgar/data/1395937/000119312516420122/d39288dex1018.htm" TargetMode="External"/><Relationship Id="rId146" Type="http://schemas.openxmlformats.org/officeDocument/2006/relationships/hyperlink" Target="http://www.sec.gov/Archives/edgar/data/0001395937/000119312517254597/d377935dex101.htm" TargetMode="External"/><Relationship Id="rId147" Type="http://schemas.openxmlformats.org/officeDocument/2006/relationships/hyperlink" Target="http://www.sec.gov/Archives/edgar/data/1395937/000119312516420122/d39288dex1021.htm" TargetMode="External"/><Relationship Id="rId148" Type="http://schemas.openxmlformats.org/officeDocument/2006/relationships/hyperlink" Target="http://www.sec.gov/Archives/edgar/data/1395937/000119312516420122/d39288dex1022.htm" TargetMode="External"/><Relationship Id="rId149" Type="http://schemas.openxmlformats.org/officeDocument/2006/relationships/hyperlink" Target="http://www.sec.gov/Archives/edgar/data/1395937/000119312516420122/d39288dex1023.htm" TargetMode="External"/><Relationship Id="rId150" Type="http://schemas.openxmlformats.org/officeDocument/2006/relationships/hyperlink" Target="http://www.sec.gov/Archives/edgar/data/1395937/000119312516420122/d39288dex1024.htm" TargetMode="External"/><Relationship Id="rId151" Type="http://schemas.openxmlformats.org/officeDocument/2006/relationships/hyperlink" Target="http://www.sec.gov/Archives/edgar/data/1395937/000119312516420122/d39288dex1025.htm" TargetMode="External"/><Relationship Id="rId154" Type="http://schemas.openxmlformats.org/officeDocument/2006/relationships/hyperlink" Target="http://www.sec.gov/Archives/edgar/data/1395937/000119312516420122/d39288dex1026.htm" TargetMode="External"/><Relationship Id="rId155" Type="http://schemas.openxmlformats.org/officeDocument/2006/relationships/hyperlink" Target="http://www.sec.gov/Archives/edgar/data/1395937/000119312516420122/d39288dex1027.htm" TargetMode="External"/><Relationship Id="rId156" Type="http://schemas.openxmlformats.org/officeDocument/2006/relationships/hyperlink" Target="http://www.sec.gov/Archives/edgar/data/1395937/000119312516420122/d39288dex1028.htm" TargetMode="External"/><Relationship Id="rId157" Type="http://schemas.openxmlformats.org/officeDocument/2006/relationships/hyperlink" Target="http://www.sec.gov/Archives/edgar/data/1395937/000119312516470686/d117131dex1037.htm" TargetMode="External"/><Relationship Id="rId158" Type="http://schemas.openxmlformats.org/officeDocument/2006/relationships/hyperlink" Target="http://www.sec.gov/Archives/edgar/data/1395937/000119312516681546/d225217dex101.htm" TargetMode="External"/><Relationship Id="rId159" Type="http://schemas.openxmlformats.org/officeDocument/2006/relationships/hyperlink" Target="http://www.sec.gov/Archives/edgar/data/1395937/000119312516681546/d225217dex102.htm" TargetMode="External"/><Relationship Id="rId160" Type="http://schemas.openxmlformats.org/officeDocument/2006/relationships/hyperlink" Target="http://www.sec.gov/Archives/edgar/data/1395937/000119312516681546/d225217dex103.htm" TargetMode="External"/><Relationship Id="rId161" Type="http://schemas.openxmlformats.org/officeDocument/2006/relationships/hyperlink" Target="http://www.sec.gov/Archives/edgar/data/1395937/000119312516681546/d225217dex104.htm" TargetMode="External"/><Relationship Id="rId162" Type="http://schemas.openxmlformats.org/officeDocument/2006/relationships/hyperlink" Target="http://www.sec.gov/Archives/edgar/data/0001395937/000119312517163872/d380147dex101.htm" TargetMode="External"/><Relationship Id="rId163" Type="http://schemas.openxmlformats.org/officeDocument/2006/relationships/hyperlink" Target="http://www.sec.gov/Archives/edgar/data/0001395937/000119312517163872/d380147dex103.htm" TargetMode="External"/><Relationship Id="rId164" Type="http://schemas.openxmlformats.org/officeDocument/2006/relationships/hyperlink" Target="http://www.sec.gov/Archives/edgar/data/1395937/000119312516420122/d39288dex1032.htm" TargetMode="External"/><Relationship Id="rId165" Type="http://schemas.openxmlformats.org/officeDocument/2006/relationships/hyperlink" Target="http://www.sec.gov/Archives/edgar/data/1395937/000119312516470686/d117131dex1038.htm" TargetMode="External"/><Relationship Id="rId166" Type="http://schemas.openxmlformats.org/officeDocument/2006/relationships/hyperlink" Target="http://www.sec.gov/Archives/edgar/data/0001395937/000119312517254597/d377935dex102.htm" TargetMode="External"/><Relationship Id="rId169" Type="http://schemas.openxmlformats.org/officeDocument/2006/relationships/hyperlink" Target="http://www.sec.gov/Archives/edgar/data/1395937/000119312516420122/d39288dex1033.htm" TargetMode="External"/><Relationship Id="rId170" Type="http://schemas.openxmlformats.org/officeDocument/2006/relationships/hyperlink" Target="http://www.sec.gov/Archives/edgar/data/1395937/000119312516420122/d39288dex1034.htm" TargetMode="External"/><Relationship Id="rId171" Type="http://schemas.openxmlformats.org/officeDocument/2006/relationships/hyperlink" Target="http://www.sec.gov/Archives/edgar/data/1395937/000119312516470686/d117131dex1039.htm" TargetMode="External"/><Relationship Id="rId172" Type="http://schemas.openxmlformats.org/officeDocument/2006/relationships/hyperlink" Target="http://www.sec.gov/Archives/edgar/data/0001395937/000119312517163872/d380147dex102.htm" TargetMode="External"/><Relationship Id="rId173" Type="http://schemas.openxmlformats.org/officeDocument/2006/relationships/hyperlink" Target="http://www.sec.gov/Archives/edgar/data/1395937/000119312516420122/d39288dex1035.htm" TargetMode="External"/><Relationship Id="rId174" Type="http://schemas.openxmlformats.org/officeDocument/2006/relationships/hyperlink" Target="http://www.sec.gov/Archives/edgar/data/1395937/000119312516426578/d39288dex1036.htm" TargetMode="External"/><Relationship Id="rId175" Type="http://schemas.openxmlformats.org/officeDocument/2006/relationships/hyperlink" Target="http://www.sec.gov/Archives/edgar/data/1395937/000119312516733845/d250701dex101.htm" TargetMode="External"/><Relationship Id="rId176" Type="http://schemas.openxmlformats.org/officeDocument/2006/relationships/hyperlink" Target="http://www.sec.gov/Archives/edgar/data/0001395937/000119312517163872/d380147dex104.htm" TargetMode="External"/><Relationship Id="rId177" Type="http://schemas.openxmlformats.org/officeDocument/2006/relationships/hyperlink" Target="http://www.sec.gov/Archives/edgar/data/1395937/000119312516420122/d39288dex101.htm" TargetMode="External"/><Relationship Id="rId178" Type="http://schemas.openxmlformats.org/officeDocument/2006/relationships/hyperlink" Target="http://www.sec.gov/Archives/edgar/data/0001395937/000119312517315523/d466476dex101.htm" TargetMode="External"/><Relationship Id="rId179" Type="http://schemas.openxmlformats.org/officeDocument/2006/relationships/hyperlink" Target="http://www.sec.gov/Archives/edgar/data/1395937/000119312516420122/d3928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2019-12-28T23:22:55Z</dcterms:created>
  <dcterms:modified xsi:type="dcterms:W3CDTF">2019-12-28T23:22:55Z</dcterms:modified>
</cp:coreProperties>
</file>