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2023</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3640455</wp:posOffset>
            </wp:positionH>
            <wp:positionV relativeFrom="paragraph">
              <wp:posOffset>-4445</wp:posOffset>
            </wp:positionV>
            <wp:extent cx="539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Syndax Pharmaceuticals, Inc.</w:t>
      </w:r>
    </w:p>
    <w:p>
      <w:pPr>
        <w:spacing w:after="0" w:line="4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tbl>
      <w:tblPr>
        <w:tblLayout w:type="fixed"/>
        <w:tblInd w:w="1440" w:type="dxa"/>
        <w:tblCellMar>
          <w:top w:w="0" w:type="dxa"/>
          <w:left w:w="0" w:type="dxa"/>
          <w:bottom w:w="0" w:type="dxa"/>
          <w:right w:w="0" w:type="dxa"/>
        </w:tblCellMar>
      </w:tblPr>
      <w:tr>
        <w:trPr>
          <w:trHeight w:val="210"/>
        </w:trPr>
        <w:tc>
          <w:tcPr>
            <w:tcW w:w="6140" w:type="dxa"/>
            <w:vAlign w:val="bottom"/>
          </w:tcPr>
          <w:p>
            <w:pPr>
              <w:jc w:val="center"/>
              <w:ind w:right="3324"/>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jc w:val="right"/>
              <w:ind w:right="104"/>
              <w:spacing w:after="0"/>
              <w:rPr>
                <w:sz w:val="20"/>
                <w:szCs w:val="20"/>
                <w:color w:val="auto"/>
              </w:rPr>
            </w:pPr>
            <w:r>
              <w:rPr>
                <w:rFonts w:ascii="Arial" w:cs="Arial" w:eastAsia="Arial" w:hAnsi="Arial"/>
                <w:sz w:val="16"/>
                <w:szCs w:val="16"/>
                <w:b w:val="1"/>
                <w:bCs w:val="1"/>
                <w:color w:val="auto"/>
              </w:rPr>
              <w:t>32-0162505</w:t>
            </w:r>
          </w:p>
        </w:tc>
      </w:tr>
      <w:tr>
        <w:trPr>
          <w:trHeight w:val="159"/>
        </w:trPr>
        <w:tc>
          <w:tcPr>
            <w:tcW w:w="6140" w:type="dxa"/>
            <w:vAlign w:val="bottom"/>
          </w:tcPr>
          <w:p>
            <w:pPr>
              <w:jc w:val="center"/>
              <w:ind w:right="3324"/>
              <w:spacing w:after="0" w:line="15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04"/>
              <w:spacing w:after="0" w:line="15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40" w:type="dxa"/>
            <w:vAlign w:val="bottom"/>
          </w:tcPr>
          <w:p>
            <w:pPr>
              <w:jc w:val="center"/>
              <w:ind w:right="3324"/>
              <w:spacing w:after="0"/>
              <w:rPr>
                <w:sz w:val="20"/>
                <w:szCs w:val="20"/>
                <w:color w:val="auto"/>
              </w:rPr>
            </w:pPr>
            <w:r>
              <w:rPr>
                <w:rFonts w:ascii="Arial" w:cs="Arial" w:eastAsia="Arial" w:hAnsi="Arial"/>
                <w:sz w:val="14"/>
                <w:szCs w:val="14"/>
                <w:b w:val="1"/>
                <w:bCs w:val="1"/>
                <w:color w:val="auto"/>
                <w:w w:val="95"/>
              </w:rPr>
              <w:t>Incorporation or Organization)</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6"/>
              </w:rPr>
              <w:t>Identification No.)</w:t>
            </w:r>
          </w:p>
        </w:tc>
      </w:tr>
      <w:tr>
        <w:trPr>
          <w:trHeight w:val="430"/>
        </w:trPr>
        <w:tc>
          <w:tcPr>
            <w:tcW w:w="6140" w:type="dxa"/>
            <w:vAlign w:val="bottom"/>
          </w:tcPr>
          <w:p>
            <w:pPr>
              <w:jc w:val="center"/>
              <w:ind w:right="3304"/>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420" w:type="dxa"/>
            <w:vAlign w:val="bottom"/>
          </w:tcPr>
          <w:p>
            <w:pPr>
              <w:spacing w:after="0"/>
              <w:rPr>
                <w:sz w:val="24"/>
                <w:szCs w:val="24"/>
                <w:color w:val="auto"/>
              </w:rPr>
            </w:pPr>
          </w:p>
        </w:tc>
      </w:tr>
      <w:tr>
        <w:trPr>
          <w:trHeight w:val="224"/>
        </w:trPr>
        <w:tc>
          <w:tcPr>
            <w:tcW w:w="6140" w:type="dxa"/>
            <w:vAlign w:val="bottom"/>
          </w:tcPr>
          <w:p>
            <w:pPr>
              <w:jc w:val="center"/>
              <w:ind w:right="3304"/>
              <w:spacing w:after="0"/>
              <w:rPr>
                <w:sz w:val="20"/>
                <w:szCs w:val="20"/>
                <w:color w:val="auto"/>
              </w:rPr>
            </w:pPr>
            <w:r>
              <w:rPr>
                <w:rFonts w:ascii="Arial" w:cs="Arial" w:eastAsia="Arial" w:hAnsi="Arial"/>
                <w:sz w:val="16"/>
                <w:szCs w:val="16"/>
                <w:b w:val="1"/>
                <w:bCs w:val="1"/>
                <w:color w:val="auto"/>
                <w:w w:val="90"/>
              </w:rPr>
              <w:t>Waltham, Massachusetts</w:t>
            </w:r>
          </w:p>
        </w:tc>
        <w:tc>
          <w:tcPr>
            <w:tcW w:w="142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97"/>
        </w:trPr>
        <w:tc>
          <w:tcPr>
            <w:tcW w:w="6140" w:type="dxa"/>
            <w:vAlign w:val="bottom"/>
          </w:tcPr>
          <w:p>
            <w:pPr>
              <w:jc w:val="center"/>
              <w:ind w:right="332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6140" w:type="dxa"/>
            <w:vAlign w:val="bottom"/>
          </w:tcPr>
          <w:p>
            <w:pPr>
              <w:jc w:val="right"/>
              <w:ind w:right="1404"/>
              <w:spacing w:after="0"/>
              <w:rPr>
                <w:sz w:val="20"/>
                <w:szCs w:val="20"/>
                <w:color w:val="auto"/>
              </w:rPr>
            </w:pPr>
            <w:r>
              <w:rPr>
                <w:rFonts w:ascii="Arial" w:cs="Arial" w:eastAsia="Arial" w:hAnsi="Arial"/>
                <w:sz w:val="16"/>
                <w:szCs w:val="16"/>
                <w:b w:val="1"/>
                <w:bCs w:val="1"/>
                <w:color w:val="auto"/>
              </w:rPr>
              <w:t>(781) 419-1400</w:t>
            </w:r>
          </w:p>
        </w:tc>
        <w:tc>
          <w:tcPr>
            <w:tcW w:w="1420" w:type="dxa"/>
            <w:vAlign w:val="bottom"/>
          </w:tcPr>
          <w:p>
            <w:pPr>
              <w:spacing w:after="0"/>
              <w:rPr>
                <w:sz w:val="24"/>
                <w:szCs w:val="24"/>
                <w:color w:val="auto"/>
              </w:rPr>
            </w:pPr>
          </w:p>
        </w:tc>
      </w:tr>
      <w:tr>
        <w:trPr>
          <w:trHeight w:val="186"/>
        </w:trPr>
        <w:tc>
          <w:tcPr>
            <w:tcW w:w="6140" w:type="dxa"/>
            <w:vAlign w:val="bottom"/>
          </w:tcPr>
          <w:p>
            <w:pPr>
              <w:jc w:val="center"/>
              <w:ind w:left="210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17780</wp:posOffset>
            </wp:positionV>
            <wp:extent cx="426021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0215" cy="163195"/>
                    </a:xfrm>
                    <a:prstGeom prst="rect">
                      <a:avLst/>
                    </a:prstGeom>
                    <a:noFill/>
                  </pic:spPr>
                </pic:pic>
              </a:graphicData>
            </a:graphic>
          </wp:anchor>
        </w:drawing>
      </w:r>
    </w:p>
    <w:p>
      <w:pPr>
        <w:spacing w:after="0" w:line="2" w:lineRule="exact"/>
        <w:rPr>
          <w:sz w:val="24"/>
          <w:szCs w:val="24"/>
          <w:color w:val="auto"/>
        </w:rPr>
      </w:pPr>
    </w:p>
    <w:tbl>
      <w:tblPr>
        <w:tblLayout w:type="fixed"/>
        <w:tblInd w:w="590" w:type="dxa"/>
        <w:tblCellMar>
          <w:top w:w="0" w:type="dxa"/>
          <w:left w:w="0" w:type="dxa"/>
          <w:bottom w:w="0" w:type="dxa"/>
          <w:right w:w="0" w:type="dxa"/>
        </w:tblCellMar>
      </w:tblPr>
      <w:tr>
        <w:trPr>
          <w:trHeight w:val="243"/>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-153670</wp:posOffset>
            </wp:positionV>
            <wp:extent cx="641223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78" w:lineRule="exact"/>
        <w:rPr>
          <w:sz w:val="24"/>
          <w:szCs w:val="24"/>
          <w:color w:val="auto"/>
        </w:rPr>
      </w:pPr>
    </w:p>
    <w:p>
      <w:pPr>
        <w:ind w:firstLine="38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0" w:firstLine="382"/>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8" w:lineRule="exact"/>
        <w:rPr>
          <w:sz w:val="24"/>
          <w:szCs w:val="24"/>
          <w:color w:val="auto"/>
        </w:rPr>
      </w:pPr>
    </w:p>
    <w:p>
      <w:pPr>
        <w:ind w:right="300" w:firstLine="38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13" w:lineRule="exact"/>
        <w:rPr>
          <w:sz w:val="24"/>
          <w:szCs w:val="24"/>
          <w:color w:val="auto"/>
        </w:rPr>
      </w:pPr>
    </w:p>
    <w:p>
      <w:pPr>
        <w:ind w:right="200" w:firstLine="38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380" w:right="224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3, 2023, there were 68,821,277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similar expressions.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our research and development activities, clinical trials and preclinical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2"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UCB Biopharma Sprl, and Vitae Pharmaceuticals, Inc., a subsidiary of Allergan plc, which was acquired by AbbVie Inc.;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 with Incyte Corporation, or Incyte, to further develop and commercialize axatilimab;</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17" w:lineRule="exact"/>
        <w:rPr>
          <w:rFonts w:ascii="Arial" w:cs="Arial" w:eastAsia="Arial" w:hAnsi="Arial"/>
          <w:sz w:val="18"/>
          <w:szCs w:val="18"/>
          <w:color w:val="auto"/>
        </w:rPr>
      </w:pPr>
    </w:p>
    <w:p>
      <w:pPr>
        <w:ind w:left="1020" w:hanging="503"/>
        <w:spacing w:after="0" w:line="27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geo-political actions, including war or the perception that hostilities may be imminent (such as the ongoing war between Russia and Ukraine),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331"/>
        </w:trPr>
        <w:tc>
          <w:tcPr>
            <w:tcW w:w="10440" w:type="dxa"/>
            <w:vAlign w:val="bottom"/>
            <w:gridSpan w:val="15"/>
          </w:tcPr>
          <w:p>
            <w:pPr>
              <w:spacing w:after="0"/>
              <w:rPr>
                <w:sz w:val="20"/>
                <w:szCs w:val="20"/>
                <w:color w:val="auto"/>
              </w:rPr>
            </w:pPr>
            <w:r>
              <w:rPr>
                <w:rFonts w:ascii="Arial" w:cs="Arial" w:eastAsia="Arial" w:hAnsi="Arial"/>
                <w:sz w:val="18"/>
                <w:szCs w:val="18"/>
                <w:b w:val="1"/>
                <w:bCs w:val="1"/>
                <w:color w:val="0000FF"/>
              </w:rPr>
              <w:t>PART I. FINANCIAL INFORMATION</w:t>
            </w:r>
          </w:p>
        </w:tc>
        <w:tc>
          <w:tcPr>
            <w:tcW w:w="780" w:type="dxa"/>
            <w:vAlign w:val="bottom"/>
          </w:tcPr>
          <w:p>
            <w:pPr>
              <w:spacing w:after="0"/>
              <w:rPr>
                <w:sz w:val="24"/>
                <w:szCs w:val="24"/>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0000FF"/>
              </w:rPr>
              <w:t>Unaudited Financial Statements:</w:t>
            </w:r>
          </w:p>
        </w:tc>
        <w:tc>
          <w:tcPr>
            <w:tcW w:w="7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 as of March 31, 2023 and December 31, 2022</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Comprehensive Loss for the three months ended</w:t>
            </w:r>
          </w:p>
        </w:tc>
        <w:tc>
          <w:tcPr>
            <w:tcW w:w="7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400" w:type="dxa"/>
            <w:vAlign w:val="bottom"/>
            <w:gridSpan w:val="14"/>
          </w:tcPr>
          <w:p>
            <w:pPr>
              <w:spacing w:after="0" w:line="196" w:lineRule="exact"/>
              <w:rPr>
                <w:sz w:val="20"/>
                <w:szCs w:val="20"/>
                <w:color w:val="auto"/>
              </w:rPr>
            </w:pPr>
            <w:r>
              <w:rPr>
                <w:rFonts w:ascii="Arial" w:cs="Arial" w:eastAsia="Arial" w:hAnsi="Arial"/>
                <w:sz w:val="18"/>
                <w:szCs w:val="18"/>
                <w:color w:val="0000FF"/>
              </w:rPr>
              <w:t>March 31, 2023 and 2022</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2023 and 2022</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40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4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tcBorders>
              <w:left w:val="single" w:sz="8" w:color="0000FF"/>
            </w:tcBorders>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40" w:type="dxa"/>
            <w:vAlign w:val="bottom"/>
            <w:gridSpan w:val="15"/>
          </w:tcPr>
          <w:p>
            <w:pPr>
              <w:spacing w:after="0"/>
              <w:rPr>
                <w:sz w:val="20"/>
                <w:szCs w:val="20"/>
                <w:color w:val="auto"/>
              </w:rPr>
            </w:pPr>
            <w:r>
              <w:rPr>
                <w:rFonts w:ascii="Arial" w:cs="Arial" w:eastAsia="Arial" w:hAnsi="Arial"/>
                <w:sz w:val="18"/>
                <w:szCs w:val="18"/>
                <w:b w:val="1"/>
                <w:bCs w:val="1"/>
                <w:color w:val="0000FF"/>
              </w:rPr>
              <w:t>PART II. OTHER INFORMATION</w:t>
            </w:r>
          </w:p>
        </w:tc>
        <w:tc>
          <w:tcPr>
            <w:tcW w:w="780" w:type="dxa"/>
            <w:vAlign w:val="bottom"/>
          </w:tcPr>
          <w:p>
            <w:pPr>
              <w:spacing w:after="0"/>
              <w:rPr>
                <w:sz w:val="24"/>
                <w:szCs w:val="24"/>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400" w:type="dxa"/>
            <w:vAlign w:val="bottom"/>
            <w:gridSpan w:val="14"/>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5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2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400" w:type="dxa"/>
            <w:vAlign w:val="bottom"/>
            <w:gridSpan w:val="14"/>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2022</w:t>
            </w: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74,356</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374,876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401,446</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deposits</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Collaboration receivable, net</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441,511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489,786</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 net</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459,826</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497,236</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24,276</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right-of-use liability</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Current portion of capital lease</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23,721</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liability, less current portion</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Capital lease, less current portion</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29,787</w:t>
            </w: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3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outstanding at March 31, 2023 and December 31, 2022</w:t>
            </w:r>
          </w:p>
        </w:tc>
        <w:tc>
          <w:tcPr>
            <w:tcW w:w="2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tcPr>
          <w:p>
            <w:pPr>
              <w:ind w:left="200"/>
              <w:spacing w:after="0"/>
              <w:rPr>
                <w:sz w:val="20"/>
                <w:szCs w:val="20"/>
                <w:color w:val="auto"/>
              </w:rPr>
            </w:pPr>
            <w:r>
              <w:rPr>
                <w:rFonts w:ascii="Arial" w:cs="Arial" w:eastAsia="Arial" w:hAnsi="Arial"/>
                <w:sz w:val="18"/>
                <w:szCs w:val="18"/>
                <w:color w:val="auto"/>
              </w:rPr>
              <w:t>Common stock, $0.0001 par value, 100,000,000 shares authorized; 68,495,426</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and 68,111,385 shares issued and outstanding at March 31, 2023 and</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tcPr>
          <w:p>
            <w:pPr>
              <w:ind w:left="340"/>
              <w:spacing w:after="0"/>
              <w:rPr>
                <w:sz w:val="20"/>
                <w:szCs w:val="20"/>
                <w:color w:val="auto"/>
              </w:rPr>
            </w:pPr>
            <w:r>
              <w:rPr>
                <w:rFonts w:ascii="Arial" w:cs="Arial" w:eastAsia="Arial" w:hAnsi="Arial"/>
                <w:sz w:val="18"/>
                <w:szCs w:val="18"/>
                <w:color w:val="auto"/>
              </w:rPr>
              <w:t>December 31, 2022, respectively</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50"/>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1,170,000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1,161,288</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(336 )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(806 )</w:t>
            </w:r>
          </w:p>
        </w:tc>
      </w:tr>
      <w:tr>
        <w:trPr>
          <w:trHeight w:val="243"/>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(734,166 )</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(693,040 )</w:t>
            </w:r>
          </w:p>
        </w:tc>
      </w:tr>
      <w:tr>
        <w:trPr>
          <w:trHeight w:val="237"/>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435,505</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467,449</w:t>
            </w:r>
          </w:p>
        </w:tc>
        <w:tc>
          <w:tcPr>
            <w:tcW w:w="100" w:type="dxa"/>
            <w:vAlign w:val="bottom"/>
            <w:tcBorders>
              <w:top w:val="single" w:sz="8" w:color="CFF0FC"/>
            </w:tcBorders>
          </w:tcPr>
          <w:p>
            <w:pPr>
              <w:spacing w:after="0"/>
              <w:rPr>
                <w:sz w:val="20"/>
                <w:szCs w:val="20"/>
                <w:color w:val="auto"/>
              </w:rPr>
            </w:pPr>
          </w:p>
        </w:tc>
      </w:tr>
      <w:tr>
        <w:trPr>
          <w:trHeight w:val="27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459,826</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88"/>
        </w:trPr>
        <w:tc>
          <w:tcPr>
            <w:tcW w:w="9380" w:type="dxa"/>
            <w:vAlign w:val="bottom"/>
            <w:gridSpan w:val="4"/>
          </w:tcPr>
          <w:p>
            <w:pPr>
              <w:ind w:left="2060"/>
              <w:spacing w:after="0" w:line="189" w:lineRule="exact"/>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320" w:type="dxa"/>
            <w:vAlign w:val="bottom"/>
          </w:tcPr>
          <w:p>
            <w:pPr>
              <w:ind w:left="55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-5219700</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-4285615</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-3007995</wp:posOffset>
            </wp:positionV>
            <wp:extent cx="685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-2373630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-710565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-385445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-367665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1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34,054</w:t>
            </w:r>
          </w:p>
        </w:tc>
        <w:tc>
          <w:tcPr>
            <w:tcW w:w="34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30,022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11,961</w:t>
            </w:r>
          </w:p>
        </w:tc>
        <w:tc>
          <w:tcPr>
            <w:tcW w:w="3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6,836</w:t>
            </w:r>
          </w:p>
        </w:tc>
        <w:tc>
          <w:tcPr>
            <w:tcW w:w="3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46,015</w:t>
            </w: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(46,015</w:t>
            </w:r>
          </w:p>
        </w:tc>
        <w:tc>
          <w:tcPr>
            <w:tcW w:w="340" w:type="dxa"/>
            <w:vAlign w:val="bottom"/>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(36,858</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(40 )</w:t>
            </w:r>
          </w:p>
        </w:tc>
        <w:tc>
          <w:tcPr>
            <w:tcW w:w="8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(651 )</w:t>
            </w:r>
          </w:p>
        </w:tc>
        <w:tc>
          <w:tcPr>
            <w:tcW w:w="0" w:type="dxa"/>
            <w:vAlign w:val="bottom"/>
          </w:tcPr>
          <w:p>
            <w:pPr>
              <w:spacing w:after="0"/>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5,076</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income, net</w:t>
            </w:r>
          </w:p>
        </w:tc>
        <w:tc>
          <w:tcPr>
            <w:tcW w:w="1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(147 )</w:t>
            </w:r>
          </w:p>
        </w:tc>
        <w:tc>
          <w:tcPr>
            <w:tcW w:w="8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4,889</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76"/>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tcBorders>
              <w:top w:val="single" w:sz="8" w:color="auto"/>
              <w:bottom w:val="single" w:sz="8" w:color="auto"/>
            </w:tcBorders>
            <w:shd w:val="clear" w:color="auto" w:fill="CFF0FC"/>
          </w:tcPr>
          <w:p>
            <w:pPr>
              <w:jc w:val="right"/>
              <w:ind w:right="10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(41,126</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1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rPr>
              <w:t>(40,656 )</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(37,854 )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220" w:type="dxa"/>
            <w:vAlign w:val="bottom"/>
            <w:tcBorders>
              <w:bottom w:val="single" w:sz="8" w:color="auto"/>
            </w:tcBorders>
            <w:shd w:val="clear" w:color="auto" w:fill="CFF0FC"/>
          </w:tcPr>
          <w:p>
            <w:pPr>
              <w:jc w:val="right"/>
              <w:ind w:right="101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(41,126</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 attributable to common stockholders—basic</w:t>
            </w:r>
          </w:p>
        </w:tc>
        <w:tc>
          <w:tcPr>
            <w:tcW w:w="1220" w:type="dxa"/>
            <w:vAlign w:val="bottom"/>
            <w:vMerge w:val="restart"/>
          </w:tcPr>
          <w:p>
            <w:pPr>
              <w:jc w:val="right"/>
              <w:ind w:right="1013"/>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(0.59 )</w:t>
            </w:r>
          </w:p>
        </w:tc>
        <w:tc>
          <w:tcPr>
            <w:tcW w:w="840" w:type="dxa"/>
            <w:vAlign w:val="bottom"/>
            <w:vMerge w:val="restart"/>
          </w:tcPr>
          <w:p>
            <w:pPr>
              <w:jc w:val="right"/>
              <w:ind w:right="650"/>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r>
        <w:trPr>
          <w:trHeight w:val="203"/>
        </w:trPr>
        <w:tc>
          <w:tcPr>
            <w:tcW w:w="6480" w:type="dxa"/>
            <w:vAlign w:val="bottom"/>
          </w:tcPr>
          <w:p>
            <w:pPr>
              <w:ind w:left="160"/>
              <w:spacing w:after="0" w:line="203" w:lineRule="exact"/>
              <w:rPr>
                <w:sz w:val="20"/>
                <w:szCs w:val="20"/>
                <w:color w:val="auto"/>
              </w:rPr>
            </w:pPr>
            <w:r>
              <w:rPr>
                <w:rFonts w:ascii="Arial" w:cs="Arial" w:eastAsia="Arial" w:hAnsi="Arial"/>
                <w:sz w:val="18"/>
                <w:szCs w:val="18"/>
                <w:color w:val="auto"/>
              </w:rPr>
              <w:t>and diluted</w:t>
            </w:r>
          </w:p>
        </w:tc>
        <w:tc>
          <w:tcPr>
            <w:tcW w:w="122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Weighted-average number of common shares used to compute</w:t>
            </w:r>
          </w:p>
        </w:tc>
        <w:tc>
          <w:tcPr>
            <w:tcW w:w="1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loss per share attributable to common stockholders</w:t>
            </w:r>
          </w:p>
        </w:tc>
        <w:tc>
          <w:tcPr>
            <w:tcW w:w="1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69,438,890</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58,978,615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1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-2691130</wp:posOffset>
            </wp:positionV>
            <wp:extent cx="768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-2691130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-1748155</wp:posOffset>
            </wp:positionV>
            <wp:extent cx="768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-1748155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-1422400</wp:posOffset>
            </wp:positionV>
            <wp:extent cx="157734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77340" cy="1797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-1087755</wp:posOffset>
            </wp:positionV>
            <wp:extent cx="7683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-1087755</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-744855</wp:posOffset>
            </wp:positionV>
            <wp:extent cx="1577340" cy="316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77340" cy="31686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9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9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(41,126 )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(37,169 )</w:t>
            </w:r>
          </w:p>
        </w:tc>
      </w:tr>
      <w:tr>
        <w:trPr>
          <w:trHeight w:val="249"/>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r>
      <w:tr>
        <w:trPr>
          <w:trHeight w:val="249"/>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of investments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(3,967 )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(53 )</w:t>
            </w:r>
          </w:p>
        </w:tc>
      </w:tr>
      <w:tr>
        <w:trPr>
          <w:trHeight w:val="237"/>
        </w:trPr>
        <w:tc>
          <w:tcPr>
            <w:tcW w:w="7980" w:type="dxa"/>
            <w:vAlign w:val="bottom"/>
          </w:tcPr>
          <w:p>
            <w:pPr>
              <w:ind w:left="380"/>
              <w:spacing w:after="0"/>
              <w:rPr>
                <w:sz w:val="20"/>
                <w:szCs w:val="20"/>
                <w:color w:val="auto"/>
              </w:rPr>
            </w:pPr>
            <w:r>
              <w:rPr>
                <w:rFonts w:ascii="Arial" w:cs="Arial" w:eastAsia="Arial" w:hAnsi="Arial"/>
                <w:sz w:val="18"/>
                <w:szCs w:val="18"/>
                <w:color w:val="auto"/>
              </w:rPr>
              <w:t>Non-cash operating lease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r>
      <w:tr>
        <w:trPr>
          <w:trHeight w:val="249"/>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interest expense</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Arial" w:cs="Arial" w:eastAsia="Arial" w:hAnsi="Arial"/>
                <w:sz w:val="18"/>
                <w:szCs w:val="18"/>
                <w:color w:val="auto"/>
              </w:rPr>
              <w:t>Changes in fair value of derivative liability</w:t>
            </w:r>
          </w:p>
        </w:tc>
        <w:tc>
          <w:tcPr>
            <w:tcW w:w="340" w:type="dxa"/>
            <w:vAlign w:val="bottom"/>
          </w:tcPr>
          <w:p>
            <w:pPr>
              <w:spacing w:after="0"/>
              <w:rPr>
                <w:sz w:val="20"/>
                <w:szCs w:val="20"/>
                <w:color w:val="auto"/>
              </w:rPr>
            </w:pP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(187 )</w:t>
            </w:r>
          </w:p>
        </w:tc>
      </w:tr>
      <w:tr>
        <w:trPr>
          <w:trHeight w:val="249"/>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9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(8,431 )</w:t>
            </w:r>
          </w:p>
        </w:tc>
      </w:tr>
      <w:tr>
        <w:trPr>
          <w:trHeight w:val="237"/>
        </w:trPr>
        <w:tc>
          <w:tcPr>
            <w:tcW w:w="7980" w:type="dxa"/>
            <w:vAlign w:val="bottom"/>
          </w:tcPr>
          <w:p>
            <w:pPr>
              <w:ind w:left="560"/>
              <w:spacing w:after="0"/>
              <w:rPr>
                <w:sz w:val="20"/>
                <w:szCs w:val="20"/>
                <w:color w:val="auto"/>
              </w:rPr>
            </w:pPr>
            <w:r>
              <w:rPr>
                <w:rFonts w:ascii="Arial" w:cs="Arial" w:eastAsia="Arial" w:hAnsi="Arial"/>
                <w:sz w:val="18"/>
                <w:szCs w:val="18"/>
                <w:color w:val="auto"/>
              </w:rPr>
              <w:t>Collaboration receivable,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(6,260 )</w:t>
            </w:r>
          </w:p>
        </w:tc>
      </w:tr>
      <w:tr>
        <w:trPr>
          <w:trHeight w:val="249"/>
        </w:trPr>
        <w:tc>
          <w:tcPr>
            <w:tcW w:w="79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5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(9,174 )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0"/>
                <w:szCs w:val="20"/>
                <w:color w:val="auto"/>
              </w:rPr>
            </w:pPr>
          </w:p>
        </w:tc>
      </w:tr>
      <w:tr>
        <w:trPr>
          <w:trHeight w:val="237"/>
        </w:trPr>
        <w:tc>
          <w:tcPr>
            <w:tcW w:w="79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 and long-term investments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(61,585 )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(42,266 )</w:t>
            </w:r>
          </w:p>
        </w:tc>
      </w:tr>
      <w:tr>
        <w:trPr>
          <w:trHeight w:val="237"/>
        </w:trPr>
        <w:tc>
          <w:tcPr>
            <w:tcW w:w="7980" w:type="dxa"/>
            <w:vAlign w:val="bottom"/>
          </w:tcPr>
          <w:p>
            <w:pPr>
              <w:ind w:left="200"/>
              <w:spacing w:after="0"/>
              <w:rPr>
                <w:sz w:val="20"/>
                <w:szCs w:val="20"/>
                <w:color w:val="auto"/>
              </w:rPr>
            </w:pPr>
            <w:r>
              <w:rPr>
                <w:rFonts w:ascii="Arial" w:cs="Arial" w:eastAsia="Arial" w:hAnsi="Arial"/>
                <w:sz w:val="18"/>
                <w:szCs w:val="18"/>
                <w:color w:val="auto"/>
              </w:rPr>
              <w:t>Proceeds from sales and maturities of short-term investments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50,448</w:t>
            </w:r>
          </w:p>
        </w:tc>
        <w:tc>
          <w:tcPr>
            <w:tcW w:w="100" w:type="dxa"/>
            <w:vAlign w:val="bottom"/>
          </w:tcPr>
          <w:p>
            <w:pPr>
              <w:spacing w:after="0"/>
              <w:rPr>
                <w:sz w:val="20"/>
                <w:szCs w:val="20"/>
                <w:color w:val="auto"/>
              </w:rPr>
            </w:pPr>
          </w:p>
        </w:tc>
      </w:tr>
      <w:tr>
        <w:trPr>
          <w:trHeight w:val="236"/>
        </w:trPr>
        <w:tc>
          <w:tcPr>
            <w:tcW w:w="7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19,915</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r>
      <w:tr>
        <w:trPr>
          <w:trHeight w:val="236"/>
        </w:trPr>
        <w:tc>
          <w:tcPr>
            <w:tcW w:w="7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(16,839 )</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(33,192 )</w:t>
            </w:r>
          </w:p>
        </w:tc>
      </w:tr>
      <w:tr>
        <w:trPr>
          <w:trHeight w:val="249"/>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CASH—beginning of period</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74,471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57,632</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188,888</w:t>
            </w:r>
          </w:p>
        </w:tc>
        <w:tc>
          <w:tcPr>
            <w:tcW w:w="10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r>
      <w:tr>
        <w:trPr>
          <w:trHeight w:val="255"/>
        </w:trPr>
        <w:tc>
          <w:tcPr>
            <w:tcW w:w="9700" w:type="dxa"/>
            <w:vAlign w:val="bottom"/>
            <w:gridSpan w:val="4"/>
          </w:tcPr>
          <w:p>
            <w:pPr>
              <w:ind w:left="2060"/>
              <w:spacing w:after="0"/>
              <w:rPr>
                <w:sz w:val="20"/>
                <w:szCs w:val="20"/>
                <w:color w:val="auto"/>
              </w:rPr>
            </w:pPr>
            <w:r>
              <w:rPr>
                <w:rFonts w:ascii="Arial" w:cs="Arial" w:eastAsia="Arial" w:hAnsi="Arial"/>
                <w:sz w:val="18"/>
                <w:szCs w:val="18"/>
                <w:color w:val="auto"/>
                <w:w w:val="95"/>
              </w:rPr>
              <w:t>The accompanying notes are an integral part of these condensed consolidated financial statements.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7980" w:type="dxa"/>
            <w:vAlign w:val="bottom"/>
          </w:tcPr>
          <w:p>
            <w:pPr>
              <w:ind w:left="55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5"/>
        </w:trPr>
        <w:tc>
          <w:tcPr>
            <w:tcW w:w="7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-2468245</wp:posOffset>
            </wp:positionV>
            <wp:extent cx="685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-1833880</wp:posOffset>
            </wp:positionV>
            <wp:extent cx="685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-1199515</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-882015</wp:posOffset>
            </wp:positionV>
            <wp:extent cx="685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580" w:firstLine="509"/>
        <w:spacing w:after="0" w:line="263"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March 31, 2023, and the results of operations and comprehensive loss for the three months ended March 31, 2023 and 2022, and cash flows for the three months ended March 31, 2023 and 2022. The results for the three months ended March 31, 2023 are not necessarily indicative of the results to be expected for the year ending December 31, 2023, any other interim periods, or any future year or period. These interim financial statements should be read in conjunction with the audited financial statements as of and for the year ended December 31, 2022, and the notes thereto, which are included in the Company’s Annual Report on Form 10-K as filed with the Securities and Exchange Commission (“SEC”) on February 28, 2023.</w:t>
      </w:r>
    </w:p>
    <w:p>
      <w:pPr>
        <w:spacing w:after="0" w:line="7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Certain prior amounts reported in the accompanying condensed consolidated financial statements and notes thereto have been reclassified to conform to the current year presentation. Specifically, the change in collaboration receivable presented within the condensed statement of cash flows for the three month period ended March 31, 2022, of $6.3 million was originally reported within the caption prepaid expense and current assets and has been separately presented in the comparative presentation. Such reclassifications did not affect loss from operations, total assets, cash used in operations or net loss.</w:t>
      </w:r>
    </w:p>
    <w:p>
      <w:pPr>
        <w:spacing w:after="0" w:line="188"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In 2011, the Company established a wholly owned subsidiary in the United Kingdom. In 2014, the Company established a wholly owned U.S. subsidiary, and in 2021, the Company established a wholly owned subsidiary in the Netherlands. To date, there have been no material activities for these entities. All intercompany balances and transactions have been eliminated in consolidation.</w:t>
      </w:r>
    </w:p>
    <w:p>
      <w:pPr>
        <w:spacing w:after="0" w:line="288" w:lineRule="exact"/>
        <w:rPr>
          <w:sz w:val="20"/>
          <w:szCs w:val="20"/>
          <w:color w:val="auto"/>
        </w:rPr>
      </w:pPr>
    </w:p>
    <w:p>
      <w:pPr>
        <w:ind w:left="520" w:right="7680" w:hanging="512"/>
        <w:spacing w:after="0" w:line="400" w:lineRule="auto"/>
        <w:tabs>
          <w:tab w:leader="none" w:pos="19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jc w:val="both"/>
        <w:ind w:right="220" w:firstLine="509"/>
        <w:spacing w:after="0" w:line="286" w:lineRule="auto"/>
        <w:rPr>
          <w:sz w:val="20"/>
          <w:szCs w:val="20"/>
          <w:color w:val="auto"/>
        </w:rPr>
      </w:pPr>
      <w:r>
        <w:rPr>
          <w:rFonts w:ascii="Arial" w:cs="Arial" w:eastAsia="Arial" w:hAnsi="Arial"/>
          <w:sz w:val="17"/>
          <w:szCs w:val="17"/>
          <w:color w:val="auto"/>
        </w:rPr>
        <w:t>The Company’s significant accounting policies, which are disclosed in the audited consolidated financial statements for the year ended December 31, 2022, and the notes thereto are included in the Company’s Annual Report on Form 10-K that was filed with the SEC on February 28, 2023. Since the date of filing, there have been no material changes to the Company’s significant accounting policies except as noted below.</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460" w:firstLine="509"/>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8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17" w:lineRule="exact"/>
        <w:rPr>
          <w:sz w:val="20"/>
          <w:szCs w:val="20"/>
          <w:color w:val="auto"/>
        </w:rPr>
      </w:pPr>
    </w:p>
    <w:p>
      <w:pPr>
        <w:jc w:val="both"/>
        <w:ind w:right="80" w:firstLine="509"/>
        <w:spacing w:after="0" w:line="255" w:lineRule="auto"/>
        <w:rPr>
          <w:sz w:val="20"/>
          <w:szCs w:val="20"/>
          <w:color w:val="auto"/>
        </w:rPr>
      </w:pPr>
      <w:r>
        <w:rPr>
          <w:rFonts w:ascii="Arial" w:cs="Arial" w:eastAsia="Arial" w:hAnsi="Arial"/>
          <w:sz w:val="18"/>
          <w:szCs w:val="18"/>
          <w:color w:val="auto"/>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ind w:right="300"/>
        <w:spacing w:after="0" w:line="286" w:lineRule="auto"/>
        <w:rPr>
          <w:sz w:val="20"/>
          <w:szCs w:val="20"/>
          <w:color w:val="auto"/>
        </w:rPr>
      </w:pPr>
      <w:r>
        <w:rPr>
          <w:rFonts w:ascii="Arial" w:cs="Arial" w:eastAsia="Arial" w:hAnsi="Arial"/>
          <w:sz w:val="17"/>
          <w:szCs w:val="17"/>
          <w:color w:val="auto"/>
        </w:rPr>
        <w:t>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288" w:lineRule="exact"/>
        <w:rPr>
          <w:sz w:val="20"/>
          <w:szCs w:val="20"/>
          <w:color w:val="auto"/>
        </w:rPr>
      </w:pPr>
    </w:p>
    <w:p>
      <w:pPr>
        <w:ind w:left="520" w:right="7320" w:hanging="512"/>
        <w:spacing w:after="0" w:line="377" w:lineRule="auto"/>
        <w:tabs>
          <w:tab w:leader="none" w:pos="19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License Agreements Incyte Collaboration</w:t>
      </w:r>
    </w:p>
    <w:p>
      <w:pPr>
        <w:spacing w:after="0" w:line="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the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74" w:lineRule="exact"/>
        <w:rPr>
          <w:sz w:val="20"/>
          <w:szCs w:val="20"/>
          <w:color w:val="auto"/>
        </w:rPr>
      </w:pPr>
    </w:p>
    <w:p>
      <w:pPr>
        <w:ind w:right="100" w:firstLine="509"/>
        <w:spacing w:after="0" w:line="267" w:lineRule="auto"/>
        <w:rPr>
          <w:sz w:val="20"/>
          <w:szCs w:val="20"/>
          <w:color w:val="auto"/>
        </w:rPr>
      </w:pPr>
      <w:r>
        <w:rPr>
          <w:rFonts w:ascii="Arial" w:cs="Arial" w:eastAsia="Arial" w:hAnsi="Arial"/>
          <w:sz w:val="17"/>
          <w:szCs w:val="17"/>
          <w:color w:val="auto"/>
        </w:rPr>
        <w:t>Under the terms of the Incyte Agreements, in December 2021, Incyte paid the Company a non-refundable cash payment of $117 million and the Company issued 1,421,523 shares of common stock with an aggregate purchase price of $35 million, or $24.62 per share. Additionally, under the terms of the Incyte Agreements, the Company is eligible to receive up to $220 million in future contingent development and regulatory milestones and up to $230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 w:name="page9"/>
    <w:bookmarkEnd w:id="8"/>
    <w:p>
      <w:pPr>
        <w:ind w:right="160" w:firstLine="449"/>
        <w:spacing w:after="0" w:line="259" w:lineRule="auto"/>
        <w:rPr>
          <w:sz w:val="20"/>
          <w:szCs w:val="20"/>
          <w:color w:val="auto"/>
        </w:rPr>
      </w:pPr>
      <w:r>
        <w:rPr>
          <w:rFonts w:ascii="Arial" w:cs="Arial" w:eastAsia="Arial" w:hAnsi="Arial"/>
          <w:sz w:val="18"/>
          <w:szCs w:val="18"/>
          <w:color w:val="auto"/>
        </w:rPr>
        <w:t>As of March 31, 2023, the Company has recorded $3.5 million as a collaboration receivable due from Incyte related to the Company's development and pre-commercialization costs under the Agreement and has recorded approximately $2.1 million as a collaboration payable due to Incyte for development and pre-commercialization costs incurred by Incyte as of March 31, 2023. Both expense and cost offset are recorded as part of research and development expense and general and administrative expense.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right="237"/>
              <w:spacing w:after="0"/>
              <w:rPr>
                <w:sz w:val="20"/>
                <w:szCs w:val="20"/>
                <w:color w:val="auto"/>
              </w:rPr>
            </w:pPr>
            <w:r>
              <w:rPr>
                <w:rFonts w:ascii="Arial" w:cs="Arial" w:eastAsia="Arial" w:hAnsi="Arial"/>
                <w:sz w:val="14"/>
                <w:szCs w:val="14"/>
                <w:b w:val="1"/>
                <w:bCs w:val="1"/>
                <w:color w:val="auto"/>
                <w:w w:val="94"/>
              </w:rPr>
              <w:t>Three Months Ended 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820" w:type="dxa"/>
            <w:vAlign w:val="bottom"/>
          </w:tcPr>
          <w:p>
            <w:pPr>
              <w:spacing w:after="0"/>
              <w:rPr>
                <w:sz w:val="11"/>
                <w:szCs w:val="11"/>
                <w:color w:val="auto"/>
              </w:rPr>
            </w:pPr>
          </w:p>
        </w:tc>
        <w:tc>
          <w:tcPr>
            <w:tcW w:w="20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72"/>
              </w:rPr>
              <w:t>except</w:t>
            </w:r>
          </w:p>
        </w:tc>
        <w:tc>
          <w:tcPr>
            <w:tcW w:w="116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share and per</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20" w:type="dxa"/>
            <w:vAlign w:val="bottom"/>
            <w:gridSpan w:val="3"/>
          </w:tcPr>
          <w:p>
            <w:pPr>
              <w:jc w:val="center"/>
              <w:ind w:right="237"/>
              <w:spacing w:after="0"/>
              <w:rPr>
                <w:sz w:val="20"/>
                <w:szCs w:val="20"/>
                <w:color w:val="auto"/>
              </w:rPr>
            </w:pPr>
            <w:r>
              <w:rPr>
                <w:rFonts w:ascii="Arial" w:cs="Arial" w:eastAsia="Arial" w:hAnsi="Arial"/>
                <w:sz w:val="14"/>
                <w:szCs w:val="14"/>
                <w:b w:val="1"/>
                <w:bCs w:val="1"/>
                <w:color w:val="auto"/>
                <w:w w:val="90"/>
              </w:rPr>
              <w:t>share data)</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Numerator—basic and diluted:</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ind w:right="97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53"/>
              <w:spacing w:after="0"/>
              <w:rPr>
                <w:sz w:val="20"/>
                <w:szCs w:val="20"/>
                <w:color w:val="auto"/>
              </w:rPr>
            </w:pPr>
            <w:r>
              <w:rPr>
                <w:rFonts w:ascii="Arial" w:cs="Arial" w:eastAsia="Arial" w:hAnsi="Arial"/>
                <w:sz w:val="18"/>
                <w:szCs w:val="18"/>
                <w:color w:val="auto"/>
              </w:rPr>
              <w:t>(41,126 )</w:t>
            </w:r>
          </w:p>
        </w:tc>
        <w:tc>
          <w:tcPr>
            <w:tcW w:w="1160" w:type="dxa"/>
            <w:vAlign w:val="bottom"/>
          </w:tcPr>
          <w:p>
            <w:pPr>
              <w:jc w:val="right"/>
              <w:ind w:right="957"/>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(37,169 )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w:t>
            </w:r>
          </w:p>
        </w:tc>
        <w:tc>
          <w:tcPr>
            <w:tcW w:w="1160" w:type="dxa"/>
            <w:vAlign w:val="bottom"/>
            <w:vMerge w:val="restart"/>
            <w:shd w:val="clear" w:color="auto" w:fill="CFF0FC"/>
          </w:tcPr>
          <w:p>
            <w:pPr>
              <w:jc w:val="right"/>
              <w:ind w:right="977"/>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153"/>
              <w:spacing w:after="0"/>
              <w:rPr>
                <w:sz w:val="20"/>
                <w:szCs w:val="20"/>
                <w:color w:val="auto"/>
              </w:rPr>
            </w:pPr>
            <w:r>
              <w:rPr>
                <w:rFonts w:ascii="Arial" w:cs="Arial" w:eastAsia="Arial" w:hAnsi="Arial"/>
                <w:sz w:val="18"/>
                <w:szCs w:val="18"/>
                <w:color w:val="auto"/>
              </w:rPr>
              <w:t>(41,126 )</w:t>
            </w:r>
          </w:p>
        </w:tc>
        <w:tc>
          <w:tcPr>
            <w:tcW w:w="1160" w:type="dxa"/>
            <w:vAlign w:val="bottom"/>
            <w:vMerge w:val="restart"/>
            <w:shd w:val="clear" w:color="auto" w:fill="CFF0FC"/>
          </w:tcPr>
          <w:p>
            <w:pPr>
              <w:jc w:val="right"/>
              <w:ind w:right="957"/>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(37,169 )</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stockholders—basic and diluted</w:t>
            </w:r>
          </w:p>
        </w:tc>
        <w:tc>
          <w:tcPr>
            <w:tcW w:w="116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Pr>
          <w:p>
            <w:pPr>
              <w:ind w:left="20"/>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60" w:type="dxa"/>
            <w:vAlign w:val="bottom"/>
            <w:vMerge w:val="restart"/>
          </w:tcPr>
          <w:p>
            <w:pPr>
              <w:jc w:val="right"/>
              <w:ind w:right="977"/>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53"/>
              <w:spacing w:after="0"/>
              <w:rPr>
                <w:sz w:val="20"/>
                <w:szCs w:val="20"/>
                <w:color w:val="auto"/>
              </w:rPr>
            </w:pPr>
            <w:r>
              <w:rPr>
                <w:rFonts w:ascii="Arial" w:cs="Arial" w:eastAsia="Arial" w:hAnsi="Arial"/>
                <w:sz w:val="18"/>
                <w:szCs w:val="18"/>
                <w:color w:val="auto"/>
              </w:rPr>
              <w:t>(0.59 )</w:t>
            </w:r>
          </w:p>
        </w:tc>
        <w:tc>
          <w:tcPr>
            <w:tcW w:w="1160" w:type="dxa"/>
            <w:vAlign w:val="bottom"/>
            <w:vMerge w:val="restart"/>
          </w:tcPr>
          <w:p>
            <w:pPr>
              <w:jc w:val="right"/>
              <w:ind w:right="957"/>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r>
        <w:trPr>
          <w:trHeight w:val="203"/>
        </w:trPr>
        <w:tc>
          <w:tcPr>
            <w:tcW w:w="6820" w:type="dxa"/>
            <w:vAlign w:val="bottom"/>
          </w:tcPr>
          <w:p>
            <w:pPr>
              <w:ind w:left="160"/>
              <w:spacing w:after="0" w:line="203" w:lineRule="exact"/>
              <w:rPr>
                <w:sz w:val="20"/>
                <w:szCs w:val="20"/>
                <w:color w:val="auto"/>
              </w:rPr>
            </w:pPr>
            <w:r>
              <w:rPr>
                <w:rFonts w:ascii="Arial" w:cs="Arial" w:eastAsia="Arial" w:hAnsi="Arial"/>
                <w:sz w:val="18"/>
                <w:szCs w:val="18"/>
                <w:color w:val="auto"/>
              </w:rPr>
              <w:t>stockholders—basic and diluted</w:t>
            </w:r>
          </w:p>
        </w:tc>
        <w:tc>
          <w:tcPr>
            <w:tcW w:w="1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Denominator—basic and diluted:</w:t>
            </w:r>
          </w:p>
        </w:tc>
        <w:tc>
          <w:tcPr>
            <w:tcW w:w="1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60"/>
              <w:spacing w:after="0"/>
              <w:rPr>
                <w:sz w:val="20"/>
                <w:szCs w:val="20"/>
                <w:color w:val="auto"/>
              </w:rPr>
            </w:pPr>
            <w:r>
              <w:rPr>
                <w:rFonts w:ascii="Arial" w:cs="Arial" w:eastAsia="Arial" w:hAnsi="Arial"/>
                <w:sz w:val="18"/>
                <w:szCs w:val="18"/>
                <w:color w:val="auto"/>
              </w:rPr>
              <w:t>used to compute net loss per share attributable</w:t>
            </w:r>
          </w:p>
        </w:tc>
        <w:tc>
          <w:tcPr>
            <w:tcW w:w="1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0"/>
              </w:rPr>
              <w:t>69,438,890</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88"/>
              </w:rPr>
              <w:t>58,978,615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60"/>
              <w:spacing w:after="0" w:line="203" w:lineRule="exact"/>
              <w:rPr>
                <w:sz w:val="20"/>
                <w:szCs w:val="20"/>
                <w:color w:val="auto"/>
              </w:rPr>
            </w:pPr>
            <w:r>
              <w:rPr>
                <w:rFonts w:ascii="Arial" w:cs="Arial" w:eastAsia="Arial" w:hAnsi="Arial"/>
                <w:sz w:val="18"/>
                <w:szCs w:val="18"/>
                <w:color w:val="auto"/>
              </w:rPr>
              <w:t>to common stockholders—basic and diluted</w:t>
            </w:r>
          </w:p>
        </w:tc>
        <w:tc>
          <w:tcPr>
            <w:tcW w:w="1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-899795</wp:posOffset>
            </wp:positionV>
            <wp:extent cx="1525905"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25905" cy="317500"/>
                    </a:xfrm>
                    <a:prstGeom prst="rect">
                      <a:avLst/>
                    </a:prstGeom>
                    <a:noFill/>
                  </pic:spPr>
                </pic:pic>
              </a:graphicData>
            </a:graphic>
          </wp:anchor>
        </w:drawing>
      </w:r>
    </w:p>
    <w:p>
      <w:pPr>
        <w:spacing w:after="0" w:line="182"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0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9,536,312</w:t>
            </w:r>
          </w:p>
        </w:tc>
        <w:tc>
          <w:tcPr>
            <w:tcW w:w="220" w:type="dxa"/>
            <w:vAlign w:val="bottom"/>
            <w:shd w:val="clear" w:color="auto" w:fill="CFF0FC"/>
          </w:tcPr>
          <w:p>
            <w:pPr>
              <w:spacing w:after="0"/>
              <w:rPr>
                <w:sz w:val="20"/>
                <w:szCs w:val="20"/>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8,419,541</w:t>
            </w:r>
          </w:p>
        </w:tc>
        <w:tc>
          <w:tcPr>
            <w:tcW w:w="100" w:type="dxa"/>
            <w:vAlign w:val="bottom"/>
            <w:shd w:val="clear" w:color="auto" w:fill="CFF0FC"/>
          </w:tcPr>
          <w:p>
            <w:pPr>
              <w:spacing w:after="0"/>
              <w:rPr>
                <w:sz w:val="20"/>
                <w:szCs w:val="20"/>
                <w:color w:val="auto"/>
              </w:rPr>
            </w:pPr>
          </w:p>
        </w:tc>
      </w:tr>
      <w:tr>
        <w:trPr>
          <w:trHeight w:val="23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8"/>
                <w:szCs w:val="18"/>
                <w:color w:val="auto"/>
              </w:rPr>
              <w:t>15,331</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10,805</w:t>
            </w:r>
          </w:p>
        </w:tc>
        <w:tc>
          <w:tcPr>
            <w:tcW w:w="100" w:type="dxa"/>
            <w:vAlign w:val="bottom"/>
          </w:tcPr>
          <w:p>
            <w:pPr>
              <w:spacing w:after="0"/>
              <w:rPr>
                <w:sz w:val="20"/>
                <w:szCs w:val="20"/>
                <w:color w:val="auto"/>
              </w:rPr>
            </w:pPr>
          </w:p>
        </w:tc>
      </w:tr>
      <w:tr>
        <w:trPr>
          <w:trHeight w:val="249"/>
        </w:trPr>
        <w:tc>
          <w:tcPr>
            <w:tcW w:w="8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Non-vested restricted stock units (RSUs)</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392,288</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256,583</w:t>
            </w:r>
          </w:p>
        </w:tc>
        <w:tc>
          <w:tcPr>
            <w:tcW w:w="100" w:type="dxa"/>
            <w:vAlign w:val="bottom"/>
            <w:shd w:val="clear" w:color="auto" w:fill="CFF0FC"/>
          </w:tcPr>
          <w:p>
            <w:pPr>
              <w:spacing w:after="0"/>
              <w:rPr>
                <w:sz w:val="21"/>
                <w:szCs w:val="2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related to the Company's common stock see Note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Menin–KMT2A binding interaction (the “Menin Assets”).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Allergan License Agreement for the other party’s uncured material breach or insolvency, and the Company may terminate the Allergan License Agreement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w:t>
      </w:r>
    </w:p>
    <w:p>
      <w:pPr>
        <w:spacing w:after="0" w:line="3" w:lineRule="exact"/>
        <w:rPr>
          <w:sz w:val="20"/>
          <w:szCs w:val="20"/>
          <w:color w:val="auto"/>
        </w:rPr>
      </w:pPr>
    </w:p>
    <w:p>
      <w:pPr>
        <w:ind w:right="160" w:firstLine="8"/>
        <w:spacing w:after="0" w:line="260"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expiration of all regulatory exclusivity applicable to the product in such country; and (iii) 10 years from the date of the first commercial sale of the product in such country.</w:t>
      </w:r>
    </w:p>
    <w:p>
      <w:pPr>
        <w:spacing w:after="0" w:line="7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Since the inception of the Allergan License Agreement, the Company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achieved certain development and regulatory milestones, resulting in $8.0 million in expense, which includes $2.0 million paid in the first quarter of 2023.</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2016, the Company entered into a license agreement (the “UCB License Agreement”), as amended from time to time, with UCB Biopharma Sprl (“UCB”), under which UCB granted to the Company a worldwide, sublicensable, exclusive license to UCB6352, which the Company refers to as axatilimab, an anti-CSF-1R monoclonal antibody.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Since the start of the license agreement, the Company achieved certain development and regulatory milestones and has recorded $6.0 million as research and development expense. Additionally, in connection with its most recent amendment of the UCB License Agreement, in the second quarter of 2022 the Company paid UCB $5.8 million, which is recognized as a milestone expense.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In March 2007, the Company entered into a license agreement with Bayer Schering Pharma AG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9" w:lineRule="exact"/>
        <w:rPr>
          <w:sz w:val="20"/>
          <w:szCs w:val="20"/>
          <w:color w:val="auto"/>
        </w:rPr>
      </w:pPr>
    </w:p>
    <w:p>
      <w:pPr>
        <w:jc w:val="both"/>
        <w:ind w:left="1020" w:right="360" w:hanging="484"/>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76" w:lineRule="exact"/>
        <w:rPr>
          <w:sz w:val="20"/>
          <w:szCs w:val="20"/>
          <w:color w:val="auto"/>
        </w:rPr>
      </w:pPr>
    </w:p>
    <w:p>
      <w:pPr>
        <w:jc w:val="center"/>
        <w:ind w:left="620" w:right="2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 w:name="page11"/>
    <w:bookmarkEnd w:id="10"/>
    <w:p>
      <w:pPr>
        <w:ind w:right="40" w:firstLine="509"/>
        <w:spacing w:after="0" w:line="274" w:lineRule="auto"/>
        <w:rPr>
          <w:sz w:val="20"/>
          <w:szCs w:val="20"/>
          <w:color w:val="auto"/>
        </w:rPr>
      </w:pPr>
      <w:r>
        <w:rPr>
          <w:rFonts w:ascii="Arial" w:cs="Arial" w:eastAsia="Arial" w:hAnsi="Arial"/>
          <w:sz w:val="17"/>
          <w:szCs w:val="17"/>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4"/>
                <w:szCs w:val="14"/>
                <w:b w:val="1"/>
                <w:bCs w:val="1"/>
                <w:color w:val="auto"/>
                <w:w w:val="97"/>
              </w:rPr>
              <w:t>Fair Value Measurements Using</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Prices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(unadjusted)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(In</w:t>
            </w:r>
          </w:p>
        </w:tc>
        <w:tc>
          <w:tcPr>
            <w:tcW w:w="1380" w:type="dxa"/>
            <w:vAlign w:val="bottom"/>
            <w:gridSpan w:val="3"/>
          </w:tcPr>
          <w:p>
            <w:pPr>
              <w:jc w:val="right"/>
              <w:ind w:right="757"/>
              <w:spacing w:after="0"/>
              <w:rPr>
                <w:sz w:val="20"/>
                <w:szCs w:val="20"/>
                <w:color w:val="auto"/>
              </w:rPr>
            </w:pPr>
            <w:r>
              <w:rPr>
                <w:rFonts w:ascii="Arial" w:cs="Arial" w:eastAsia="Arial" w:hAnsi="Arial"/>
                <w:sz w:val="13"/>
                <w:szCs w:val="13"/>
                <w:b w:val="1"/>
                <w:bCs w:val="1"/>
                <w:color w:val="auto"/>
                <w:w w:val="74"/>
              </w:rPr>
              <w:t>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2"/>
              </w:rPr>
              <w:t>March 31, 2023</w:t>
            </w:r>
          </w:p>
        </w:tc>
        <w:tc>
          <w:tcPr>
            <w:tcW w:w="458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7"/>
        </w:trPr>
        <w:tc>
          <w:tcPr>
            <w:tcW w:w="5800" w:type="dxa"/>
            <w:vAlign w:val="bottom"/>
            <w:gridSpan w:val="4"/>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7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57,517</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57,517</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374,876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374,876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8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16,561</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8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448,954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57,517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391,437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line="176" w:lineRule="exact"/>
              <w:rPr>
                <w:sz w:val="20"/>
                <w:szCs w:val="20"/>
                <w:color w:val="auto"/>
              </w:rPr>
            </w:pPr>
            <w:r>
              <w:rPr>
                <w:rFonts w:ascii="Arial" w:cs="Arial" w:eastAsia="Arial" w:hAnsi="Arial"/>
                <w:sz w:val="18"/>
                <w:szCs w:val="18"/>
                <w:b w:val="1"/>
                <w:bCs w:val="1"/>
                <w:color w:val="auto"/>
                <w:w w:val="88"/>
              </w:rPr>
              <w:t>December 31, 2022</w:t>
            </w:r>
          </w:p>
        </w:tc>
        <w:tc>
          <w:tcPr>
            <w:tcW w:w="4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7"/>
        </w:trPr>
        <w:tc>
          <w:tcPr>
            <w:tcW w:w="5800" w:type="dxa"/>
            <w:vAlign w:val="bottom"/>
            <w:gridSpan w:val="4"/>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7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74,356</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401,446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401,446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8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78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481,271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59,496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421,775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-1148080</wp:posOffset>
            </wp:positionV>
            <wp:extent cx="7683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-1148080</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There have been no material impairments of our assets measured and carried at fair value during the period ended March 31, 2023 and 2022. In addition, there have been no changes in valuation techniques during the periods ended March 31, 2023 and 2022. The fair value of Level 1 instruments classified as cash equivalents are valued using quoted market prices in active markets. The fair value of Level 2 instruments classified as cash equivalents and short and long–term investments are determined based on quoted prices in active markets, which are either directly or indirectly observable as of the reporting date with fair value being determined using models or other valuation methodologies.</w:t>
      </w:r>
    </w:p>
    <w:p>
      <w:pPr>
        <w:spacing w:after="0" w:line="17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Company's short and long-term investments are classified as available-for-sale securities. As of March 31, 2023, the remaining contractual maturities of the available-for-sale securities were 1 to 15 months, and the balance in the Company’s accumulated other comprehensive loss was comprised solely of activity related to the Company’s available-for-sale securities. There were no realized gains or losses recognized on the sale or maturity of available-for-sale securities, during the three months ended March 31, 2023 and 2022. As a result, the Company did not reclassify any amounts out of accumulated other comprehensive loss for the same periods. The Company has a limited number of available-for-sale securities that are not in significant loss positions as of March 31, 2023, which the Company does not intend to sell, and it has concluded it will not be required to sell before recovery of the amortized cost for the investment at maturity.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available-for-sale securities: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620"/>
              <w:spacing w:after="0"/>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right"/>
              <w:ind w:right="754"/>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2"/>
              </w:rPr>
              <w:t>March 31, 2023</w:t>
            </w:r>
          </w:p>
        </w:tc>
        <w:tc>
          <w:tcPr>
            <w:tcW w:w="2340" w:type="dxa"/>
            <w:vAlign w:val="bottom"/>
            <w:tcBorders>
              <w:bottom w:val="single" w:sz="8" w:color="CFF0FC"/>
            </w:tcBorders>
            <w:gridSpan w:val="2"/>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Commercial paper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301,633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w:t>
            </w:r>
          </w:p>
        </w:tc>
        <w:tc>
          <w:tcPr>
            <w:tcW w:w="2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Federal bonds</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080" w:type="dxa"/>
            <w:vAlign w:val="bottom"/>
            <w:tcBorders>
              <w:bottom w:val="single" w:sz="8" w:color="CFF0FC"/>
            </w:tcBorders>
            <w:shd w:val="clear" w:color="auto" w:fill="CFF0FC"/>
          </w:tcPr>
          <w:p>
            <w:pPr>
              <w:spacing w:after="0"/>
              <w:rPr>
                <w:sz w:val="24"/>
                <w:szCs w:val="24"/>
                <w:color w:val="auto"/>
              </w:rPr>
            </w:pPr>
          </w:p>
        </w:tc>
        <w:tc>
          <w:tcPr>
            <w:tcW w:w="2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391,773</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9"/>
              </w:rPr>
              <w:t>36</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391,437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60" w:type="dxa"/>
            <w:vAlign w:val="bottom"/>
            <w:gridSpan w:val="4"/>
          </w:tcPr>
          <w:p>
            <w:pPr>
              <w:ind w:left="20"/>
              <w:spacing w:after="0" w:line="176" w:lineRule="exact"/>
              <w:rPr>
                <w:sz w:val="20"/>
                <w:szCs w:val="20"/>
                <w:color w:val="auto"/>
              </w:rPr>
            </w:pPr>
            <w:r>
              <w:rPr>
                <w:rFonts w:ascii="Arial" w:cs="Arial" w:eastAsia="Arial" w:hAnsi="Arial"/>
                <w:sz w:val="18"/>
                <w:szCs w:val="18"/>
                <w:b w:val="1"/>
                <w:bCs w:val="1"/>
                <w:color w:val="auto"/>
              </w:rPr>
              <w:t>December 31, 2022</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321,630</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321,425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US Treasury</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(566 )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Federal bonds</w:t>
            </w:r>
          </w:p>
        </w:tc>
        <w:tc>
          <w:tcPr>
            <w:tcW w:w="2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36,192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422,581</w:t>
            </w:r>
          </w:p>
        </w:tc>
        <w:tc>
          <w:tcPr>
            <w:tcW w:w="28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(806 )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-1190625</wp:posOffset>
            </wp:positionV>
            <wp:extent cx="271716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7165"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-548005</wp:posOffset>
            </wp:positionV>
            <wp:extent cx="7683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-548005</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8. Prepaid Expenses and Other Current Assets</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9"/>
        </w:trPr>
        <w:tc>
          <w:tcPr>
            <w:tcW w:w="8160" w:type="dxa"/>
            <w:vAlign w:val="bottom"/>
            <w:gridSpan w:val="2"/>
          </w:tcPr>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42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2023</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December 31, 2022</w:t>
            </w:r>
          </w:p>
        </w:tc>
        <w:tc>
          <w:tcPr>
            <w:tcW w:w="100" w:type="dxa"/>
            <w:vAlign w:val="bottom"/>
          </w:tcPr>
          <w:p>
            <w:pPr>
              <w:spacing w:after="0"/>
              <w:rPr>
                <w:sz w:val="20"/>
                <w:szCs w:val="20"/>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1740" w:type="dxa"/>
            <w:vAlign w:val="bottom"/>
          </w:tcPr>
          <w:p>
            <w:pPr>
              <w:jc w:val="right"/>
              <w:ind w:right="15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 on investments</w:t>
            </w:r>
          </w:p>
        </w:tc>
        <w:tc>
          <w:tcPr>
            <w:tcW w:w="17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21"/>
                <w:szCs w:val="2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8"/>
                <w:szCs w:val="18"/>
                <w:color w:val="auto"/>
              </w:rPr>
              <w:t>Prepaid subscription</w:t>
            </w:r>
          </w:p>
        </w:tc>
        <w:tc>
          <w:tcPr>
            <w:tcW w:w="17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0"/>
                <w:szCs w:val="20"/>
                <w:color w:val="auto"/>
              </w:rPr>
            </w:pPr>
          </w:p>
        </w:tc>
      </w:tr>
      <w:tr>
        <w:trPr>
          <w:trHeight w:val="243"/>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174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-187960</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March 31, 2023</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c>
          <w:tcPr>
            <w:tcW w:w="100" w:type="dxa"/>
            <w:vAlign w:val="bottom"/>
          </w:tcPr>
          <w:p>
            <w:pPr>
              <w:spacing w:after="0"/>
              <w:rPr>
                <w:sz w:val="20"/>
                <w:szCs w:val="20"/>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Accrued clinical study and trial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10,627</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costs</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w:t>
            </w:r>
          </w:p>
        </w:tc>
        <w:tc>
          <w:tcPr>
            <w:tcW w:w="100" w:type="dxa"/>
            <w:vAlign w:val="bottom"/>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823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milestone costs</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January 2023, the number of shares of common stock available for issuance under the Company's 2015 Omnibus Incentive Plan (“2015 Plan”) was increased by 2,724,455 shares due to the automatic annual provision to increase shares available under the 2015 Plan. As of March 31, 2023, the total number of shares of common stock available for issuance under the 2015 Plan was 3,968,714. The Company recognized stock-based compensation expense related to the issuance of stock option awards to employees and non-employees and related to the Company's 2015 Employee Stock Purchase Plan (“ESPP”) in the condensed consolidated statements of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2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636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r>
      <w:tr>
        <w:trPr>
          <w:trHeight w:val="169"/>
        </w:trPr>
        <w:tc>
          <w:tcPr>
            <w:tcW w:w="6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4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jc w:val="right"/>
              <w:ind w:right="103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120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360" w:type="dxa"/>
            <w:vAlign w:val="bottom"/>
            <w:shd w:val="clear" w:color="auto" w:fill="CFF0FC"/>
          </w:tcPr>
          <w:p>
            <w:pPr>
              <w:spacing w:after="0"/>
              <w:rPr>
                <w:sz w:val="21"/>
                <w:szCs w:val="2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360" w:type="dxa"/>
            <w:vAlign w:val="bottom"/>
          </w:tcPr>
          <w:p>
            <w:pPr>
              <w:spacing w:after="0"/>
              <w:rPr>
                <w:sz w:val="20"/>
                <w:szCs w:val="20"/>
                <w:color w:val="auto"/>
              </w:rPr>
            </w:pPr>
          </w:p>
        </w:tc>
      </w:tr>
      <w:tr>
        <w:trPr>
          <w:trHeight w:val="276"/>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10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3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3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-25400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months ended March 31, 2023 and 2022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Three Months Ended March 31,</w:t>
            </w: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top w:val="single" w:sz="8" w:color="auto"/>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368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3680" w:type="dxa"/>
            <w:vAlign w:val="bottom"/>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w:t>
            </w:r>
          </w:p>
        </w:tc>
        <w:tc>
          <w:tcPr>
            <w:tcW w:w="120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24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Total</w:t>
            </w:r>
          </w:p>
        </w:tc>
        <w:tc>
          <w:tcPr>
            <w:tcW w:w="368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6,238</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3,478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40" w:type="dxa"/>
            <w:vAlign w:val="bottom"/>
            <w:vMerge w:val="restart"/>
          </w:tcPr>
          <w:p>
            <w:pPr>
              <w:jc w:val="right"/>
              <w:ind w:right="610"/>
              <w:spacing w:after="0"/>
              <w:rPr>
                <w:sz w:val="20"/>
                <w:szCs w:val="20"/>
                <w:color w:val="auto"/>
              </w:rPr>
            </w:pPr>
            <w:r>
              <w:rPr>
                <w:rFonts w:ascii="Arial" w:cs="Arial" w:eastAsia="Arial" w:hAnsi="Arial"/>
                <w:sz w:val="18"/>
                <w:szCs w:val="18"/>
                <w:color w:val="auto"/>
              </w:rPr>
              <w:t>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-1263650</wp:posOffset>
            </wp:positionV>
            <wp:extent cx="3094355" cy="2527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94355" cy="25273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-548005</wp:posOffset>
            </wp:positionV>
            <wp:extent cx="774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-548005</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ind w:right="160" w:firstLine="509"/>
        <w:spacing w:after="0" w:line="311" w:lineRule="auto"/>
        <w:rPr>
          <w:sz w:val="20"/>
          <w:szCs w:val="20"/>
          <w:color w:val="auto"/>
        </w:rPr>
      </w:pPr>
      <w:r>
        <w:rPr>
          <w:rFonts w:ascii="Arial" w:cs="Arial" w:eastAsia="Arial" w:hAnsi="Arial"/>
          <w:sz w:val="16"/>
          <w:szCs w:val="16"/>
          <w:color w:val="auto"/>
        </w:rPr>
        <w:t>During the three months ended March 31, 2023, the Company granted 1,942,741 stock options to certain executives, consultants and employees having service-based vesting conditions. The grant date fair value of the options granted in the three months ended March 31, 2023, was $37.8 million, or $19.48 per share on a weighted-average basis and will be recognized as compensation expense over the requisite service period of two to four years.</w:t>
      </w:r>
    </w:p>
    <w:p>
      <w:pPr>
        <w:spacing w:after="0" w:line="41"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The Company granted to certain employees 140,000 performance-based stock options (“2022 Performance Awards”), in 2022, related to the achievement of certain clinical and regulatory development milestones and market-based conditions. Recognition of stock-based compensation expense associated with these performance-based stock options commences when the performance condition is probable of achievement, using management’s best estimates, which consider the inherent risk and uncertainty regarding the future outcomes of the milestones.</w:t>
      </w:r>
    </w:p>
    <w:p>
      <w:pPr>
        <w:spacing w:after="0" w:line="54" w:lineRule="exact"/>
        <w:rPr>
          <w:sz w:val="20"/>
          <w:szCs w:val="20"/>
          <w:color w:val="auto"/>
        </w:rPr>
      </w:pPr>
    </w:p>
    <w:p>
      <w:pPr>
        <w:jc w:val="both"/>
        <w:ind w:right="160" w:firstLine="509"/>
        <w:spacing w:after="0" w:line="311" w:lineRule="auto"/>
        <w:rPr>
          <w:sz w:val="20"/>
          <w:szCs w:val="20"/>
          <w:color w:val="auto"/>
        </w:rPr>
      </w:pPr>
      <w:r>
        <w:rPr>
          <w:rFonts w:ascii="Arial" w:cs="Arial" w:eastAsia="Arial" w:hAnsi="Arial"/>
          <w:sz w:val="16"/>
          <w:szCs w:val="16"/>
          <w:color w:val="auto"/>
        </w:rPr>
        <w:t>In the first quarter of 2022, management estimated one of the milestones, for the 2022 Performance Awards, was probable of achievement and, as such, the Company recorded approximately $129,000 and $83,000 of stock compensation expense for these awards for the three months ended March 31, 2023 and 2022, respectively. As of March 31, 2023, 140,000 stock options outstanding were unvested, and no options had been canceled.</w:t>
      </w:r>
    </w:p>
    <w:p>
      <w:pPr>
        <w:spacing w:after="0" w:line="41" w:lineRule="exact"/>
        <w:rPr>
          <w:sz w:val="20"/>
          <w:szCs w:val="20"/>
          <w:color w:val="auto"/>
        </w:rPr>
      </w:pPr>
    </w:p>
    <w:p>
      <w:pPr>
        <w:jc w:val="both"/>
        <w:ind w:right="160" w:firstLine="509"/>
        <w:spacing w:after="0" w:line="277" w:lineRule="auto"/>
        <w:rPr>
          <w:sz w:val="20"/>
          <w:szCs w:val="20"/>
          <w:color w:val="auto"/>
        </w:rPr>
      </w:pPr>
      <w:r>
        <w:rPr>
          <w:rFonts w:ascii="Arial" w:cs="Arial" w:eastAsia="Arial" w:hAnsi="Arial"/>
          <w:sz w:val="18"/>
          <w:szCs w:val="18"/>
          <w:color w:val="auto"/>
        </w:rPr>
        <w:t>During the three months ended March 31, 2023, 276,506 options were exercised for cash proceeds of approximately $2.3 million. During the three months ended March 31, 2022, 28,839 options were exercised for cash proceeds of $465,000.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RSUs awarded to Board of Directors or employees vest on either i) the one year anniversary date of the related grant or ii) 25% on each anniversary date of the related grant for 4 years. The following table summarizes the Company's RSU activity:</w:t>
      </w:r>
    </w:p>
    <w:tbl>
      <w:tblPr>
        <w:tblLayout w:type="fixed"/>
        <w:tblInd w:w="0" w:type="dxa"/>
        <w:tblCellMar>
          <w:top w:w="0" w:type="dxa"/>
          <w:left w:w="0" w:type="dxa"/>
          <w:bottom w:w="0" w:type="dxa"/>
          <w:right w:w="0" w:type="dxa"/>
        </w:tblCellMar>
      </w:tblPr>
      <w:tr>
        <w:trPr>
          <w:trHeight w:val="141"/>
        </w:trPr>
        <w:tc>
          <w:tcPr>
            <w:tcW w:w="6780" w:type="dxa"/>
            <w:vAlign w:val="bottom"/>
          </w:tcPr>
          <w:p>
            <w:pPr>
              <w:spacing w:after="0"/>
              <w:rPr>
                <w:sz w:val="12"/>
                <w:szCs w:val="12"/>
                <w:color w:val="auto"/>
              </w:rPr>
            </w:pPr>
          </w:p>
        </w:tc>
        <w:tc>
          <w:tcPr>
            <w:tcW w:w="1680" w:type="dxa"/>
            <w:vAlign w:val="bottom"/>
            <w:vMerge w:val="restart"/>
          </w:tcPr>
          <w:p>
            <w:pPr>
              <w:jc w:val="center"/>
              <w:ind w:left="648"/>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ind w:right="78"/>
              <w:spacing w:after="0" w:line="141"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168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Unvested—December 31, 2022</w:t>
            </w:r>
          </w:p>
        </w:tc>
        <w:tc>
          <w:tcPr>
            <w:tcW w:w="16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224,788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2"/>
                <w:szCs w:val="12"/>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172,500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(5,000 )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 xml:space="preserve">Unvested—March 31, 2023 </w:t>
            </w:r>
            <w:r>
              <w:rPr>
                <w:rFonts w:ascii="Arial" w:cs="Arial" w:eastAsia="Arial" w:hAnsi="Arial"/>
                <w:sz w:val="12"/>
                <w:szCs w:val="12"/>
                <w:color w:val="auto"/>
              </w:rPr>
              <w:t>(2)</w:t>
            </w:r>
          </w:p>
        </w:tc>
        <w:tc>
          <w:tcPr>
            <w:tcW w:w="16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392,288</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100" w:firstLine="517"/>
        <w:spacing w:after="0" w:line="277" w:lineRule="auto"/>
        <w:tabs>
          <w:tab w:leader="none" w:pos="732" w:val="left"/>
        </w:tabs>
        <w:numPr>
          <w:ilvl w:val="0"/>
          <w:numId w:val="7"/>
        </w:numPr>
        <w:rPr>
          <w:rFonts w:ascii="Arial" w:cs="Arial" w:eastAsia="Arial" w:hAnsi="Arial"/>
          <w:sz w:val="15"/>
          <w:szCs w:val="15"/>
          <w:color w:val="auto"/>
        </w:rPr>
      </w:pPr>
      <w:r>
        <w:rPr>
          <w:rFonts w:ascii="Arial" w:cs="Arial" w:eastAsia="Arial" w:hAnsi="Arial"/>
          <w:sz w:val="18"/>
          <w:szCs w:val="18"/>
          <w:color w:val="auto"/>
        </w:rPr>
        <w:t>RSUs granted in 2023 and 2022 had a weighted average grant date fair value of $28.55 and $15.79, respectively. The fair values of RSUs vested in the first quarter of 2023 and 2022 totaled $48,000 and $36,000, respectively.</w:t>
      </w:r>
    </w:p>
    <w:p>
      <w:pPr>
        <w:spacing w:after="0" w:line="170" w:lineRule="exact"/>
        <w:rPr>
          <w:rFonts w:ascii="Arial" w:cs="Arial" w:eastAsia="Arial" w:hAnsi="Arial"/>
          <w:sz w:val="15"/>
          <w:szCs w:val="15"/>
          <w:color w:val="auto"/>
        </w:rPr>
      </w:pPr>
    </w:p>
    <w:p>
      <w:pPr>
        <w:ind w:right="740" w:firstLine="517"/>
        <w:spacing w:after="0" w:line="308" w:lineRule="auto"/>
        <w:tabs>
          <w:tab w:leader="none" w:pos="732" w:val="left"/>
        </w:tabs>
        <w:numPr>
          <w:ilvl w:val="0"/>
          <w:numId w:val="7"/>
        </w:numPr>
        <w:rPr>
          <w:rFonts w:ascii="Arial" w:cs="Arial" w:eastAsia="Arial" w:hAnsi="Arial"/>
          <w:sz w:val="14"/>
          <w:szCs w:val="14"/>
          <w:color w:val="auto"/>
        </w:rPr>
      </w:pPr>
      <w:r>
        <w:rPr>
          <w:rFonts w:ascii="Arial" w:cs="Arial" w:eastAsia="Arial" w:hAnsi="Arial"/>
          <w:sz w:val="17"/>
          <w:szCs w:val="17"/>
          <w:color w:val="auto"/>
        </w:rPr>
        <w:t>Unvested RSUs as of March 31, 2023, include 317,333 RSUs which were granted to members of the Board of Directors and will not be considered issued and outstanding until the occurrence of a separation from service, death, disability, or a change in control.</w:t>
      </w:r>
    </w:p>
    <w:p>
      <w:pPr>
        <w:spacing w:after="0" w:line="146"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As of March 31, 2023, there were $77.8 million of unrecognized compensation costs related to employee and non-employee unvested stock options and RSUs granted under the 2015 and 2007 Plans, which are expected to be recognized over a weighted-average remaining service period of 3.1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months ended March 31,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vMerge w:val="restart"/>
          </w:tcPr>
          <w:p>
            <w:pPr>
              <w:jc w:val="center"/>
              <w:ind w:left="115"/>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tcPr>
          <w:p>
            <w:pPr>
              <w:jc w:val="center"/>
              <w:ind w:left="115"/>
              <w:spacing w:after="0" w:line="149" w:lineRule="exact"/>
              <w:rPr>
                <w:sz w:val="20"/>
                <w:szCs w:val="20"/>
                <w:color w:val="auto"/>
              </w:rPr>
            </w:pPr>
            <w:r>
              <w:rPr>
                <w:rFonts w:ascii="Arial" w:cs="Arial" w:eastAsia="Arial" w:hAnsi="Arial"/>
                <w:sz w:val="14"/>
                <w:szCs w:val="14"/>
                <w:b w:val="1"/>
                <w:bCs w:val="1"/>
                <w:color w:val="auto"/>
                <w:w w:val="90"/>
              </w:rPr>
              <w:t>$0.0001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6"/>
              </w:rPr>
              <w:t>e</w:t>
            </w:r>
          </w:p>
        </w:tc>
        <w:tc>
          <w:tcPr>
            <w:tcW w:w="1160" w:type="dxa"/>
            <w:vAlign w:val="bottom"/>
            <w:gridSpan w:val="3"/>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02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7"/>
              </w:rPr>
              <w:t>Par Value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4"/>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68,111,385</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1,161,288</w:t>
            </w:r>
          </w:p>
        </w:tc>
        <w:tc>
          <w:tcPr>
            <w:tcW w:w="44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(693,040 )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Stock purchase under ESPP</w:t>
            </w:r>
          </w:p>
        </w:tc>
        <w:tc>
          <w:tcPr>
            <w:tcW w:w="1000" w:type="dxa"/>
            <w:vAlign w:val="bottom"/>
          </w:tcPr>
          <w:p>
            <w:pPr>
              <w:jc w:val="right"/>
              <w:spacing w:after="0"/>
              <w:rPr>
                <w:sz w:val="20"/>
                <w:szCs w:val="20"/>
                <w:color w:val="auto"/>
              </w:rPr>
            </w:pPr>
            <w:r>
              <w:rPr>
                <w:rFonts w:ascii="Arial" w:cs="Arial" w:eastAsia="Arial" w:hAnsi="Arial"/>
                <w:sz w:val="18"/>
                <w:szCs w:val="18"/>
                <w:color w:val="auto"/>
              </w:rPr>
              <w:t>16,537</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Unrealized gains on 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RSU</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Employee withholdings ESPP</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Prefunded warrants, exercise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85,998</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276,506</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(41,126 )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(41,126 )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Balance as of March 31, 2023</w:t>
            </w:r>
          </w:p>
        </w:tc>
        <w:tc>
          <w:tcPr>
            <w:tcW w:w="1000" w:type="dxa"/>
            <w:vAlign w:val="bottom"/>
          </w:tcPr>
          <w:p>
            <w:pPr>
              <w:jc w:val="right"/>
              <w:spacing w:after="0"/>
              <w:rPr>
                <w:sz w:val="20"/>
                <w:szCs w:val="20"/>
                <w:color w:val="auto"/>
              </w:rPr>
            </w:pPr>
            <w:r>
              <w:rPr>
                <w:rFonts w:ascii="Arial" w:cs="Arial" w:eastAsia="Arial" w:hAnsi="Arial"/>
                <w:sz w:val="18"/>
                <w:szCs w:val="18"/>
                <w:color w:val="auto"/>
              </w:rPr>
              <w:t>68,495,426</w:t>
            </w:r>
          </w:p>
        </w:tc>
        <w:tc>
          <w:tcPr>
            <w:tcW w:w="26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1,170,000</w:t>
            </w:r>
          </w:p>
        </w:tc>
        <w:tc>
          <w:tcPr>
            <w:tcW w:w="24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(734,166 )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435,505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-548005</wp:posOffset>
            </wp:positionV>
            <wp:extent cx="7747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-548005</wp:posOffset>
            </wp:positionV>
            <wp:extent cx="7747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-548005</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-548005</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-548005</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months ended March 31,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20" w:type="dxa"/>
            <w:vAlign w:val="bottom"/>
            <w:gridSpan w:val="3"/>
            <w:vMerge w:val="restart"/>
          </w:tcPr>
          <w:p>
            <w:pPr>
              <w:jc w:val="center"/>
              <w:ind w:left="116"/>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76"/>
              </w:rPr>
              <w:t>e</w:t>
            </w: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tcPr>
          <w:p>
            <w:pPr>
              <w:jc w:val="center"/>
              <w:ind w:left="116"/>
              <w:spacing w:after="0" w:line="149" w:lineRule="exact"/>
              <w:rPr>
                <w:sz w:val="20"/>
                <w:szCs w:val="20"/>
                <w:color w:val="auto"/>
              </w:rPr>
            </w:pPr>
            <w:r>
              <w:rPr>
                <w:rFonts w:ascii="Arial" w:cs="Arial" w:eastAsia="Arial" w:hAnsi="Arial"/>
                <w:sz w:val="14"/>
                <w:szCs w:val="14"/>
                <w:b w:val="1"/>
                <w:bCs w:val="1"/>
                <w:color w:val="auto"/>
                <w:w w:val="90"/>
              </w:rPr>
              <w:t>$0.0001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Income /</w:t>
            </w:r>
          </w:p>
        </w:tc>
        <w:tc>
          <w:tcPr>
            <w:tcW w:w="1160" w:type="dxa"/>
            <w:vAlign w:val="bottom"/>
            <w:gridSpan w:val="3"/>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02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7"/>
              </w:rPr>
              <w:t>Par Value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54,983,105</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952,019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(543,702 )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Stock purchase under ESPP</w:t>
            </w:r>
          </w:p>
        </w:tc>
        <w:tc>
          <w:tcPr>
            <w:tcW w:w="1000" w:type="dxa"/>
            <w:vAlign w:val="bottom"/>
          </w:tcPr>
          <w:p>
            <w:pPr>
              <w:jc w:val="right"/>
              <w:spacing w:after="0"/>
              <w:rPr>
                <w:sz w:val="20"/>
                <w:szCs w:val="20"/>
                <w:color w:val="auto"/>
              </w:rPr>
            </w:pPr>
            <w:r>
              <w:rPr>
                <w:rFonts w:ascii="Arial" w:cs="Arial" w:eastAsia="Arial" w:hAnsi="Arial"/>
                <w:sz w:val="18"/>
                <w:szCs w:val="18"/>
                <w:color w:val="auto"/>
              </w:rPr>
              <w:t>18,946</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Unrealized loss on short-term 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(685 )</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withholdings ESPP</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28,839</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(37,169 )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(37,169 )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40" w:type="dxa"/>
            <w:vAlign w:val="bottom"/>
          </w:tcPr>
          <w:p>
            <w:pPr>
              <w:ind w:left="20"/>
              <w:spacing w:after="0"/>
              <w:rPr>
                <w:sz w:val="20"/>
                <w:szCs w:val="20"/>
                <w:color w:val="auto"/>
              </w:rPr>
            </w:pPr>
            <w:r>
              <w:rPr>
                <w:rFonts w:ascii="Arial" w:cs="Arial" w:eastAsia="Arial" w:hAnsi="Arial"/>
                <w:sz w:val="18"/>
                <w:szCs w:val="18"/>
                <w:color w:val="auto"/>
              </w:rPr>
              <w:t>Balance as of March 31, 2022</w:t>
            </w:r>
          </w:p>
        </w:tc>
        <w:tc>
          <w:tcPr>
            <w:tcW w:w="1000" w:type="dxa"/>
            <w:vAlign w:val="bottom"/>
          </w:tcPr>
          <w:p>
            <w:pPr>
              <w:jc w:val="right"/>
              <w:spacing w:after="0"/>
              <w:rPr>
                <w:sz w:val="20"/>
                <w:szCs w:val="20"/>
                <w:color w:val="auto"/>
              </w:rPr>
            </w:pPr>
            <w:r>
              <w:rPr>
                <w:rFonts w:ascii="Arial" w:cs="Arial" w:eastAsia="Arial" w:hAnsi="Arial"/>
                <w:sz w:val="18"/>
                <w:szCs w:val="18"/>
                <w:color w:val="auto"/>
              </w:rPr>
              <w:t>55,030,890</w:t>
            </w:r>
          </w:p>
        </w:tc>
        <w:tc>
          <w:tcPr>
            <w:tcW w:w="260" w:type="dxa"/>
            <w:vAlign w:val="bottom"/>
          </w:tcPr>
          <w:p>
            <w:pPr>
              <w:spacing w:after="0"/>
              <w:rPr>
                <w:sz w:val="20"/>
                <w:szCs w:val="20"/>
                <w:color w:val="auto"/>
              </w:rPr>
            </w:pP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956,054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(580,871 )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374,549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-187960</wp:posOffset>
            </wp:positionV>
            <wp:extent cx="7747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-187960</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-187960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March 2021, the Company entered into a sales agreement with Cowen and Company, LLC (“Cowen”) under which the Company may, from time to time, issue and sell shares of its common stock having aggregate sales proceeds of up to $75.0 million, in a series of one or more At-the-Market ("ATM") equity offerings (the “2021 ATM Program”). Cowen is not required to sell any specific share amounts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the sale; and as a result, prices may vary. For the period ended March 31, 2023, the Company sold no additional shares of common stock under the 2021 ATM Program.</w:t>
      </w:r>
    </w:p>
    <w:p>
      <w:pPr>
        <w:spacing w:after="0" w:line="17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December 2021, the Company issued 3,802,144 shares of common stock and granted pre-funded warrants to purchase 1,142,856 shares of common stock. The offering price for the securities was $17.50 per share or $17.4999 for each pre-funded warrant, with net proceeds of approximately $81.2 million. As of March 31, 2023, 1,056,856 pre-funded warrants were considered issued and outstanding. On April 12, 2023, 273,000 pre-funded warrants were exercised for 272,996 shares of common stock, under a cashless exercise. As of May 3, 2023, 783,856 pre-funded warrants were considered issued and outstanding.</w:t>
      </w:r>
    </w:p>
    <w:p>
      <w:pPr>
        <w:spacing w:after="0" w:line="18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December 2021, in connection with the Incyte License and the Incyte Share Purchase Agreement, the Company issued 1,421,523 shares of common stock, with net proceeds of approximately $35.0 million. The Company recorded the equity issuance at a fair value of $24.8 million based on the market price of the stock on the date of issuance.</w:t>
      </w:r>
    </w:p>
    <w:p>
      <w:pPr>
        <w:spacing w:after="0" w:line="18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 December 2022, the Company issued 7,840,909 shares of common stock in a public offering. The offering price for the securities was $22.00 per share, with net proceeds of approximately $162.0 million.</w:t>
      </w:r>
    </w:p>
    <w:p>
      <w:pPr>
        <w:spacing w:after="0" w:line="170"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32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Pr>
          <w:p>
            <w:pPr>
              <w:spacing w:after="0"/>
              <w:rPr>
                <w:sz w:val="20"/>
                <w:szCs w:val="20"/>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issuable under pre-funded warrants</w:t>
            </w:r>
          </w:p>
        </w:tc>
        <w:tc>
          <w:tcPr>
            <w:tcW w:w="3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1,056,856</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3200" w:type="dxa"/>
            <w:vAlign w:val="bottom"/>
          </w:tcPr>
          <w:p>
            <w:pPr>
              <w:jc w:val="right"/>
              <w:spacing w:after="0"/>
              <w:rPr>
                <w:sz w:val="20"/>
                <w:szCs w:val="20"/>
                <w:color w:val="auto"/>
              </w:rPr>
            </w:pPr>
            <w:r>
              <w:rPr>
                <w:rFonts w:ascii="Arial" w:cs="Arial" w:eastAsia="Arial" w:hAnsi="Arial"/>
                <w:sz w:val="18"/>
                <w:szCs w:val="18"/>
                <w:color w:val="auto"/>
              </w:rPr>
              <w:t>13,897,314</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3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1,750,874</w:t>
            </w:r>
          </w:p>
        </w:tc>
        <w:tc>
          <w:tcPr>
            <w:tcW w:w="100" w:type="dxa"/>
            <w:vAlign w:val="bottom"/>
            <w:shd w:val="clear" w:color="auto" w:fill="CFF0FC"/>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March 31, 2023.</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February 28,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are a clinical-stage biopharmaceutical company developing an innovative pipeline of cancer therapies. Our two lead product candidates are revumenib (SNDX-5613), and axatilimab (SNDX-6352).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nucleophosmin 1, also known as NPM1, mutant AML. We are also exploring the use of revumenib as a treatment in solid tumors, specifically its activity in metastatic colorectal cancer. We are developing axatilimab, a monoclonal antibody that blocks the colony stimulating factor 1, or CSF-1 receptor,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spacing w:after="0" w:line="7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Except for 2021, we have not been profitable and have incurred losses in each period since our inception in 2005. For the three months ended March 31, 2023 and 2022, we reported a net loss of $41.1 million and $37.2 million, respectively. As of March 31, 2023, we had an accumulated deficit of $734.2 million, which included non-cash charges for stock-based compensation, preferred stock accretion and extinguishment charges. As of March 31, 2023, we had cash, cash equivalents and short and long-term investments of $449.0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Revumenib</w:t>
      </w:r>
    </w:p>
    <w:p>
      <w:pPr>
        <w:spacing w:after="0" w:line="117" w:lineRule="exact"/>
        <w:rPr>
          <w:sz w:val="20"/>
          <w:szCs w:val="20"/>
          <w:color w:val="auto"/>
        </w:rPr>
      </w:pPr>
    </w:p>
    <w:p>
      <w:pPr>
        <w:ind w:left="760" w:right="60" w:hanging="378"/>
        <w:spacing w:after="0" w:line="275"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pivotal Phase 2 portion of AUGMENT-101 is enrolling relapsed/refractory (R/R) patients across distinct trial populations: patients with KMT2Ar AML, patients with KMT2Ar ALL and patients with mNPM1 AML. We plan to pool data from the AUGMENT-101 cohorts enrolling adult and pediatric patients with R/R KMT2Ar AML and R/R KMT2Ar ALL to file a single New Drug Application (NDA) for the treatment of adult and pediatric KMT2Ar acute leukemia. We expect to share topline data from the KMT2Ar pooled analysis in the third quarter of 2023 and submit an NDA filing by the end of 2023. We also expect to complete enrollment of the NPM1 AML cohort in the second half of 2023.</w:t>
      </w:r>
    </w:p>
    <w:p>
      <w:pPr>
        <w:spacing w:after="0" w:line="6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obtained U.S. Food and Drug Administration (FDA) agreement on a recommended Phase 2 dose (RP2D) of 276 mg of revumenib every 12 hours for patients not receiving a strong CYP3A4 inhibitor.</w:t>
      </w:r>
    </w:p>
    <w:p>
      <w:pPr>
        <w:spacing w:after="0" w:line="62"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several Phase 1 trials of revumenib ongoing that will provide data across the treatment landscape in acute leukemia. These include the following:</w:t>
      </w:r>
    </w:p>
    <w:p>
      <w:pPr>
        <w:spacing w:after="0" w:line="62" w:lineRule="exact"/>
        <w:rPr>
          <w:sz w:val="20"/>
          <w:szCs w:val="20"/>
          <w:color w:val="auto"/>
        </w:rPr>
      </w:pPr>
    </w:p>
    <w:p>
      <w:pPr>
        <w:ind w:left="1500" w:right="80" w:hanging="369"/>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BEAT-AML: A combination trial of revumenib with venetoclax and azacitidine in front-line AML patients being conducted as part of the Leukemia &amp; Lymphoma Society’s Beat AML® master clinical trial. We expect to report initial safety data from the trial by year-end 2023.</w:t>
      </w:r>
    </w:p>
    <w:p>
      <w:pPr>
        <w:spacing w:after="0" w:line="75" w:lineRule="exact"/>
        <w:rPr>
          <w:rFonts w:ascii="Arial" w:cs="Arial" w:eastAsia="Arial" w:hAnsi="Arial"/>
          <w:sz w:val="18"/>
          <w:szCs w:val="18"/>
          <w:color w:val="auto"/>
        </w:rPr>
      </w:pPr>
    </w:p>
    <w:p>
      <w:pPr>
        <w:ind w:left="1500" w:right="100" w:hanging="369"/>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AUGMENT-102: A combination trial of revumenib with chemotherapy in adult and pediatric patients with R/R mNPM1 or KMT2Ar acute leukemia. We expect to report initial safety data along with an RP2D from the trial by year-end 2023.</w:t>
      </w:r>
    </w:p>
    <w:p>
      <w:pPr>
        <w:spacing w:after="0" w:line="62" w:lineRule="exact"/>
        <w:rPr>
          <w:rFonts w:ascii="Arial" w:cs="Arial" w:eastAsia="Arial" w:hAnsi="Arial"/>
          <w:sz w:val="18"/>
          <w:szCs w:val="18"/>
          <w:color w:val="auto"/>
        </w:rPr>
      </w:pPr>
    </w:p>
    <w:p>
      <w:pPr>
        <w:ind w:left="1500" w:right="320" w:hanging="369"/>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INTERCEPT: A trial to test the use of revumenib monotherapy as maintenance therapy in AML patients who are minimal residual disease-positive following initial treatment, being conducted by the Australasian Leukaemia and Lymphoma Group as part of the INTERCEPT AML master clinical trial. The trial continues to enroll patients.</w:t>
      </w:r>
    </w:p>
    <w:p>
      <w:pPr>
        <w:spacing w:after="0" w:line="75" w:lineRule="exact"/>
        <w:rPr>
          <w:rFonts w:ascii="Arial" w:cs="Arial" w:eastAsia="Arial" w:hAnsi="Arial"/>
          <w:sz w:val="18"/>
          <w:szCs w:val="18"/>
          <w:color w:val="auto"/>
        </w:rPr>
      </w:pPr>
    </w:p>
    <w:p>
      <w:pPr>
        <w:ind w:left="760" w:right="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proof-of-concept clinical trial of revumenib in patients with unresectable metastatic microsatellite stable colorectal cancer is enrolling patients and we expect to have preliminary data by year-end 2023.</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17"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and our partner, Incyte, remain on track to report topline data from the pivotal AGAVE-201 trial evaluating axatilimab in patients with</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cGVHD following two or more prior lines of therapy in mid-2023, with a Biologics License Application (BLA)</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ind w:left="760"/>
        <w:spacing w:after="0"/>
        <w:rPr>
          <w:sz w:val="20"/>
          <w:szCs w:val="20"/>
          <w:color w:val="auto"/>
        </w:rPr>
      </w:pPr>
      <w:r>
        <w:rPr>
          <w:rFonts w:ascii="Arial" w:cs="Arial" w:eastAsia="Arial" w:hAnsi="Arial"/>
          <w:sz w:val="18"/>
          <w:szCs w:val="18"/>
          <w:color w:val="auto"/>
        </w:rPr>
        <w:t>filing expected by year-end 2023.</w:t>
      </w:r>
    </w:p>
    <w:p>
      <w:pPr>
        <w:spacing w:after="0" w:line="333" w:lineRule="exact"/>
        <w:rPr>
          <w:sz w:val="20"/>
          <w:szCs w:val="20"/>
          <w:color w:val="auto"/>
        </w:rPr>
      </w:pPr>
    </w:p>
    <w:p>
      <w:pPr>
        <w:ind w:left="760" w:right="380" w:hanging="378"/>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plan to present axatilimab data demonstrating encouraging clinical activity in cGVHD-related bronchiolitis obliterans syndrome at the upcoming 2023 American Thoracic Society (ATS) Conference on May 19-24 in Washington, D.C. The abstract is now available on the ATS website.</w:t>
      </w:r>
    </w:p>
    <w:p>
      <w:pPr>
        <w:spacing w:after="0" w:line="29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and Incyte expect to initiate a Phase 1 trial assessing axatilimab in combination with ruxolitinib in cGVHD in the second half of 2023.</w:t>
      </w:r>
    </w:p>
    <w:p>
      <w:pPr>
        <w:spacing w:after="0" w:line="128" w:lineRule="exact"/>
        <w:rPr>
          <w:rFonts w:ascii="Arial" w:cs="Arial" w:eastAsia="Arial" w:hAnsi="Arial"/>
          <w:sz w:val="17"/>
          <w:szCs w:val="17"/>
          <w:color w:val="auto"/>
        </w:rPr>
      </w:pPr>
    </w:p>
    <w:p>
      <w:pPr>
        <w:ind w:left="760" w:right="12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to initiate a randomized, double-blind and placebo-controlled Phase 2 trial to assess the efficacy, safety and tolerability of axatilimab in patients with IPF in the second half of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Updates</w:t>
      </w:r>
    </w:p>
    <w:p>
      <w:pPr>
        <w:spacing w:after="0" w:line="117" w:lineRule="exact"/>
        <w:rPr>
          <w:sz w:val="20"/>
          <w:szCs w:val="20"/>
          <w:color w:val="auto"/>
        </w:rPr>
      </w:pPr>
    </w:p>
    <w:p>
      <w:pPr>
        <w:ind w:left="760" w:right="8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March 2023, we announced the appointment of Neil Gallagher, M.D., Ph.D., as President, Head of Research and Development. Dr. Gallagher brings to Syndax over 20 years of experience as a leading oncology drug developer.</w:t>
      </w:r>
    </w:p>
    <w:p>
      <w:pPr>
        <w:spacing w:after="0" w:line="62" w:lineRule="exact"/>
        <w:rPr>
          <w:rFonts w:ascii="Arial" w:cs="Arial" w:eastAsia="Arial" w:hAnsi="Arial"/>
          <w:sz w:val="18"/>
          <w:szCs w:val="18"/>
          <w:color w:val="auto"/>
        </w:rPr>
      </w:pPr>
    </w:p>
    <w:p>
      <w:pPr>
        <w:ind w:left="760" w:right="420" w:hanging="378"/>
        <w:spacing w:after="0" w:line="308"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announced the appointment of Kevin McManus as Chief People Officer. Mr. McManus brings to Syndax over 30 years of experience in human resources and an extensive track record in leadership roles growing organizations and attracting great 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global economic slowdown, the overall disruption of global healthcare systems and other risks and uncertainties associated with the COVID-19 public health crisis and the ongoing war between Russia and Ukraine has had, and may in the future have, a material adverse effect on our business, financial condition, results of operations and growth prospects. The current high inflation rates may also materially affect our business and operating results by increasing the cost of our clinical trial materials and supplies, driving the Federal Reserve to increase interest rates and increasing our overhead costs. Rising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ongoing high inflation could increase our operating costs, including our labor costs and research and development costs. These costs may also be negatively impacted due to supply chain constraints, the global geopolitical tension as a result of the ongoing war between Russia and Ukraine, worsening macroeconomic conditions and employee availability and wage increases, which may result in additional stress on our working capital.</w:t>
      </w:r>
    </w:p>
    <w:p>
      <w:pPr>
        <w:spacing w:after="0" w:line="74"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We generated no revenue during the three months ended March 31, 2023 and 2022.</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September 2021, the Company entered into the Incyte Agreements covering the worldwide development and commercialization of axatilimab. We granted Incyte an exclusive license to develop and commercialize axatilimab in the United States and the rest of the world. In 2021, we received $152.0 million in total consideration, of which $126.6 million was allocated to the license and recognized as license revenue as of December 31, 2021. For the three months ended March 31, 2023, no additional revenue has been recognized under the Incyte Agreements.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20" w:right="10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9"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7"/>
          <w:szCs w:val="17"/>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6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6"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ind w:right="120"/>
        <w:spacing w:after="0" w:line="311" w:lineRule="auto"/>
        <w:rPr>
          <w:sz w:val="20"/>
          <w:szCs w:val="20"/>
          <w:color w:val="auto"/>
        </w:rPr>
      </w:pPr>
      <w:r>
        <w:rPr>
          <w:rFonts w:ascii="Arial" w:cs="Arial" w:eastAsia="Arial" w:hAnsi="Arial"/>
          <w:sz w:val="16"/>
          <w:szCs w:val="16"/>
          <w:color w:val="auto"/>
        </w:rPr>
        <w:t>future as we increase our headcount to support our continued research and development and potential commercialization of our product candidates. Additionally, if and when we believe a regulatory approval of the one or more of our product candidates appears likely, we anticipate an increase in payroll and related expenses as a result of our preparation for commercial operations, especially as it relates to the sales and marketing of our product candidates.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operational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 and long-term investment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(expense), net includes income (expense) consisting of foreign currency gains (losses) on short and long-term investment balances.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 xml:space="preserve">For a discussion of new accounting pronouncements please read </w:t>
      </w:r>
      <w:r>
        <w:rPr>
          <w:rFonts w:ascii="Arial" w:cs="Arial" w:eastAsia="Arial" w:hAnsi="Arial"/>
          <w:sz w:val="18"/>
          <w:szCs w:val="18"/>
          <w:i w:val="1"/>
          <w:iCs w:val="1"/>
          <w:color w:val="auto"/>
        </w:rPr>
        <w:t>Note 3 Summary of Significant Accounting Policies</w:t>
      </w:r>
      <w:r>
        <w:rPr>
          <w:rFonts w:ascii="Arial" w:cs="Arial" w:eastAsia="Arial" w:hAnsi="Arial"/>
          <w:sz w:val="18"/>
          <w:szCs w:val="18"/>
          <w:color w:val="auto"/>
        </w:rPr>
        <w:t>, to our unaudited condensed consolidated financial statements included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69" w:lineRule="exact"/>
        <w:rPr>
          <w:sz w:val="20"/>
          <w:szCs w:val="20"/>
          <w:color w:val="auto"/>
        </w:rPr>
      </w:pPr>
    </w:p>
    <w:p>
      <w:pPr>
        <w:ind w:right="460" w:firstLine="509"/>
        <w:spacing w:after="0" w:line="308" w:lineRule="auto"/>
        <w:rPr>
          <w:sz w:val="20"/>
          <w:szCs w:val="20"/>
          <w:color w:val="auto"/>
        </w:rPr>
      </w:pPr>
      <w:r>
        <w:rPr>
          <w:rFonts w:ascii="Arial" w:cs="Arial" w:eastAsia="Arial" w:hAnsi="Arial"/>
          <w:sz w:val="17"/>
          <w:szCs w:val="17"/>
          <w:color w:val="auto"/>
        </w:rPr>
        <w:t>There have been no material changes to our critical accounting estimates described in the “Management’s Discussion and Analysis of Financial Condition and Results of Operations” contained in our Annual Report on Form 10-K for the fiscal year ended December 31,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jc w:val="right"/>
              <w:ind w:right="639"/>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1620" w:type="dxa"/>
            <w:vAlign w:val="bottom"/>
            <w:gridSpan w:val="3"/>
          </w:tcPr>
          <w:p>
            <w:pPr>
              <w:ind w:left="380"/>
              <w:spacing w:after="0"/>
              <w:rPr>
                <w:sz w:val="20"/>
                <w:szCs w:val="20"/>
                <w:color w:val="auto"/>
              </w:rPr>
            </w:pPr>
            <w:r>
              <w:rPr>
                <w:rFonts w:ascii="Arial" w:cs="Arial" w:eastAsia="Arial" w:hAnsi="Arial"/>
                <w:sz w:val="14"/>
                <w:szCs w:val="14"/>
                <w:b w:val="1"/>
                <w:bCs w:val="1"/>
                <w:color w:val="auto"/>
                <w:w w:val="92"/>
              </w:rPr>
              <w:t>Increase (Decrease)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3"/>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1"/>
              </w:rPr>
              <w:t>thousands)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0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34,054</w:t>
            </w:r>
          </w:p>
        </w:tc>
        <w:tc>
          <w:tcPr>
            <w:tcW w:w="2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30,022</w:t>
            </w:r>
          </w:p>
        </w:tc>
        <w:tc>
          <w:tcPr>
            <w:tcW w:w="2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4,032</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0"/>
        </w:trPr>
        <w:tc>
          <w:tcPr>
            <w:tcW w:w="5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11,961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6,836</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5,125</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46,015</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36,858</w:t>
            </w:r>
          </w:p>
        </w:tc>
        <w:tc>
          <w:tcPr>
            <w:tcW w:w="24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9,157</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(46,015 )</w:t>
            </w:r>
          </w:p>
        </w:tc>
        <w:tc>
          <w:tcPr>
            <w:tcW w:w="300" w:type="dxa"/>
            <w:vAlign w:val="bottom"/>
          </w:tcPr>
          <w:p>
            <w:pPr>
              <w:spacing w:after="0"/>
              <w:rPr>
                <w:sz w:val="20"/>
                <w:szCs w:val="20"/>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8"/>
                <w:szCs w:val="18"/>
                <w:color w:val="auto"/>
              </w:rPr>
              <w:t>(36,858 )</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9,157</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(40 )</w:t>
            </w:r>
          </w:p>
        </w:tc>
        <w:tc>
          <w:tcPr>
            <w:tcW w:w="300" w:type="dxa"/>
            <w:vAlign w:val="bottom"/>
          </w:tcPr>
          <w:p>
            <w:pPr>
              <w:spacing w:after="0"/>
              <w:rPr>
                <w:sz w:val="20"/>
                <w:szCs w:val="20"/>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8"/>
                <w:szCs w:val="18"/>
                <w:color w:val="auto"/>
              </w:rPr>
              <w:t>(651 )</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42"/>
        </w:trPr>
        <w:tc>
          <w:tcPr>
            <w:tcW w:w="50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5,076</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4,852</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2166 %</w:t>
            </w:r>
          </w:p>
        </w:tc>
        <w:tc>
          <w:tcPr>
            <w:tcW w:w="0" w:type="dxa"/>
            <w:vAlign w:val="bottom"/>
          </w:tcPr>
          <w:p>
            <w:pPr>
              <w:spacing w:after="0"/>
              <w:rPr>
                <w:sz w:val="1"/>
                <w:szCs w:val="1"/>
                <w:color w:val="auto"/>
              </w:rPr>
            </w:pPr>
          </w:p>
        </w:tc>
      </w:tr>
      <w:tr>
        <w:trPr>
          <w:trHeight w:val="250"/>
        </w:trPr>
        <w:tc>
          <w:tcPr>
            <w:tcW w:w="508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(147 )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(263 )</w:t>
            </w:r>
          </w:p>
        </w:tc>
        <w:tc>
          <w:tcPr>
            <w:tcW w:w="5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(41,126 )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9"/>
              <w:spacing w:after="0"/>
              <w:rPr>
                <w:sz w:val="20"/>
                <w:szCs w:val="20"/>
                <w:color w:val="auto"/>
              </w:rPr>
            </w:pPr>
            <w:r>
              <w:rPr>
                <w:rFonts w:ascii="Arial" w:cs="Arial" w:eastAsia="Arial" w:hAnsi="Arial"/>
                <w:sz w:val="18"/>
                <w:szCs w:val="18"/>
                <w:color w:val="auto"/>
              </w:rPr>
              <w:t>(37,169 )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3,957</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60" w:firstLine="509"/>
        <w:spacing w:after="0" w:line="254" w:lineRule="auto"/>
        <w:rPr>
          <w:sz w:val="20"/>
          <w:szCs w:val="20"/>
          <w:color w:val="auto"/>
        </w:rPr>
      </w:pPr>
      <w:r>
        <w:rPr>
          <w:rFonts w:ascii="Arial" w:cs="Arial" w:eastAsia="Arial" w:hAnsi="Arial"/>
          <w:sz w:val="18"/>
          <w:szCs w:val="18"/>
          <w:color w:val="auto"/>
        </w:rPr>
        <w:t>For the three months ended March 31, 2023, our total research and development expenses increased approximately $4.0 million, or approximately 13%, to $34.1 million from $30.0 million for the comparable quarter in the prior year. The increase in research and development expenses was primarily due to increased employee related expenses of $4.9 million, professional fees of $0.5 million and other expenses of $0.2 million, partially offset by decreased clinical and manufacturing expenses of $1.6 million. Increased employee</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6" w:right="279" w:bottom="1440" w:gutter="0" w:footer="0" w:header="0"/>
        </w:sectPr>
      </w:pPr>
    </w:p>
    <w:bookmarkStart w:id="18" w:name="page19"/>
    <w:bookmarkEnd w:id="18"/>
    <w:p>
      <w:pPr>
        <w:ind w:right="220"/>
        <w:spacing w:after="0" w:line="257" w:lineRule="auto"/>
        <w:rPr>
          <w:sz w:val="20"/>
          <w:szCs w:val="20"/>
          <w:color w:val="auto"/>
        </w:rPr>
      </w:pPr>
      <w:r>
        <w:rPr>
          <w:rFonts w:ascii="Arial" w:cs="Arial" w:eastAsia="Arial" w:hAnsi="Arial"/>
          <w:sz w:val="18"/>
          <w:szCs w:val="18"/>
          <w:color w:val="auto"/>
        </w:rPr>
        <w:t>related activities were primarily due to increased headcount expense of $3.5 million and increased stock compensation of $1.4 million. Decreased clinical and manufacturing expenses were primarily due to decreased license fees of $7.8 million and, decreased axatilimab manufacturing activities of $2.8 million, partially offset by increased revumenib manufacturing activities of $3.7 million, increased axatilimab clinical activities of $3.0 million and increased revumenib clinical activities $2.3 million. We expect research and development expenses to fluctuate from quarter to quarter depending on the timing of clinical trial activities, clinical manufacturing and other development activities.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5"/>
              </w:rPr>
              <w:t>Increase (Decrease)</w:t>
            </w: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71"/>
              </w:rPr>
              <w:t>thousands)</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22,791</w:t>
            </w:r>
          </w:p>
        </w:tc>
        <w:tc>
          <w:tcPr>
            <w:tcW w:w="118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23,757</w:t>
            </w:r>
          </w:p>
        </w:tc>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(966 )</w:t>
            </w:r>
          </w:p>
        </w:tc>
        <w:tc>
          <w:tcPr>
            <w:tcW w:w="6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9"/>
        </w:trPr>
        <w:tc>
          <w:tcPr>
            <w:tcW w:w="4500" w:type="dxa"/>
            <w:vAlign w:val="bottom"/>
          </w:tcPr>
          <w:p>
            <w:pPr>
              <w:ind w:left="20"/>
              <w:spacing w:after="0"/>
              <w:rPr>
                <w:sz w:val="20"/>
                <w:szCs w:val="20"/>
                <w:color w:val="auto"/>
              </w:rPr>
            </w:pPr>
            <w:r>
              <w:rPr>
                <w:rFonts w:ascii="Arial" w:cs="Arial" w:eastAsia="Arial" w:hAnsi="Arial"/>
                <w:sz w:val="18"/>
                <w:szCs w:val="18"/>
                <w:color w:val="auto"/>
              </w:rPr>
              <w:t>Internal research and development expenses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11,263</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6,265</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4,998</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80 %</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34,054</w:t>
            </w:r>
          </w:p>
        </w:tc>
        <w:tc>
          <w:tcPr>
            <w:tcW w:w="2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30,022</w:t>
            </w: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For the three months ended March 31, 2023, our total general and administrative expenses increased approximately $5.1 million, or approximately 75%, to $12.0 million from $6.8 million for the comparable period in the prior year. The increase in general and administrative expenses was primarily due to increased employee-related expenses of $3.4 million, professional fees of $1.2 million and other expenses of $0.5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17" w:lineRule="exact"/>
        <w:rPr>
          <w:sz w:val="20"/>
          <w:szCs w:val="20"/>
          <w:color w:val="auto"/>
        </w:rPr>
      </w:pPr>
    </w:p>
    <w:p>
      <w:pPr>
        <w:ind w:right="260" w:firstLine="509"/>
        <w:spacing w:after="0" w:line="342" w:lineRule="auto"/>
        <w:rPr>
          <w:sz w:val="20"/>
          <w:szCs w:val="20"/>
          <w:color w:val="auto"/>
        </w:rPr>
      </w:pPr>
      <w:r>
        <w:rPr>
          <w:rFonts w:ascii="Arial" w:cs="Arial" w:eastAsia="Arial" w:hAnsi="Arial"/>
          <w:sz w:val="16"/>
          <w:szCs w:val="16"/>
          <w:color w:val="auto"/>
        </w:rPr>
        <w:t>For the three months ended March 31, 2023, interest income increased $4.9 million to $5.1 million from $0.2 million for the comparable period in the prior year primarily due to increased interest rates and an increased average balance on cash equivalents and short and long-term investments.</w:t>
      </w:r>
    </w:p>
    <w:p>
      <w:pPr>
        <w:spacing w:after="0" w:line="16" w:lineRule="exact"/>
        <w:rPr>
          <w:sz w:val="20"/>
          <w:szCs w:val="20"/>
          <w:color w:val="auto"/>
        </w:rPr>
      </w:pPr>
    </w:p>
    <w:p>
      <w:pPr>
        <w:ind w:right="220" w:firstLine="509"/>
        <w:spacing w:after="0" w:line="308" w:lineRule="auto"/>
        <w:rPr>
          <w:sz w:val="20"/>
          <w:szCs w:val="20"/>
          <w:color w:val="auto"/>
        </w:rPr>
      </w:pPr>
      <w:r>
        <w:rPr>
          <w:rFonts w:ascii="Arial" w:cs="Arial" w:eastAsia="Arial" w:hAnsi="Arial"/>
          <w:sz w:val="17"/>
          <w:szCs w:val="17"/>
          <w:color w:val="auto"/>
        </w:rPr>
        <w:t>For the three months ended March 31, 2023, interest expense decreased $0.6 million to $0.04 million from $0.7 million for the comparable period in the prior year primarily due to the interest expense related to the Amended Loan Agreement, which was terminated in September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For the three months ended March 31, 2022, other (expense) income, net decreased from the comparable period in the prior year primarily due to a change in fair value of the derivative liability recorded in connection with the Incyte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As of March 31, 2023, we had cash, cash equivalents and short and long-term investments totaling $449.0 million. Our operations to-date have been primarily financed by net proceeds from public stock offerings, and revenue from our license agreements. We believe that our present cash, cash equivalents and short and long-term investments as of March 31, 2023,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17" w:lineRule="exact"/>
        <w:rPr>
          <w:sz w:val="20"/>
          <w:szCs w:val="20"/>
          <w:color w:val="auto"/>
        </w:rPr>
      </w:pPr>
    </w:p>
    <w:p>
      <w:pPr>
        <w:ind w:right="100" w:firstLine="509"/>
        <w:spacing w:after="0" w:line="267" w:lineRule="auto"/>
        <w:rPr>
          <w:sz w:val="20"/>
          <w:szCs w:val="20"/>
          <w:color w:val="auto"/>
        </w:rPr>
      </w:pPr>
      <w:r>
        <w:rPr>
          <w:rFonts w:ascii="Arial" w:cs="Arial" w:eastAsia="Arial" w:hAnsi="Arial"/>
          <w:sz w:val="17"/>
          <w:szCs w:val="17"/>
          <w:color w:val="auto"/>
        </w:rPr>
        <w:t>In March 2021, we entered into a sales agreement with Cowen, under which, from time to time, we may issue and sell shares of our common stock having aggregate sales proceeds of up to $75.0 million, in a series of one or more ATM equity offerings (the “2021 ATM Program”). Cowen is not required to sell any specific share amounts but acts as our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Our common stock will be sold at prevailing market prices at the time of the sale; and as a result, prices may vary. For the three months ended March 31, 2023, we did not sell any shares of common stock under the 2021 ATM Program. As of May 3, 2023, the Company had $49.7 million available under the 2021 ATM Program.</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6"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We believe that our available cash, cash equivalents and short and long-term investments are sufficient to fund existing and planned cash requirements for the next 12 months.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63"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76"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20" w:right="26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0"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5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material contractual obligations and commitments as of March 31, 2023, primarily relate to our maturities of operating leases for office space and equipment and capital leases for office equipment. As of March 31, 2023, we have $0.6 million payable within 12 months.</w:t>
      </w:r>
    </w:p>
    <w:p>
      <w:pPr>
        <w:spacing w:after="0" w:line="170"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right="120" w:firstLine="509"/>
        <w:spacing w:after="0" w:line="288" w:lineRule="auto"/>
        <w:rPr>
          <w:sz w:val="20"/>
          <w:szCs w:val="20"/>
          <w:color w:val="auto"/>
        </w:rPr>
      </w:pPr>
      <w:r>
        <w:rPr>
          <w:rFonts w:ascii="Arial" w:cs="Arial" w:eastAsia="Arial" w:hAnsi="Arial"/>
          <w:sz w:val="16"/>
          <w:szCs w:val="16"/>
          <w:color w:val="auto"/>
        </w:rPr>
        <w:t>We have incurred losses and cumulative negative cash flows from operations since our inception, excluding the year ended December 31, 2021. As of March 31, 2023, we had an accumulated deficit of $734.2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5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w w:val="76"/>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w w:val="91"/>
              </w:rPr>
              <w:t>(39,228 )</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(41,931 )</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19,915</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8,182</w:t>
            </w:r>
          </w:p>
        </w:tc>
        <w:tc>
          <w:tcPr>
            <w:tcW w:w="100" w:type="dxa"/>
            <w:vAlign w:val="bottom"/>
          </w:tcPr>
          <w:p>
            <w:pPr>
              <w:spacing w:after="0"/>
              <w:rPr>
                <w:sz w:val="20"/>
                <w:szCs w:val="20"/>
                <w:color w:val="auto"/>
              </w:rPr>
            </w:pPr>
          </w:p>
        </w:tc>
      </w:tr>
      <w:tr>
        <w:trPr>
          <w:trHeight w:val="243"/>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8"/>
              <w:spacing w:after="0"/>
              <w:rPr>
                <w:sz w:val="20"/>
                <w:szCs w:val="20"/>
                <w:color w:val="auto"/>
              </w:rPr>
            </w:pPr>
            <w:r>
              <w:rPr>
                <w:rFonts w:ascii="Arial" w:cs="Arial" w:eastAsia="Arial" w:hAnsi="Arial"/>
                <w:sz w:val="18"/>
                <w:szCs w:val="18"/>
                <w:color w:val="auto"/>
                <w:w w:val="91"/>
              </w:rPr>
              <w:t>(16,839 )</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(33,192 )</w:t>
            </w:r>
          </w:p>
        </w:tc>
      </w:tr>
      <w:tr>
        <w:trPr>
          <w:trHeight w:val="20"/>
        </w:trPr>
        <w:tc>
          <w:tcPr>
            <w:tcW w:w="7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Net cash used in operating activities for the three months ended March 31, 2023, was $39.2 million and consisted of our net loss of $41.1 million adjusted for non-cash items, including stock-based compensation of $6.2 million, an investment accretion of $4.0 million, a net decrease in operating assets and liabilities of $0.5 million, and operating lease and depreciation expenses of $0.1 million. The increase in net loss was primarily due to increased clinical trial activities and manufacturing expenses. The net decrease in operating assets and liabilities primarily consisted of accounts payable of $3.7 million, increased prepayments and deposits of $2.9 million, increased other receivables of $2.1 million, partially offset by decreased accrued expenses and other liabilities of $9.2 million</w:t>
      </w:r>
      <w:r>
        <w:rPr>
          <w:rFonts w:ascii="Arial" w:cs="Arial" w:eastAsia="Arial" w:hAnsi="Arial"/>
          <w:sz w:val="18"/>
          <w:szCs w:val="18"/>
          <w:color w:val="FF0000"/>
        </w:rPr>
        <w:t>.</w:t>
      </w:r>
    </w:p>
    <w:p>
      <w:pPr>
        <w:spacing w:after="0" w:line="84"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Net cash used in operating activities for the three months ended March 31, 2022, was $41.9 million and consisted of our net loss of $37.2 million adjusted for non-cash items, including a net increase in operating assets and liabilities of $8.3 million, stock-based compensation of $3.5 million, a non-cash interest expense associated with the term loan of $0.2 million, a decrease of the derivative liability associated with the Incyte Agreements of $0.2 million and an investment amortization of $0.1 million. The increase in net loss was primarily due to the increase in our clinical trial activities manufacturing expenses. The net increase in operating assets and liabilities primarily consisted of increased prepayments and deposits of $8.4 million, increased other receivables of 6.3 million, offset by the increased accounts payable of $2.6 million, and increased accrued expenses and other liabilities of $3.9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520" w:firstLine="509"/>
        <w:spacing w:after="0" w:line="308" w:lineRule="auto"/>
        <w:rPr>
          <w:sz w:val="20"/>
          <w:szCs w:val="20"/>
          <w:color w:val="auto"/>
        </w:rPr>
      </w:pPr>
      <w:r>
        <w:rPr>
          <w:rFonts w:ascii="Arial" w:cs="Arial" w:eastAsia="Arial" w:hAnsi="Arial"/>
          <w:sz w:val="17"/>
          <w:szCs w:val="17"/>
          <w:color w:val="auto"/>
        </w:rPr>
        <w:t>Net cash provided by investing activities for the three months ended March 31, 2023, was $19.9 million and was due to the purchase of $61.6 million of available-for-sale securities partially offset by the $81.5 million of proceeds from the maturities of available-for-sale securities.</w:t>
      </w:r>
    </w:p>
    <w:p>
      <w:pPr>
        <w:spacing w:after="0" w:line="38"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Net cash provided by investing activities for the three months ended March 31, 2022, was $8.2 million and was due to the purchase of $42.3 million of available-for-sale securities partially offset by the $50.5 million of proceeds from the maturities of available-for-sale securities.</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2023, was $2.5 million and was due to proceeds from the exercise of stock options of $2.3 million and employee participation in our Employee Stock Purchase Plan of $0.2 million.</w:t>
      </w:r>
    </w:p>
    <w:p>
      <w:pPr>
        <w:spacing w:after="0" w:line="6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2022, was $0.6 million and was due to proceeds from the exercise of stock options of $0.5 million and employee participation in our Employee Stock Purchase Plan of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March 31, 2023 ,we had cash and cash equivalents of $57.5 million, consisting of overnight investments, interest-bearing money market funds, commercial paper, and short term investments of $374.9 million, consisting of commercial paper, treasury and federal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ind w:right="60"/>
        <w:spacing w:after="0" w:line="255" w:lineRule="auto"/>
        <w:rPr>
          <w:sz w:val="20"/>
          <w:szCs w:val="20"/>
          <w:color w:val="auto"/>
        </w:rPr>
      </w:pPr>
      <w:r>
        <w:rPr>
          <w:rFonts w:ascii="Arial" w:cs="Arial" w:eastAsia="Arial" w:hAnsi="Arial"/>
          <w:sz w:val="18"/>
          <w:szCs w:val="18"/>
          <w:color w:val="auto"/>
        </w:rPr>
        <w:t>15d-15(e) under the Securities Exchange Act of 1934, as amended), as of March 31, 2023. Based upon that evaluation, our principal executive officer and principal financial officer concluded that, as of the end of the period covered by this report, our disclosure controls and procedures are effective in ensuring that:</w:t>
      </w:r>
    </w:p>
    <w:p>
      <w:pPr>
        <w:spacing w:after="0" w:line="82" w:lineRule="exact"/>
        <w:rPr>
          <w:sz w:val="20"/>
          <w:szCs w:val="20"/>
          <w:color w:val="auto"/>
        </w:rPr>
      </w:pPr>
    </w:p>
    <w:p>
      <w:pPr>
        <w:ind w:left="900" w:right="560" w:hanging="383"/>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required to be disclosed by us in the reports we file or submit under the Securities Exchange Act is recorded, processed, summarized and reported within the time periods specified in the U.S. Securities and Exchange Commission’s rules and forms; and</w:t>
      </w:r>
    </w:p>
    <w:p>
      <w:pPr>
        <w:spacing w:after="0" w:line="15" w:lineRule="exact"/>
        <w:rPr>
          <w:rFonts w:ascii="Arial" w:cs="Arial" w:eastAsia="Arial" w:hAnsi="Arial"/>
          <w:sz w:val="16"/>
          <w:szCs w:val="16"/>
          <w:color w:val="auto"/>
        </w:rPr>
      </w:pPr>
    </w:p>
    <w:p>
      <w:pPr>
        <w:ind w:left="900" w:right="10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is accumulated and communicated to our management, including our principal executive officer and principal financial officer as appropriate to allow timely decisions regarding required disclosure.</w:t>
      </w:r>
    </w:p>
    <w:p>
      <w:pPr>
        <w:spacing w:after="0" w:line="62"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00" w:firstLine="509"/>
        <w:spacing w:after="0" w:line="258"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2023, that has materially affected, or is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2023,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Selected Risks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business is subject to numerous risks and uncertainties, of which you should be aware before making a decision to invest in our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include, among others, the following:</w:t>
      </w:r>
    </w:p>
    <w:p>
      <w:pPr>
        <w:spacing w:after="0" w:line="103" w:lineRule="exact"/>
        <w:rPr>
          <w:sz w:val="20"/>
          <w:szCs w:val="20"/>
          <w:color w:val="auto"/>
        </w:rPr>
      </w:pPr>
    </w:p>
    <w:p>
      <w:pPr>
        <w:ind w:left="1020" w:right="12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Revumenib has undergone limited clinical testing and we may fail to show that it is well tolerated and provides sufficient clinical benefit for patients.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Axatilimab has undergone limited clinical testing and we may fail to show that it is well tolerated and provides a sufficient clinical benefit for patients.</w:t>
      </w:r>
    </w:p>
    <w:p>
      <w:pPr>
        <w:spacing w:after="0" w:line="62" w:lineRule="exact"/>
        <w:rPr>
          <w:rFonts w:ascii="Arial" w:cs="Arial" w:eastAsia="Arial" w:hAnsi="Arial"/>
          <w:sz w:val="18"/>
          <w:szCs w:val="18"/>
          <w:color w:val="auto"/>
        </w:rPr>
      </w:pPr>
    </w:p>
    <w:p>
      <w:pPr>
        <w:ind w:left="1020" w:right="100" w:hanging="503"/>
        <w:spacing w:after="0" w:line="30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1020" w:right="5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Incyte may fail to perform its obligations as expected under the collaboration or may deprioritize its investment to further develop and commercialize axatilimab.</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to be commercially successful.</w:t>
      </w:r>
    </w:p>
    <w:p>
      <w:pPr>
        <w:spacing w:after="0" w:line="62" w:lineRule="exact"/>
        <w:rPr>
          <w:rFonts w:ascii="Arial" w:cs="Arial" w:eastAsia="Arial" w:hAnsi="Arial"/>
          <w:sz w:val="18"/>
          <w:szCs w:val="18"/>
          <w:color w:val="auto"/>
        </w:rPr>
      </w:pPr>
    </w:p>
    <w:p>
      <w:pPr>
        <w:ind w:left="1020" w:right="100" w:hanging="503"/>
        <w:spacing w:after="0" w:line="286"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117"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left="1020" w:right="4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net losses since our inception, except 2021, and anticipate that we will continue to incur net losses for the foreseeable future.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17"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stockholders could lose all or part of their investment.</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520" w:firstLine="578"/>
        <w:spacing w:after="0" w:line="311"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41"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our research and development activities, clinical trials and preclinical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revumenib and axatilimab;</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key clinical trial activities, in connection with public health threats or any future geopolitical tensions, such as the ongoing war between Russia and Ukraine;</w:t>
      </w:r>
    </w:p>
    <w:p>
      <w:pPr>
        <w:spacing w:after="0" w:line="62"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 prior to receiving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 indications and fibrotic diseases;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collaboration partner and of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with respect to our product candidates.</w:t>
      </w:r>
    </w:p>
    <w:p>
      <w:pPr>
        <w:spacing w:after="0" w:line="117" w:lineRule="exact"/>
        <w:rPr>
          <w:sz w:val="20"/>
          <w:szCs w:val="20"/>
          <w:color w:val="auto"/>
        </w:rPr>
      </w:pPr>
    </w:p>
    <w:p>
      <w:pPr>
        <w:ind w:firstLine="578"/>
        <w:spacing w:after="0" w:line="258"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i w:val="1"/>
          <w:iCs w:val="1"/>
          <w:color w:val="auto"/>
        </w:rPr>
        <w:t>Revumenib has undergone limited clinical testing and we may fail to show that it is well tolerated and provides sufficient clinical benefit for patients</w:t>
      </w:r>
      <w:r>
        <w:rPr>
          <w:rFonts w:ascii="Arial" w:cs="Arial" w:eastAsia="Arial" w:hAnsi="Arial"/>
          <w:sz w:val="15"/>
          <w:szCs w:val="15"/>
          <w:i w:val="1"/>
          <w:iCs w:val="1"/>
          <w:color w:val="auto"/>
        </w:rPr>
        <w:t>.</w:t>
      </w:r>
    </w:p>
    <w:p>
      <w:pPr>
        <w:spacing w:after="0" w:line="152" w:lineRule="exact"/>
        <w:rPr>
          <w:sz w:val="20"/>
          <w:szCs w:val="20"/>
          <w:color w:val="auto"/>
        </w:rPr>
      </w:pPr>
    </w:p>
    <w:p>
      <w:pPr>
        <w:ind w:firstLine="584"/>
        <w:spacing w:after="0" w:line="268" w:lineRule="auto"/>
        <w:rPr>
          <w:sz w:val="20"/>
          <w:szCs w:val="20"/>
          <w:color w:val="auto"/>
        </w:rPr>
      </w:pPr>
      <w:r>
        <w:rPr>
          <w:rFonts w:ascii="Arial" w:cs="Arial" w:eastAsia="Arial" w:hAnsi="Arial"/>
          <w:sz w:val="17"/>
          <w:szCs w:val="17"/>
          <w:color w:val="auto"/>
        </w:rPr>
        <w:t>Research suggests that certain acute leukemias, such as lysine methyltransferase 2A rearranged, or KMT2Ar, acute myeloid or lymphoid leukemia (AML or ALL) and nucleophosmin 1, or NPM1, mutant AML, are driven by the interaction of menin, a nuclear protein involved in transcription, with the N-terminus of KMT2A protein. In NPM1 mutant AML the interaction with menin occurs via the wild type KMT2A protein, and in KMT2Ar acute leukemia, the interaction occurs via a mutant form of KMT2A, a fusion protein known as KMT2Ar. KMT2Ar results from a rare, spontaneous fusion between the N-terminus of the KMT2A gene and a host of signaling molecules and nuclear transcription factors. This fusion produces an aberrant transcription program that drives leukemic transformation. In pre-clinical animal models, small molecule inhibitors of the menin-KMT2Ar interaction, such as revumenib, which bind to, and block the interaction of menin with either KMT2A rearranged or wildtype, have demonstrated deep and durable single agent treatment effects in multiple leukemic xenograft models harboring KMT2A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ALL, KMT2Ar AML, and NPM1 mutant AML. While we believe that we have established sufficient efficacy to warrant continued development in these indications, we have not yet sufficiently demonstrated a favorable risk-benefit of revumenib in patients.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has undergone limited clinical testing and we may fail to show that it is well tolerated and provides a clinical benefit for patients.</w:t>
      </w:r>
    </w:p>
    <w:p>
      <w:pPr>
        <w:spacing w:after="0" w:line="140" w:lineRule="exact"/>
        <w:rPr>
          <w:sz w:val="20"/>
          <w:szCs w:val="20"/>
          <w:color w:val="auto"/>
        </w:rPr>
      </w:pPr>
    </w:p>
    <w:p>
      <w:pPr>
        <w:ind w:right="60" w:firstLine="584"/>
        <w:spacing w:after="0" w:line="269"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Following our end of Phase 1 meeting with the FDA, we have aligned on a regulatory path for axatilimab for the treatment of cGVHD and commenced a pivotal Phase 2 clinical trial, AGAVE-201, to assess the safety and efficacy of different doses and schedules of axatilimab for the treatment of patients with cGVHD. While we believe that we have established sufficient efficacy to warrant continued development in this indication, we have not yet sufficiently demonstrated a favorable risk-benefit of axatilimab in patients.</w:t>
      </w:r>
    </w:p>
    <w:p>
      <w:pPr>
        <w:spacing w:after="0" w:line="18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38" w:lineRule="exact"/>
        <w:rPr>
          <w:sz w:val="20"/>
          <w:szCs w:val="20"/>
          <w:color w:val="auto"/>
        </w:rPr>
      </w:pPr>
    </w:p>
    <w:p>
      <w:pPr>
        <w:ind w:right="60" w:firstLine="578"/>
        <w:spacing w:after="0" w:line="270"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November 2022, we announced interim data from our Phase 1/2 clinical trial of revumenib.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2"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w:t>
      </w:r>
    </w:p>
    <w:p>
      <w:pPr>
        <w:spacing w:after="0" w:line="8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development and/or commercialization of axatilimab may be terminated or substantially delayed, and our business could be adversely affected.</w:t>
      </w:r>
    </w:p>
    <w:p>
      <w:pPr>
        <w:spacing w:after="0" w:line="140" w:lineRule="exact"/>
        <w:rPr>
          <w:sz w:val="20"/>
          <w:szCs w:val="20"/>
          <w:color w:val="auto"/>
        </w:rPr>
      </w:pPr>
    </w:p>
    <w:p>
      <w:pPr>
        <w:ind w:right="500" w:firstLine="578"/>
        <w:spacing w:after="0" w:line="277" w:lineRule="auto"/>
        <w:rPr>
          <w:sz w:val="20"/>
          <w:szCs w:val="20"/>
          <w:color w:val="auto"/>
        </w:rPr>
      </w:pPr>
      <w:r>
        <w:rPr>
          <w:rFonts w:ascii="Arial" w:cs="Arial" w:eastAsia="Arial" w:hAnsi="Arial"/>
          <w:sz w:val="18"/>
          <w:szCs w:val="18"/>
          <w:color w:val="auto"/>
        </w:rPr>
        <w:t>We are subject to numerous risks related to the Incyte Collaboration Agreement to collaborate on the development and commercialization of axatilimab.</w:t>
      </w:r>
    </w:p>
    <w:p>
      <w:pPr>
        <w:spacing w:after="0" w:line="62" w:lineRule="exact"/>
        <w:rPr>
          <w:sz w:val="20"/>
          <w:szCs w:val="20"/>
          <w:color w:val="auto"/>
        </w:rPr>
      </w:pPr>
    </w:p>
    <w:p>
      <w:pPr>
        <w:ind w:right="300" w:firstLine="578"/>
        <w:spacing w:after="0" w:line="296" w:lineRule="auto"/>
        <w:rPr>
          <w:sz w:val="20"/>
          <w:szCs w:val="20"/>
          <w:color w:val="auto"/>
        </w:rPr>
      </w:pPr>
      <w:r>
        <w:rPr>
          <w:rFonts w:ascii="Arial" w:cs="Arial" w:eastAsia="Arial" w:hAnsi="Arial"/>
          <w:sz w:val="16"/>
          <w:szCs w:val="16"/>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53" w:lineRule="exact"/>
        <w:rPr>
          <w:sz w:val="20"/>
          <w:szCs w:val="20"/>
          <w:color w:val="auto"/>
        </w:rPr>
      </w:pPr>
    </w:p>
    <w:p>
      <w:pPr>
        <w:ind w:left="1040" w:right="1020" w:hanging="377"/>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62" w:lineRule="exact"/>
        <w:rPr>
          <w:rFonts w:ascii="Arial" w:cs="Arial" w:eastAsia="Arial" w:hAnsi="Arial"/>
          <w:sz w:val="18"/>
          <w:szCs w:val="18"/>
          <w:color w:val="auto"/>
        </w:rPr>
      </w:pPr>
    </w:p>
    <w:p>
      <w:pPr>
        <w:ind w:left="1040" w:right="280" w:hanging="377"/>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Incyte may change the focus of its development and commercialization efforts or prioritize other programs more highly and, accordingly, reduce the efforts and resources allocated to axatilimab</w:t>
      </w:r>
    </w:p>
    <w:p>
      <w:pPr>
        <w:spacing w:after="0" w:line="62" w:lineRule="exact"/>
        <w:rPr>
          <w:rFonts w:ascii="Arial" w:cs="Arial" w:eastAsia="Arial" w:hAnsi="Arial"/>
          <w:sz w:val="18"/>
          <w:szCs w:val="18"/>
          <w:color w:val="auto"/>
        </w:rPr>
      </w:pPr>
    </w:p>
    <w:p>
      <w:pPr>
        <w:ind w:left="1040" w:right="20" w:hanging="377"/>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Incyte may, within its commercially reasonable discretion, choose not to develop and commercialize axatilimab in all relevant markets or for one or more indications, if at all; and</w:t>
      </w:r>
    </w:p>
    <w:p>
      <w:pPr>
        <w:spacing w:after="0" w:line="62" w:lineRule="exact"/>
        <w:rPr>
          <w:rFonts w:ascii="Arial" w:cs="Arial" w:eastAsia="Arial" w:hAnsi="Arial"/>
          <w:sz w:val="18"/>
          <w:szCs w:val="18"/>
          <w:color w:val="auto"/>
        </w:rPr>
      </w:pPr>
    </w:p>
    <w:p>
      <w:pPr>
        <w:ind w:left="1040" w:right="360" w:hanging="377"/>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cannot ensure that the potential strategic benefits and opportunities expected from this collaboration with be realized on our anticipated timeline or at all.</w:t>
      </w:r>
    </w:p>
    <w:p>
      <w:pPr>
        <w:spacing w:after="0" w:line="170" w:lineRule="exact"/>
        <w:rPr>
          <w:sz w:val="20"/>
          <w:szCs w:val="20"/>
          <w:color w:val="auto"/>
        </w:rPr>
      </w:pPr>
    </w:p>
    <w:p>
      <w:pPr>
        <w:jc w:val="center"/>
        <w:ind w:right="840"/>
        <w:spacing w:after="0" w:line="422" w:lineRule="auto"/>
        <w:rPr>
          <w:sz w:val="20"/>
          <w:szCs w:val="20"/>
          <w:color w:val="auto"/>
        </w:rPr>
      </w:pPr>
      <w:r>
        <w:rPr>
          <w:rFonts w:ascii="Arial" w:cs="Arial" w:eastAsia="Arial" w:hAnsi="Arial"/>
          <w:sz w:val="16"/>
          <w:szCs w:val="16"/>
          <w:b w:val="1"/>
          <w:bCs w:val="1"/>
          <w:i w:val="1"/>
          <w:iCs w:val="1"/>
          <w:color w:val="auto"/>
        </w:rPr>
        <w:t xml:space="preserve">If we or our collaborators are unable to enroll patients in clinical trials, these clinical trials may not be completed on a timely basis or at all. </w:t>
      </w:r>
      <w:r>
        <w:rPr>
          <w:rFonts w:ascii="Arial" w:cs="Arial" w:eastAsia="Arial" w:hAnsi="Arial"/>
          <w:sz w:val="16"/>
          <w:szCs w:val="16"/>
          <w:color w:val="auto"/>
        </w:rPr>
        <w:t>The timely completion of clinical trials largely depends on patient enrollment. Many factors affect patient enrollment, including:</w:t>
      </w:r>
    </w:p>
    <w:p>
      <w:pPr>
        <w:spacing w:after="0" w:line="1"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public health crises, or geopolitical tensions, such as the ongoing war between Russia and Ukraine;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we are pursuing;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6" w:name="page27"/>
    <w:bookmarkEnd w:id="26"/>
    <w:p>
      <w:pPr>
        <w:ind w:left="1020" w:right="110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sales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20" w:right="104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20" w:firstLine="578"/>
        <w:spacing w:after="0" w:line="255" w:lineRule="auto"/>
        <w:rPr>
          <w:sz w:val="20"/>
          <w:szCs w:val="20"/>
          <w:color w:val="auto"/>
        </w:rPr>
      </w:pPr>
      <w:r>
        <w:rPr>
          <w:rFonts w:ascii="Arial" w:cs="Arial" w:eastAsia="Arial" w:hAnsi="Arial"/>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62" w:lineRule="exact"/>
        <w:rPr>
          <w:sz w:val="20"/>
          <w:szCs w:val="20"/>
          <w:color w:val="auto"/>
        </w:rPr>
      </w:pPr>
    </w:p>
    <w:p>
      <w:pPr>
        <w:ind w:firstLine="578"/>
        <w:spacing w:after="0" w:line="287" w:lineRule="auto"/>
        <w:rPr>
          <w:sz w:val="20"/>
          <w:szCs w:val="20"/>
          <w:color w:val="auto"/>
        </w:rPr>
      </w:pPr>
      <w:r>
        <w:rPr>
          <w:rFonts w:ascii="Arial" w:cs="Arial" w:eastAsia="Arial" w:hAnsi="Arial"/>
          <w:sz w:val="16"/>
          <w:szCs w:val="16"/>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GMP, current Good Laboratory Practices, or GLP, and current Good Clinical Practices, or GCP,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64" w:lineRule="exact"/>
        <w:rPr>
          <w:sz w:val="20"/>
          <w:szCs w:val="20"/>
          <w:color w:val="auto"/>
        </w:rPr>
      </w:pPr>
    </w:p>
    <w:p>
      <w:pPr>
        <w:ind w:right="500" w:firstLine="578"/>
        <w:spacing w:after="0" w:line="277" w:lineRule="auto"/>
        <w:rPr>
          <w:sz w:val="20"/>
          <w:szCs w:val="20"/>
          <w:color w:val="auto"/>
        </w:rPr>
      </w:pPr>
      <w:r>
        <w:rPr>
          <w:rFonts w:ascii="Arial" w:cs="Arial" w:eastAsia="Arial" w:hAnsi="Arial"/>
          <w:sz w:val="18"/>
          <w:szCs w:val="18"/>
          <w:color w:val="auto"/>
        </w:rPr>
        <w:t>In addition, our product candidates could fail to receive regulatory approval from the FDA or foreign regulatory authorities for other reasons, including but not limited to:</w:t>
      </w:r>
    </w:p>
    <w:p>
      <w:pPr>
        <w:spacing w:after="0" w:line="62"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demonstrate that our product candidates are effective for their proposed indication and have an acceptable safety profile;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disagreement with the design, size, conduct or implementation of our or our collaborators’ trials;</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BLA or other submission or to obtain regulatory approval;</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78"/>
        <w:spacing w:after="0" w:line="289"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 laws governing authorization of medicinal products may result in a decrease in data and market exclusivity for our product candidates in the EU.</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2" w:lineRule="exact"/>
        <w:rPr>
          <w:sz w:val="20"/>
          <w:szCs w:val="20"/>
          <w:color w:val="auto"/>
        </w:rPr>
      </w:pPr>
    </w:p>
    <w:p>
      <w:pPr>
        <w:ind w:right="120" w:firstLine="578"/>
        <w:spacing w:after="0" w:line="301"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49"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17" w:lineRule="exact"/>
        <w:rPr>
          <w:sz w:val="20"/>
          <w:szCs w:val="20"/>
          <w:color w:val="auto"/>
        </w:rPr>
      </w:pPr>
    </w:p>
    <w:p>
      <w:pPr>
        <w:ind w:right="120" w:firstLine="57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rely on third-party suppliers as well as Incyte to manufacture and distribute our clinical drug supplies for our product candidates, we intend to rely on these parties for commercial manufacturing and distribution of our product candidates and we expect to rely on third parties for manufacturing and distribution of preclinical, clinical and commercial supplies of any future product candidates.</w:t>
      </w:r>
    </w:p>
    <w:p>
      <w:pPr>
        <w:spacing w:after="0" w:line="57" w:lineRule="exact"/>
        <w:rPr>
          <w:sz w:val="20"/>
          <w:szCs w:val="20"/>
          <w:color w:val="auto"/>
        </w:rPr>
      </w:pPr>
    </w:p>
    <w:p>
      <w:pPr>
        <w:ind w:right="80" w:firstLine="578"/>
        <w:spacing w:after="0" w:line="255"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right="340"/>
        <w:spacing w:after="0" w:line="342" w:lineRule="auto"/>
        <w:rPr>
          <w:sz w:val="20"/>
          <w:szCs w:val="20"/>
          <w:color w:val="auto"/>
        </w:rPr>
      </w:pPr>
      <w:r>
        <w:rPr>
          <w:rFonts w:ascii="Arial" w:cs="Arial" w:eastAsia="Arial" w:hAnsi="Arial"/>
          <w:sz w:val="16"/>
          <w:szCs w:val="16"/>
          <w:color w:val="auto"/>
        </w:rPr>
        <w:t>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spacing w:after="0" w:line="16" w:lineRule="exact"/>
        <w:rPr>
          <w:sz w:val="20"/>
          <w:szCs w:val="20"/>
          <w:color w:val="auto"/>
        </w:rPr>
      </w:pPr>
    </w:p>
    <w:p>
      <w:pPr>
        <w:ind w:right="40" w:firstLine="578"/>
        <w:spacing w:after="0" w:line="287" w:lineRule="auto"/>
        <w:rPr>
          <w:sz w:val="20"/>
          <w:szCs w:val="20"/>
          <w:color w:val="auto"/>
        </w:rPr>
      </w:pPr>
      <w:r>
        <w:rPr>
          <w:rFonts w:ascii="Arial" w:cs="Arial" w:eastAsia="Arial" w:hAnsi="Arial"/>
          <w:sz w:val="16"/>
          <w:szCs w:val="16"/>
          <w:color w:val="auto"/>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62" w:lineRule="exact"/>
        <w:rPr>
          <w:sz w:val="20"/>
          <w:szCs w:val="20"/>
          <w:color w:val="auto"/>
        </w:rPr>
      </w:pPr>
    </w:p>
    <w:p>
      <w:pPr>
        <w:ind w:right="40" w:firstLine="578"/>
        <w:spacing w:after="0" w:line="284" w:lineRule="auto"/>
        <w:rPr>
          <w:sz w:val="20"/>
          <w:szCs w:val="20"/>
          <w:color w:val="auto"/>
        </w:rPr>
      </w:pPr>
      <w:r>
        <w:rPr>
          <w:rFonts w:ascii="Arial" w:cs="Arial" w:eastAsia="Arial" w:hAnsi="Arial"/>
          <w:sz w:val="16"/>
          <w:szCs w:val="16"/>
          <w:color w:val="auto"/>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right="660"/>
        <w:spacing w:after="0" w:line="277" w:lineRule="auto"/>
        <w:rPr>
          <w:sz w:val="20"/>
          <w:szCs w:val="20"/>
          <w:color w:val="auto"/>
        </w:rPr>
      </w:pPr>
      <w:r>
        <w:rPr>
          <w:rFonts w:ascii="Arial" w:cs="Arial" w:eastAsia="Arial" w:hAnsi="Arial"/>
          <w:sz w:val="18"/>
          <w:szCs w:val="18"/>
          <w:color w:val="auto"/>
        </w:rPr>
        <w:t>criminal sanctions by the government. Additionally, foreign regulatory authorities will heavily scrutinize advertising and promotion of any product candidate that obtains approval in their respective jurisdictions.</w:t>
      </w:r>
    </w:p>
    <w:p>
      <w:pPr>
        <w:spacing w:after="0" w:line="62" w:lineRule="exact"/>
        <w:rPr>
          <w:sz w:val="20"/>
          <w:szCs w:val="20"/>
          <w:color w:val="auto"/>
        </w:rPr>
      </w:pPr>
    </w:p>
    <w:p>
      <w:pPr>
        <w:ind w:right="60" w:firstLine="578"/>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4"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20" w:right="62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20" w:firstLine="57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20" w:firstLine="578"/>
        <w:spacing w:after="0" w:line="253" w:lineRule="auto"/>
        <w:rPr>
          <w:sz w:val="20"/>
          <w:szCs w:val="20"/>
          <w:color w:val="auto"/>
        </w:rPr>
      </w:pPr>
      <w:r>
        <w:rPr>
          <w:rFonts w:ascii="Arial" w:cs="Arial" w:eastAsia="Arial" w:hAnsi="Arial"/>
          <w:sz w:val="18"/>
          <w:szCs w:val="18"/>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line="290" w:lineRule="auto"/>
        <w:rPr>
          <w:sz w:val="20"/>
          <w:szCs w:val="20"/>
          <w:color w:val="auto"/>
        </w:rPr>
      </w:pPr>
      <w:r>
        <w:rPr>
          <w:rFonts w:ascii="Arial" w:cs="Arial" w:eastAsia="Arial" w:hAnsi="Arial"/>
          <w:sz w:val="16"/>
          <w:szCs w:val="16"/>
          <w:color w:val="auto"/>
        </w:rPr>
        <w:t>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60" w:firstLine="578"/>
        <w:spacing w:after="0" w:line="282" w:lineRule="auto"/>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several years, the FDA has approved three drugs, ibrutinib (</w:t>
      </w:r>
      <w:r>
        <w:rPr>
          <w:rFonts w:ascii="Arial" w:cs="Arial" w:eastAsia="Arial" w:hAnsi="Arial"/>
          <w:sz w:val="16"/>
          <w:szCs w:val="16"/>
          <w:i w:val="1"/>
          <w:iCs w:val="1"/>
          <w:color w:val="auto"/>
        </w:rPr>
        <w:t>Imbruvica</w:t>
      </w:r>
      <w:r>
        <w:rPr>
          <w:rFonts w:ascii="Arial" w:cs="Arial" w:eastAsia="Arial" w:hAnsi="Arial"/>
          <w:sz w:val="21"/>
          <w:szCs w:val="21"/>
          <w:i w:val="1"/>
          <w:iCs w:val="1"/>
          <w:color w:val="auto"/>
          <w:vertAlign w:val="superscript"/>
        </w:rPr>
        <w:t>®</w:t>
      </w:r>
      <w:r>
        <w:rPr>
          <w:rFonts w:ascii="Arial" w:cs="Arial" w:eastAsia="Arial" w:hAnsi="Arial"/>
          <w:sz w:val="16"/>
          <w:szCs w:val="16"/>
          <w:color w:val="auto"/>
        </w:rPr>
        <w:t>), belomosidil (</w:t>
      </w:r>
      <w:r>
        <w:rPr>
          <w:rFonts w:ascii="Arial" w:cs="Arial" w:eastAsia="Arial" w:hAnsi="Arial"/>
          <w:sz w:val="16"/>
          <w:szCs w:val="16"/>
          <w:i w:val="1"/>
          <w:iCs w:val="1"/>
          <w:color w:val="auto"/>
        </w:rPr>
        <w:t>Rezurock</w:t>
      </w:r>
      <w:r>
        <w:rPr>
          <w:rFonts w:ascii="Arial" w:cs="Arial" w:eastAsia="Arial" w:hAnsi="Arial"/>
          <w:sz w:val="21"/>
          <w:szCs w:val="21"/>
          <w:color w:val="auto"/>
          <w:vertAlign w:val="superscript"/>
        </w:rPr>
        <w:t>®</w:t>
      </w:r>
      <w:r>
        <w:rPr>
          <w:rFonts w:ascii="Arial" w:cs="Arial" w:eastAsia="Arial" w:hAnsi="Arial"/>
          <w:sz w:val="16"/>
          <w:szCs w:val="16"/>
          <w:color w:val="auto"/>
        </w:rPr>
        <w:t>) and ruxolitinib (</w:t>
      </w:r>
      <w:r>
        <w:rPr>
          <w:rFonts w:ascii="Arial" w:cs="Arial" w:eastAsia="Arial" w:hAnsi="Arial"/>
          <w:sz w:val="16"/>
          <w:szCs w:val="16"/>
          <w:i w:val="1"/>
          <w:iCs w:val="1"/>
          <w:color w:val="auto"/>
        </w:rPr>
        <w:t>Jakafi</w:t>
      </w:r>
      <w:r>
        <w:rPr>
          <w:rFonts w:ascii="Arial" w:cs="Arial" w:eastAsia="Arial" w:hAnsi="Arial"/>
          <w:sz w:val="21"/>
          <w:szCs w:val="21"/>
          <w:color w:val="auto"/>
          <w:vertAlign w:val="superscript"/>
        </w:rPr>
        <w:t>®</w:t>
      </w:r>
      <w:r>
        <w:rPr>
          <w:rFonts w:ascii="Arial" w:cs="Arial" w:eastAsia="Arial" w:hAnsi="Arial"/>
          <w:sz w:val="16"/>
          <w:szCs w:val="16"/>
          <w:color w:val="auto"/>
        </w:rPr>
        <w:t>), for use in patients with cGVHD after failure of one or more lines of systemic therapy. All three of these drugs may compete with axatilimab in patients diagnosed with cGVHD.</w:t>
      </w:r>
    </w:p>
    <w:p>
      <w:pPr>
        <w:spacing w:after="0" w:line="53" w:lineRule="exact"/>
        <w:rPr>
          <w:sz w:val="20"/>
          <w:szCs w:val="20"/>
          <w:color w:val="auto"/>
        </w:rPr>
      </w:pPr>
    </w:p>
    <w:p>
      <w:pPr>
        <w:ind w:right="100" w:firstLine="578"/>
        <w:spacing w:after="0" w:line="279" w:lineRule="auto"/>
        <w:rPr>
          <w:sz w:val="20"/>
          <w:szCs w:val="20"/>
          <w:color w:val="auto"/>
        </w:rPr>
      </w:pPr>
      <w:r>
        <w:rPr>
          <w:rFonts w:ascii="Arial" w:cs="Arial" w:eastAsia="Arial" w:hAnsi="Arial"/>
          <w:sz w:val="17"/>
          <w:szCs w:val="17"/>
          <w:color w:val="auto"/>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spacing w:after="0" w:line="63" w:lineRule="exact"/>
        <w:rPr>
          <w:sz w:val="20"/>
          <w:szCs w:val="20"/>
          <w:color w:val="auto"/>
        </w:rPr>
      </w:pPr>
    </w:p>
    <w:p>
      <w:pPr>
        <w:ind w:right="220" w:firstLine="578"/>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20" w:right="5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 relative to marketed products and product candidates in development by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negotiate preferential formulary status for our product candidates.</w:t>
      </w:r>
    </w:p>
    <w:p>
      <w:pPr>
        <w:spacing w:after="0" w:line="117" w:lineRule="exact"/>
        <w:rPr>
          <w:sz w:val="20"/>
          <w:szCs w:val="20"/>
          <w:color w:val="auto"/>
        </w:rPr>
      </w:pPr>
    </w:p>
    <w:p>
      <w:pPr>
        <w:jc w:val="both"/>
        <w:ind w:right="220" w:firstLine="57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17" w:lineRule="exact"/>
        <w:rPr>
          <w:sz w:val="20"/>
          <w:szCs w:val="20"/>
          <w:color w:val="auto"/>
        </w:rPr>
      </w:pPr>
    </w:p>
    <w:p>
      <w:pPr>
        <w:ind w:right="200" w:firstLine="578"/>
        <w:spacing w:after="0" w:line="253" w:lineRule="auto"/>
        <w:rPr>
          <w:sz w:val="20"/>
          <w:szCs w:val="20"/>
          <w:color w:val="auto"/>
        </w:rPr>
      </w:pPr>
      <w:r>
        <w:rPr>
          <w:rFonts w:ascii="Arial" w:cs="Arial" w:eastAsia="Arial" w:hAnsi="Arial"/>
          <w:sz w:val="18"/>
          <w:szCs w:val="18"/>
          <w:color w:val="auto"/>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640"/>
        <w:spacing w:after="0" w:line="277" w:lineRule="auto"/>
        <w:rPr>
          <w:sz w:val="20"/>
          <w:szCs w:val="20"/>
          <w:color w:val="auto"/>
        </w:rPr>
      </w:pPr>
      <w:r>
        <w:rPr>
          <w:rFonts w:ascii="Arial" w:cs="Arial" w:eastAsia="Arial" w:hAnsi="Arial"/>
          <w:sz w:val="18"/>
          <w:szCs w:val="18"/>
          <w:color w:val="auto"/>
        </w:rPr>
        <w:t>sell axatilimab may be terminated as well. The occurrence of any of these events could adversely affect the development and commercialization of axatilimab, and materially harm our business.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To succeed, 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w:t>
      </w:r>
    </w:p>
    <w:p>
      <w:pPr>
        <w:spacing w:after="0" w:line="70" w:lineRule="exact"/>
        <w:rPr>
          <w:sz w:val="20"/>
          <w:szCs w:val="20"/>
          <w:color w:val="auto"/>
        </w:rPr>
      </w:pPr>
    </w:p>
    <w:p>
      <w:pPr>
        <w:ind w:right="60" w:firstLine="578"/>
        <w:spacing w:after="0" w:line="301"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00" w:firstLine="578"/>
        <w:spacing w:after="0" w:line="293" w:lineRule="auto"/>
        <w:rPr>
          <w:sz w:val="20"/>
          <w:szCs w:val="20"/>
          <w:color w:val="auto"/>
        </w:rPr>
      </w:pPr>
      <w:r>
        <w:rPr>
          <w:rFonts w:ascii="Arial" w:cs="Arial" w:eastAsia="Arial" w:hAnsi="Arial"/>
          <w:sz w:val="16"/>
          <w:szCs w:val="16"/>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p>
    <w:p>
      <w:pPr>
        <w:spacing w:after="0" w:line="56" w:lineRule="exact"/>
        <w:rPr>
          <w:sz w:val="20"/>
          <w:szCs w:val="20"/>
          <w:color w:val="auto"/>
        </w:rPr>
      </w:pPr>
    </w:p>
    <w:p>
      <w:pPr>
        <w:ind w:right="260" w:firstLine="578"/>
        <w:spacing w:after="0" w:line="263"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6" w:lineRule="exact"/>
        <w:rPr>
          <w:sz w:val="20"/>
          <w:szCs w:val="20"/>
          <w:color w:val="auto"/>
        </w:rPr>
      </w:pPr>
    </w:p>
    <w:p>
      <w:pPr>
        <w:ind w:right="80" w:firstLine="578"/>
        <w:spacing w:after="0" w:line="253" w:lineRule="auto"/>
        <w:rPr>
          <w:sz w:val="20"/>
          <w:szCs w:val="20"/>
          <w:color w:val="auto"/>
        </w:rPr>
      </w:pPr>
      <w:r>
        <w:rPr>
          <w:rFonts w:ascii="Arial" w:cs="Arial" w:eastAsia="Arial" w:hAnsi="Arial"/>
          <w:sz w:val="18"/>
          <w:szCs w:val="18"/>
          <w:color w:val="auto"/>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t>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79"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Private payors often follow decisions by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87"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70" w:lineRule="exact"/>
        <w:rPr>
          <w:sz w:val="20"/>
          <w:szCs w:val="20"/>
          <w:color w:val="auto"/>
        </w:rPr>
      </w:pPr>
    </w:p>
    <w:p>
      <w:pPr>
        <w:ind w:right="180" w:firstLine="57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jc w:val="both"/>
        <w:ind w:right="20" w:firstLine="578"/>
        <w:spacing w:after="0" w:line="263"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76" w:lineRule="exact"/>
        <w:rPr>
          <w:sz w:val="20"/>
          <w:szCs w:val="20"/>
          <w:color w:val="auto"/>
        </w:rPr>
      </w:pPr>
    </w:p>
    <w:p>
      <w:pPr>
        <w:ind w:right="240" w:firstLine="578"/>
        <w:spacing w:after="0" w:line="311" w:lineRule="auto"/>
        <w:rPr>
          <w:sz w:val="20"/>
          <w:szCs w:val="20"/>
          <w:color w:val="auto"/>
        </w:rPr>
      </w:pPr>
      <w:r>
        <w:rPr>
          <w:rFonts w:ascii="Arial" w:cs="Arial" w:eastAsia="Arial" w:hAnsi="Arial"/>
          <w:sz w:val="16"/>
          <w:szCs w:val="16"/>
          <w:color w:val="auto"/>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have been executive, judicial and Congressional challenges to certain aspects of the Affordable Care Act.</w:t>
      </w:r>
    </w:p>
    <w:p>
      <w:pPr>
        <w:spacing w:after="0" w:line="117" w:lineRule="exact"/>
        <w:rPr>
          <w:sz w:val="20"/>
          <w:szCs w:val="20"/>
          <w:color w:val="auto"/>
        </w:rPr>
      </w:pPr>
    </w:p>
    <w:p>
      <w:pPr>
        <w:ind w:right="20" w:firstLine="578"/>
        <w:spacing w:after="0" w:line="288" w:lineRule="auto"/>
        <w:rPr>
          <w:sz w:val="20"/>
          <w:szCs w:val="20"/>
          <w:color w:val="auto"/>
        </w:rPr>
      </w:pPr>
      <w:r>
        <w:rPr>
          <w:rFonts w:ascii="Arial" w:cs="Arial" w:eastAsia="Arial" w:hAnsi="Arial"/>
          <w:sz w:val="16"/>
          <w:szCs w:val="16"/>
          <w:color w:val="auto"/>
        </w:rPr>
        <w:t>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60" w:lineRule="exact"/>
        <w:rPr>
          <w:sz w:val="20"/>
          <w:szCs w:val="20"/>
          <w:color w:val="auto"/>
        </w:rPr>
      </w:pPr>
    </w:p>
    <w:p>
      <w:pPr>
        <w:ind w:right="20" w:firstLine="578"/>
        <w:spacing w:after="0" w:line="259"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2031 unless additional Congressional action is taken. Under current legislation, the actual reduction in Medicare payments will vary from 1% in 2022 to up to 4% in the final fiscal year of this sequester.</w:t>
      </w:r>
    </w:p>
    <w:p>
      <w:pPr>
        <w:spacing w:after="0" w:line="79" w:lineRule="exact"/>
        <w:rPr>
          <w:sz w:val="20"/>
          <w:szCs w:val="20"/>
          <w:color w:val="auto"/>
        </w:rPr>
      </w:pPr>
    </w:p>
    <w:p>
      <w:pPr>
        <w:ind w:right="100" w:firstLine="578"/>
        <w:spacing w:after="0" w:line="258" w:lineRule="auto"/>
        <w:rPr>
          <w:sz w:val="20"/>
          <w:szCs w:val="20"/>
          <w:color w:val="auto"/>
        </w:rPr>
      </w:pPr>
      <w:r>
        <w:rPr>
          <w:rFonts w:ascii="Arial" w:cs="Arial" w:eastAsia="Arial" w:hAnsi="Arial"/>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ended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3" w:name="page34"/>
    <w:bookmarkEnd w:id="33"/>
    <w:p>
      <w:pPr>
        <w:ind w:right="60"/>
        <w:spacing w:after="0" w:line="263" w:lineRule="auto"/>
        <w:rPr>
          <w:sz w:val="20"/>
          <w:szCs w:val="20"/>
          <w:color w:val="auto"/>
        </w:rPr>
      </w:pPr>
      <w:r>
        <w:rPr>
          <w:rFonts w:ascii="Arial" w:cs="Arial" w:eastAsia="Arial" w:hAnsi="Arial"/>
          <w:sz w:val="18"/>
          <w:szCs w:val="18"/>
          <w:color w:val="auto"/>
        </w:rPr>
        <w:t>the use of the statutory formula and established a quality payment program, also referred to as the Quality Payment Program. In November 2019, CMS issued a final rule finalizing the changes to the Quality Payment Program. At this time, the full impact to overall physician reimbursement as a result of the introduction of the Quality Payment Program remains unclear.</w:t>
      </w:r>
    </w:p>
    <w:p>
      <w:pPr>
        <w:spacing w:after="0" w:line="76" w:lineRule="exact"/>
        <w:rPr>
          <w:sz w:val="20"/>
          <w:szCs w:val="20"/>
          <w:color w:val="auto"/>
        </w:rPr>
      </w:pPr>
    </w:p>
    <w:p>
      <w:pPr>
        <w:ind w:right="80" w:firstLine="578"/>
        <w:spacing w:after="0" w:line="285" w:lineRule="auto"/>
        <w:rPr>
          <w:sz w:val="20"/>
          <w:szCs w:val="20"/>
          <w:color w:val="auto"/>
        </w:rPr>
      </w:pPr>
      <w:r>
        <w:rPr>
          <w:rFonts w:ascii="Arial" w:cs="Arial" w:eastAsia="Arial" w:hAnsi="Arial"/>
          <w:sz w:val="16"/>
          <w:szCs w:val="16"/>
          <w:color w:val="auto"/>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will take effect progressively starting in fiscal year 2023, although they may be subject to legal challenges. Further,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8" w:lineRule="exact"/>
        <w:rPr>
          <w:sz w:val="20"/>
          <w:szCs w:val="20"/>
          <w:color w:val="auto"/>
        </w:rPr>
      </w:pPr>
    </w:p>
    <w:p>
      <w:pPr>
        <w:ind w:firstLine="578"/>
        <w:spacing w:after="0" w:line="275" w:lineRule="auto"/>
        <w:rPr>
          <w:sz w:val="20"/>
          <w:szCs w:val="20"/>
          <w:color w:val="auto"/>
        </w:rPr>
      </w:pPr>
      <w:r>
        <w:rPr>
          <w:rFonts w:ascii="Arial" w:cs="Arial" w:eastAsia="Arial" w:hAnsi="Arial"/>
          <w:sz w:val="17"/>
          <w:szCs w:val="17"/>
          <w:color w:val="auto"/>
        </w:rPr>
        <w:t>We expect these and other healthcare reform measures that may be adopted in the future, may result in more rigorous coverage criteria and in additional downward pressure on the price that we receive for any approved drug. For example, based on a recent executive order, the Biden administration expressed its intent to pursue certain policy initiatives to reduce drug prices.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the process of building our sales, marketing and distribution infrastructure.</w:t>
      </w:r>
    </w:p>
    <w:p>
      <w:pPr>
        <w:spacing w:after="0" w:line="117" w:lineRule="exact"/>
        <w:rPr>
          <w:sz w:val="20"/>
          <w:szCs w:val="20"/>
          <w:color w:val="auto"/>
        </w:rPr>
      </w:pPr>
    </w:p>
    <w:p>
      <w:pPr>
        <w:ind w:right="280" w:firstLine="578"/>
        <w:spacing w:after="0" w:line="301" w:lineRule="auto"/>
        <w:rPr>
          <w:sz w:val="20"/>
          <w:szCs w:val="20"/>
          <w:color w:val="auto"/>
        </w:rPr>
      </w:pPr>
      <w:r>
        <w:rPr>
          <w:rFonts w:ascii="Arial" w:cs="Arial" w:eastAsia="Arial" w:hAnsi="Arial"/>
          <w:sz w:val="16"/>
          <w:szCs w:val="16"/>
          <w:color w:val="auto"/>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49"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organization;</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6" w:lineRule="exact"/>
        <w:rPr>
          <w:sz w:val="20"/>
          <w:szCs w:val="20"/>
          <w:color w:val="auto"/>
        </w:rPr>
      </w:pPr>
    </w:p>
    <w:p>
      <w:pPr>
        <w:ind w:right="220" w:firstLine="57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right="200" w:firstLine="578"/>
        <w:spacing w:after="0" w:line="255"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t>successfully defend ourselves against claims that our product candidates or other products that we may develop caused injuries, we could incur substantial liabilities. Regardless of merit or eventual outcome, liability claims may result in:</w:t>
      </w:r>
    </w:p>
    <w:p>
      <w:pPr>
        <w:spacing w:after="0" w:line="62"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49" w:lineRule="exact"/>
        <w:rPr>
          <w:sz w:val="20"/>
          <w:szCs w:val="20"/>
          <w:color w:val="auto"/>
        </w:rPr>
      </w:pPr>
    </w:p>
    <w:p>
      <w:pPr>
        <w:ind w:right="20" w:firstLine="578"/>
        <w:spacing w:after="0" w:line="275"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8" w:lineRule="exact"/>
        <w:rPr>
          <w:sz w:val="20"/>
          <w:szCs w:val="20"/>
          <w:color w:val="auto"/>
        </w:rPr>
      </w:pPr>
    </w:p>
    <w:p>
      <w:pPr>
        <w:ind w:left="1020" w:right="100" w:hanging="503"/>
        <w:spacing w:after="0" w:line="279"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20" w:hanging="503"/>
        <w:spacing w:after="0" w:line="25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20" w:right="20" w:hanging="503"/>
        <w:spacing w:after="0" w:line="25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6" w:lineRule="exact"/>
        <w:rPr>
          <w:rFonts w:ascii="Arial" w:cs="Arial" w:eastAsia="Arial" w:hAnsi="Arial"/>
          <w:sz w:val="18"/>
          <w:szCs w:val="18"/>
          <w:color w:val="auto"/>
        </w:rPr>
      </w:pPr>
    </w:p>
    <w:p>
      <w:pPr>
        <w:ind w:left="1020" w:hanging="503"/>
        <w:spacing w:after="0" w:line="287"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w:t>
      </w:r>
    </w:p>
    <w:p>
      <w:pPr>
        <w:spacing w:after="0" w:line="2" w:lineRule="exact"/>
        <w:rPr>
          <w:sz w:val="20"/>
          <w:szCs w:val="20"/>
          <w:color w:val="auto"/>
        </w:rPr>
      </w:pPr>
    </w:p>
    <w:p>
      <w:pPr>
        <w:ind w:left="1020" w:right="600"/>
        <w:spacing w:after="0" w:line="250" w:lineRule="auto"/>
        <w:rPr>
          <w:sz w:val="20"/>
          <w:szCs w:val="20"/>
          <w:color w:val="auto"/>
        </w:rPr>
      </w:pPr>
      <w:r>
        <w:rPr>
          <w:rFonts w:ascii="Arial" w:cs="Arial" w:eastAsia="Arial" w:hAnsi="Arial"/>
          <w:sz w:val="18"/>
          <w:szCs w:val="18"/>
          <w:color w:val="auto"/>
        </w:rPr>
        <w:t>covered entities, and their covered subcontractors, with respect to safeguarding the privacy, security and transmission of individually identifiable health information;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35" w:name="page36"/>
    <w:bookmarkEnd w:id="35"/>
    <w:p>
      <w:pPr>
        <w:ind w:left="1020" w:right="60" w:hanging="503"/>
        <w:spacing w:after="0" w:line="273"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69" w:lineRule="exact"/>
        <w:rPr>
          <w:rFonts w:ascii="Arial" w:cs="Arial" w:eastAsia="Arial" w:hAnsi="Arial"/>
          <w:sz w:val="17"/>
          <w:szCs w:val="17"/>
          <w:color w:val="auto"/>
        </w:rPr>
      </w:pPr>
    </w:p>
    <w:p>
      <w:pPr>
        <w:ind w:left="1020" w:hanging="503"/>
        <w:spacing w:after="0" w:line="26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1" w:lineRule="exact"/>
        <w:rPr>
          <w:sz w:val="20"/>
          <w:szCs w:val="20"/>
          <w:color w:val="auto"/>
        </w:rPr>
      </w:pPr>
    </w:p>
    <w:p>
      <w:pPr>
        <w:ind w:right="60" w:firstLine="578"/>
        <w:spacing w:after="0" w:line="287"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78"/>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we currently offer a hybrid-work environment,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83" w:lineRule="exact"/>
        <w:rPr>
          <w:sz w:val="20"/>
          <w:szCs w:val="20"/>
          <w:color w:val="auto"/>
        </w:rPr>
      </w:pPr>
    </w:p>
    <w:p>
      <w:pPr>
        <w:ind w:right="420" w:firstLine="578"/>
        <w:spacing w:after="0" w:line="258"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ind w:right="180"/>
        <w:spacing w:after="0" w:line="275" w:lineRule="auto"/>
        <w:rPr>
          <w:sz w:val="20"/>
          <w:szCs w:val="20"/>
          <w:color w:val="auto"/>
        </w:rPr>
      </w:pPr>
      <w:r>
        <w:rPr>
          <w:rFonts w:ascii="Arial" w:cs="Arial" w:eastAsia="Arial" w:hAnsi="Arial"/>
          <w:sz w:val="17"/>
          <w:szCs w:val="17"/>
          <w:color w:val="auto"/>
        </w:rPr>
        <w:t>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6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except 2021, and anticipate that we will continue to incur net losses for the foreseeable future.</w:t>
      </w:r>
    </w:p>
    <w:p>
      <w:pPr>
        <w:spacing w:after="0" w:line="140"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84"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For the quarter ended March 31, 2023, we reported a net loss attributable to stockholders of $41.1 million. As of March 31, 2023, we had an accumulated deficit of $734.2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100" w:firstLine="578"/>
        <w:spacing w:after="0" w:line="263"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6"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launch, commercialize and achieve market acceptance of our product candidates, and if launched independently, successfully establish a</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sales, marketing and distribution infrastructure;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7" w:name="page38"/>
    <w:bookmarkEnd w:id="37"/>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17" w:lineRule="exact"/>
        <w:rPr>
          <w:sz w:val="20"/>
          <w:szCs w:val="20"/>
          <w:color w:val="auto"/>
        </w:rPr>
      </w:pPr>
    </w:p>
    <w:p>
      <w:pPr>
        <w:ind w:right="140" w:firstLine="578"/>
        <w:spacing w:after="0" w:line="275" w:lineRule="auto"/>
        <w:rPr>
          <w:sz w:val="20"/>
          <w:szCs w:val="20"/>
          <w:color w:val="auto"/>
        </w:rPr>
      </w:pPr>
      <w:r>
        <w:rPr>
          <w:rFonts w:ascii="Arial" w:cs="Arial" w:eastAsia="Arial" w:hAnsi="Arial"/>
          <w:sz w:val="17"/>
          <w:szCs w:val="17"/>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68" w:lineRule="exact"/>
        <w:rPr>
          <w:sz w:val="20"/>
          <w:szCs w:val="20"/>
          <w:color w:val="auto"/>
        </w:rPr>
      </w:pPr>
    </w:p>
    <w:p>
      <w:pPr>
        <w:ind w:right="80" w:firstLine="584"/>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6" w:lineRule="exact"/>
        <w:rPr>
          <w:sz w:val="20"/>
          <w:szCs w:val="20"/>
          <w:color w:val="auto"/>
        </w:rPr>
      </w:pPr>
    </w:p>
    <w:p>
      <w:pPr>
        <w:ind w:firstLine="578"/>
        <w:spacing w:after="0" w:line="293"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p>
    <w:p>
      <w:pPr>
        <w:spacing w:after="0" w:line="56" w:lineRule="exact"/>
        <w:rPr>
          <w:sz w:val="20"/>
          <w:szCs w:val="20"/>
          <w:color w:val="auto"/>
        </w:rPr>
      </w:pPr>
    </w:p>
    <w:p>
      <w:pPr>
        <w:ind w:right="180" w:firstLine="578"/>
        <w:spacing w:after="0" w:line="263"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p>
    <w:p>
      <w:pPr>
        <w:spacing w:after="0" w:line="76"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While the long-term economic impact of either the COVID-19 pandemic or the war between Russia and Ukraine is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spacing w:after="0" w:line="7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80" w:firstLine="578"/>
        <w:spacing w:after="0" w:line="274"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8" w:name="page39"/>
    <w:bookmarkEnd w:id="38"/>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20" w:right="280" w:hanging="503"/>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need to acquire and implement additional internal systems and infrastructure, including compliance and financial and reporting systems, as we grow our company; and</w:t>
      </w:r>
    </w:p>
    <w:p>
      <w:pPr>
        <w:spacing w:after="0" w:line="62" w:lineRule="exact"/>
        <w:rPr>
          <w:rFonts w:ascii="Arial" w:cs="Arial" w:eastAsia="Arial" w:hAnsi="Arial"/>
          <w:sz w:val="18"/>
          <w:szCs w:val="18"/>
          <w:color w:val="auto"/>
        </w:rPr>
      </w:pPr>
    </w:p>
    <w:p>
      <w:pPr>
        <w:ind w:left="1020" w:right="300" w:hanging="503"/>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or the perception that hostilities may be imminent (such as the ongoing war between Russia and Ukraine), terrorism, natural disasters, including earthquakes, typhoons, floods and fires, or public health crises.</w:t>
      </w:r>
    </w:p>
    <w:p>
      <w:pPr>
        <w:spacing w:after="0" w:line="76"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firstLine="578"/>
        <w:spacing w:after="0" w:line="268"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ind w:right="60"/>
        <w:spacing w:after="0" w:line="342" w:lineRule="auto"/>
        <w:rPr>
          <w:sz w:val="20"/>
          <w:szCs w:val="20"/>
          <w:color w:val="auto"/>
        </w:rPr>
      </w:pPr>
      <w:r>
        <w:rPr>
          <w:rFonts w:ascii="Arial" w:cs="Arial" w:eastAsia="Arial" w:hAnsi="Arial"/>
          <w:sz w:val="16"/>
          <w:szCs w:val="16"/>
          <w:color w:val="auto"/>
        </w:rPr>
        <w:t>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0"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3"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1" w:lineRule="exact"/>
        <w:rPr>
          <w:sz w:val="20"/>
          <w:szCs w:val="20"/>
          <w:color w:val="auto"/>
        </w:rPr>
      </w:pPr>
    </w:p>
    <w:p>
      <w:pPr>
        <w:ind w:right="100" w:firstLine="57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0" w:lineRule="exact"/>
        <w:rPr>
          <w:sz w:val="20"/>
          <w:szCs w:val="20"/>
          <w:color w:val="auto"/>
        </w:rPr>
      </w:pPr>
    </w:p>
    <w:p>
      <w:pPr>
        <w:ind w:right="40" w:firstLine="578"/>
        <w:spacing w:after="0" w:line="252" w:lineRule="auto"/>
        <w:rPr>
          <w:sz w:val="20"/>
          <w:szCs w:val="20"/>
          <w:color w:val="auto"/>
        </w:rPr>
      </w:pPr>
      <w:r>
        <w:rPr>
          <w:rFonts w:ascii="Arial" w:cs="Arial" w:eastAsia="Arial" w:hAnsi="Arial"/>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right="100"/>
        <w:spacing w:after="0" w:line="296" w:lineRule="auto"/>
        <w:rPr>
          <w:sz w:val="20"/>
          <w:szCs w:val="20"/>
          <w:color w:val="auto"/>
        </w:rPr>
      </w:pPr>
      <w:r>
        <w:rPr>
          <w:rFonts w:ascii="Arial" w:cs="Arial" w:eastAsia="Arial" w:hAnsi="Arial"/>
          <w:sz w:val="16"/>
          <w:szCs w:val="16"/>
          <w:color w:val="auto"/>
        </w:rPr>
        <w:t>application does not seek to amend the claims issued in the ‘166 patent. On April 28, 2015, the United States Patent and Trademark Office, or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53"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70"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2036. The actual term of any patents granted based on the pending applications we licensed from UCB can only be determined after such patents are granted.</w:t>
      </w:r>
    </w:p>
    <w:p>
      <w:pPr>
        <w:spacing w:after="0" w:line="87"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granted.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3" w:lineRule="exact"/>
        <w:rPr>
          <w:sz w:val="20"/>
          <w:szCs w:val="20"/>
          <w:color w:val="auto"/>
        </w:rPr>
      </w:pPr>
    </w:p>
    <w:p>
      <w:pPr>
        <w:ind w:right="40" w:firstLine="57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0"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spacing w:after="0" w:line="257" w:lineRule="auto"/>
        <w:rPr>
          <w:sz w:val="20"/>
          <w:szCs w:val="20"/>
          <w:color w:val="auto"/>
        </w:rPr>
      </w:pPr>
      <w:r>
        <w:rPr>
          <w:rFonts w:ascii="Arial" w:cs="Arial" w:eastAsia="Arial" w:hAnsi="Arial"/>
          <w:sz w:val="18"/>
          <w:szCs w:val="18"/>
          <w:color w:val="auto"/>
        </w:rPr>
        <w:t>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2"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0" w:lineRule="exact"/>
        <w:rPr>
          <w:sz w:val="20"/>
          <w:szCs w:val="20"/>
          <w:color w:val="auto"/>
        </w:rPr>
      </w:pPr>
    </w:p>
    <w:p>
      <w:pPr>
        <w:ind w:right="80" w:firstLine="578"/>
        <w:spacing w:after="0" w:line="275"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8"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0" w:lineRule="exact"/>
        <w:rPr>
          <w:sz w:val="20"/>
          <w:szCs w:val="20"/>
          <w:color w:val="auto"/>
        </w:rPr>
      </w:pPr>
    </w:p>
    <w:p>
      <w:pPr>
        <w:ind w:right="20" w:firstLine="578"/>
        <w:spacing w:after="0" w:line="279" w:lineRule="auto"/>
        <w:rPr>
          <w:sz w:val="20"/>
          <w:szCs w:val="20"/>
          <w:color w:val="auto"/>
        </w:rPr>
      </w:pPr>
      <w:r>
        <w:rPr>
          <w:rFonts w:ascii="Arial" w:cs="Arial" w:eastAsia="Arial" w:hAnsi="Arial"/>
          <w:sz w:val="17"/>
          <w:szCs w:val="17"/>
          <w:color w:val="auto"/>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62" w:lineRule="exact"/>
        <w:rPr>
          <w:sz w:val="20"/>
          <w:szCs w:val="20"/>
          <w:color w:val="auto"/>
        </w:rPr>
      </w:pPr>
    </w:p>
    <w:p>
      <w:pPr>
        <w:ind w:right="40" w:firstLine="578"/>
        <w:spacing w:after="0" w:line="293" w:lineRule="auto"/>
        <w:rPr>
          <w:sz w:val="20"/>
          <w:szCs w:val="20"/>
          <w:color w:val="auto"/>
        </w:rPr>
      </w:pPr>
      <w:r>
        <w:rPr>
          <w:rFonts w:ascii="Arial" w:cs="Arial" w:eastAsia="Arial" w:hAnsi="Arial"/>
          <w:sz w:val="16"/>
          <w:szCs w:val="16"/>
          <w:color w:val="auto"/>
        </w:rPr>
        <w:t>Our commercial success depends upon our ability to develop, manufacture, market and sell revumenib. Subject to the achievement of certain milestone events, we may be required to pay Vitae, which is now a subsidiary of AbbVie, up to $99.0 million in one-time development and regulatory milestone payments over the term of the 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AbbVie.</w:t>
      </w:r>
    </w:p>
    <w:p>
      <w:pPr>
        <w:spacing w:after="0" w:line="56" w:lineRule="exact"/>
        <w:rPr>
          <w:sz w:val="20"/>
          <w:szCs w:val="20"/>
          <w:color w:val="auto"/>
        </w:rPr>
      </w:pPr>
    </w:p>
    <w:p>
      <w:pPr>
        <w:ind w:firstLine="578"/>
        <w:spacing w:after="0" w:line="257"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80"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2" w:name="page43"/>
    <w:bookmarkEnd w:id="42"/>
    <w:p>
      <w:pPr>
        <w:ind w:right="80" w:firstLine="57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60" w:firstLine="578"/>
        <w:spacing w:after="0" w:line="257" w:lineRule="auto"/>
        <w:rPr>
          <w:sz w:val="20"/>
          <w:szCs w:val="20"/>
          <w:color w:val="auto"/>
        </w:rPr>
      </w:pPr>
      <w:r>
        <w:rPr>
          <w:rFonts w:ascii="Arial" w:cs="Arial" w:eastAsia="Arial" w:hAnsi="Arial"/>
          <w:sz w:val="18"/>
          <w:szCs w:val="18"/>
          <w:color w:val="auto"/>
        </w:rPr>
        <w:t>We have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0" w:lineRule="exact"/>
        <w:rPr>
          <w:sz w:val="20"/>
          <w:szCs w:val="20"/>
          <w:color w:val="auto"/>
        </w:rPr>
      </w:pPr>
    </w:p>
    <w:p>
      <w:pPr>
        <w:ind w:right="40" w:firstLine="578"/>
        <w:spacing w:after="0" w:line="291" w:lineRule="auto"/>
        <w:rPr>
          <w:sz w:val="20"/>
          <w:szCs w:val="20"/>
          <w:color w:val="auto"/>
        </w:rPr>
      </w:pPr>
      <w:r>
        <w:rPr>
          <w:rFonts w:ascii="Arial" w:cs="Arial" w:eastAsia="Arial" w:hAnsi="Arial"/>
          <w:sz w:val="16"/>
          <w:szCs w:val="16"/>
          <w:color w:val="auto"/>
        </w:rPr>
        <w:t>We are obligated to pay Bayer up to approximately $50.0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8"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70"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9" w:lineRule="exact"/>
        <w:rPr>
          <w:sz w:val="20"/>
          <w:szCs w:val="20"/>
          <w:color w:val="auto"/>
        </w:rPr>
      </w:pPr>
    </w:p>
    <w:p>
      <w:pPr>
        <w:ind w:right="40" w:firstLine="57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74" w:lineRule="exact"/>
        <w:rPr>
          <w:sz w:val="20"/>
          <w:szCs w:val="20"/>
          <w:color w:val="auto"/>
        </w:rPr>
      </w:pPr>
    </w:p>
    <w:p>
      <w:pPr>
        <w:ind w:firstLine="578"/>
        <w:spacing w:after="0" w:line="267"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3" w:name="page44"/>
    <w:bookmarkEnd w:id="43"/>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right="100" w:firstLine="57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71" w:lineRule="exact"/>
        <w:rPr>
          <w:sz w:val="20"/>
          <w:szCs w:val="20"/>
          <w:color w:val="auto"/>
        </w:rPr>
      </w:pPr>
    </w:p>
    <w:p>
      <w:pPr>
        <w:ind w:right="60" w:firstLine="578"/>
        <w:spacing w:after="0" w:line="269"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4"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6" w:lineRule="exact"/>
        <w:rPr>
          <w:sz w:val="20"/>
          <w:szCs w:val="20"/>
          <w:color w:val="auto"/>
        </w:rPr>
      </w:pPr>
    </w:p>
    <w:p>
      <w:pPr>
        <w:ind w:right="20" w:firstLine="57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4" w:lineRule="exact"/>
        <w:rPr>
          <w:sz w:val="20"/>
          <w:szCs w:val="20"/>
          <w:color w:val="auto"/>
        </w:rPr>
      </w:pPr>
    </w:p>
    <w:p>
      <w:pPr>
        <w:ind w:right="100" w:firstLine="578"/>
        <w:spacing w:after="0" w:line="258"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4" w:name="page45"/>
    <w:bookmarkEnd w:id="44"/>
    <w:p>
      <w:pPr>
        <w:ind w:right="60"/>
        <w:spacing w:after="0" w:line="257" w:lineRule="auto"/>
        <w:rPr>
          <w:sz w:val="20"/>
          <w:szCs w:val="20"/>
          <w:color w:val="auto"/>
        </w:rPr>
      </w:pPr>
      <w:r>
        <w:rPr>
          <w:rFonts w:ascii="Arial" w:cs="Arial" w:eastAsia="Arial" w:hAnsi="Arial"/>
          <w:sz w:val="18"/>
          <w:szCs w:val="18"/>
          <w:color w:val="auto"/>
        </w:rPr>
        <w:t>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jc w:val="both"/>
        <w:ind w:right="160" w:firstLine="578"/>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right="40" w:firstLine="578"/>
        <w:spacing w:after="0" w:line="263"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6" w:lineRule="exact"/>
        <w:rPr>
          <w:sz w:val="20"/>
          <w:szCs w:val="20"/>
          <w:color w:val="auto"/>
        </w:rPr>
      </w:pPr>
    </w:p>
    <w:p>
      <w:pPr>
        <w:ind w:right="80" w:firstLine="57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160" w:firstLine="57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including, but not limited to new or ongoing public health crises and the war between Russia and Ukraine.</w:t>
      </w:r>
    </w:p>
    <w:p>
      <w:pPr>
        <w:spacing w:after="0" w:line="62"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129" w:lineRule="exact"/>
        <w:rPr>
          <w:sz w:val="20"/>
          <w:szCs w:val="20"/>
          <w:color w:val="auto"/>
        </w:rPr>
      </w:pPr>
    </w:p>
    <w:p>
      <w:pPr>
        <w:ind w:firstLine="562"/>
        <w:spacing w:after="0" w:line="289" w:lineRule="auto"/>
        <w:rPr>
          <w:sz w:val="20"/>
          <w:szCs w:val="20"/>
          <w:color w:val="auto"/>
        </w:rPr>
      </w:pPr>
      <w:r>
        <w:rPr>
          <w:rFonts w:ascii="Arial" w:cs="Arial" w:eastAsia="Arial" w:hAnsi="Arial"/>
          <w:sz w:val="16"/>
          <w:szCs w:val="16"/>
          <w:color w:val="auto"/>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Russia-Ukraine war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 in interest rates could have a material adverse effect on our business, results of operations and financial condition</w:t>
      </w:r>
    </w:p>
    <w:p>
      <w:pPr>
        <w:spacing w:after="0" w:line="16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jc w:val="both"/>
        <w:ind w:right="120" w:firstLine="578"/>
        <w:spacing w:after="0" w:line="255" w:lineRule="auto"/>
        <w:rPr>
          <w:sz w:val="20"/>
          <w:szCs w:val="20"/>
          <w:color w:val="auto"/>
        </w:rPr>
      </w:pPr>
      <w:r>
        <w:rPr>
          <w:rFonts w:ascii="Arial" w:cs="Arial" w:eastAsia="Arial" w:hAnsi="Arial"/>
          <w:sz w:val="18"/>
          <w:szCs w:val="18"/>
          <w:color w:val="auto"/>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in December 2022, we sold a total of 7,840,909 shares of our common stock in a public offering. Additionally, in April 2022, we sold 1,111,111 common shares under the 2021 ATM Program, with net proceeds of approximately $19.4 million. The issuance of these shares of our common stock resulted, and any future issuance pursuant to sales under the 2021 ATM Program will result, in dilution to our stockholders.</w:t>
      </w:r>
    </w:p>
    <w:p>
      <w:pPr>
        <w:spacing w:after="0" w:line="84" w:lineRule="exact"/>
        <w:rPr>
          <w:sz w:val="20"/>
          <w:szCs w:val="20"/>
          <w:color w:val="auto"/>
        </w:rPr>
      </w:pPr>
    </w:p>
    <w:p>
      <w:pPr>
        <w:ind w:right="100" w:firstLine="578"/>
        <w:spacing w:after="0" w:line="255" w:lineRule="auto"/>
        <w:rPr>
          <w:sz w:val="20"/>
          <w:szCs w:val="20"/>
          <w:color w:val="auto"/>
        </w:rPr>
      </w:pPr>
      <w:r>
        <w:rPr>
          <w:rFonts w:ascii="Arial" w:cs="Arial" w:eastAsia="Arial" w:hAnsi="Arial"/>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84" w:lineRule="exact"/>
        <w:rPr>
          <w:sz w:val="20"/>
          <w:szCs w:val="20"/>
          <w:color w:val="auto"/>
        </w:rPr>
      </w:pPr>
    </w:p>
    <w:p>
      <w:pPr>
        <w:jc w:val="both"/>
        <w:ind w:right="80" w:firstLine="578"/>
        <w:spacing w:after="0" w:line="255"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6" w:name="page47"/>
    <w:bookmarkEnd w:id="46"/>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As of March 31, 2023, our executive officers, directors, and holders of 5% or more of our capital stock and their respective affiliates beneficially owned approximately 41.4%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58" w:lineRule="exact"/>
        <w:rPr>
          <w:sz w:val="20"/>
          <w:szCs w:val="20"/>
          <w:color w:val="auto"/>
        </w:rPr>
      </w:pPr>
    </w:p>
    <w:p>
      <w:pPr>
        <w:ind w:right="180" w:firstLine="509"/>
        <w:spacing w:after="0" w:line="286" w:lineRule="auto"/>
        <w:rPr>
          <w:sz w:val="20"/>
          <w:szCs w:val="20"/>
          <w:color w:val="auto"/>
        </w:rPr>
      </w:pPr>
      <w:r>
        <w:rPr>
          <w:rFonts w:ascii="Arial" w:cs="Arial" w:eastAsia="Arial" w:hAnsi="Arial"/>
          <w:sz w:val="16"/>
          <w:szCs w:val="16"/>
          <w:color w:val="auto"/>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w:t>
      </w:r>
    </w:p>
    <w:p>
      <w:pPr>
        <w:spacing w:after="0" w:line="1" w:lineRule="exact"/>
        <w:rPr>
          <w:sz w:val="20"/>
          <w:szCs w:val="20"/>
          <w:color w:val="auto"/>
        </w:rPr>
      </w:pPr>
    </w:p>
    <w:p>
      <w:pPr>
        <w:ind w:right="80" w:firstLine="8"/>
        <w:spacing w:after="0" w:line="281"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right="8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0" w:type="dxa"/>
            <w:vAlign w:val="bottom"/>
            <w:gridSpan w:val="12"/>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720" w:type="dxa"/>
            <w:vAlign w:val="bottom"/>
            <w:tcBorders>
              <w:bottom w:val="single" w:sz="8" w:color="0000FF"/>
            </w:tcBorders>
            <w:gridSpan w:val="8"/>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Amended and Restated Certificate of Incorporation of the Company (incorporated herein by reference to Exhibit 3.1 to the Company’s</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Current Report on Form 8-K (File No. 001-37708), as filed with the SEC on March 8, 2016).</w:t>
              </w:r>
            </w:hyperlink>
          </w:p>
        </w:tc>
        <w:tc>
          <w:tcPr>
            <w:tcW w:w="3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4"/>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Amended and Restated Bylaws of the Company (incorporated herein by reference to Exhibit 3.2 to the Company’s Current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5"/>
          </w:tcPr>
          <w:p>
            <w:pPr>
              <w:spacing w:after="0" w:line="196" w:lineRule="exact"/>
              <w:rPr>
                <w:rFonts w:ascii="Arial" w:cs="Arial" w:eastAsia="Arial" w:hAnsi="Arial"/>
                <w:sz w:val="18"/>
                <w:szCs w:val="18"/>
                <w:color w:val="0000FF"/>
              </w:rPr>
            </w:pPr>
            <w:hyperlink r:id="rId154">
              <w:r>
                <w:rPr>
                  <w:rFonts w:ascii="Arial" w:cs="Arial" w:eastAsia="Arial" w:hAnsi="Arial"/>
                  <w:sz w:val="18"/>
                  <w:szCs w:val="18"/>
                  <w:color w:val="0000FF"/>
                </w:rPr>
                <w:t>8-K (File No. 001-37708), as filed with the SEC on March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820" w:type="dxa"/>
            <w:vAlign w:val="bottom"/>
            <w:tcBorders>
              <w:bottom w:val="single" w:sz="8" w:color="0000FF"/>
            </w:tcBorders>
            <w:gridSpan w:val="9"/>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Employment Agreement, dated March 30, 2023, by and between the Company and Neil Gallagher, M.D., Ph.D. (incorporated herein by</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980" w:type="dxa"/>
            <w:vAlign w:val="bottom"/>
            <w:gridSpan w:val="13"/>
            <w:vMerge w:val="restart"/>
          </w:tcPr>
          <w:p>
            <w:pPr>
              <w:spacing w:after="0" w:line="19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reference to Exhibit 10.1 to the Company’s Current Report on Form 8-K (File No. 001-37708), as filed with the SEC on March 30, 2023).</w:t>
              </w:r>
            </w:hyperlink>
          </w:p>
        </w:tc>
        <w:tc>
          <w:tcPr>
            <w:tcW w:w="1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980" w:type="dxa"/>
            <w:vAlign w:val="bottom"/>
            <w:tcBorders>
              <w:bottom w:val="single" w:sz="8" w:color="0000EE"/>
            </w:tcBorders>
            <w:gridSpan w:val="13"/>
            <w:vMerge w:val="continue"/>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80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Form of Restricted Stock Unit Agreement pursuant to the Syndax Pharmaceuticals, Inc. 2023 Inducement Plan.</w:t>
            </w:r>
          </w:p>
        </w:tc>
        <w:tc>
          <w:tcPr>
            <w:tcW w:w="20" w:type="dxa"/>
            <w:vAlign w:val="bottom"/>
            <w:tcBorders>
              <w:bottom w:val="single" w:sz="8" w:color="0000EE"/>
            </w:tcBorders>
          </w:tcPr>
          <w:p>
            <w:pPr>
              <w:spacing w:after="0"/>
              <w:rPr>
                <w:sz w:val="24"/>
                <w:szCs w:val="24"/>
                <w:color w:val="auto"/>
              </w:rPr>
            </w:pPr>
          </w:p>
        </w:tc>
        <w:tc>
          <w:tcPr>
            <w:tcW w:w="20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9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promulgated under the Securities Exchange Act of</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1934, as amended.</w:t>
            </w:r>
          </w:p>
        </w:tc>
        <w:tc>
          <w:tcPr>
            <w:tcW w:w="20" w:type="dxa"/>
            <w:vAlign w:val="bottom"/>
            <w:tcBorders>
              <w:bottom w:val="single" w:sz="8" w:color="0000EE"/>
            </w:tcBorders>
          </w:tcPr>
          <w:p>
            <w:pPr>
              <w:spacing w:after="0"/>
              <w:rPr>
                <w:sz w:val="17"/>
                <w:szCs w:val="17"/>
                <w:color w:val="auto"/>
              </w:rPr>
            </w:pPr>
          </w:p>
        </w:tc>
        <w:tc>
          <w:tcPr>
            <w:tcW w:w="87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9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promulgated under the Securities Exchange Act of</w:t>
            </w:r>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1934, as amended.</w:t>
            </w:r>
          </w:p>
        </w:tc>
        <w:tc>
          <w:tcPr>
            <w:tcW w:w="20" w:type="dxa"/>
            <w:vAlign w:val="bottom"/>
            <w:tcBorders>
              <w:bottom w:val="single" w:sz="8" w:color="0000EE"/>
            </w:tcBorders>
          </w:tcPr>
          <w:p>
            <w:pPr>
              <w:spacing w:after="0"/>
              <w:rPr>
                <w:sz w:val="17"/>
                <w:szCs w:val="17"/>
                <w:color w:val="auto"/>
              </w:rPr>
            </w:pPr>
          </w:p>
        </w:tc>
        <w:tc>
          <w:tcPr>
            <w:tcW w:w="87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9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Certifications of Chief Executive Officer and Chief Financial Officer pursuant to 18 U.S.C. Section 1350, as adopted pursuant to Section</w:t>
            </w:r>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5"/>
          </w:tcPr>
          <w:p>
            <w:pPr>
              <w:spacing w:after="0" w:line="196" w:lineRule="exact"/>
              <w:rPr>
                <w:sz w:val="20"/>
                <w:szCs w:val="20"/>
                <w:color w:val="auto"/>
              </w:rPr>
            </w:pPr>
            <w:r>
              <w:rPr>
                <w:rFonts w:ascii="Arial" w:cs="Arial" w:eastAsia="Arial" w:hAnsi="Arial"/>
                <w:sz w:val="18"/>
                <w:szCs w:val="18"/>
                <w:color w:val="0000FF"/>
              </w:rPr>
              <w:t>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60" w:hanging="1139"/>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right="20"/>
        <w:spacing w:after="0" w:line="254" w:lineRule="auto"/>
        <w:rPr>
          <w:rFonts w:ascii="Arial" w:cs="Arial" w:eastAsia="Arial" w:hAnsi="Arial"/>
          <w:sz w:val="18"/>
          <w:szCs w:val="18"/>
          <w:color w:val="auto"/>
        </w:rPr>
      </w:pPr>
      <w:r>
        <w:rPr>
          <w:rFonts w:ascii="Arial" w:cs="Arial" w:eastAsia="Arial" w:hAnsi="Arial"/>
          <w:sz w:val="18"/>
          <w:szCs w:val="18"/>
          <w:color w:val="auto"/>
        </w:rPr>
        <w:t>* Furnished herewith and not deemed to be “filed” for purposes of Section 18 of the Securities Exchange Act of 1934, as amended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9512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Metzger</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A. Goldan</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(Principal Financial Officer and Principal Accounting</w:t>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INDUCEMENT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UNIT AGREEMENT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Syndax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grants Stock Units denominated in shares of its common stock, par value $0.0001 per share (this “</w:t>
      </w:r>
      <w:r>
        <w:rPr>
          <w:rFonts w:ascii="Arial" w:cs="Arial" w:eastAsia="Arial" w:hAnsi="Arial"/>
          <w:sz w:val="17"/>
          <w:szCs w:val="17"/>
          <w:b w:val="1"/>
          <w:bCs w:val="1"/>
          <w:color w:val="auto"/>
        </w:rPr>
        <w:t>Award</w:t>
      </w:r>
      <w:r>
        <w:rPr>
          <w:rFonts w:ascii="Arial" w:cs="Arial" w:eastAsia="Arial" w:hAnsi="Arial"/>
          <w:sz w:val="17"/>
          <w:szCs w:val="17"/>
          <w:color w:val="auto"/>
        </w:rPr>
        <w:t>”), to the Grantee named below, subject to the vesting and other conditions set forth below. Additional terms and conditions of this Award are set forth in this cover sheet and in the attachment (collectively, the “</w:t>
      </w:r>
      <w:r>
        <w:rPr>
          <w:rFonts w:ascii="Arial" w:cs="Arial" w:eastAsia="Arial" w:hAnsi="Arial"/>
          <w:sz w:val="17"/>
          <w:szCs w:val="17"/>
          <w:b w:val="1"/>
          <w:bCs w:val="1"/>
          <w:color w:val="auto"/>
        </w:rPr>
        <w:t>Agreement</w:t>
      </w:r>
      <w:r>
        <w:rPr>
          <w:rFonts w:ascii="Arial" w:cs="Arial" w:eastAsia="Arial" w:hAnsi="Arial"/>
          <w:sz w:val="17"/>
          <w:szCs w:val="17"/>
          <w:color w:val="auto"/>
        </w:rPr>
        <w:t>”). This Award is granted in compliance with NASDAQ Listing Rule 5635(c)(4) as a material inducement to the Grantee entering into employment with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40" w:type="dxa"/>
            <w:vAlign w:val="bottom"/>
          </w:tcPr>
          <w:p>
            <w:pPr>
              <w:ind w:left="20"/>
              <w:spacing w:after="0"/>
              <w:rPr>
                <w:sz w:val="20"/>
                <w:szCs w:val="20"/>
                <w:color w:val="auto"/>
              </w:rPr>
            </w:pPr>
            <w:r>
              <w:rPr>
                <w:rFonts w:ascii="Arial" w:cs="Arial" w:eastAsia="Arial" w:hAnsi="Arial"/>
                <w:sz w:val="18"/>
                <w:szCs w:val="18"/>
                <w:color w:val="auto"/>
              </w:rPr>
              <w:t>Name of Grantee:</w:t>
            </w:r>
          </w:p>
        </w:tc>
        <w:tc>
          <w:tcPr>
            <w:tcW w:w="298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499"/>
        </w:trPr>
        <w:tc>
          <w:tcPr>
            <w:tcW w:w="2340" w:type="dxa"/>
            <w:vAlign w:val="bottom"/>
          </w:tcPr>
          <w:p>
            <w:pPr>
              <w:ind w:left="20"/>
              <w:spacing w:after="0"/>
              <w:rPr>
                <w:sz w:val="20"/>
                <w:szCs w:val="20"/>
                <w:color w:val="auto"/>
              </w:rPr>
            </w:pPr>
            <w:r>
              <w:rPr>
                <w:rFonts w:ascii="Arial" w:cs="Arial" w:eastAsia="Arial" w:hAnsi="Arial"/>
                <w:sz w:val="18"/>
                <w:szCs w:val="18"/>
                <w:color w:val="auto"/>
              </w:rPr>
              <w:t>Number of Stock Units:</w:t>
            </w:r>
          </w:p>
        </w:tc>
        <w:tc>
          <w:tcPr>
            <w:tcW w:w="298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513"/>
        </w:trPr>
        <w:tc>
          <w:tcPr>
            <w:tcW w:w="2340" w:type="dxa"/>
            <w:vAlign w:val="bottom"/>
          </w:tcPr>
          <w:p>
            <w:pPr>
              <w:ind w:left="20"/>
              <w:spacing w:after="0"/>
              <w:rPr>
                <w:sz w:val="20"/>
                <w:szCs w:val="20"/>
                <w:color w:val="auto"/>
              </w:rPr>
            </w:pPr>
            <w:r>
              <w:rPr>
                <w:rFonts w:ascii="Arial" w:cs="Arial" w:eastAsia="Arial" w:hAnsi="Arial"/>
                <w:sz w:val="18"/>
                <w:szCs w:val="18"/>
                <w:color w:val="auto"/>
              </w:rPr>
              <w:t>Grant Date:</w:t>
            </w:r>
          </w:p>
        </w:tc>
        <w:tc>
          <w:tcPr>
            <w:tcW w:w="298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499"/>
        </w:trPr>
        <w:tc>
          <w:tcPr>
            <w:tcW w:w="2340" w:type="dxa"/>
            <w:vAlign w:val="bottom"/>
          </w:tcPr>
          <w:p>
            <w:pPr>
              <w:ind w:left="20"/>
              <w:spacing w:after="0"/>
              <w:rPr>
                <w:sz w:val="20"/>
                <w:szCs w:val="20"/>
                <w:color w:val="auto"/>
              </w:rPr>
            </w:pPr>
            <w:r>
              <w:rPr>
                <w:rFonts w:ascii="Arial" w:cs="Arial" w:eastAsia="Arial" w:hAnsi="Arial"/>
                <w:sz w:val="18"/>
                <w:szCs w:val="18"/>
                <w:color w:val="auto"/>
              </w:rPr>
              <w:t>Vesting Start Date:</w:t>
            </w:r>
          </w:p>
        </w:tc>
        <w:tc>
          <w:tcPr>
            <w:tcW w:w="2980" w:type="dxa"/>
            <w:vAlign w:val="bottom"/>
          </w:tcPr>
          <w:p>
            <w:pPr>
              <w:jc w:val="right"/>
              <w:spacing w:after="0"/>
              <w:rPr>
                <w:sz w:val="20"/>
                <w:szCs w:val="20"/>
                <w:color w:val="auto"/>
              </w:rPr>
            </w:pPr>
            <w:r>
              <w:rPr>
                <w:rFonts w:ascii="Arial" w:cs="Arial" w:eastAsia="Arial" w:hAnsi="Arial"/>
                <w:sz w:val="20"/>
                <w:szCs w:val="20"/>
                <w:color w:val="auto"/>
              </w:rPr>
              <w:t>________________________</w:t>
            </w:r>
          </w:p>
        </w:tc>
      </w:tr>
      <w:tr>
        <w:trPr>
          <w:trHeight w:val="442"/>
        </w:trPr>
        <w:tc>
          <w:tcPr>
            <w:tcW w:w="2340" w:type="dxa"/>
            <w:vAlign w:val="bottom"/>
          </w:tcPr>
          <w:p>
            <w:pPr>
              <w:spacing w:after="0"/>
              <w:rPr>
                <w:sz w:val="20"/>
                <w:szCs w:val="20"/>
                <w:color w:val="auto"/>
              </w:rPr>
            </w:pPr>
            <w:r>
              <w:rPr>
                <w:rFonts w:ascii="Arial" w:cs="Arial" w:eastAsia="Arial" w:hAnsi="Arial"/>
                <w:sz w:val="18"/>
                <w:szCs w:val="18"/>
                <w:color w:val="auto"/>
              </w:rPr>
              <w:t>Vesting Schedule:</w:t>
            </w:r>
          </w:p>
        </w:tc>
        <w:tc>
          <w:tcPr>
            <w:tcW w:w="29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By your signature below, you agree to all of the terms and conditions described in the Agreement and in the Plan, a copy of which is also attached. You acknowledge that you have carefully reviewed the Plan, and agree that the Plan will control in the event any provision of this cover sheet or the Agreement should appear to be inconsistent with the Plan.</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540" w:type="dxa"/>
            <w:vAlign w:val="bottom"/>
          </w:tcPr>
          <w:p>
            <w:pPr>
              <w:spacing w:after="0"/>
              <w:rPr>
                <w:sz w:val="20"/>
                <w:szCs w:val="20"/>
                <w:color w:val="auto"/>
              </w:rPr>
            </w:pPr>
            <w:r>
              <w:rPr>
                <w:rFonts w:ascii="Arial" w:cs="Arial" w:eastAsia="Arial" w:hAnsi="Arial"/>
                <w:sz w:val="18"/>
                <w:szCs w:val="18"/>
                <w:color w:val="auto"/>
              </w:rPr>
              <w:t>Grantee</w:t>
            </w:r>
          </w:p>
        </w:tc>
        <w:tc>
          <w:tcPr>
            <w:tcW w:w="3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w w:val="88"/>
              </w:rPr>
              <w:t>Date:</w:t>
            </w:r>
          </w:p>
        </w:tc>
      </w:tr>
      <w:tr>
        <w:trPr>
          <w:trHeight w:val="230"/>
        </w:trPr>
        <w:tc>
          <w:tcPr>
            <w:tcW w:w="154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(Signature)</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708"/>
        </w:trPr>
        <w:tc>
          <w:tcPr>
            <w:tcW w:w="1540" w:type="dxa"/>
            <w:vAlign w:val="bottom"/>
          </w:tcPr>
          <w:p>
            <w:pPr>
              <w:spacing w:after="0"/>
              <w:rPr>
                <w:sz w:val="20"/>
                <w:szCs w:val="20"/>
                <w:color w:val="auto"/>
              </w:rPr>
            </w:pPr>
            <w:r>
              <w:rPr>
                <w:rFonts w:ascii="Arial" w:cs="Arial" w:eastAsia="Arial" w:hAnsi="Arial"/>
                <w:sz w:val="18"/>
                <w:szCs w:val="18"/>
                <w:color w:val="auto"/>
              </w:rPr>
              <w:t>Company:</w:t>
            </w:r>
          </w:p>
        </w:tc>
        <w:tc>
          <w:tcPr>
            <w:tcW w:w="3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w w:val="88"/>
              </w:rPr>
              <w:t>Date:</w:t>
            </w:r>
          </w:p>
        </w:tc>
      </w:tr>
      <w:tr>
        <w:trPr>
          <w:trHeight w:val="230"/>
        </w:trPr>
        <w:tc>
          <w:tcPr>
            <w:tcW w:w="1540" w:type="dxa"/>
            <w:vAlign w:val="bottom"/>
          </w:tcPr>
          <w:p>
            <w:pPr>
              <w:spacing w:after="0"/>
              <w:rPr>
                <w:sz w:val="20"/>
                <w:szCs w:val="20"/>
                <w:color w:val="auto"/>
              </w:rPr>
            </w:pP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-762635</wp:posOffset>
            </wp:positionV>
            <wp:extent cx="2143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-154305</wp:posOffset>
            </wp:positionV>
            <wp:extent cx="2143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23495</wp:posOffset>
            </wp:positionV>
            <wp:extent cx="22371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23495</wp:posOffset>
            </wp:positionV>
            <wp:extent cx="22371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Attachment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is not a share certificate or a negotiable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7860" w:type="dxa"/>
            <w:vAlign w:val="bottom"/>
          </w:tcPr>
          <w:p>
            <w:pPr>
              <w:ind w:left="680"/>
              <w:spacing w:after="0"/>
              <w:rPr>
                <w:sz w:val="20"/>
                <w:szCs w:val="20"/>
                <w:color w:val="auto"/>
              </w:rPr>
            </w:pPr>
            <w:r>
              <w:rPr>
                <w:rFonts w:ascii="Arial" w:cs="Arial" w:eastAsia="Arial" w:hAnsi="Arial"/>
                <w:sz w:val="18"/>
                <w:szCs w:val="18"/>
                <w:b w:val="1"/>
                <w:bCs w:val="1"/>
                <w:color w:val="auto"/>
              </w:rPr>
              <w:t>SYNDAX PHARMACEUTICALS, INC.</w:t>
            </w:r>
          </w:p>
        </w:tc>
      </w:tr>
      <w:tr>
        <w:trPr>
          <w:trHeight w:val="234"/>
        </w:trPr>
        <w:tc>
          <w:tcPr>
            <w:tcW w:w="3380" w:type="dxa"/>
            <w:vAlign w:val="bottom"/>
          </w:tcPr>
          <w:p>
            <w:pPr>
              <w:spacing w:after="0"/>
              <w:rPr>
                <w:sz w:val="20"/>
                <w:szCs w:val="20"/>
                <w:color w:val="auto"/>
              </w:rPr>
            </w:pPr>
          </w:p>
        </w:tc>
        <w:tc>
          <w:tcPr>
            <w:tcW w:w="7860" w:type="dxa"/>
            <w:vAlign w:val="bottom"/>
          </w:tcPr>
          <w:p>
            <w:pPr>
              <w:ind w:left="1140"/>
              <w:spacing w:after="0"/>
              <w:rPr>
                <w:sz w:val="20"/>
                <w:szCs w:val="20"/>
                <w:color w:val="auto"/>
              </w:rPr>
            </w:pPr>
            <w:r>
              <w:rPr>
                <w:rFonts w:ascii="Arial" w:cs="Arial" w:eastAsia="Arial" w:hAnsi="Arial"/>
                <w:sz w:val="18"/>
                <w:szCs w:val="18"/>
                <w:b w:val="1"/>
                <w:bCs w:val="1"/>
                <w:color w:val="auto"/>
              </w:rPr>
              <w:t>2023 INDUCEMENT PLAN</w:t>
            </w:r>
          </w:p>
        </w:tc>
      </w:tr>
      <w:tr>
        <w:trPr>
          <w:trHeight w:val="432"/>
        </w:trPr>
        <w:tc>
          <w:tcPr>
            <w:tcW w:w="3380" w:type="dxa"/>
            <w:vAlign w:val="bottom"/>
          </w:tcPr>
          <w:p>
            <w:pPr>
              <w:spacing w:after="0"/>
              <w:rPr>
                <w:sz w:val="24"/>
                <w:szCs w:val="24"/>
                <w:color w:val="auto"/>
              </w:rPr>
            </w:pPr>
          </w:p>
        </w:tc>
        <w:tc>
          <w:tcPr>
            <w:tcW w:w="7860" w:type="dxa"/>
            <w:vAlign w:val="bottom"/>
          </w:tcPr>
          <w:p>
            <w:pPr>
              <w:ind w:left="600"/>
              <w:spacing w:after="0"/>
              <w:rPr>
                <w:sz w:val="20"/>
                <w:szCs w:val="20"/>
                <w:color w:val="auto"/>
              </w:rPr>
            </w:pPr>
            <w:r>
              <w:rPr>
                <w:rFonts w:ascii="Arial" w:cs="Arial" w:eastAsia="Arial" w:hAnsi="Arial"/>
                <w:sz w:val="18"/>
                <w:szCs w:val="18"/>
                <w:b w:val="1"/>
                <w:bCs w:val="1"/>
                <w:color w:val="auto"/>
              </w:rPr>
              <w:t>FORM OF STOCK UNIT AGREEMENT</w:t>
            </w:r>
          </w:p>
        </w:tc>
      </w:tr>
      <w:tr>
        <w:trPr>
          <w:trHeight w:val="472"/>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Stock Units</w:t>
            </w:r>
          </w:p>
        </w:tc>
        <w:tc>
          <w:tcPr>
            <w:tcW w:w="7860" w:type="dxa"/>
            <w:vAlign w:val="bottom"/>
          </w:tcPr>
          <w:p>
            <w:pPr>
              <w:ind w:left="580"/>
              <w:spacing w:after="0"/>
              <w:rPr>
                <w:sz w:val="20"/>
                <w:szCs w:val="20"/>
                <w:color w:val="auto"/>
              </w:rPr>
            </w:pPr>
            <w:r>
              <w:rPr>
                <w:rFonts w:ascii="Arial" w:cs="Arial" w:eastAsia="Arial" w:hAnsi="Arial"/>
                <w:sz w:val="18"/>
                <w:szCs w:val="18"/>
                <w:color w:val="auto"/>
                <w:w w:val="93"/>
              </w:rPr>
              <w:t>This Agreement evidences an award of Stock Units for the number of shares of Stock set forth on</w:t>
            </w:r>
          </w:p>
        </w:tc>
      </w:tr>
      <w:tr>
        <w:trPr>
          <w:trHeight w:val="212"/>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1"/>
              </w:rPr>
              <w:t>the cover sheet and subject to the vesting and other conditions set forth in the Agreement and in the</w:t>
            </w:r>
          </w:p>
        </w:tc>
      </w:tr>
      <w:tr>
        <w:trPr>
          <w:trHeight w:val="220"/>
        </w:trPr>
        <w:tc>
          <w:tcPr>
            <w:tcW w:w="3380" w:type="dxa"/>
            <w:vAlign w:val="bottom"/>
          </w:tcPr>
          <w:p>
            <w:pPr>
              <w:spacing w:after="0"/>
              <w:rPr>
                <w:sz w:val="19"/>
                <w:szCs w:val="19"/>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1"/>
              </w:rPr>
              <w:t>Plan (the “</w:t>
            </w:r>
            <w:r>
              <w:rPr>
                <w:rFonts w:ascii="Arial" w:cs="Arial" w:eastAsia="Arial" w:hAnsi="Arial"/>
                <w:sz w:val="18"/>
                <w:szCs w:val="18"/>
                <w:b w:val="1"/>
                <w:bCs w:val="1"/>
                <w:color w:val="auto"/>
                <w:w w:val="91"/>
              </w:rPr>
              <w:t>Stock Units</w:t>
            </w:r>
            <w:r>
              <w:rPr>
                <w:rFonts w:ascii="Arial" w:cs="Arial" w:eastAsia="Arial" w:hAnsi="Arial"/>
                <w:sz w:val="18"/>
                <w:szCs w:val="18"/>
                <w:color w:val="auto"/>
                <w:w w:val="91"/>
              </w:rPr>
              <w:t>”). This Award is granted subject to the terms and conditions of the Plan as a</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material inducement to you entering into employment with the Company in compliance with</w:t>
            </w:r>
          </w:p>
        </w:tc>
      </w:tr>
      <w:tr>
        <w:trPr>
          <w:trHeight w:val="230"/>
        </w:trPr>
        <w:tc>
          <w:tcPr>
            <w:tcW w:w="338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NASDAQ Listing Rule 5635(c)(4).</w:t>
            </w:r>
          </w:p>
        </w:tc>
      </w:tr>
      <w:tr>
        <w:trPr>
          <w:trHeight w:val="323"/>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Transfer of Stock Units</w:t>
            </w:r>
          </w:p>
        </w:tc>
        <w:tc>
          <w:tcPr>
            <w:tcW w:w="7860" w:type="dxa"/>
            <w:vAlign w:val="bottom"/>
          </w:tcPr>
          <w:p>
            <w:pPr>
              <w:ind w:left="580"/>
              <w:spacing w:after="0"/>
              <w:rPr>
                <w:sz w:val="20"/>
                <w:szCs w:val="20"/>
                <w:color w:val="auto"/>
              </w:rPr>
            </w:pPr>
            <w:r>
              <w:rPr>
                <w:rFonts w:ascii="Arial" w:cs="Arial" w:eastAsia="Arial" w:hAnsi="Arial"/>
                <w:sz w:val="18"/>
                <w:szCs w:val="18"/>
                <w:color w:val="auto"/>
                <w:w w:val="98"/>
              </w:rPr>
              <w:t>The Stock Units may not be sold, assigned, transferred, pledged, hypothecated or otherwise</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1"/>
              </w:rPr>
              <w:t>encumbered, whether by operation of law or otherwise, nor may the Stock Units be made subject to</w:t>
            </w:r>
          </w:p>
        </w:tc>
      </w:tr>
      <w:tr>
        <w:trPr>
          <w:trHeight w:val="230"/>
        </w:trPr>
        <w:tc>
          <w:tcPr>
            <w:tcW w:w="338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execution, attachment or similar process.</w:t>
            </w:r>
          </w:p>
        </w:tc>
      </w:tr>
      <w:tr>
        <w:trPr>
          <w:trHeight w:val="297"/>
        </w:trPr>
        <w:tc>
          <w:tcPr>
            <w:tcW w:w="3380" w:type="dxa"/>
            <w:vAlign w:val="bottom"/>
          </w:tcPr>
          <w:p>
            <w:pPr>
              <w:spacing w:after="0"/>
              <w:rPr>
                <w:sz w:val="24"/>
                <w:szCs w:val="24"/>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If you attempt to do any of these things, this Award will immediately be forfeited.</w:t>
            </w:r>
          </w:p>
        </w:tc>
      </w:tr>
      <w:tr>
        <w:trPr>
          <w:trHeight w:val="41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Issuance and Vesting of Stock Units;</w:t>
            </w:r>
          </w:p>
        </w:tc>
        <w:tc>
          <w:tcPr>
            <w:tcW w:w="7860" w:type="dxa"/>
            <w:vAlign w:val="bottom"/>
          </w:tcPr>
          <w:p>
            <w:pPr>
              <w:ind w:left="580"/>
              <w:spacing w:after="0"/>
              <w:rPr>
                <w:sz w:val="20"/>
                <w:szCs w:val="20"/>
                <w:color w:val="auto"/>
              </w:rPr>
            </w:pPr>
            <w:r>
              <w:rPr>
                <w:rFonts w:ascii="Arial" w:cs="Arial" w:eastAsia="Arial" w:hAnsi="Arial"/>
                <w:sz w:val="18"/>
                <w:szCs w:val="18"/>
                <w:color w:val="auto"/>
                <w:w w:val="92"/>
              </w:rPr>
              <w:t>The Company will issue your Stock Units in the name set forth on the cover sheet. The Stock Units</w:t>
            </w:r>
          </w:p>
        </w:tc>
      </w:tr>
      <w:tr>
        <w:trPr>
          <w:trHeight w:val="220"/>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Issuance of Shares of Stock</w:t>
            </w:r>
          </w:p>
        </w:tc>
        <w:tc>
          <w:tcPr>
            <w:tcW w:w="7860" w:type="dxa"/>
            <w:vAlign w:val="bottom"/>
          </w:tcPr>
          <w:p>
            <w:pPr>
              <w:ind w:left="580"/>
              <w:spacing w:after="0"/>
              <w:rPr>
                <w:sz w:val="20"/>
                <w:szCs w:val="20"/>
                <w:color w:val="auto"/>
              </w:rPr>
            </w:pPr>
            <w:r>
              <w:rPr>
                <w:rFonts w:ascii="Arial" w:cs="Arial" w:eastAsia="Arial" w:hAnsi="Arial"/>
                <w:sz w:val="18"/>
                <w:szCs w:val="18"/>
                <w:color w:val="auto"/>
                <w:w w:val="91"/>
              </w:rPr>
              <w:t>shall be in the form of bookkeeping entries representing the right to receive one share of Stock upon</w:t>
            </w:r>
          </w:p>
        </w:tc>
      </w:tr>
      <w:tr>
        <w:trPr>
          <w:trHeight w:val="230"/>
        </w:trPr>
        <w:tc>
          <w:tcPr>
            <w:tcW w:w="338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vesting and settlement of each Stock Unit.</w:t>
            </w:r>
          </w:p>
        </w:tc>
      </w:tr>
      <w:tr>
        <w:trPr>
          <w:trHeight w:val="404"/>
        </w:trPr>
        <w:tc>
          <w:tcPr>
            <w:tcW w:w="3380" w:type="dxa"/>
            <w:vAlign w:val="bottom"/>
          </w:tcPr>
          <w:p>
            <w:pPr>
              <w:spacing w:after="0"/>
              <w:rPr>
                <w:sz w:val="24"/>
                <w:szCs w:val="24"/>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8"/>
              </w:rPr>
              <w:t>Your rights under the Stock Units and this Agreement will vest in accordance with the vesting</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1"/>
              </w:rPr>
              <w:t>schedule shown on the cover sheet so long as you continue in Service on the vesting dates set forth</w:t>
            </w:r>
          </w:p>
        </w:tc>
      </w:tr>
      <w:tr>
        <w:trPr>
          <w:trHeight w:val="230"/>
        </w:trPr>
        <w:tc>
          <w:tcPr>
            <w:tcW w:w="338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on the cover sheet.</w:t>
            </w:r>
          </w:p>
        </w:tc>
      </w:tr>
      <w:tr>
        <w:trPr>
          <w:trHeight w:val="297"/>
        </w:trPr>
        <w:tc>
          <w:tcPr>
            <w:tcW w:w="3380" w:type="dxa"/>
            <w:vAlign w:val="bottom"/>
          </w:tcPr>
          <w:p>
            <w:pPr>
              <w:spacing w:after="0"/>
              <w:rPr>
                <w:sz w:val="24"/>
                <w:szCs w:val="24"/>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No additional shares of Stock will vest after your Service has terminated for any reason.</w:t>
            </w:r>
          </w:p>
        </w:tc>
      </w:tr>
      <w:tr>
        <w:trPr>
          <w:trHeight w:val="4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Delivery</w:t>
            </w:r>
          </w:p>
        </w:tc>
        <w:tc>
          <w:tcPr>
            <w:tcW w:w="7860" w:type="dxa"/>
            <w:vAlign w:val="bottom"/>
          </w:tcPr>
          <w:p>
            <w:pPr>
              <w:ind w:left="580"/>
              <w:spacing w:after="0"/>
              <w:rPr>
                <w:sz w:val="20"/>
                <w:szCs w:val="20"/>
                <w:color w:val="auto"/>
              </w:rPr>
            </w:pPr>
            <w:r>
              <w:rPr>
                <w:rFonts w:ascii="Arial" w:cs="Arial" w:eastAsia="Arial" w:hAnsi="Arial"/>
                <w:sz w:val="18"/>
                <w:szCs w:val="18"/>
                <w:color w:val="auto"/>
                <w:w w:val="90"/>
              </w:rPr>
              <w:t>As your Stock Units vest, the Company will issue the shares of Stock to which the then-vested Stock</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0"/>
              </w:rPr>
              <w:t>Units relate. The resulting aggregate number of vested shares of Stock will be rounded to the nearest</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5"/>
              </w:rPr>
              <w:t>whole number, and you cannot vest in more than the number of shares of Stock covered by this</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3"/>
              </w:rPr>
              <w:t>Award. The issuance of the shares of Stock shall be made as soon as practicable, but in no event</w:t>
            </w:r>
          </w:p>
        </w:tc>
      </w:tr>
      <w:tr>
        <w:trPr>
          <w:trHeight w:val="230"/>
        </w:trPr>
        <w:tc>
          <w:tcPr>
            <w:tcW w:w="338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1"/>
              </w:rPr>
              <w:t>later than 30 days after the date on which Stock Units representing such shares of Stock are vested.</w:t>
            </w:r>
          </w:p>
        </w:tc>
      </w:tr>
      <w:tr>
        <w:trPr>
          <w:trHeight w:val="40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Change in Control</w:t>
            </w:r>
          </w:p>
        </w:tc>
        <w:tc>
          <w:tcPr>
            <w:tcW w:w="7860" w:type="dxa"/>
            <w:vAlign w:val="bottom"/>
          </w:tcPr>
          <w:p>
            <w:pPr>
              <w:ind w:left="580"/>
              <w:spacing w:after="0"/>
              <w:rPr>
                <w:sz w:val="20"/>
                <w:szCs w:val="20"/>
                <w:color w:val="auto"/>
              </w:rPr>
            </w:pPr>
            <w:r>
              <w:rPr>
                <w:rFonts w:ascii="Arial" w:cs="Arial" w:eastAsia="Arial" w:hAnsi="Arial"/>
                <w:sz w:val="18"/>
                <w:szCs w:val="18"/>
                <w:color w:val="auto"/>
                <w:w w:val="96"/>
              </w:rPr>
              <w:t>[Notwithstanding the vesting schedule set forth above, upon the consummation of a Change in</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4"/>
              </w:rPr>
              <w:t>Control, this Award will become 100% vested (i) if it is not assumed, or equivalent stock units are</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1"/>
              </w:rPr>
              <w:t>not substituted for this Award, by the Company or its successor, or (ii) if assumed or substituted for,</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4"/>
              </w:rPr>
              <w:t>upon your Involuntary Termination within the 12-month period following the consummation of the</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8"/>
              </w:rPr>
              <w:t>Change in Control.]  The provisions set forth above in the section entitled “Delivery” shall still</w:t>
            </w:r>
          </w:p>
        </w:tc>
      </w:tr>
      <w:tr>
        <w:trPr>
          <w:trHeight w:val="230"/>
        </w:trPr>
        <w:tc>
          <w:tcPr>
            <w:tcW w:w="338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apply.</w:t>
            </w:r>
          </w:p>
        </w:tc>
      </w:tr>
      <w:tr>
        <w:trPr>
          <w:trHeight w:val="283"/>
        </w:trPr>
        <w:tc>
          <w:tcPr>
            <w:tcW w:w="3380" w:type="dxa"/>
            <w:vAlign w:val="bottom"/>
          </w:tcPr>
          <w:p>
            <w:pPr>
              <w:spacing w:after="0"/>
              <w:rPr>
                <w:sz w:val="24"/>
                <w:szCs w:val="24"/>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Involuntary Termination</w:t>
            </w:r>
            <w:r>
              <w:rPr>
                <w:rFonts w:ascii="Arial" w:cs="Arial" w:eastAsia="Arial" w:hAnsi="Arial"/>
                <w:sz w:val="18"/>
                <w:szCs w:val="18"/>
                <w:color w:val="auto"/>
                <w:w w:val="95"/>
              </w:rPr>
              <w:t>” means termination of your Service by reason of (i) your involuntary</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7"/>
              </w:rPr>
              <w:t>dismissal by the Company or its successor for reasons other than Cause; or (ii) your voluntary</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89"/>
              </w:rPr>
              <w:t>resignation for Good Reason as defined in any applicable employment or severance agreement, plan,</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2"/>
              </w:rPr>
              <w:t>or arrangement between you and the Company, or if none, then following (a) a substantial adverse</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7"/>
              </w:rPr>
              <w:t>alteration in your title or responsibilities from those in effect immediately prior to the Change in</w:t>
            </w:r>
          </w:p>
        </w:tc>
      </w:tr>
      <w:tr>
        <w:trPr>
          <w:trHeight w:val="216"/>
        </w:trPr>
        <w:tc>
          <w:tcPr>
            <w:tcW w:w="338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w w:val="92"/>
              </w:rPr>
              <w:t>Control; (b) a reduction in your annual base salary as of immediately prior to the Change in Control</w:t>
            </w:r>
          </w:p>
        </w:tc>
      </w:tr>
      <w:tr>
        <w:trPr>
          <w:trHeight w:val="230"/>
        </w:trPr>
        <w:tc>
          <w:tcPr>
            <w:tcW w:w="338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Arial" w:cs="Arial" w:eastAsia="Arial" w:hAnsi="Arial"/>
                <w:sz w:val="18"/>
                <w:szCs w:val="18"/>
                <w:color w:val="auto"/>
              </w:rPr>
              <w:t>(or as</w:t>
            </w:r>
          </w:p>
        </w:tc>
      </w:tr>
      <w:tr>
        <w:trPr>
          <w:trHeight w:val="331"/>
        </w:trPr>
        <w:tc>
          <w:tcPr>
            <w:tcW w:w="33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3"/>
              </w:rPr>
              <w:t>the same may be increased from time to time) or a material reduction in your annual target bonus</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3"/>
              </w:rPr>
              <w:t>opportunity as of immediately prior to the Change in Control; or (c) the relocation of your principal</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3"/>
              </w:rPr>
              <w:t>place of employment to a location more than 35 miles from your principal place of employment as</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5"/>
              </w:rPr>
              <w:t>of the Change in Control or the Company’s requiring you to be based anywhere other than such</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6"/>
              </w:rPr>
              <w:t>principal place of employment (or permitted relocation thereof) except for required travel on the</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1"/>
              </w:rPr>
              <w:t>Company’s business to an extent substantially consistent with your business travel obligations as of</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5"/>
              </w:rPr>
              <w:t>immediately prior to the Change in Control. To qualify as an “Involuntary Termination” you must</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7"/>
              </w:rPr>
              <w:t>provide notice to the Company of any of the foregoing occurrences within 90 days of the initial</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7"/>
              </w:rPr>
              <w:t>occurrence and the Company will have 30 days to remedy such occurrence. To the extent not</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5"/>
              </w:rPr>
              <w:t>remedied, you must terminate employment within 60 days following the expiration of the 30 day</w:t>
            </w:r>
          </w:p>
        </w:tc>
      </w:tr>
      <w:tr>
        <w:trPr>
          <w:trHeight w:val="230"/>
        </w:trPr>
        <w:tc>
          <w:tcPr>
            <w:tcW w:w="33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cure period for such occurrence to constitute an Involuntary Termination.]</w:t>
            </w:r>
          </w:p>
        </w:tc>
      </w:tr>
      <w:tr>
        <w:trPr>
          <w:trHeight w:val="418"/>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Forfeiture of Unvested Stock Units</w:t>
            </w:r>
          </w:p>
        </w:tc>
        <w:tc>
          <w:tcPr>
            <w:tcW w:w="7920" w:type="dxa"/>
            <w:vAlign w:val="bottom"/>
          </w:tcPr>
          <w:p>
            <w:pPr>
              <w:ind w:left="640"/>
              <w:spacing w:after="0"/>
              <w:rPr>
                <w:sz w:val="20"/>
                <w:szCs w:val="20"/>
                <w:color w:val="auto"/>
              </w:rPr>
            </w:pPr>
            <w:r>
              <w:rPr>
                <w:rFonts w:ascii="Arial" w:cs="Arial" w:eastAsia="Arial" w:hAnsi="Arial"/>
                <w:sz w:val="18"/>
                <w:szCs w:val="18"/>
                <w:color w:val="auto"/>
                <w:w w:val="92"/>
              </w:rPr>
              <w:t>Unless the termination of your Service triggers accelerated vesting or other treatment of your Stock</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1"/>
              </w:rPr>
              <w:t>Units pursuant to the terms of this Agreement, the Plan, or any other written agreement between the</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3"/>
              </w:rPr>
              <w:t>Company or any Affiliate and you, you will automatically forfeit to the Company all of the unvested</w:t>
            </w:r>
          </w:p>
        </w:tc>
      </w:tr>
      <w:tr>
        <w:trPr>
          <w:trHeight w:val="230"/>
        </w:trPr>
        <w:tc>
          <w:tcPr>
            <w:tcW w:w="33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Stock Units in the event your Service terminates for any reason.</w:t>
            </w:r>
          </w:p>
        </w:tc>
      </w:tr>
      <w:tr>
        <w:trPr>
          <w:trHeight w:val="31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Forfeiture of Rights</w:t>
            </w:r>
          </w:p>
        </w:tc>
        <w:tc>
          <w:tcPr>
            <w:tcW w:w="7920" w:type="dxa"/>
            <w:vAlign w:val="bottom"/>
          </w:tcPr>
          <w:p>
            <w:pPr>
              <w:ind w:left="640"/>
              <w:spacing w:after="0"/>
              <w:rPr>
                <w:sz w:val="20"/>
                <w:szCs w:val="20"/>
                <w:color w:val="auto"/>
              </w:rPr>
            </w:pPr>
            <w:r>
              <w:rPr>
                <w:rFonts w:ascii="Arial" w:cs="Arial" w:eastAsia="Arial" w:hAnsi="Arial"/>
                <w:sz w:val="18"/>
                <w:szCs w:val="18"/>
                <w:color w:val="auto"/>
                <w:w w:val="97"/>
              </w:rPr>
              <w:t>If you should take actions in violation or breach of or in conflict with any agreement prohibiting</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3"/>
              </w:rPr>
              <w:t>solicitation of employees or clients of the Company or any Affiliate or any confidentiality obligation</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6"/>
              </w:rPr>
              <w:t>with respect to the Company or any Affiliate, the Company has the right to cause an immediate</w:t>
            </w:r>
          </w:p>
        </w:tc>
      </w:tr>
      <w:tr>
        <w:trPr>
          <w:trHeight w:val="230"/>
        </w:trPr>
        <w:tc>
          <w:tcPr>
            <w:tcW w:w="33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forfeiture of your rights to this Award, and the Stock Units will immediately expire.</w:t>
            </w:r>
          </w:p>
        </w:tc>
      </w:tr>
      <w:tr>
        <w:trPr>
          <w:trHeight w:val="445"/>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Leaves of Absence</w:t>
            </w:r>
          </w:p>
        </w:tc>
        <w:tc>
          <w:tcPr>
            <w:tcW w:w="7920" w:type="dxa"/>
            <w:vAlign w:val="bottom"/>
          </w:tcPr>
          <w:p>
            <w:pPr>
              <w:ind w:left="640"/>
              <w:spacing w:after="0"/>
              <w:rPr>
                <w:sz w:val="20"/>
                <w:szCs w:val="20"/>
                <w:color w:val="auto"/>
              </w:rPr>
            </w:pPr>
            <w:r>
              <w:rPr>
                <w:rFonts w:ascii="Arial" w:cs="Arial" w:eastAsia="Arial" w:hAnsi="Arial"/>
                <w:sz w:val="18"/>
                <w:szCs w:val="18"/>
                <w:color w:val="auto"/>
                <w:w w:val="91"/>
              </w:rPr>
              <w:t xml:space="preserve">For purposes of this Agreement, your Service does not terminate when you go on a </w:t>
            </w:r>
            <w:r>
              <w:rPr>
                <w:rFonts w:ascii="Arial" w:cs="Arial" w:eastAsia="Arial" w:hAnsi="Arial"/>
                <w:sz w:val="18"/>
                <w:szCs w:val="18"/>
                <w:i w:val="1"/>
                <w:iCs w:val="1"/>
                <w:color w:val="auto"/>
                <w:w w:val="91"/>
              </w:rPr>
              <w:t>bona fide</w:t>
            </w:r>
            <w:r>
              <w:rPr>
                <w:rFonts w:ascii="Arial" w:cs="Arial" w:eastAsia="Arial" w:hAnsi="Arial"/>
                <w:sz w:val="18"/>
                <w:szCs w:val="18"/>
                <w:color w:val="auto"/>
                <w:w w:val="91"/>
              </w:rPr>
              <w:t xml:space="preserve"> leave</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8"/>
              </w:rPr>
              <w:t>of absence that was approved by the Company in writing if the terms of the leave provide for</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7"/>
              </w:rPr>
              <w:t>continued Service crediting, or when continued Service crediting is required by any Applicable</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2"/>
              </w:rPr>
              <w:t>Laws. Your Service terminates in any event when the approved leave ends unless you immediately</w:t>
            </w:r>
          </w:p>
        </w:tc>
      </w:tr>
      <w:tr>
        <w:trPr>
          <w:trHeight w:val="230"/>
        </w:trPr>
        <w:tc>
          <w:tcPr>
            <w:tcW w:w="33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return to active employee work.</w:t>
            </w:r>
          </w:p>
        </w:tc>
      </w:tr>
      <w:tr>
        <w:trPr>
          <w:trHeight w:val="323"/>
        </w:trPr>
        <w:tc>
          <w:tcPr>
            <w:tcW w:w="3320" w:type="dxa"/>
            <w:vAlign w:val="bottom"/>
          </w:tcPr>
          <w:p>
            <w:pPr>
              <w:spacing w:after="0"/>
              <w:rPr>
                <w:sz w:val="24"/>
                <w:szCs w:val="24"/>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2"/>
              </w:rPr>
              <w:t>The Company may determine, in its discretion, which leaves count for this purpose, and when your</w:t>
            </w:r>
          </w:p>
        </w:tc>
      </w:tr>
      <w:tr>
        <w:trPr>
          <w:trHeight w:val="230"/>
        </w:trPr>
        <w:tc>
          <w:tcPr>
            <w:tcW w:w="33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4"/>
              </w:rPr>
              <w:t>Service terminates for all purposes under the Plan in accordance with the provisions of the Plan.</w:t>
            </w:r>
          </w:p>
        </w:tc>
      </w:tr>
      <w:tr>
        <w:trPr>
          <w:trHeight w:val="337"/>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Evidence of Issuance</w:t>
            </w:r>
          </w:p>
        </w:tc>
        <w:tc>
          <w:tcPr>
            <w:tcW w:w="7920" w:type="dxa"/>
            <w:vAlign w:val="bottom"/>
          </w:tcPr>
          <w:p>
            <w:pPr>
              <w:ind w:left="640"/>
              <w:spacing w:after="0"/>
              <w:rPr>
                <w:sz w:val="20"/>
                <w:szCs w:val="20"/>
                <w:color w:val="auto"/>
              </w:rPr>
            </w:pPr>
            <w:r>
              <w:rPr>
                <w:rFonts w:ascii="Arial" w:cs="Arial" w:eastAsia="Arial" w:hAnsi="Arial"/>
                <w:sz w:val="18"/>
                <w:szCs w:val="18"/>
                <w:color w:val="auto"/>
                <w:w w:val="95"/>
              </w:rPr>
              <w:t>The issuance of the shares of Stock delivered in settlement of the Stock Units evidenced by this</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8"/>
              </w:rPr>
              <w:t>Agreement shall be evidenced in such a manner as the Company, in its discretion, will deem</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3"/>
              </w:rPr>
              <w:t>appropriate, including, without limitation, book-entry, direct registration or issuance of one or more</w:t>
            </w:r>
          </w:p>
        </w:tc>
      </w:tr>
      <w:tr>
        <w:trPr>
          <w:trHeight w:val="230"/>
        </w:trPr>
        <w:tc>
          <w:tcPr>
            <w:tcW w:w="33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Stock certificates.</w:t>
            </w:r>
          </w:p>
        </w:tc>
      </w:tr>
      <w:tr>
        <w:trPr>
          <w:trHeight w:val="40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Withholding Taxes</w:t>
            </w:r>
          </w:p>
        </w:tc>
        <w:tc>
          <w:tcPr>
            <w:tcW w:w="7920" w:type="dxa"/>
            <w:vAlign w:val="bottom"/>
          </w:tcPr>
          <w:p>
            <w:pPr>
              <w:ind w:left="640"/>
              <w:spacing w:after="0"/>
              <w:rPr>
                <w:sz w:val="20"/>
                <w:szCs w:val="20"/>
                <w:color w:val="auto"/>
              </w:rPr>
            </w:pPr>
            <w:r>
              <w:rPr>
                <w:rFonts w:ascii="Arial" w:cs="Arial" w:eastAsia="Arial" w:hAnsi="Arial"/>
                <w:sz w:val="18"/>
                <w:szCs w:val="18"/>
                <w:color w:val="auto"/>
                <w:w w:val="96"/>
              </w:rPr>
              <w:t>You agree as a condition of this Award that you will make acceptable arrangements to pay any</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2"/>
              </w:rPr>
              <w:t>withholding or other taxes that may be due as a result of the vesting of the Stock Units or receipt of</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5"/>
              </w:rPr>
              <w:t>shares of Stock in settlement of such Stock Units. In the event that the Company or any Affiliate</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2"/>
              </w:rPr>
              <w:t>determines that any federal, state, local or foreign tax or withholding payment is required relating to</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2"/>
              </w:rPr>
              <w:t>the vesting of the Stock Units or receipt of shares of Stock arising from this Award, the Company or</w:t>
            </w:r>
          </w:p>
        </w:tc>
      </w:tr>
      <w:tr>
        <w:trPr>
          <w:trHeight w:val="216"/>
        </w:trPr>
        <w:tc>
          <w:tcPr>
            <w:tcW w:w="33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3"/>
              </w:rPr>
              <w:t>any Affiliate will have the right to require such payments from you, or withhold such amounts from</w:t>
            </w:r>
          </w:p>
        </w:tc>
      </w:tr>
      <w:tr>
        <w:trPr>
          <w:trHeight w:val="230"/>
        </w:trPr>
        <w:tc>
          <w:tcPr>
            <w:tcW w:w="33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other payments due to you from the Company or any Affiliate</w:t>
            </w:r>
          </w:p>
        </w:tc>
      </w:tr>
      <w:tr>
        <w:trPr>
          <w:trHeight w:val="331"/>
        </w:trPr>
        <w:tc>
          <w:tcPr>
            <w:tcW w:w="332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3"/>
              </w:rPr>
              <w:t>(including withholding the delivery of shares of Stock otherwise deliverable under this Agreement).</w:t>
            </w:r>
          </w:p>
        </w:tc>
        <w:tc>
          <w:tcPr>
            <w:tcW w:w="0" w:type="dxa"/>
            <w:vAlign w:val="bottom"/>
          </w:tcPr>
          <w:p>
            <w:pPr>
              <w:spacing w:after="0"/>
              <w:rPr>
                <w:sz w:val="1"/>
                <w:szCs w:val="1"/>
                <w:color w:val="auto"/>
              </w:rPr>
            </w:pPr>
          </w:p>
        </w:tc>
      </w:tr>
      <w:tr>
        <w:trPr>
          <w:trHeight w:val="41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Retention Rights</w:t>
            </w:r>
          </w:p>
        </w:tc>
        <w:tc>
          <w:tcPr>
            <w:tcW w:w="8520" w:type="dxa"/>
            <w:vAlign w:val="bottom"/>
          </w:tcPr>
          <w:p>
            <w:pPr>
              <w:ind w:left="1240"/>
              <w:spacing w:after="0"/>
              <w:rPr>
                <w:sz w:val="20"/>
                <w:szCs w:val="20"/>
                <w:color w:val="auto"/>
              </w:rPr>
            </w:pPr>
            <w:r>
              <w:rPr>
                <w:rFonts w:ascii="Arial" w:cs="Arial" w:eastAsia="Arial" w:hAnsi="Arial"/>
                <w:sz w:val="18"/>
                <w:szCs w:val="18"/>
                <w:color w:val="auto"/>
                <w:w w:val="99"/>
              </w:rPr>
              <w:t>This Agreement and Award evidenced hereby do not give you the right to be retained by the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5"/>
              </w:rPr>
              <w:t>Company or any Affiliate in any capacity. Unless otherwise specified in an employment or other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6"/>
              </w:rPr>
              <w:t>written agreement between the Company or any Affiliate and you, the Company or any Affiliate</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reserves the right to terminate your Service at any time and for any reason.</w:t>
            </w:r>
          </w:p>
        </w:tc>
        <w:tc>
          <w:tcPr>
            <w:tcW w:w="0" w:type="dxa"/>
            <w:vAlign w:val="bottom"/>
          </w:tcPr>
          <w:p>
            <w:pPr>
              <w:spacing w:after="0"/>
              <w:rPr>
                <w:sz w:val="1"/>
                <w:szCs w:val="1"/>
                <w:color w:val="auto"/>
              </w:rPr>
            </w:pPr>
          </w:p>
        </w:tc>
      </w:tr>
      <w:tr>
        <w:trPr>
          <w:trHeight w:val="404"/>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Stockholder Rights</w:t>
            </w:r>
          </w:p>
        </w:tc>
        <w:tc>
          <w:tcPr>
            <w:tcW w:w="8520" w:type="dxa"/>
            <w:vAlign w:val="bottom"/>
          </w:tcPr>
          <w:p>
            <w:pPr>
              <w:ind w:left="1240"/>
              <w:spacing w:after="0"/>
              <w:rPr>
                <w:sz w:val="20"/>
                <w:szCs w:val="20"/>
                <w:color w:val="auto"/>
              </w:rPr>
            </w:pPr>
            <w:r>
              <w:rPr>
                <w:rFonts w:ascii="Arial" w:cs="Arial" w:eastAsia="Arial" w:hAnsi="Arial"/>
                <w:sz w:val="18"/>
                <w:szCs w:val="18"/>
                <w:color w:val="auto"/>
                <w:w w:val="90"/>
              </w:rPr>
              <w:t>You, or your estate or heirs, have no rights as a stockholder of the Company until the shares of Stock</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3"/>
              </w:rPr>
              <w:t>have been issued upon settlement of this Award and either a certificate evidencing your shares of</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8"/>
              </w:rPr>
              <w:t>Stock has been issued or an appropriate entry has been made on the Company’s books. No</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1"/>
              </w:rPr>
              <w:t>adjustments are made for dividends, distributions or other rights if the applicable record date occurs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3"/>
              </w:rPr>
              <w:t>before your certificate is issued (or an appropriate book entry is made), except as described in the</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83"/>
        </w:trPr>
        <w:tc>
          <w:tcPr>
            <w:tcW w:w="2720" w:type="dxa"/>
            <w:vAlign w:val="bottom"/>
          </w:tcPr>
          <w:p>
            <w:pPr>
              <w:spacing w:after="0"/>
              <w:rPr>
                <w:sz w:val="24"/>
                <w:szCs w:val="24"/>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9"/>
              </w:rPr>
              <w:t>This Award will be subject to the terms of any applicable agreement of merger, liquidation or</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reorganization in the event the Company is subject to such corporate activity.</w:t>
            </w:r>
          </w:p>
        </w:tc>
        <w:tc>
          <w:tcPr>
            <w:tcW w:w="0" w:type="dxa"/>
            <w:vAlign w:val="bottom"/>
          </w:tcPr>
          <w:p>
            <w:pPr>
              <w:spacing w:after="0"/>
              <w:rPr>
                <w:sz w:val="1"/>
                <w:szCs w:val="1"/>
                <w:color w:val="auto"/>
              </w:rPr>
            </w:pPr>
          </w:p>
        </w:tc>
      </w:tr>
      <w:tr>
        <w:trPr>
          <w:trHeight w:val="41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Clawback</w:t>
            </w:r>
          </w:p>
        </w:tc>
        <w:tc>
          <w:tcPr>
            <w:tcW w:w="8520" w:type="dxa"/>
            <w:vAlign w:val="bottom"/>
          </w:tcPr>
          <w:p>
            <w:pPr>
              <w:ind w:left="1240"/>
              <w:spacing w:after="0"/>
              <w:rPr>
                <w:sz w:val="20"/>
                <w:szCs w:val="20"/>
                <w:color w:val="auto"/>
              </w:rPr>
            </w:pPr>
            <w:r>
              <w:rPr>
                <w:rFonts w:ascii="Arial" w:cs="Arial" w:eastAsia="Arial" w:hAnsi="Arial"/>
                <w:sz w:val="18"/>
                <w:szCs w:val="18"/>
                <w:color w:val="auto"/>
                <w:w w:val="90"/>
              </w:rPr>
              <w:t>This Award is subject to mandatory repayment by you to the Company to the extent you are or in the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future become subject to any Company “clawback” or recoupment policy that requires the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3"/>
              </w:rPr>
              <w:t>repayment by you to the Company of compensation paid by the Company to you in the event that</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you fail to comply with, or violate, the terms or requirements of such policy.</w:t>
            </w:r>
          </w:p>
        </w:tc>
        <w:tc>
          <w:tcPr>
            <w:tcW w:w="0" w:type="dxa"/>
            <w:vAlign w:val="bottom"/>
          </w:tcPr>
          <w:p>
            <w:pPr>
              <w:spacing w:after="0"/>
              <w:rPr>
                <w:sz w:val="1"/>
                <w:szCs w:val="1"/>
                <w:color w:val="auto"/>
              </w:rPr>
            </w:pPr>
          </w:p>
        </w:tc>
      </w:tr>
      <w:tr>
        <w:trPr>
          <w:trHeight w:val="593"/>
        </w:trPr>
        <w:tc>
          <w:tcPr>
            <w:tcW w:w="2720" w:type="dxa"/>
            <w:vAlign w:val="bottom"/>
          </w:tcPr>
          <w:p>
            <w:pPr>
              <w:spacing w:after="0"/>
              <w:rPr>
                <w:sz w:val="24"/>
                <w:szCs w:val="24"/>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1"/>
              </w:rPr>
              <w:t>If the Company is required to prepare an accounting restatement due to the material noncompliance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7"/>
              </w:rPr>
              <w:t>of the Company, as a result of misconduct, with any financial reporting requirement under the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1"/>
              </w:rPr>
              <w:t>securities laws and you knowingly engaged in the misconduct, were grossly negligent in engaging in</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4"/>
              </w:rPr>
              <w:t>the misconduct, knowingly failed to prevent the misconduct or were grossly negligent in failing to</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2"/>
              </w:rPr>
              <w:t>prevent the misconduct, you will reimburse the Company the amount of any payment in settlement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4"/>
              </w:rPr>
              <w:t>of this Award earned or accrued during the 12-month period following the first public issuance or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8"/>
              </w:rPr>
              <w:t>filing with the Securities and Exchange Commission (whichever first occurred) of the financial</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document that contained such material noncompliance.</w:t>
            </w:r>
          </w:p>
        </w:tc>
        <w:tc>
          <w:tcPr>
            <w:tcW w:w="0" w:type="dxa"/>
            <w:vAlign w:val="bottom"/>
          </w:tcPr>
          <w:p>
            <w:pPr>
              <w:spacing w:after="0"/>
              <w:rPr>
                <w:sz w:val="1"/>
                <w:szCs w:val="1"/>
                <w:color w:val="auto"/>
              </w:rPr>
            </w:pPr>
          </w:p>
        </w:tc>
      </w:tr>
      <w:tr>
        <w:trPr>
          <w:trHeight w:val="41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Applicable Law</w:t>
            </w:r>
          </w:p>
        </w:tc>
        <w:tc>
          <w:tcPr>
            <w:tcW w:w="8520" w:type="dxa"/>
            <w:vAlign w:val="bottom"/>
          </w:tcPr>
          <w:p>
            <w:pPr>
              <w:ind w:left="1240"/>
              <w:spacing w:after="0"/>
              <w:rPr>
                <w:sz w:val="20"/>
                <w:szCs w:val="20"/>
                <w:color w:val="auto"/>
              </w:rPr>
            </w:pPr>
            <w:r>
              <w:rPr>
                <w:rFonts w:ascii="Arial" w:cs="Arial" w:eastAsia="Arial" w:hAnsi="Arial"/>
                <w:sz w:val="18"/>
                <w:szCs w:val="18"/>
                <w:color w:val="auto"/>
                <w:w w:val="91"/>
              </w:rPr>
              <w:t>This Agreement will be interpreted and enforced under the laws of the State of Delaware, other than</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any conflicts or choice of law rule or principle that might otherwise refer construction or</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interpretation of this Agreement to the substantive law of another jurisdiction.</w:t>
            </w:r>
          </w:p>
        </w:tc>
        <w:tc>
          <w:tcPr>
            <w:tcW w:w="0" w:type="dxa"/>
            <w:vAlign w:val="bottom"/>
          </w:tcPr>
          <w:p>
            <w:pPr>
              <w:spacing w:after="0"/>
              <w:rPr>
                <w:sz w:val="1"/>
                <w:szCs w:val="1"/>
                <w:color w:val="auto"/>
              </w:rPr>
            </w:pPr>
          </w:p>
        </w:tc>
      </w:tr>
      <w:tr>
        <w:trPr>
          <w:trHeight w:val="41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The Plan</w:t>
            </w:r>
          </w:p>
        </w:tc>
        <w:tc>
          <w:tcPr>
            <w:tcW w:w="8520" w:type="dxa"/>
            <w:vAlign w:val="bottom"/>
            <w:vMerge w:val="restart"/>
          </w:tcPr>
          <w:p>
            <w:pPr>
              <w:ind w:left="1240"/>
              <w:spacing w:after="0"/>
              <w:rPr>
                <w:sz w:val="20"/>
                <w:szCs w:val="20"/>
                <w:color w:val="auto"/>
              </w:rPr>
            </w:pPr>
            <w:r>
              <w:rPr>
                <w:rFonts w:ascii="Arial" w:cs="Arial" w:eastAsia="Arial" w:hAnsi="Arial"/>
                <w:sz w:val="18"/>
                <w:szCs w:val="18"/>
                <w:color w:val="auto"/>
              </w:rPr>
              <w:t>The text of the Plan is incorporated into the Agreement by reference.</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720" w:type="dxa"/>
            <w:vAlign w:val="bottom"/>
          </w:tcPr>
          <w:p>
            <w:pPr>
              <w:spacing w:after="0"/>
              <w:rPr>
                <w:sz w:val="24"/>
                <w:szCs w:val="24"/>
                <w:color w:val="auto"/>
              </w:rPr>
            </w:pPr>
          </w:p>
        </w:tc>
        <w:tc>
          <w:tcPr>
            <w:tcW w:w="8520" w:type="dxa"/>
            <w:vAlign w:val="bottom"/>
          </w:tcPr>
          <w:p>
            <w:pPr>
              <w:ind w:left="1240"/>
              <w:spacing w:after="0"/>
              <w:rPr>
                <w:sz w:val="20"/>
                <w:szCs w:val="20"/>
                <w:color w:val="auto"/>
              </w:rPr>
            </w:pPr>
            <w:r>
              <w:rPr>
                <w:rFonts w:ascii="Arial" w:cs="Arial" w:eastAsia="Arial" w:hAnsi="Arial"/>
                <w:sz w:val="18"/>
                <w:szCs w:val="18"/>
                <w:b w:val="1"/>
                <w:bCs w:val="1"/>
                <w:i w:val="1"/>
                <w:iCs w:val="1"/>
                <w:color w:val="auto"/>
                <w:w w:val="89"/>
              </w:rPr>
              <w:t>Certain capitalized terms used in the Agreement are defined in the Plan, and have the meaning</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b w:val="1"/>
                <w:bCs w:val="1"/>
                <w:i w:val="1"/>
                <w:iCs w:val="1"/>
                <w:color w:val="auto"/>
              </w:rPr>
              <w:t>set forth in the Plan</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720" w:type="dxa"/>
            <w:vAlign w:val="bottom"/>
          </w:tcPr>
          <w:p>
            <w:pPr>
              <w:spacing w:after="0"/>
              <w:rPr>
                <w:sz w:val="24"/>
                <w:szCs w:val="24"/>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4"/>
              </w:rPr>
              <w:t>This Agreement and the Plan constitute the entire understanding between you and the Company</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4"/>
              </w:rPr>
              <w:t>regarding this Award. Any prior agreements, commitments or negotiations concerning this Award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w w:val="95"/>
              </w:rPr>
              <w:t>are superseded; except that any written employment, consulting, confidentiality, non-solicitation</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1240"/>
              <w:spacing w:after="0"/>
              <w:rPr>
                <w:sz w:val="20"/>
                <w:szCs w:val="20"/>
                <w:color w:val="auto"/>
              </w:rPr>
            </w:pPr>
            <w:r>
              <w:rPr>
                <w:rFonts w:ascii="Arial" w:cs="Arial" w:eastAsia="Arial" w:hAnsi="Arial"/>
                <w:sz w:val="18"/>
                <w:szCs w:val="18"/>
                <w:color w:val="auto"/>
              </w:rPr>
              <w:t>and/or</w:t>
            </w:r>
          </w:p>
        </w:tc>
        <w:tc>
          <w:tcPr>
            <w:tcW w:w="0" w:type="dxa"/>
            <w:vAlign w:val="bottom"/>
          </w:tcPr>
          <w:p>
            <w:pPr>
              <w:spacing w:after="0"/>
              <w:rPr>
                <w:sz w:val="1"/>
                <w:szCs w:val="1"/>
                <w:color w:val="auto"/>
              </w:rPr>
            </w:pPr>
          </w:p>
        </w:tc>
      </w:tr>
      <w:tr>
        <w:trPr>
          <w:trHeight w:val="331"/>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w w:val="91"/>
              </w:rPr>
              <w:t>severance agreement between you and the Company or any Affiliate will supersede this Agreement</w:t>
            </w:r>
          </w:p>
        </w:tc>
      </w:tr>
      <w:tr>
        <w:trPr>
          <w:trHeight w:val="230"/>
        </w:trPr>
        <w:tc>
          <w:tcPr>
            <w:tcW w:w="1600" w:type="dxa"/>
            <w:vAlign w:val="bottom"/>
          </w:tcPr>
          <w:p>
            <w:pPr>
              <w:spacing w:after="0"/>
              <w:rPr>
                <w:sz w:val="20"/>
                <w:szCs w:val="20"/>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rPr>
              <w:t>with respect to its subject matter.</w:t>
            </w:r>
          </w:p>
        </w:tc>
      </w:tr>
      <w:tr>
        <w:trPr>
          <w:trHeight w:val="323"/>
        </w:trPr>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Data Privacy</w:t>
            </w:r>
          </w:p>
        </w:tc>
        <w:tc>
          <w:tcPr>
            <w:tcW w:w="9640" w:type="dxa"/>
            <w:vAlign w:val="bottom"/>
          </w:tcPr>
          <w:p>
            <w:pPr>
              <w:ind w:left="2360"/>
              <w:spacing w:after="0"/>
              <w:rPr>
                <w:sz w:val="20"/>
                <w:szCs w:val="20"/>
                <w:color w:val="auto"/>
              </w:rPr>
            </w:pPr>
            <w:r>
              <w:rPr>
                <w:rFonts w:ascii="Arial" w:cs="Arial" w:eastAsia="Arial" w:hAnsi="Arial"/>
                <w:sz w:val="18"/>
                <w:szCs w:val="18"/>
                <w:color w:val="auto"/>
                <w:w w:val="90"/>
              </w:rPr>
              <w:t>To administer the Plan, the Company may process personal data about you. Such data includes, but</w:t>
            </w:r>
          </w:p>
        </w:tc>
      </w:t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w w:val="92"/>
              </w:rPr>
              <w:t>is not limited to, information provided in this Agreement and any changes thereto, other appropriate</w:t>
            </w:r>
          </w:p>
        </w:tc>
      </w:t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w w:val="91"/>
              </w:rPr>
              <w:t>personal and financial data about you such as your contact information, payroll information and any</w:t>
            </w:r>
          </w:p>
        </w:tc>
      </w:t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w w:val="92"/>
              </w:rPr>
              <w:t>other information that might be deemed appropriate by the Company to facilitate the administration</w:t>
            </w:r>
          </w:p>
        </w:tc>
      </w:tr>
      <w:tr>
        <w:trPr>
          <w:trHeight w:val="230"/>
        </w:trPr>
        <w:tc>
          <w:tcPr>
            <w:tcW w:w="1600" w:type="dxa"/>
            <w:vAlign w:val="bottom"/>
          </w:tcPr>
          <w:p>
            <w:pPr>
              <w:spacing w:after="0"/>
              <w:rPr>
                <w:sz w:val="20"/>
                <w:szCs w:val="20"/>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rPr>
              <w:t>of the Plan.</w:t>
            </w:r>
          </w:p>
        </w:tc>
      </w:tr>
      <w:tr>
        <w:trPr>
          <w:trHeight w:val="404"/>
        </w:trPr>
        <w:tc>
          <w:tcPr>
            <w:tcW w:w="1600" w:type="dxa"/>
            <w:vAlign w:val="bottom"/>
          </w:tcPr>
          <w:p>
            <w:pPr>
              <w:spacing w:after="0"/>
              <w:rPr>
                <w:sz w:val="24"/>
                <w:szCs w:val="24"/>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w w:val="94"/>
              </w:rPr>
              <w:t>By accepting this Award, you give explicit consent to the Company to process any such personal</w:t>
            </w:r>
          </w:p>
        </w:tc>
      </w:tr>
      <w:tr>
        <w:trPr>
          <w:trHeight w:val="230"/>
        </w:trPr>
        <w:tc>
          <w:tcPr>
            <w:tcW w:w="1600" w:type="dxa"/>
            <w:vAlign w:val="bottom"/>
          </w:tcPr>
          <w:p>
            <w:pPr>
              <w:spacing w:after="0"/>
              <w:rPr>
                <w:sz w:val="20"/>
                <w:szCs w:val="20"/>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rPr>
              <w:t>data.</w:t>
            </w:r>
          </w:p>
        </w:tc>
      </w:tr>
      <w:tr>
        <w:trPr>
          <w:trHeight w:val="404"/>
        </w:trPr>
        <w:tc>
          <w:tcPr>
            <w:tcW w:w="1600" w:type="dxa"/>
            <w:vAlign w:val="bottom"/>
          </w:tcPr>
          <w:p>
            <w:pPr>
              <w:ind w:left="20"/>
              <w:spacing w:after="0"/>
              <w:rPr>
                <w:sz w:val="20"/>
                <w:szCs w:val="20"/>
                <w:color w:val="auto"/>
              </w:rPr>
            </w:pPr>
            <w:r>
              <w:rPr>
                <w:rFonts w:ascii="Arial" w:cs="Arial" w:eastAsia="Arial" w:hAnsi="Arial"/>
                <w:sz w:val="18"/>
                <w:szCs w:val="18"/>
                <w:b w:val="1"/>
                <w:bCs w:val="1"/>
                <w:color w:val="auto"/>
                <w:w w:val="95"/>
              </w:rPr>
              <w:t>Tax Consequences</w:t>
            </w:r>
          </w:p>
        </w:tc>
        <w:tc>
          <w:tcPr>
            <w:tcW w:w="9640" w:type="dxa"/>
            <w:vAlign w:val="bottom"/>
          </w:tcPr>
          <w:p>
            <w:pPr>
              <w:ind w:left="2360"/>
              <w:spacing w:after="0"/>
              <w:rPr>
                <w:sz w:val="20"/>
                <w:szCs w:val="20"/>
                <w:color w:val="auto"/>
              </w:rPr>
            </w:pPr>
            <w:r>
              <w:rPr>
                <w:rFonts w:ascii="Arial" w:cs="Arial" w:eastAsia="Arial" w:hAnsi="Arial"/>
                <w:sz w:val="18"/>
                <w:szCs w:val="18"/>
                <w:color w:val="auto"/>
                <w:w w:val="97"/>
              </w:rPr>
              <w:t>This Award is intended to be exempt from, or to comply with, Code Section 409A to the extent</w:t>
            </w:r>
          </w:p>
        </w:tc>
      </w:t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rPr>
              <w:t>subject thereto, and, accordingly, to the maximum extent permitted, this Agreement will be</w:t>
            </w:r>
          </w:p>
        </w:tc>
      </w:t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rPr>
              <w:t>interpreted and administered to be in compliance with Code Section 409A. Notwithstanding</w:t>
            </w:r>
          </w:p>
        </w:tc>
      </w:t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w w:val="91"/>
              </w:rPr>
              <w:t>anything to the contrary in the Plan or this Agreement, neither the Company, its Affiliates, the Board</w:t>
            </w:r>
          </w:p>
        </w:tc>
      </w:t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w w:val="96"/>
              </w:rPr>
              <w:t>nor the Committee will have any obligation to take any action to prevent the assessment of any</w:t>
            </w:r>
          </w:p>
        </w:tc>
      </w:tr>
      <w:tr>
        <w:trPr>
          <w:trHeight w:val="216"/>
        </w:trPr>
        <w:tc>
          <w:tcPr>
            <w:tcW w:w="1600" w:type="dxa"/>
            <w:vAlign w:val="bottom"/>
          </w:tcPr>
          <w:p>
            <w:pPr>
              <w:spacing w:after="0"/>
              <w:rPr>
                <w:sz w:val="18"/>
                <w:szCs w:val="18"/>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w w:val="93"/>
              </w:rPr>
              <w:t>excise tax or penalty on you under Code Section 409A and neither the Company, its Affiliates, the</w:t>
            </w:r>
          </w:p>
        </w:tc>
      </w:tr>
      <w:tr>
        <w:trPr>
          <w:trHeight w:val="230"/>
        </w:trPr>
        <w:tc>
          <w:tcPr>
            <w:tcW w:w="1600" w:type="dxa"/>
            <w:vAlign w:val="bottom"/>
          </w:tcPr>
          <w:p>
            <w:pPr>
              <w:spacing w:after="0"/>
              <w:rPr>
                <w:sz w:val="20"/>
                <w:szCs w:val="20"/>
                <w:color w:val="auto"/>
              </w:rPr>
            </w:pPr>
          </w:p>
        </w:tc>
        <w:tc>
          <w:tcPr>
            <w:tcW w:w="9640" w:type="dxa"/>
            <w:vAlign w:val="bottom"/>
          </w:tcPr>
          <w:p>
            <w:pPr>
              <w:ind w:left="2360"/>
              <w:spacing w:after="0"/>
              <w:rPr>
                <w:sz w:val="20"/>
                <w:szCs w:val="20"/>
                <w:color w:val="auto"/>
              </w:rPr>
            </w:pPr>
            <w:r>
              <w:rPr>
                <w:rFonts w:ascii="Arial" w:cs="Arial" w:eastAsia="Arial" w:hAnsi="Arial"/>
                <w:sz w:val="18"/>
                <w:szCs w:val="18"/>
                <w:color w:val="auto"/>
              </w:rPr>
              <w:t>Board nor the Committee will have any liability to you for such tax or penalty.</w:t>
            </w:r>
          </w:p>
        </w:tc>
      </w:tr>
      <w:tr>
        <w:trPr>
          <w:trHeight w:val="405"/>
        </w:trPr>
        <w:tc>
          <w:tcPr>
            <w:tcW w:w="1600" w:type="dxa"/>
            <w:vAlign w:val="bottom"/>
          </w:tcPr>
          <w:p>
            <w:pPr>
              <w:spacing w:after="0"/>
              <w:rPr>
                <w:sz w:val="24"/>
                <w:szCs w:val="24"/>
                <w:color w:val="auto"/>
              </w:rPr>
            </w:pPr>
          </w:p>
        </w:tc>
        <w:tc>
          <w:tcPr>
            <w:tcW w:w="96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By signing the Agreement, you agree to all of the terms and conditions described above and in the Plan.</w:t>
            </w:r>
          </w:p>
        </w:tc>
      </w:tr>
      <w:tr>
        <w:trPr>
          <w:trHeight w:val="1262"/>
        </w:trPr>
        <w:tc>
          <w:tcPr>
            <w:tcW w:w="16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102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Metzger, certify that:</w:t>
      </w:r>
    </w:p>
    <w:p>
      <w:pPr>
        <w:spacing w:after="0" w:line="225" w:lineRule="exact"/>
        <w:rPr>
          <w:sz w:val="20"/>
          <w:szCs w:val="20"/>
          <w:color w:val="auto"/>
        </w:rPr>
      </w:pPr>
    </w:p>
    <w:p>
      <w:pPr>
        <w:ind w:left="700" w:hanging="183"/>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17"/>
        <w:spacing w:after="0" w:line="277" w:lineRule="auto"/>
        <w:tabs>
          <w:tab w:leader="none" w:pos="6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517"/>
        <w:spacing w:after="0" w:line="263" w:lineRule="auto"/>
        <w:tabs>
          <w:tab w:leader="none" w:pos="6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80" w:firstLine="506"/>
        <w:spacing w:after="0" w:line="263" w:lineRule="auto"/>
        <w:tabs>
          <w:tab w:leader="none" w:pos="127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00" w:firstLine="506"/>
        <w:spacing w:after="0" w:line="263" w:lineRule="auto"/>
        <w:tabs>
          <w:tab w:leader="none" w:pos="128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20" w:firstLine="506"/>
        <w:spacing w:after="0" w:line="342" w:lineRule="auto"/>
        <w:tabs>
          <w:tab w:leader="none" w:pos="1274"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17"/>
        <w:spacing w:after="0" w:line="308" w:lineRule="auto"/>
        <w:tabs>
          <w:tab w:leader="none" w:pos="68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40" w:firstLine="506"/>
        <w:spacing w:after="0" w:line="308" w:lineRule="auto"/>
        <w:tabs>
          <w:tab w:leader="none" w:pos="1274"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506"/>
        <w:spacing w:after="0" w:line="277" w:lineRule="auto"/>
        <w:tabs>
          <w:tab w:leader="none" w:pos="128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May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23495</wp:posOffset>
            </wp:positionV>
            <wp:extent cx="25457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Metzger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6" w:name="page57"/>
    <w:bookmarkEnd w:id="56"/>
    <w:p>
      <w:pPr>
        <w:ind w:left="102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17"/>
        <w:spacing w:after="0" w:line="277" w:lineRule="auto"/>
        <w:tabs>
          <w:tab w:leader="none" w:pos="6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517"/>
        <w:spacing w:after="0" w:line="263" w:lineRule="auto"/>
        <w:tabs>
          <w:tab w:leader="none" w:pos="6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80" w:firstLine="506"/>
        <w:spacing w:after="0" w:line="263" w:lineRule="auto"/>
        <w:tabs>
          <w:tab w:leader="none" w:pos="127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00" w:firstLine="506"/>
        <w:spacing w:after="0" w:line="263" w:lineRule="auto"/>
        <w:tabs>
          <w:tab w:leader="none" w:pos="12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20" w:firstLine="506"/>
        <w:spacing w:after="0" w:line="342" w:lineRule="auto"/>
        <w:tabs>
          <w:tab w:leader="none" w:pos="1274"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17"/>
        <w:spacing w:after="0" w:line="308" w:lineRule="auto"/>
        <w:tabs>
          <w:tab w:leader="none" w:pos="68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40" w:firstLine="506"/>
        <w:spacing w:after="0" w:line="308" w:lineRule="auto"/>
        <w:tabs>
          <w:tab w:leader="none" w:pos="1274"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506"/>
        <w:spacing w:after="0" w:line="277" w:lineRule="auto"/>
        <w:tabs>
          <w:tab w:leader="none" w:pos="12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40" w:val="left"/>
          <w:tab w:leader="none" w:pos="7220" w:val="left"/>
        </w:tabs>
        <w:rPr>
          <w:sz w:val="20"/>
          <w:szCs w:val="20"/>
          <w:color w:val="auto"/>
        </w:rPr>
      </w:pPr>
      <w:r>
        <w:rPr>
          <w:rFonts w:ascii="Arial" w:cs="Arial" w:eastAsia="Arial" w:hAnsi="Arial"/>
          <w:sz w:val="18"/>
          <w:szCs w:val="18"/>
          <w:color w:val="auto"/>
        </w:rPr>
        <w:t>Date: May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A. Goldan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(Principal Financial Officer and Principal Accounting</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7" w:name="page58"/>
    <w:bookmarkEnd w:id="57"/>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March 31, 2023, as filed with the Securities and Exchange Commission on the date hereof (the “Report”), each of the undersigned officers of the Company hereby certifies, pursuant to 18 U.S.C. Section 1350, that to his or her knowledge:</w:t>
      </w:r>
    </w:p>
    <w:p>
      <w:pPr>
        <w:spacing w:after="0" w:line="184" w:lineRule="exact"/>
        <w:rPr>
          <w:sz w:val="20"/>
          <w:szCs w:val="20"/>
          <w:color w:val="auto"/>
        </w:rPr>
      </w:pPr>
    </w:p>
    <w:p>
      <w:pPr>
        <w:ind w:left="900" w:hanging="35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80" w:hanging="479"/>
        <w:spacing w:after="0" w:line="277" w:lineRule="auto"/>
        <w:tabs>
          <w:tab w:leader="none" w:pos="8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00" w:type="dxa"/>
            <w:vAlign w:val="bottom"/>
          </w:tcPr>
          <w:p>
            <w:pPr>
              <w:ind w:left="20"/>
              <w:spacing w:after="0"/>
              <w:rPr>
                <w:sz w:val="20"/>
                <w:szCs w:val="20"/>
                <w:color w:val="auto"/>
              </w:rPr>
            </w:pPr>
            <w:r>
              <w:rPr>
                <w:rFonts w:ascii="Arial" w:cs="Arial" w:eastAsia="Arial" w:hAnsi="Arial"/>
                <w:sz w:val="18"/>
                <w:szCs w:val="18"/>
                <w:color w:val="auto"/>
              </w:rPr>
              <w:t>Date: May 8, 2023</w:t>
            </w:r>
          </w:p>
        </w:tc>
        <w:tc>
          <w:tcPr>
            <w:tcW w:w="3120" w:type="dxa"/>
            <w:vAlign w:val="bottom"/>
          </w:tcPr>
          <w:p>
            <w:pPr>
              <w:ind w:left="27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 Metzger</w:t>
            </w:r>
          </w:p>
        </w:tc>
      </w:tr>
      <w:tr>
        <w:trPr>
          <w:trHeight w:val="209"/>
        </w:trPr>
        <w:tc>
          <w:tcPr>
            <w:tcW w:w="4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Michael A. Metzger</w:t>
            </w:r>
          </w:p>
        </w:tc>
      </w:tr>
      <w:tr>
        <w:trPr>
          <w:trHeight w:val="230"/>
        </w:trPr>
        <w:tc>
          <w:tcPr>
            <w:tcW w:w="4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53"/>
        </w:trPr>
        <w:tc>
          <w:tcPr>
            <w:tcW w:w="4100" w:type="dxa"/>
            <w:vAlign w:val="bottom"/>
          </w:tcPr>
          <w:p>
            <w:pPr>
              <w:ind w:left="20"/>
              <w:spacing w:after="0"/>
              <w:rPr>
                <w:sz w:val="20"/>
                <w:szCs w:val="20"/>
                <w:color w:val="auto"/>
              </w:rPr>
            </w:pPr>
            <w:r>
              <w:rPr>
                <w:rFonts w:ascii="Arial" w:cs="Arial" w:eastAsia="Arial" w:hAnsi="Arial"/>
                <w:sz w:val="18"/>
                <w:szCs w:val="18"/>
                <w:color w:val="auto"/>
              </w:rPr>
              <w:t>Date: May 8, 2023</w:t>
            </w:r>
          </w:p>
        </w:tc>
        <w:tc>
          <w:tcPr>
            <w:tcW w:w="3120" w:type="dxa"/>
            <w:vAlign w:val="bottom"/>
          </w:tcPr>
          <w:p>
            <w:pPr>
              <w:ind w:left="27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Goldan</w:t>
            </w:r>
          </w:p>
        </w:tc>
      </w:tr>
      <w:tr>
        <w:trPr>
          <w:trHeight w:val="209"/>
        </w:trPr>
        <w:tc>
          <w:tcPr>
            <w:tcW w:w="4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Keith A. Goldan</w:t>
            </w:r>
          </w:p>
        </w:tc>
      </w:tr>
      <w:tr>
        <w:trPr>
          <w:trHeight w:val="230"/>
        </w:trPr>
        <w:tc>
          <w:tcPr>
            <w:tcW w:w="4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601"/>
        </w:trPr>
        <w:tc>
          <w:tcPr>
            <w:tcW w:w="41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1."/>
      <w:numFmt w:val="decimal"/>
      <w:start w:val="4"/>
    </w:lvl>
  </w:abstractNum>
  <w:abstractNum w:abstractNumId="5">
    <w:nsid w:val="79838CB2"/>
    <w:multiLevelType w:val="hybridMultilevel"/>
    <w:lvl w:ilvl="0">
      <w:lvlJc w:val="left"/>
      <w:lvlText w:val="(%1)"/>
      <w:numFmt w:val="lowerRoman"/>
      <w:start w:val="2"/>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lvl w:ilvl="1">
      <w:lvlJc w:val="left"/>
      <w:lvlText w:val="o"/>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404"/>
    </w:lvl>
  </w:abstractNum>
  <w:abstractNum w:abstractNumId="40">
    <w:nsid w:val="6A2342EC"/>
    <w:multiLevelType w:val="hybridMultilevel"/>
    <w:lvl w:ilvl="0">
      <w:lvlJc w:val="left"/>
      <w:lvlText w:val="*"/>
      <w:numFmt w:val="bullet"/>
      <w:start w:val="1"/>
    </w:lvl>
    <w:lvl w:ilvl="1">
      <w:lvlJc w:val="left"/>
      <w:lvlText w:val="%2"/>
      <w:numFmt w:val="decimal"/>
      <w:start w:val="104"/>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53" Type="http://schemas.openxmlformats.org/officeDocument/2006/relationships/hyperlink" Target="https://www.sec.gov/Archives/edgar/data/1395937/000119312516496764/d119516dex31.htm" TargetMode="External"/><Relationship Id="rId154" Type="http://schemas.openxmlformats.org/officeDocument/2006/relationships/hyperlink" Target="https://www.sec.gov/Archives/edgar/data/1395937/000119312516496764/d119516dex32.htm" TargetMode="External"/><Relationship Id="rId155" Type="http://schemas.openxmlformats.org/officeDocument/2006/relationships/hyperlink" Target="https://www.sec.gov/ix?doc=/Archives/edgar/data/1395937/000095017023010756/sndx-202303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2023-05-08T15:58:39Z</dcterms:created>
  <dcterms:modified xsi:type="dcterms:W3CDTF">2023-05-08T15:58:39Z</dcterms:modified>
</cp:coreProperties>
</file>