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55880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83820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00" w:right="2820" w:hanging="592"/>
        <w:spacing w:after="0" w:line="238" w:lineRule="auto"/>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1934</w:t>
      </w:r>
    </w:p>
    <w:p>
      <w:pPr>
        <w:spacing w:after="0" w:line="22"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60" w:type="dxa"/>
            <w:vAlign w:val="bottom"/>
            <w:gridSpan w:val="4"/>
          </w:tcPr>
          <w:p>
            <w:pPr>
              <w:ind w:left="940"/>
              <w:spacing w:after="0"/>
              <w:rPr>
                <w:sz w:val="20"/>
                <w:szCs w:val="20"/>
                <w:color w:val="auto"/>
              </w:rPr>
            </w:pPr>
            <w:r>
              <w:rPr>
                <w:rFonts w:ascii="Arial" w:cs="Arial" w:eastAsia="Arial" w:hAnsi="Arial"/>
                <w:sz w:val="14"/>
                <w:szCs w:val="14"/>
                <w:b w:val="1"/>
                <w:bCs w:val="1"/>
                <w:color w:val="auto"/>
              </w:rPr>
              <w:t>For the Transition Period from</w:t>
            </w:r>
          </w:p>
        </w:tc>
        <w:tc>
          <w:tcPr>
            <w:tcW w:w="160" w:type="dxa"/>
            <w:vAlign w:val="bottom"/>
          </w:tcPr>
          <w:p>
            <w:pPr>
              <w:spacing w:after="0"/>
              <w:rPr>
                <w:sz w:val="14"/>
                <w:szCs w:val="14"/>
                <w:color w:val="auto"/>
              </w:rPr>
            </w:pPr>
          </w:p>
        </w:tc>
        <w:tc>
          <w:tcPr>
            <w:tcW w:w="4280" w:type="dxa"/>
            <w:vAlign w:val="bottom"/>
            <w:gridSpan w:val="6"/>
          </w:tcPr>
          <w:p>
            <w:pPr>
              <w:ind w:left="20"/>
              <w:spacing w:after="0"/>
              <w:rPr>
                <w:sz w:val="20"/>
                <w:szCs w:val="20"/>
                <w:color w:val="auto"/>
              </w:rPr>
            </w:pPr>
            <w:r>
              <w:rPr>
                <w:rFonts w:ascii="Arial" w:cs="Arial" w:eastAsia="Arial" w:hAnsi="Arial"/>
                <w:sz w:val="14"/>
                <w:szCs w:val="14"/>
                <w:b w:val="1"/>
                <w:bCs w:val="1"/>
                <w:color w:val="auto"/>
              </w:rPr>
              <w:t>to</w:t>
            </w:r>
          </w:p>
        </w:tc>
      </w:tr>
      <w:tr>
        <w:trPr>
          <w:trHeight w:val="20"/>
        </w:trPr>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11"/>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80" w:type="dxa"/>
            <w:vAlign w:val="bottom"/>
            <w:gridSpan w:val="9"/>
          </w:tcPr>
          <w:p>
            <w:pPr>
              <w:jc w:val="center"/>
              <w:ind w:right="3837"/>
              <w:spacing w:after="0"/>
              <w:rPr>
                <w:sz w:val="20"/>
                <w:szCs w:val="20"/>
                <w:color w:val="auto"/>
              </w:rPr>
            </w:pPr>
            <w:r>
              <w:rPr>
                <w:rFonts w:ascii="Arial" w:cs="Arial" w:eastAsia="Arial" w:hAnsi="Arial"/>
                <w:sz w:val="14"/>
                <w:szCs w:val="14"/>
                <w:b w:val="1"/>
                <w:bCs w:val="1"/>
                <w:color w:val="auto"/>
                <w:w w:val="93"/>
              </w:rPr>
              <w:t>Commission File Number: 001-37708</w:t>
            </w:r>
          </w:p>
        </w:tc>
      </w:tr>
      <w:tr>
        <w:trPr>
          <w:trHeight w:val="66"/>
        </w:trPr>
        <w:tc>
          <w:tcPr>
            <w:tcW w:w="1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3240" w:type="dxa"/>
            <w:vAlign w:val="bottom"/>
          </w:tcPr>
          <w:p>
            <w:pPr>
              <w:spacing w:after="0"/>
              <w:rPr>
                <w:sz w:val="5"/>
                <w:szCs w:val="5"/>
                <w:color w:val="auto"/>
              </w:rPr>
            </w:pPr>
          </w:p>
        </w:tc>
      </w:tr>
      <w:tr>
        <w:trPr>
          <w:trHeight w:val="533"/>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0" w:type="dxa"/>
            <w:vAlign w:val="bottom"/>
            <w:gridSpan w:val="11"/>
          </w:tcPr>
          <w:p>
            <w:pPr>
              <w:jc w:val="center"/>
              <w:ind w:right="2217"/>
              <w:spacing w:after="0"/>
              <w:rPr>
                <w:sz w:val="20"/>
                <w:szCs w:val="20"/>
                <w:color w:val="auto"/>
              </w:rPr>
            </w:pPr>
            <w:r>
              <w:rPr>
                <w:rFonts w:ascii="Arial" w:cs="Arial" w:eastAsia="Arial" w:hAnsi="Arial"/>
                <w:sz w:val="43"/>
                <w:szCs w:val="43"/>
                <w:b w:val="1"/>
                <w:bCs w:val="1"/>
                <w:color w:val="auto"/>
                <w:w w:val="90"/>
              </w:rPr>
              <w:t>Syndax Pharmaceuticals, Inc.</w:t>
            </w:r>
          </w:p>
        </w:tc>
      </w:tr>
      <w:tr>
        <w:trPr>
          <w:trHeight w:val="210"/>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0" w:type="dxa"/>
            <w:vAlign w:val="bottom"/>
            <w:gridSpan w:val="11"/>
          </w:tcPr>
          <w:p>
            <w:pPr>
              <w:jc w:val="center"/>
              <w:ind w:right="223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01"/>
        </w:trPr>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05"/>
        </w:trPr>
        <w:tc>
          <w:tcPr>
            <w:tcW w:w="24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4"/>
              </w:rPr>
              <w:t>Delaware</w:t>
            </w:r>
          </w:p>
        </w:tc>
        <w:tc>
          <w:tcPr>
            <w:tcW w:w="3560" w:type="dxa"/>
            <w:vAlign w:val="bottom"/>
            <w:gridSpan w:val="4"/>
          </w:tcPr>
          <w:p>
            <w:pPr>
              <w:jc w:val="center"/>
              <w:ind w:left="2046"/>
              <w:spacing w:after="0"/>
              <w:rPr>
                <w:sz w:val="20"/>
                <w:szCs w:val="20"/>
                <w:color w:val="auto"/>
              </w:rPr>
            </w:pPr>
            <w:r>
              <w:rPr>
                <w:rFonts w:ascii="Arial" w:cs="Arial" w:eastAsia="Arial" w:hAnsi="Arial"/>
                <w:sz w:val="14"/>
                <w:szCs w:val="14"/>
                <w:b w:val="1"/>
                <w:bCs w:val="1"/>
                <w:color w:val="auto"/>
                <w:w w:val="96"/>
              </w:rPr>
              <w:t>2834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5"/>
          </w:tcPr>
          <w:p>
            <w:pPr>
              <w:jc w:val="center"/>
              <w:ind w:left="1394"/>
              <w:spacing w:after="0"/>
              <w:rPr>
                <w:sz w:val="20"/>
                <w:szCs w:val="20"/>
                <w:color w:val="auto"/>
              </w:rPr>
            </w:pPr>
            <w:r>
              <w:rPr>
                <w:rFonts w:ascii="Arial" w:cs="Arial" w:eastAsia="Arial" w:hAnsi="Arial"/>
                <w:sz w:val="14"/>
                <w:szCs w:val="14"/>
                <w:b w:val="1"/>
                <w:bCs w:val="1"/>
                <w:color w:val="auto"/>
                <w:w w:val="93"/>
              </w:rPr>
              <w:t>32-0162505</w:t>
            </w:r>
          </w:p>
        </w:tc>
      </w:tr>
      <w:tr>
        <w:trPr>
          <w:trHeight w:val="135"/>
        </w:trPr>
        <w:tc>
          <w:tcPr>
            <w:tcW w:w="2420" w:type="dxa"/>
            <w:vAlign w:val="bottom"/>
            <w:gridSpan w:val="2"/>
          </w:tcPr>
          <w:p>
            <w:pPr>
              <w:jc w:val="center"/>
              <w:ind w:left="452"/>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4"/>
          </w:tcPr>
          <w:p>
            <w:pPr>
              <w:jc w:val="center"/>
              <w:ind w:left="152"/>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40" w:type="dxa"/>
            <w:vAlign w:val="bottom"/>
          </w:tcPr>
          <w:p>
            <w:pPr>
              <w:jc w:val="center"/>
              <w:ind w:left="49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420" w:type="dxa"/>
            <w:vAlign w:val="bottom"/>
            <w:gridSpan w:val="2"/>
          </w:tcPr>
          <w:p>
            <w:pPr>
              <w:jc w:val="center"/>
              <w:ind w:left="452"/>
              <w:spacing w:after="0"/>
              <w:rPr>
                <w:sz w:val="20"/>
                <w:szCs w:val="20"/>
                <w:color w:val="auto"/>
              </w:rPr>
            </w:pPr>
            <w:r>
              <w:rPr>
                <w:rFonts w:ascii="Arial" w:cs="Arial" w:eastAsia="Arial" w:hAnsi="Arial"/>
                <w:sz w:val="13"/>
                <w:szCs w:val="13"/>
                <w:b w:val="1"/>
                <w:bCs w:val="1"/>
                <w:color w:val="auto"/>
                <w:w w:val="90"/>
              </w:rPr>
              <w:t>Incorporation or Organization)</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center"/>
              <w:ind w:left="152"/>
              <w:spacing w:after="0"/>
              <w:rPr>
                <w:sz w:val="20"/>
                <w:szCs w:val="20"/>
                <w:color w:val="auto"/>
              </w:rPr>
            </w:pPr>
            <w:r>
              <w:rPr>
                <w:rFonts w:ascii="Arial" w:cs="Arial" w:eastAsia="Arial" w:hAnsi="Arial"/>
                <w:sz w:val="13"/>
                <w:szCs w:val="13"/>
                <w:b w:val="1"/>
                <w:bCs w:val="1"/>
                <w:color w:val="auto"/>
                <w:w w:val="87"/>
              </w:rPr>
              <w:t>Classification Code Number)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tcPr>
          <w:p>
            <w:pPr>
              <w:jc w:val="center"/>
              <w:ind w:left="497"/>
              <w:spacing w:after="0"/>
              <w:rPr>
                <w:sz w:val="20"/>
                <w:szCs w:val="20"/>
                <w:color w:val="auto"/>
              </w:rPr>
            </w:pPr>
            <w:r>
              <w:rPr>
                <w:rFonts w:ascii="Arial" w:cs="Arial" w:eastAsia="Arial" w:hAnsi="Arial"/>
                <w:sz w:val="13"/>
                <w:szCs w:val="13"/>
                <w:b w:val="1"/>
                <w:bCs w:val="1"/>
                <w:color w:val="auto"/>
                <w:w w:val="89"/>
              </w:rPr>
              <w:t>Identification Number)</w:t>
            </w:r>
          </w:p>
        </w:tc>
      </w:tr>
      <w:tr>
        <w:trPr>
          <w:trHeight w:val="196"/>
        </w:trPr>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80" w:type="dxa"/>
            <w:vAlign w:val="bottom"/>
            <w:gridSpan w:val="9"/>
          </w:tcPr>
          <w:p>
            <w:pPr>
              <w:jc w:val="center"/>
              <w:ind w:right="3857"/>
              <w:spacing w:after="0"/>
              <w:rPr>
                <w:sz w:val="20"/>
                <w:szCs w:val="20"/>
                <w:color w:val="auto"/>
              </w:rPr>
            </w:pPr>
            <w:r>
              <w:rPr>
                <w:rFonts w:ascii="Arial" w:cs="Arial" w:eastAsia="Arial" w:hAnsi="Arial"/>
                <w:sz w:val="14"/>
                <w:szCs w:val="14"/>
                <w:b w:val="1"/>
                <w:bCs w:val="1"/>
                <w:color w:val="auto"/>
                <w:w w:val="93"/>
              </w:rPr>
              <w:t>35 Gatehouse Drive, Building D, Floor 3</w:t>
            </w:r>
          </w:p>
        </w:tc>
      </w:tr>
      <w:tr>
        <w:trPr>
          <w:trHeight w:val="186"/>
        </w:trPr>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4"/>
          </w:tcPr>
          <w:p>
            <w:pPr>
              <w:jc w:val="center"/>
              <w:ind w:left="192"/>
              <w:spacing w:after="0"/>
              <w:rPr>
                <w:sz w:val="20"/>
                <w:szCs w:val="20"/>
                <w:color w:val="auto"/>
              </w:rPr>
            </w:pPr>
            <w:r>
              <w:rPr>
                <w:rFonts w:ascii="Arial" w:cs="Arial" w:eastAsia="Arial" w:hAnsi="Arial"/>
                <w:sz w:val="14"/>
                <w:szCs w:val="14"/>
                <w:b w:val="1"/>
                <w:bCs w:val="1"/>
                <w:color w:val="auto"/>
                <w:w w:val="91"/>
              </w:rPr>
              <w:t>Waltham, Massachusetts 02451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6"/>
        </w:trPr>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4"/>
          </w:tcPr>
          <w:p>
            <w:pPr>
              <w:jc w:val="center"/>
              <w:ind w:left="2046"/>
              <w:spacing w:after="0"/>
              <w:rPr>
                <w:sz w:val="20"/>
                <w:szCs w:val="20"/>
                <w:color w:val="auto"/>
              </w:rPr>
            </w:pPr>
            <w:r>
              <w:rPr>
                <w:rFonts w:ascii="Arial" w:cs="Arial" w:eastAsia="Arial" w:hAnsi="Arial"/>
                <w:sz w:val="14"/>
                <w:szCs w:val="14"/>
                <w:b w:val="1"/>
                <w:bCs w:val="1"/>
                <w:color w:val="auto"/>
                <w:w w:val="93"/>
              </w:rPr>
              <w:t>(781) 419-1400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149"/>
        </w:trPr>
        <w:tc>
          <w:tcPr>
            <w:tcW w:w="1400" w:type="dxa"/>
            <w:vAlign w:val="bottom"/>
          </w:tcPr>
          <w:p>
            <w:pPr>
              <w:spacing w:after="0"/>
              <w:rPr>
                <w:sz w:val="12"/>
                <w:szCs w:val="12"/>
                <w:color w:val="auto"/>
              </w:rPr>
            </w:pPr>
          </w:p>
        </w:tc>
        <w:tc>
          <w:tcPr>
            <w:tcW w:w="9020" w:type="dxa"/>
            <w:vAlign w:val="bottom"/>
            <w:gridSpan w:val="12"/>
          </w:tcPr>
          <w:p>
            <w:pPr>
              <w:jc w:val="center"/>
              <w:ind w:right="1197"/>
              <w:spacing w:after="0"/>
              <w:rPr>
                <w:sz w:val="20"/>
                <w:szCs w:val="20"/>
                <w:color w:val="auto"/>
              </w:rPr>
            </w:pPr>
            <w:r>
              <w:rPr>
                <w:rFonts w:ascii="Arial" w:cs="Arial" w:eastAsia="Arial" w:hAnsi="Arial"/>
                <w:sz w:val="13"/>
                <w:szCs w:val="13"/>
                <w:b w:val="1"/>
                <w:bCs w:val="1"/>
                <w:color w:val="auto"/>
                <w:w w:val="87"/>
              </w:rPr>
              <w:t>(Address, Including Zip Code, and Telephone Number, Including Area Code, of Registrant’s Principal Executive Offices)</w:t>
            </w:r>
          </w:p>
        </w:tc>
      </w:tr>
      <w:tr>
        <w:trPr>
          <w:trHeight w:val="164"/>
        </w:trPr>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0" w:type="dxa"/>
            <w:vAlign w:val="bottom"/>
            <w:gridSpan w:val="11"/>
          </w:tcPr>
          <w:p>
            <w:pPr>
              <w:jc w:val="center"/>
              <w:ind w:right="2217"/>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r>
      <w:tr>
        <w:trPr>
          <w:trHeight w:val="219"/>
        </w:trPr>
        <w:tc>
          <w:tcPr>
            <w:tcW w:w="1400" w:type="dxa"/>
            <w:vAlign w:val="bottom"/>
          </w:tcPr>
          <w:p>
            <w:pPr>
              <w:spacing w:after="0"/>
              <w:rPr>
                <w:sz w:val="19"/>
                <w:szCs w:val="19"/>
                <w:color w:val="auto"/>
              </w:rPr>
            </w:pPr>
          </w:p>
        </w:tc>
        <w:tc>
          <w:tcPr>
            <w:tcW w:w="264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3"/>
              </w:rPr>
              <w:t>Title of Each Class</w:t>
            </w:r>
          </w:p>
        </w:tc>
        <w:tc>
          <w:tcPr>
            <w:tcW w:w="19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66"/>
        </w:trPr>
        <w:tc>
          <w:tcPr>
            <w:tcW w:w="5980" w:type="dxa"/>
            <w:vAlign w:val="bottom"/>
            <w:gridSpan w:val="6"/>
          </w:tcPr>
          <w:p>
            <w:pPr>
              <w:jc w:val="center"/>
              <w:ind w:right="1120"/>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2"/>
          </w:tcPr>
          <w:p>
            <w:pPr>
              <w:ind w:left="520"/>
              <w:spacing w:after="0"/>
              <w:rPr>
                <w:sz w:val="20"/>
                <w:szCs w:val="20"/>
                <w:color w:val="auto"/>
              </w:rPr>
            </w:pPr>
            <w:r>
              <w:rPr>
                <w:rFonts w:ascii="Arial" w:cs="Arial" w:eastAsia="Arial" w:hAnsi="Arial"/>
                <w:sz w:val="16"/>
                <w:szCs w:val="16"/>
                <w:b w:val="1"/>
                <w:bCs w:val="1"/>
                <w:color w:val="auto"/>
              </w:rPr>
              <w:t>Nasdaq Global Select Market</w:t>
            </w:r>
          </w:p>
        </w:tc>
      </w:tr>
      <w:tr>
        <w:trPr>
          <w:trHeight w:val="257"/>
        </w:trPr>
        <w:tc>
          <w:tcPr>
            <w:tcW w:w="1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0" w:type="dxa"/>
            <w:vAlign w:val="bottom"/>
            <w:gridSpan w:val="11"/>
          </w:tcPr>
          <w:p>
            <w:pPr>
              <w:jc w:val="center"/>
              <w:ind w:right="2217"/>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r>
      <w:tr>
        <w:trPr>
          <w:trHeight w:val="101"/>
        </w:trPr>
        <w:tc>
          <w:tcPr>
            <w:tcW w:w="3960" w:type="dxa"/>
            <w:vAlign w:val="bottom"/>
            <w:gridSpan w:val="3"/>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21"/>
        </w:trPr>
        <w:tc>
          <w:tcPr>
            <w:tcW w:w="5980" w:type="dxa"/>
            <w:vAlign w:val="bottom"/>
            <w:gridSpan w:val="6"/>
          </w:tcPr>
          <w:p>
            <w:pPr>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w:t>
            </w:r>
          </w:p>
        </w:tc>
        <w:tc>
          <w:tcPr>
            <w:tcW w:w="280" w:type="dxa"/>
            <w:vAlign w:val="bottom"/>
            <w:gridSpan w:val="2"/>
          </w:tcPr>
          <w:p>
            <w:pPr>
              <w:ind w:left="60"/>
              <w:spacing w:after="0"/>
              <w:rPr>
                <w:sz w:val="20"/>
                <w:szCs w:val="20"/>
                <w:color w:val="auto"/>
              </w:rPr>
            </w:pPr>
            <w:r>
              <w:rPr>
                <w:rFonts w:ascii="Arial" w:cs="Arial" w:eastAsia="Arial" w:hAnsi="Arial"/>
                <w:sz w:val="13"/>
                <w:szCs w:val="13"/>
                <w:color w:val="auto"/>
                <w:w w:val="89"/>
              </w:rPr>
              <w:t>Yes</w:t>
            </w:r>
          </w:p>
        </w:tc>
        <w:tc>
          <w:tcPr>
            <w:tcW w:w="4160" w:type="dxa"/>
            <w:vAlign w:val="bottom"/>
            <w:gridSpan w:val="5"/>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r>
        <w:trPr>
          <w:trHeight w:val="203"/>
        </w:trPr>
        <w:tc>
          <w:tcPr>
            <w:tcW w:w="6260" w:type="dxa"/>
            <w:vAlign w:val="bottom"/>
            <w:gridSpan w:val="8"/>
          </w:tcPr>
          <w:p>
            <w:pPr>
              <w:spacing w:after="0"/>
              <w:rPr>
                <w:sz w:val="20"/>
                <w:szCs w:val="20"/>
                <w:color w:val="auto"/>
              </w:rPr>
            </w:pPr>
            <w:r>
              <w:rPr>
                <w:rFonts w:ascii="Arial" w:cs="Arial" w:eastAsia="Arial" w:hAnsi="Arial"/>
                <w:sz w:val="13"/>
                <w:szCs w:val="13"/>
                <w:color w:val="auto"/>
                <w:w w:val="90"/>
              </w:rPr>
              <w:t>Indicate by check mark if the registrant is not required to file reports pursuant to Section 13 or 15(d) of the Securities Act.</w:t>
            </w:r>
          </w:p>
        </w:tc>
        <w:tc>
          <w:tcPr>
            <w:tcW w:w="4160" w:type="dxa"/>
            <w:vAlign w:val="bottom"/>
            <w:gridSpan w:val="5"/>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15" w:lineRule="exact"/>
        <w:rPr>
          <w:sz w:val="24"/>
          <w:szCs w:val="24"/>
          <w:color w:val="auto"/>
        </w:rPr>
      </w:pPr>
    </w:p>
    <w:p>
      <w:pPr>
        <w:ind w:firstLine="439"/>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 w:firstLine="439"/>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40" w:firstLine="439"/>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5" w:lineRule="exact"/>
        <w:rPr>
          <w:sz w:val="24"/>
          <w:szCs w:val="24"/>
          <w:color w:val="auto"/>
        </w:rPr>
      </w:pPr>
    </w:p>
    <w:p>
      <w:pPr>
        <w:ind w:right="380" w:firstLine="439"/>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9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80"/>
              <w:spacing w:after="0"/>
              <w:rPr>
                <w:sz w:val="20"/>
                <w:szCs w:val="20"/>
                <w:color w:val="auto"/>
              </w:rPr>
            </w:pPr>
            <w:r>
              <w:rPr>
                <w:rFonts w:ascii="Arial" w:cs="Arial" w:eastAsia="Arial" w:hAnsi="Arial"/>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90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80"/>
              <w:spacing w:after="0"/>
              <w:rPr>
                <w:sz w:val="20"/>
                <w:szCs w:val="20"/>
                <w:color w:val="auto"/>
              </w:rPr>
            </w:pPr>
            <w:r>
              <w:rPr>
                <w:rFonts w:ascii="Arial" w:cs="Arial" w:eastAsia="Arial" w:hAnsi="Arial"/>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9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8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15" w:lineRule="exact"/>
        <w:rPr>
          <w:sz w:val="24"/>
          <w:szCs w:val="24"/>
          <w:color w:val="auto"/>
        </w:rPr>
      </w:pPr>
    </w:p>
    <w:p>
      <w:pPr>
        <w:ind w:right="20" w:firstLine="439"/>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ind w:left="440"/>
        <w:spacing w:after="0" w:line="150" w:lineRule="exact"/>
        <w:tabs>
          <w:tab w:leader="none" w:pos="6280" w:val="left"/>
          <w:tab w:leader="none" w:pos="67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4" w:lineRule="exact"/>
        <w:rPr>
          <w:sz w:val="24"/>
          <w:szCs w:val="24"/>
          <w:color w:val="auto"/>
        </w:rPr>
      </w:pPr>
    </w:p>
    <w:p>
      <w:pPr>
        <w:ind w:firstLine="439"/>
        <w:spacing w:after="0" w:line="288" w:lineRule="auto"/>
        <w:rPr>
          <w:sz w:val="20"/>
          <w:szCs w:val="20"/>
          <w:color w:val="auto"/>
        </w:rPr>
      </w:pPr>
      <w:r>
        <w:rPr>
          <w:rFonts w:ascii="Arial" w:cs="Arial" w:eastAsia="Arial" w:hAnsi="Arial"/>
          <w:sz w:val="11"/>
          <w:szCs w:val="11"/>
          <w:color w:val="auto"/>
        </w:rPr>
        <w:t>As of June 30, 2018, the last day of the registrant’s most recently completed second fiscal quarter, the aggregate market value of the Common Stock held by non-affiliates of the registrant was approximately $118.0 million, based on the closing price of the registrant’s common stock on June 30, 2018.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4" w:lineRule="exact"/>
        <w:rPr>
          <w:sz w:val="24"/>
          <w:szCs w:val="24"/>
          <w:color w:val="auto"/>
        </w:rPr>
      </w:pPr>
    </w:p>
    <w:p>
      <w:pPr>
        <w:ind w:left="440"/>
        <w:spacing w:after="0"/>
        <w:rPr>
          <w:sz w:val="20"/>
          <w:szCs w:val="20"/>
          <w:color w:val="auto"/>
        </w:rPr>
      </w:pPr>
      <w:r>
        <w:rPr>
          <w:rFonts w:ascii="Arial" w:cs="Arial" w:eastAsia="Arial" w:hAnsi="Arial"/>
          <w:sz w:val="13"/>
          <w:szCs w:val="13"/>
          <w:color w:val="auto"/>
        </w:rPr>
        <w:t>As of March 6, 2019, there were 25,000,740 shares of common stock outstanding.</w:t>
      </w:r>
    </w:p>
    <w:p>
      <w:pPr>
        <w:spacing w:after="0" w:line="36"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4"/>
          <w:szCs w:val="24"/>
          <w:color w:val="auto"/>
        </w:rPr>
      </w:pPr>
    </w:p>
    <w:p>
      <w:pPr>
        <w:ind w:right="100" w:firstLine="447"/>
        <w:spacing w:after="0" w:line="237" w:lineRule="auto"/>
        <w:rPr>
          <w:sz w:val="20"/>
          <w:szCs w:val="20"/>
          <w:color w:val="auto"/>
        </w:rPr>
      </w:pPr>
      <w:r>
        <w:rPr>
          <w:rFonts w:ascii="Arial" w:cs="Arial" w:eastAsia="Arial" w:hAnsi="Arial"/>
          <w:sz w:val="13"/>
          <w:szCs w:val="13"/>
          <w:color w:val="auto"/>
        </w:rPr>
        <w:t>Portions of the registrant’s definitive proxy statement for its 2019 Annual Meeting of Stockholders, which the registrant intends to file pursuant to Regulation 14A with the Securities and Exchange Commission not later than 120 days after the registrant’s fiscal year ended December 31, 2018,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143510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6"/>
          </w:tcPr>
          <w:p>
            <w:pPr>
              <w:ind w:left="4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675"/>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183"/>
        </w:trPr>
        <w:tc>
          <w:tcPr>
            <w:tcW w:w="10900" w:type="dxa"/>
            <w:vAlign w:val="bottom"/>
            <w:gridSpan w:val="30"/>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20"/>
        </w:trPr>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13"/>
          </w:tcPr>
          <w:p>
            <w:pPr>
              <w:jc w:val="center"/>
              <w:ind w:right="51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1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8"/>
                <w:szCs w:val="18"/>
                <w:color w:val="auto"/>
              </w:rPr>
            </w:pPr>
          </w:p>
        </w:tc>
        <w:tc>
          <w:tcPr>
            <w:tcW w:w="5160" w:type="dxa"/>
            <w:vAlign w:val="bottom"/>
            <w:gridSpan w:val="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2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99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Unresolved Staff Comments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880" w:type="dxa"/>
            <w:vAlign w:val="bottom"/>
            <w:gridSpan w:val="1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Legal Proceedings</w:t>
              </w:r>
            </w:hyperlink>
          </w:p>
        </w:tc>
        <w:tc>
          <w:tcPr>
            <w:tcW w:w="8580" w:type="dxa"/>
            <w:vAlign w:val="bottom"/>
            <w:gridSpan w:val="2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p>
        </w:tc>
        <w:tc>
          <w:tcPr>
            <w:tcW w:w="51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9920" w:type="dxa"/>
            <w:vAlign w:val="bottom"/>
            <w:gridSpan w:val="2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Market for Registrant’s Common Equity, Related Stockholder Matters and Issuers Purchases of Equity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8140" w:type="dxa"/>
            <w:vAlign w:val="bottom"/>
            <w:tcBorders>
              <w:top w:val="single" w:sz="8" w:color="0000EE"/>
            </w:tcBorders>
            <w:gridSpan w:val="2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Selected Financial Data</w:t>
              </w:r>
            </w:hyperlink>
          </w:p>
        </w:tc>
        <w:tc>
          <w:tcPr>
            <w:tcW w:w="1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9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7A.</w:t>
            </w:r>
          </w:p>
        </w:tc>
        <w:tc>
          <w:tcPr>
            <w:tcW w:w="9920" w:type="dxa"/>
            <w:vAlign w:val="bottom"/>
            <w:gridSpan w:val="2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562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9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Changes in and Disagreements with Accountants on Accounting and Financial Disclosure</w:t>
              </w:r>
            </w:hyperlink>
          </w:p>
        </w:tc>
        <w:tc>
          <w:tcPr>
            <w:tcW w:w="34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Controls and Procedures</w:t>
              </w:r>
            </w:hyperlink>
          </w:p>
        </w:tc>
        <w:tc>
          <w:tcPr>
            <w:tcW w:w="8140" w:type="dxa"/>
            <w:vAlign w:val="bottom"/>
            <w:gridSpan w:val="2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9B.</w:t>
            </w:r>
          </w:p>
        </w:tc>
        <w:tc>
          <w:tcPr>
            <w:tcW w:w="9920" w:type="dxa"/>
            <w:vAlign w:val="bottom"/>
            <w:gridSpan w:val="2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III</w:t>
              </w:r>
            </w:hyperlink>
          </w:p>
        </w:tc>
        <w:tc>
          <w:tcPr>
            <w:tcW w:w="50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Directors, Executive Officers and Corporate Governance</w:t>
              </w:r>
            </w:hyperlink>
          </w:p>
        </w:tc>
        <w:tc>
          <w:tcPr>
            <w:tcW w:w="5820" w:type="dxa"/>
            <w:vAlign w:val="bottom"/>
            <w:gridSpan w:val="1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11.</w:t>
            </w:r>
          </w:p>
        </w:tc>
        <w:tc>
          <w:tcPr>
            <w:tcW w:w="992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9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Security Ownership of Certain Beneficial Owners and Management and Related Stockholder Matters</w:t>
              </w:r>
            </w:hyperlink>
          </w:p>
        </w:tc>
        <w:tc>
          <w:tcPr>
            <w:tcW w:w="262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Certain Relationships and Related Transactions, and Director Independence</w:t>
              </w:r>
            </w:hyperlink>
          </w:p>
        </w:tc>
        <w:tc>
          <w:tcPr>
            <w:tcW w:w="446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14.</w:t>
            </w:r>
          </w:p>
        </w:tc>
        <w:tc>
          <w:tcPr>
            <w:tcW w:w="992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4"/>
          </w:tcPr>
          <w:p>
            <w:pPr>
              <w:jc w:val="center"/>
              <w:ind w:right="5100"/>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IV</w:t>
              </w:r>
            </w:hyperlink>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Exhibits and Financial Statement Schedules</w:t>
              </w:r>
            </w:hyperlink>
          </w:p>
        </w:tc>
        <w:tc>
          <w:tcPr>
            <w:tcW w:w="960" w:type="dxa"/>
            <w:vAlign w:val="bottom"/>
            <w:gridSpan w:val="3"/>
          </w:tcPr>
          <w:p>
            <w:pPr>
              <w:spacing w:after="0"/>
              <w:rPr>
                <w:sz w:val="18"/>
                <w:szCs w:val="18"/>
                <w:color w:val="auto"/>
              </w:rPr>
            </w:pPr>
          </w:p>
        </w:tc>
        <w:tc>
          <w:tcPr>
            <w:tcW w:w="700" w:type="dxa"/>
            <w:vAlign w:val="bottom"/>
            <w:tcBorders>
              <w:top w:val="single" w:sz="8" w:color="0000EE"/>
            </w:tcBorders>
            <w:gridSpan w:val="7"/>
          </w:tcPr>
          <w:p>
            <w:pPr>
              <w:spacing w:after="0"/>
              <w:rPr>
                <w:sz w:val="18"/>
                <w:szCs w:val="18"/>
                <w:color w:val="auto"/>
              </w:rPr>
            </w:pPr>
          </w:p>
        </w:tc>
        <w:tc>
          <w:tcPr>
            <w:tcW w:w="510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Form 10-K Summary</w:t>
              </w:r>
            </w:hyperlink>
          </w:p>
        </w:tc>
        <w:tc>
          <w:tcPr>
            <w:tcW w:w="8360" w:type="dxa"/>
            <w:vAlign w:val="bottom"/>
            <w:gridSpan w:val="2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hormone receptor positive, human epidermal growth factor receptor 2 negative (HR+, HER2-) breast cancer;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progress and receipt of data from the Phase 3 clinical trial of entinostat in advanced HR+, HER2- breast cancer;</w:t>
      </w:r>
    </w:p>
    <w:p>
      <w:pPr>
        <w:spacing w:after="0" w:line="128" w:lineRule="exact"/>
        <w:rPr>
          <w:rFonts w:ascii="Arial" w:cs="Arial" w:eastAsia="Arial" w:hAnsi="Arial"/>
          <w:sz w:val="17"/>
          <w:szCs w:val="17"/>
          <w:color w:val="auto"/>
        </w:rPr>
      </w:pPr>
    </w:p>
    <w:p>
      <w:pPr>
        <w:ind w:left="1200" w:right="44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1b clinical trial of SNDX-6352 in chronic Graft Versus Host Disease (cGVHD);</w:t>
      </w:r>
    </w:p>
    <w:p>
      <w:pPr>
        <w:spacing w:after="0" w:line="140" w:lineRule="exact"/>
        <w:rPr>
          <w:rFonts w:ascii="Arial" w:cs="Arial" w:eastAsia="Arial" w:hAnsi="Arial"/>
          <w:sz w:val="16"/>
          <w:szCs w:val="16"/>
          <w:color w:val="auto"/>
        </w:rPr>
      </w:pPr>
    </w:p>
    <w:p>
      <w:pPr>
        <w:ind w:left="1200" w:right="5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filing of our Investigational New Drug application of SNDX-5613 and the potential use of SNDX-5613 to treat acute leukemias;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 a subsidiary of Allergan plc;</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set forth in Part I, Item 1A, “Risk Factors,” below and for the reasons described elsewhere in this Annual Report on Form 10-K. Any forward-looking statement in this Annual Report on Form 10-K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firstLine="598"/>
        <w:spacing w:after="0" w:line="27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7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this Annual Report on Form 10-K, unless otherwise stated or as the context otherwise requires, references to “Syndax,” “the Company,” “we,” “us,” “our” and similar references refer to Syndax Pharmaceuticals, Inc. and its wholly owned subsidiaries. This Annual Report on Form 10-K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 xml:space="preserve">We are a clinical-stage biopharmaceutical company developing an innovative pipeline of cancer therapies. Our lead product candidate, entinostat is a once-weekly, oral, small molecule, Class I HDAC inhibitor currently being evaluated in a Phase 3 clinical trial in combination with exemestane for advanced hormone receptor positive, or HR+, human epidermal growth factor receptor 2 negative, or HER2-, breast cancer, an indication for which it has been granted breakthrough therapy designation by the FDA. Entinostat has been shown to block the function of immune suppressive cells in the tumor microenvironment, and is being evaluated in combination with several approved PD-1/PD-L1 antagonists, including in Phase 1b/2 clinical trials combining entinostat with </w:t>
      </w:r>
      <w:r>
        <w:rPr>
          <w:rFonts w:ascii="Arial" w:cs="Arial" w:eastAsia="Arial" w:hAnsi="Arial"/>
          <w:sz w:val="17"/>
          <w:szCs w:val="17"/>
          <w:i w:val="1"/>
          <w:iCs w:val="1"/>
          <w:color w:val="auto"/>
        </w:rPr>
        <w:t>Keytruda</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(pembrolizumab) from Merck &amp; Co., Inc. for non-small cell lung cancer and melanoma; and with</w:t>
      </w:r>
      <w:r>
        <w:rPr>
          <w:rFonts w:ascii="Arial" w:cs="Arial" w:eastAsia="Arial" w:hAnsi="Arial"/>
          <w:sz w:val="17"/>
          <w:szCs w:val="17"/>
          <w:i w:val="1"/>
          <w:iCs w:val="1"/>
          <w:color w:val="auto"/>
        </w:rPr>
        <w:t xml:space="preserve"> Tecentriq</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(atezolizumab) from Genentech,</w:t>
      </w:r>
      <w:r>
        <w:rPr>
          <w:rFonts w:ascii="Arial" w:cs="Arial" w:eastAsia="Arial" w:hAnsi="Arial"/>
          <w:sz w:val="17"/>
          <w:szCs w:val="17"/>
          <w:i w:val="1"/>
          <w:iCs w:val="1"/>
          <w:color w:val="auto"/>
        </w:rPr>
        <w:t xml:space="preserve"> </w:t>
      </w:r>
      <w:r>
        <w:rPr>
          <w:rFonts w:ascii="Arial" w:cs="Arial" w:eastAsia="Arial" w:hAnsi="Arial"/>
          <w:sz w:val="17"/>
          <w:szCs w:val="17"/>
          <w:color w:val="auto"/>
        </w:rPr>
        <w:t>Inc., a member of the Roche Group, for advanced HR+, HER2- breast cancer.</w:t>
      </w:r>
    </w:p>
    <w:p>
      <w:pPr>
        <w:spacing w:after="0" w:line="178"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 xml:space="preserve">Our second clinical-stage product candidate, SNDX-6352, is a monoclonal antibody that targets the colony stimulating factor-1 receptor, or CSF-1R, a cell surface protein thought to control the survival and function of monocytes and macrophages. In many cancers, inhibition of CSF-1R will reduce the number of immunosuppressive tumor-associated macrophages, or TAMs, and enable an immune response against tumors. We expect topline results and a recommended Phase 2 dose, or RP2D, and schedule from the Phase 1/1b trial of SNDX-6352, alone or in combination with </w:t>
      </w:r>
      <w:r>
        <w:rPr>
          <w:rFonts w:ascii="Arial" w:cs="Arial" w:eastAsia="Arial" w:hAnsi="Arial"/>
          <w:sz w:val="17"/>
          <w:szCs w:val="17"/>
          <w:i w:val="1"/>
          <w:iCs w:val="1"/>
          <w:color w:val="auto"/>
        </w:rPr>
        <w:t>Imfinzi</w:t>
      </w:r>
      <w:r>
        <w:rPr>
          <w:rFonts w:ascii="Arial" w:cs="Arial" w:eastAsia="Arial" w:hAnsi="Arial"/>
          <w:sz w:val="17"/>
          <w:szCs w:val="17"/>
          <w:color w:val="auto"/>
        </w:rPr>
        <w:t>® (durvalumab), from AstraZeneca plc, in the second quarter of 2019. We are also expecting topline results and a RP2D and schedule from the Phase 1 trial of SNDX-6352 in patients with chronic graft versus host disease, or cGVHD, in the fourth quarter of 2019.</w:t>
      </w:r>
    </w:p>
    <w:p>
      <w:pPr>
        <w:spacing w:after="0" w:line="17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the third quarter of 2018, development of our portfolio of preclinical, orally-available, small molecule inhibitors of the interaction of Menin with the mixed lineage leukemia, or MLL, protein led to our selection of a lead compound, SNDX-5613, to continue through IND-enabling studies. We are developing SNDX-5613 as a targeted therapy to potentially treat two genetically defined acute leukemias: (i) mixed lineage leukemia-rearranged, or MLLr, a genetically-defined subset of acute leukemias with chromosomal rearrangements in the MLL gene; and (ii) acute myeloid leukemia, or AML, with a mutated nucleophosmin 1, or NPM1, characterized by a somatic mutation in the NPM1 gene, or NPM1c. We expect to file an IND with the FDA in the second quarter of 2019 and initiate a Phase 1 clinical trial in leukemia patients having relapsed or refractory MLLr or NPM1c AML soon after.</w:t>
      </w:r>
    </w:p>
    <w:p>
      <w:pPr>
        <w:spacing w:after="0" w:line="17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plan to continue to leverage the technical and business expertise of our management team and scientific collaborators to opportunistically license, acquire and develop additional cancer therapies to expand our pipeline.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We are developing entinostat, SNDX-6352 and SNDX-5613 for use in multiple cancer and potentially other indications in combination with complementary therapeutic drugs and potentially as single agents. Key elements of our strategy include:</w:t>
      </w:r>
    </w:p>
    <w:p>
      <w:pPr>
        <w:spacing w:after="0" w:line="62" w:lineRule="exact"/>
        <w:rPr>
          <w:sz w:val="20"/>
          <w:szCs w:val="20"/>
          <w:color w:val="auto"/>
        </w:rPr>
      </w:pPr>
    </w:p>
    <w:p>
      <w:pPr>
        <w:ind w:left="1200" w:right="140" w:hanging="598"/>
        <w:spacing w:after="0" w:line="279"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 and obtain regulatory approval for entinostat in combination with hormone therapy in advanced HR+, HER2- breast cancer. Based on the positive results from our Phase 2b clinical trial, we received breakthrough therapy designation from the FDA for entinostat in combination with exemestane in advanced HR+ breast cancer. We believe that the submission of the overall survival, or OS, results of the Phase 3 clinical trial, if successful, would be sufficient for regulatory approval of entinostat in the United States.</w:t>
      </w:r>
    </w:p>
    <w:p>
      <w:pPr>
        <w:spacing w:after="0" w:line="63" w:lineRule="exact"/>
        <w:rPr>
          <w:rFonts w:ascii="Arial" w:cs="Arial" w:eastAsia="Arial" w:hAnsi="Arial"/>
          <w:sz w:val="17"/>
          <w:szCs w:val="17"/>
          <w:color w:val="auto"/>
        </w:rPr>
      </w:pPr>
    </w:p>
    <w:p>
      <w:pPr>
        <w:ind w:left="1200" w:hanging="598"/>
        <w:spacing w:after="0" w:line="259"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SNDX-5613 for the treatment of MLL-r driven malignancies. We believe that SNDX-5613 has the potential to treat at least two genetically defined acute leukemias: (i) MLLr, a genetically-defined subset of acute leukemias with chromosomal rearrangements in the MLL gene; and (ii) NPM1c AML, characterized by a somatic mutation in the NPM1 gene. We conducted preclinical studies in 2018 and plan to file an IND in the second quarter of 2019.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ind w:left="1200" w:right="180" w:hanging="598"/>
        <w:spacing w:after="0" w:line="25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entinostat as the combination therapy of choice with immune checkpoint inhibitors, initially PD-1 and PD-L1 inhibitors, by conducting clinical trials in patients where we believe the response to PD-1 or PD-L1 inhibitors can be improved. To that end, we have entered into non-exclusive collaborations with Merck, Genentech, and Merck KGaA and Pfizer. We are currently prioritizing our resources ahead of the Phase 3 clinical trial OS readout, at which time we will make a determination on next steps for the immuno-oncology combination program.</w:t>
      </w:r>
    </w:p>
    <w:p>
      <w:pPr>
        <w:spacing w:after="0" w:line="80" w:lineRule="exact"/>
        <w:rPr>
          <w:rFonts w:ascii="Arial" w:cs="Arial" w:eastAsia="Arial" w:hAnsi="Arial"/>
          <w:sz w:val="18"/>
          <w:szCs w:val="18"/>
          <w:color w:val="auto"/>
        </w:rPr>
      </w:pPr>
    </w:p>
    <w:p>
      <w:pPr>
        <w:ind w:left="1200" w:right="6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SNDX-6352 as monotherapy and in combination in one or more tumor types. We are currently looking to establish a recommended phase 2 dose for use of SNDX-6352 as a monotherapy or combination agent in solid tumors. We are also conducting a Phase 1 trial of SNDX-6352 as a monotherapy in patients with cGVHD.</w:t>
      </w:r>
    </w:p>
    <w:p>
      <w:pPr>
        <w:spacing w:after="0" w:line="73" w:lineRule="exact"/>
        <w:rPr>
          <w:rFonts w:ascii="Arial" w:cs="Arial" w:eastAsia="Arial" w:hAnsi="Arial"/>
          <w:sz w:val="18"/>
          <w:szCs w:val="18"/>
          <w:color w:val="auto"/>
        </w:rPr>
      </w:pPr>
    </w:p>
    <w:p>
      <w:pPr>
        <w:ind w:left="1200" w:right="40" w:hanging="598"/>
        <w:spacing w:after="0" w:line="259"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technical and business expertise of our management team and scientific collaborators to license, acquire and develop additional cancer therapies to expand our pipeline. We acquired the exclusive rights to SNDX-6352 in 2016 and to SNDX-5613 in 2017. We intend to continue leveraging the collective talent within our organization and network of advisors to guide our pipeline expansion and development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223520</wp:posOffset>
            </wp:positionV>
            <wp:extent cx="5342890" cy="2898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289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Entinostat is our oral, small molecule product candidate that has direct effects on both cancer cells and immune regulatory cells, potentially enhancing the body’s immune response to tumors. The favorable safety profile of entinostat has been demonstrated in clinical trials in more than 1,200 cancer patients. The long half-life of entinostat allows for continuous exposure to therapy potentially resulting in positive efficacy benefits without corresponding cytotoxic effects. Another benefit of entinostat’s long half-life is the potential to minimize the frequency of dosing and reduce the severity and frequency of adverse events. Based on entinostat’s ability to reverse hormone resistance, alter cancer stem cells, and modulate immunosensitivity, we believe entinostat may have broad applications in tumor types which have become resistant to hormone and/or immunotherapy.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 w:name="page7"/>
    <w:bookmarkEnd w:id="6"/>
    <w:p>
      <w:pPr>
        <w:ind w:right="40" w:firstLine="598"/>
        <w:spacing w:after="0" w:line="291" w:lineRule="auto"/>
        <w:rPr>
          <w:sz w:val="20"/>
          <w:szCs w:val="20"/>
          <w:color w:val="auto"/>
        </w:rPr>
      </w:pPr>
      <w:r>
        <w:rPr>
          <w:rFonts w:ascii="Arial" w:cs="Arial" w:eastAsia="Arial" w:hAnsi="Arial"/>
          <w:sz w:val="16"/>
          <w:szCs w:val="16"/>
          <w:color w:val="auto"/>
        </w:rPr>
        <w:t>Entinostat has also been shown to enhance the immune system’s ability to identify and target tumor cells. It is now widely accepted that many tumors have the ability to evade the immune system either through direct cellular interactions and recruitment of immuno-suppressive cells to the area surrounding the tumor, or through parallel evasion-mechanisms focused on the interaction between the T cell with other immune cells found within the surrounding tumor microenvironment. Entinostat has been observed to decrease the population of immuno-suppressive cells known as myeloid-derived suppressor cells, or MDSCs, and regulatory T cells, or Tregs, which localize in the area surrounding the tumor and block T cells from killing cancer cells,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are evaluating entinostat in an ongoing Phase 3 clinical trial testing exemestane in combination with entinostat versus exemestane in combination with placebo in patients with advanced HR+, HER2- breast cancer. ECOG-ACRIN Cancer Research Group, or ECOG-ACRIN, is conducting this clinical trial under sponsorship and funding support from the National Cancer Institute, or NCI. The Phase 3 clinical trial was designed to determine whether the addition of entinostat to exemestane improves progression-free survival, or PFS, OS, or both in patients who have previously progressed after treatment with standard-of-care hormonal agents.</w:t>
      </w:r>
    </w:p>
    <w:p>
      <w:pPr>
        <w:spacing w:after="0" w:line="18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To confirm the PFS and OS benefits observed in the Phase 2b clinical trial, we collaborated with ECOG-ACRIN to develop and conduct the Phase 3 clinical trial, E2112. ECOG-ACRIN is conducting the trial under sponsorship and funding support from the NCI. We are providing financial and operational support for the Phase 3 clinical trial under a Cooperative Research and Development Agreement, or CRADA, with the NCI and a separate agreement with ECOG-ACRIN. The trial is a randomized, double-blind, placebo-controlled trial of entinostat in combination with exemestane compared to exemestane and a placebo. The protocol for the Phase 3 clinical trial was reviewed and agreed upon by the FDA under a Special Protocol Assessment, or SPA, agreement with the NCI in January 2014.</w:t>
      </w:r>
    </w:p>
    <w:p>
      <w:pPr>
        <w:spacing w:after="0" w:line="193" w:lineRule="exact"/>
        <w:rPr>
          <w:sz w:val="20"/>
          <w:szCs w:val="20"/>
          <w:color w:val="auto"/>
        </w:rPr>
      </w:pPr>
    </w:p>
    <w:p>
      <w:pPr>
        <w:jc w:val="both"/>
        <w:ind w:right="140" w:firstLine="598"/>
        <w:spacing w:after="0" w:line="257" w:lineRule="auto"/>
        <w:rPr>
          <w:sz w:val="20"/>
          <w:szCs w:val="20"/>
          <w:color w:val="auto"/>
        </w:rPr>
      </w:pPr>
      <w:r>
        <w:rPr>
          <w:rFonts w:ascii="Arial" w:cs="Arial" w:eastAsia="Arial" w:hAnsi="Arial"/>
          <w:sz w:val="18"/>
          <w:szCs w:val="18"/>
          <w:color w:val="auto"/>
        </w:rPr>
        <w:t>Syndax, the NCI and ECOG-ACRIN designed the trial to evaluate whether the addition of entinostat to exemestane improves PFS, OS or both PFS and OS in patients with advanced HR+, HER2- breast cancer who have previously progressed after treatment with standard of care hormonal agents such as NSAIs or Faslodex. In November 2017, ECOG-ACRIN notified us that the Data Safety Monitoring Committee, or DSMC, completed the final PFS analysis and the first interim analysis for OS. The results of this analysis are held confidentially by the ECOG-ACRIN study statistician and the DSMC until the trial completed enrollment.</w:t>
      </w:r>
    </w:p>
    <w:p>
      <w:pPr>
        <w:spacing w:after="0" w:line="18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October 2018, we announced that enrollment in E2112 concluded, with a total of 608 patients enrolled. ECOG-ACRIN and NCI conducted the primary analysis of PFS after 247 PFS events occurred among the initial 360 patients enrolled and informed us that the trial did not meet the high statistical hurdle for the first primary endpoint of improving PFS. Although a positive result on PFS would have provided the earliest regulatory filing opportunity, it does not impact the potential for the trial to achieve the OS endpoint. Following the most recent interim OS analysis also conducted by the trial’s DSMC in October 2018, ECOG-ACRIN informed us that the trial is continuing as planned, with the next interim analysis for the OS primary endpoint scheduled for the second quarter of 2019.</w:t>
      </w:r>
    </w:p>
    <w:p>
      <w:pPr>
        <w:spacing w:after="0" w:line="193" w:lineRule="exact"/>
        <w:rPr>
          <w:sz w:val="20"/>
          <w:szCs w:val="20"/>
          <w:color w:val="auto"/>
        </w:rPr>
      </w:pPr>
    </w:p>
    <w:p>
      <w:pPr>
        <w:jc w:val="both"/>
        <w:ind w:right="460" w:firstLine="598"/>
        <w:spacing w:after="0" w:line="264" w:lineRule="auto"/>
        <w:rPr>
          <w:sz w:val="20"/>
          <w:szCs w:val="20"/>
          <w:color w:val="auto"/>
        </w:rPr>
      </w:pPr>
      <w:r>
        <w:rPr>
          <w:rFonts w:ascii="Arial" w:cs="Arial" w:eastAsia="Arial" w:hAnsi="Arial"/>
          <w:sz w:val="18"/>
          <w:szCs w:val="18"/>
          <w:color w:val="auto"/>
        </w:rPr>
        <w:t>The DSMC will conduct additional interim analyses every six months until either it observes an OS benefit, or the final target number of events occur. E2112 was designed, and obtained breakthrough therapy designation for this indication, based on positive Phase 2b OS results. Any positive OS assessment would enable us to file for full regulatory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Immuno-Oncology</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Entinostat is currently being studied in clinical trials across a broad range of solid tumors, including breast, non-small cell lung cancer, or NSCLC, melanoma, ovarian and microsatellite stable colorectal carcinoma, or MSS-CRC.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ind w:right="80" w:firstLine="598"/>
        <w:spacing w:after="0" w:line="255" w:lineRule="auto"/>
        <w:rPr>
          <w:sz w:val="20"/>
          <w:szCs w:val="20"/>
          <w:color w:val="auto"/>
        </w:rPr>
      </w:pPr>
      <w:r>
        <w:rPr>
          <w:rFonts w:ascii="Arial" w:cs="Arial" w:eastAsia="Arial" w:hAnsi="Arial"/>
          <w:sz w:val="18"/>
          <w:szCs w:val="18"/>
          <w:color w:val="auto"/>
        </w:rPr>
        <w:t xml:space="preserve">We are working in collaboration with Merck to study the combination of entinostat with Merck’s immune checkpoint inhibitor,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in a Phase 1b/2 clinical trial (ENCORE 601) of up to approximately 202 patients with NSCLC, melanoma or MSS-CRC. The primary objective of the Phase 1b portion of the trial was to determine the dose-limiting toxicities, or DLT, maximum tolerated dose, or MTD, and the RP2D of entinostat given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which we confirmed as weekly oral doses of 5 mg. The Phase 1b portion of the clinical trial also characterized the effect of the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on numerous biomarkers, including expression of PD-1 and PD-L1, the number and function of different types of T cells and the number of MDSCs. We are assessing these biomarkers both in peripheral blood and in serial tumor biopsies. We announced safety data, data from the Phase 1b portion and initiated patient enrollment in the Phase 2 portion in 2016.</w:t>
      </w:r>
    </w:p>
    <w:p>
      <w:pPr>
        <w:spacing w:after="0" w:line="189" w:lineRule="exact"/>
        <w:rPr>
          <w:sz w:val="20"/>
          <w:szCs w:val="20"/>
          <w:color w:val="auto"/>
        </w:rPr>
      </w:pPr>
    </w:p>
    <w:p>
      <w:pPr>
        <w:jc w:val="both"/>
        <w:ind w:right="180" w:firstLine="598"/>
        <w:spacing w:after="0" w:line="257" w:lineRule="auto"/>
        <w:rPr>
          <w:sz w:val="20"/>
          <w:szCs w:val="20"/>
          <w:color w:val="auto"/>
        </w:rPr>
      </w:pPr>
      <w:r>
        <w:rPr>
          <w:rFonts w:ascii="Arial" w:cs="Arial" w:eastAsia="Arial" w:hAnsi="Arial"/>
          <w:sz w:val="18"/>
          <w:szCs w:val="18"/>
          <w:color w:val="auto"/>
        </w:rPr>
        <w:t>The Phase 2 portion employs a two-stage design in which a defined minimum number of responders must be seen in the first stage for the cohort to advance to full enrollment in the second stage. The first stage of the Phase 2 portion of the trial was designed to evaluate the results from these first cohorts and make an informed decision around expanding and progressing any, all or none of the cohorts into the next stage of the trial only after attaining a certain pre-specified and meaningful level of objective response in each cohort. We have completed enrollment of the first stage of the Phase 2 portion for all four cohorts.</w:t>
      </w:r>
    </w:p>
    <w:p>
      <w:pPr>
        <w:spacing w:after="0" w:line="18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In the first half of 2017, both the PD-L1 pretreated melanoma and PD-L1 pretreated NSCLC cohorts of ENCORE 601 met the pre-specified objective response threshold and progressed to the second stage of the trial. The melanoma cohort completed enrollment after the addition of 42 patients for a total of 55 patients enrolled. We shared data in the second quarter of 2018 at the American Society of Clinical Oncology annual meeting, showing that a total of six confirmed partial responses and three unconfirmed partial responses were observed in the 34 evaluable patients at the time of the data cut-off.</w:t>
      </w:r>
    </w:p>
    <w:p>
      <w:pPr>
        <w:spacing w:after="0" w:line="154"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Similarly, the cohort enrolling PD-L1 pretreated NSCLC patients enrolled an additional 39 patients in the second stage of the trial. Enrollment completed with a total of 70 patients in this arm and we presented the full clinical data set in the third quarter of 2018 at the World Conference on Lung Cancer. At the time of data cut-off, there were seven confirmed partial responses among the overall population of 72 efficacy-evaluable patients, for a ten percent objective response rate, a median duration of response of 5.3 months, and a median PFS of 2.8 months. In October 2018, we announced plans to commence a focused, biomarker-driven, randomized registration trial in NSCLC comparing the entinostat-</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combination to standard of care chemotherapy in patients whose disease has progressed after both platinum-based chemotherapy and PD-1 antagonist therapy. We have recently completed a full portfolio prioritization assessment and have determined to place the initiation of this trial on hold until we receive final OS results from E2112.</w:t>
      </w:r>
    </w:p>
    <w:p>
      <w:pPr>
        <w:spacing w:after="0" w:line="16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In the second half of 2017, we announced that the cohort enrolling PD-L1 naïve NSCLC patients also met the established criteria to advance to stage two, however due to the changing landscape in this patient population, we decided to not progress this cohort into the second stage of the Phase 2 trial. The first stage of the Phase 2 portion of the MSS-CRC cohort completed enrollment in the third quarter of 2017 and we completed the expanded enrollment to 37 patients in the third quarter of 2018. Based on the lack of activity observed to date in this indication, we have decided not to advance to the second stage of the study.</w:t>
      </w:r>
    </w:p>
    <w:p>
      <w:pPr>
        <w:spacing w:after="0" w:line="188"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 xml:space="preserve">We also entered into a collaboration with Genentech to evaluate the safety, tolerability and preliminary efficacy of entinostat in combination with Genentech’s immune checkpoint inhibitor,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a Phase 1b/2 clinical trial, ENCORE 602, of patients with triple-negative breast cancer, or TNBC. The Phase 1b portion established the safety and RP2D of entinostat of in the combination and completed in November 2016. The Phase 2 portion, which opened in December 2016, has PFS as the primary endpoint with response rate, duration of response, time to response and OS as secondary end points. This trial did not meet its primary endpoint of statistically significant improvement in PFS for the combination regimen versus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monotherapy. The Phase 2 trial randomized 81 patients to receive 1200 mg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every three weeks in combination with either 5 mg of entinostat (n=40) or placebo (n=41) once weekly.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ind w:right="140" w:firstLine="598"/>
        <w:spacing w:after="0" w:line="270" w:lineRule="auto"/>
        <w:rPr>
          <w:sz w:val="20"/>
          <w:szCs w:val="20"/>
          <w:color w:val="auto"/>
        </w:rPr>
      </w:pPr>
      <w:r>
        <w:rPr>
          <w:rFonts w:ascii="Arial" w:cs="Arial" w:eastAsia="Arial" w:hAnsi="Arial"/>
          <w:sz w:val="18"/>
          <w:szCs w:val="18"/>
          <w:color w:val="auto"/>
        </w:rPr>
        <w:t xml:space="preserve">In January 2018, we entered into a second clinical collaboration with Genentech to evaluate the combination of entinostat with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patients with HR+, HER2- metastatic breast cancer in a Phase 1b/2, open-label, multicenter, randomized trial that will enroll patients with metastatic HR+, HER2-breast cancer who have experienced disease progression during or following treatment with a CDK4/6 inhibitor. Genentech is responsible for conducting the trial and has initiated patient enrollment.</w:t>
      </w:r>
    </w:p>
    <w:p>
      <w:pPr>
        <w:spacing w:after="0" w:line="176"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 xml:space="preserve">We also entered into a collaboration with Ares Trading, S.A., a subsidiary of Merck KGaA, Darmstadt, Germany, and Pfizer Inc. to evaluate the safety, tolerability and preliminary efficacy of entinostat in combination with </w:t>
      </w:r>
      <w:r>
        <w:rPr>
          <w:rFonts w:ascii="Arial" w:cs="Arial" w:eastAsia="Arial" w:hAnsi="Arial"/>
          <w:sz w:val="16"/>
          <w:szCs w:val="16"/>
          <w:i w:val="1"/>
          <w:iCs w:val="1"/>
          <w:color w:val="auto"/>
        </w:rPr>
        <w:t>Bavencio</w:t>
      </w:r>
      <w:r>
        <w:rPr>
          <w:rFonts w:ascii="Arial" w:cs="Arial" w:eastAsia="Arial" w:hAnsi="Arial"/>
          <w:sz w:val="13"/>
          <w:szCs w:val="13"/>
          <w:color w:val="auto"/>
        </w:rPr>
        <w:t>®</w:t>
      </w:r>
      <w:r>
        <w:rPr>
          <w:rFonts w:ascii="Arial" w:cs="Arial" w:eastAsia="Arial" w:hAnsi="Arial"/>
          <w:sz w:val="16"/>
          <w:szCs w:val="16"/>
          <w:color w:val="auto"/>
        </w:rPr>
        <w:t xml:space="preserve"> (avelumab), their monoclonal antibody targeting PD-L1, in a Phase 1b/2 clinical trial, ENCORE 603, of patients with ovarian cancer. The Phase 1b portion established the safety of weekly, oral entinostat in combination with </w:t>
      </w:r>
      <w:r>
        <w:rPr>
          <w:rFonts w:ascii="Arial" w:cs="Arial" w:eastAsia="Arial" w:hAnsi="Arial"/>
          <w:sz w:val="16"/>
          <w:szCs w:val="16"/>
          <w:i w:val="1"/>
          <w:iCs w:val="1"/>
          <w:color w:val="auto"/>
        </w:rPr>
        <w:t>Bavencio</w:t>
      </w:r>
      <w:r>
        <w:rPr>
          <w:rFonts w:ascii="Arial" w:cs="Arial" w:eastAsia="Arial" w:hAnsi="Arial"/>
          <w:sz w:val="16"/>
          <w:szCs w:val="16"/>
          <w:color w:val="auto"/>
        </w:rPr>
        <w:t>. The Phase 2 portion, which began in the third quarter of 2017, is a randomized, double-blind, placebo-controlled trial with PFS as the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endpoint and response rate, duration of response, time to response and OS as secondary end points. This trial did not meet its primary endpoint of a statistically significant improvement in PFS for the combination regimen compared with </w:t>
      </w:r>
      <w:r>
        <w:rPr>
          <w:rFonts w:ascii="Arial" w:cs="Arial" w:eastAsia="Arial" w:hAnsi="Arial"/>
          <w:sz w:val="16"/>
          <w:szCs w:val="16"/>
          <w:i w:val="1"/>
          <w:iCs w:val="1"/>
          <w:color w:val="auto"/>
        </w:rPr>
        <w:t>Bavencio</w:t>
      </w:r>
      <w:r>
        <w:rPr>
          <w:rFonts w:ascii="Arial" w:cs="Arial" w:eastAsia="Arial" w:hAnsi="Arial"/>
          <w:sz w:val="16"/>
          <w:szCs w:val="16"/>
          <w:color w:val="auto"/>
        </w:rPr>
        <w:t xml:space="preserve"> monotherapy. The Phase 2 trial randomized 126 patients to receive 10 mg/kg </w:t>
      </w:r>
      <w:r>
        <w:rPr>
          <w:rFonts w:ascii="Arial" w:cs="Arial" w:eastAsia="Arial" w:hAnsi="Arial"/>
          <w:sz w:val="16"/>
          <w:szCs w:val="16"/>
          <w:i w:val="1"/>
          <w:iCs w:val="1"/>
          <w:color w:val="auto"/>
        </w:rPr>
        <w:t>Bavencio</w:t>
      </w:r>
      <w:r>
        <w:rPr>
          <w:rFonts w:ascii="Arial" w:cs="Arial" w:eastAsia="Arial" w:hAnsi="Arial"/>
          <w:sz w:val="16"/>
          <w:szCs w:val="16"/>
          <w:color w:val="auto"/>
        </w:rPr>
        <w:t xml:space="preserve"> every two weeks in combination with either 5 mg of entinostat (N=85) or placebo (N=41) once weekly.</w:t>
      </w:r>
    </w:p>
    <w:p>
      <w:pPr>
        <w:spacing w:after="0" w:line="167"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We designed these series of immune-oncology trials to test whether entinostat could enhance the activity of PD1 pathway antagonists across a number of immunologic environments. NSCLC and melanoma represent settings where the tumors are infiltrated with T cells, MSS-CRC and TNBC are characterized as excluded where the T cells cannot enter the tumor and organize around the edges of the tumor, and ovarian cancer which is characterized by having an absence of T-cells. The data that we have received thus far from clinical trials of entinostat in immuno-oncology suggests that entinostat has the ability to overcome resistance in PD-1 refractory patients in NSCLC and melanoma, but was not supportive of continued study in MSS-CRC, TNBC and ovarian cancer. We believe that results to date from our ENCORE program support that entinostat’s beneficial effect is evident in tumors that have been infiltrated with T cells, or inflamed tumors, and not in the other immunologic settings.</w:t>
      </w:r>
    </w:p>
    <w:p>
      <w:pPr>
        <w:spacing w:after="0" w:line="178"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Additionally, entinostat is being evaluated in over 10 ongoing and additional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SNDX-6352</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SNDX-6352 is a humanized monoclonal antibody that binds with high affinity to CSF-1R. CSF-1R is expressed on the surface of specific immuno-suppressive cells (e.g., TAMs) known to play a role in the growth, survival, and metastases of cancer. Inhibition of CSF-1R is thought to disrupt the activity of TAMs, resulting in a decrease in the immunosuppressive environment immediately surrounding the tumor, or tumor micro-environment. This mode of action is thought to make CSF-1R inhibitors well suited for use in combination with checkpoint inhibitors, particularly in cancers where there may be limited activity of immune checkpoint inhibitors as monotherapy. We believe that SNDX-6352 has the potential to be used to treat a variety of cancers in combination with entinostat and with other oncology agents, including immune checkpoint inhibitors, radiation, and chemotherapy.</w:t>
      </w:r>
    </w:p>
    <w:p>
      <w:pPr>
        <w:spacing w:after="0" w:line="17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are developing SNDX-6352 to bind to CSF-1R and block the ability of CSF-1 and IL-34 to bind to and activate CSF-1R signaling. Our near-term focus is to rapidly establish proof of concept that SNDX-6352 can provide meaningful clinical benefit to patients in one or more tumor types when combined with standard of care therapies for a given indication. We intend to conduct clinical trials in patients with tumor types having clear unmet needs (e.g., NSCLC, TNBC, prostate, melanoma, pancreatic, ovarian, bladder) and where we believe that the inhibition of TAMs via CSF-1R inhibition will produce meaningful benefits for patients, such as chronic graft versus host disease.</w:t>
      </w:r>
    </w:p>
    <w:p>
      <w:pPr>
        <w:spacing w:after="0" w:line="188"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We commenced SNDX-6352-502, a Phase 1 dose escalation trial, in the third quarter of 2017. In addition to assessing safety at increasing doses of SNDX-6352, this trial will provide information on the concentration of SNDX-6352 and levels of CSF-1, IL-34 and non-classical monocytes in the blood. We are conducting the trial at multiple centers in the United States and expect to complete enrollment in this Phase 1 trial by the end of second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quarter of 2019. We expect to utilize the safety assessment of SNDX-6352 to determine the starting dose for subsequent clinical trials testing multiple doses of SNDX-6352 as a single agent and in combinations.</w:t>
      </w:r>
    </w:p>
    <w:p>
      <w:pPr>
        <w:spacing w:after="0" w:line="170"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 xml:space="preserve">In early 2018, we expanded SNDX-6352-502 to include a Phase 1b dose escalation study evaluating the safety of SNDX-6352 in combination with </w:t>
      </w:r>
      <w:r>
        <w:rPr>
          <w:rFonts w:ascii="Arial" w:cs="Arial" w:eastAsia="Arial" w:hAnsi="Arial"/>
          <w:sz w:val="18"/>
          <w:szCs w:val="18"/>
          <w:i w:val="1"/>
          <w:iCs w:val="1"/>
          <w:color w:val="auto"/>
        </w:rPr>
        <w:t>Imfinzi</w:t>
      </w:r>
      <w:r>
        <w:rPr>
          <w:rFonts w:ascii="Arial" w:cs="Arial" w:eastAsia="Arial" w:hAnsi="Arial"/>
          <w:sz w:val="18"/>
          <w:szCs w:val="18"/>
          <w:color w:val="auto"/>
        </w:rPr>
        <w:t>, AstraZeneca’s human monoclonal antibody directed against PD-L1. These cohorts will also provide information on pharmacokinetic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pharmacodynamic effects of the combination. We anticipate identifying the RP2D and schedule for SNDX-6352 in combination with </w:t>
      </w:r>
      <w:r>
        <w:rPr>
          <w:rFonts w:ascii="Arial" w:cs="Arial" w:eastAsia="Arial" w:hAnsi="Arial"/>
          <w:sz w:val="18"/>
          <w:szCs w:val="18"/>
          <w:i w:val="1"/>
          <w:iCs w:val="1"/>
          <w:color w:val="auto"/>
        </w:rPr>
        <w:t>Imfinzi</w:t>
      </w:r>
      <w:r>
        <w:rPr>
          <w:rFonts w:ascii="Arial" w:cs="Arial" w:eastAsia="Arial" w:hAnsi="Arial"/>
          <w:sz w:val="18"/>
          <w:szCs w:val="18"/>
          <w:color w:val="auto"/>
        </w:rPr>
        <w:t xml:space="preserve"> in the second quarter of 2019.</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the fourth quarter of 2018, we opened enrollment in SNDX-6352-503, a Phase 1 dose escalation trial of SNDX-6352 in patients with cGVHD. The objectives of this trial are to evaluate the safety and preliminary efficacy of SNDX-6352 in cGVHD and to identify a RP2D and schedule. We expect to receive initial results in the fourth quarter of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SNDX-5613</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SNDX-5613 is a potent, orally active inhibitor of the high affinity interaction site on menin with the protein MLL1. This specific interaction is a key driver for two genetically defined acute leukemias: (i) MLLr and (ii) NPM1c AML. Both diseases have a poor prognosis with an unmet need. In preclinical testing, SNDX-5613 has demonstrated complete tumor regression and profound, dose-dependent survival benefit in leukemic models of disease. SNDX-5613 is a targeted therapy that we are developing initially as a treatment for leukemia patients having relapsed or refractory MLLr or NPM1c AML. We anticipate filing an IND in the second quarter of 2019 and initiating the clinical program shortly thereafter.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1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Patients in the United States with advanced HR+ breast cancer are treated with hormone therapies with the goal to prolong OS and to delay treatment with more toxic chemotherapies. Hormone therapies are designed to inhibit estrogen stimulation of advanced HR+ breast cancers. Due to limited efficacy of hormone therapies in the advanced HR+ breast cancer setting, multiple lines of treatment are typically used, with each additional line of hormone therapy resulting in a shorter PFS and lower OS. The cause of resistance is multi-factorial and results in tumor progression independent of estrogen stimulation. In 2016, approximately 34,000 patients with HR+ breast cancer were treated with a hormone therapy as second-line or later treatment in the United States. The median OS for advanced HR+ breast cancer in the second-line setting is approximately two years.</w:t>
      </w:r>
    </w:p>
    <w:p>
      <w:pPr>
        <w:spacing w:after="0" w:line="17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 xml:space="preserve">The FDA has approved the use of </w:t>
      </w:r>
      <w:r>
        <w:rPr>
          <w:rFonts w:ascii="Arial" w:cs="Arial" w:eastAsia="Arial" w:hAnsi="Arial"/>
          <w:sz w:val="18"/>
          <w:szCs w:val="18"/>
          <w:i w:val="1"/>
          <w:iCs w:val="1"/>
          <w:color w:val="auto"/>
        </w:rPr>
        <w:t>Afinitor</w:t>
      </w:r>
      <w:r>
        <w:rPr>
          <w:rFonts w:ascii="Arial" w:cs="Arial" w:eastAsia="Arial" w:hAnsi="Arial"/>
          <w:sz w:val="15"/>
          <w:szCs w:val="15"/>
          <w:color w:val="auto"/>
        </w:rPr>
        <w:t>®</w:t>
      </w:r>
      <w:r>
        <w:rPr>
          <w:rFonts w:ascii="Arial" w:cs="Arial" w:eastAsia="Arial" w:hAnsi="Arial"/>
          <w:sz w:val="18"/>
          <w:szCs w:val="18"/>
          <w:color w:val="auto"/>
        </w:rPr>
        <w:t xml:space="preserve"> (everolimus), an inhibitor of mammalian target of rapamycin, for use in combination with exemestane, based on a randomized Phase 3 clinical trial which resulted in a median PFS benefit of 7.8 months for patients receiving </w:t>
      </w:r>
      <w:r>
        <w:rPr>
          <w:rFonts w:ascii="Arial" w:cs="Arial" w:eastAsia="Arial" w:hAnsi="Arial"/>
          <w:sz w:val="18"/>
          <w:szCs w:val="18"/>
          <w:i w:val="1"/>
          <w:iCs w:val="1"/>
          <w:color w:val="auto"/>
        </w:rPr>
        <w:t>Afinitor</w:t>
      </w:r>
      <w:r>
        <w:rPr>
          <w:rFonts w:ascii="Arial" w:cs="Arial" w:eastAsia="Arial" w:hAnsi="Arial"/>
          <w:sz w:val="18"/>
          <w:szCs w:val="18"/>
          <w:color w:val="auto"/>
        </w:rPr>
        <w:t>-exemestane and 3.2 months for patients receiving exemestane alone, but no statistically significant improvement in OS.</w:t>
      </w:r>
    </w:p>
    <w:p>
      <w:pPr>
        <w:spacing w:after="0" w:line="18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 xml:space="preserve">More recently, the FDA granted approval to three cyclin-dependent kinase 4 and 6, or CDK4/6, inhibitors, </w:t>
      </w:r>
      <w:r>
        <w:rPr>
          <w:rFonts w:ascii="Arial" w:cs="Arial" w:eastAsia="Arial" w:hAnsi="Arial"/>
          <w:sz w:val="18"/>
          <w:szCs w:val="18"/>
          <w:i w:val="1"/>
          <w:iCs w:val="1"/>
          <w:color w:val="auto"/>
        </w:rPr>
        <w:t>Ibrance</w:t>
      </w:r>
      <w:r>
        <w:rPr>
          <w:rFonts w:ascii="Arial" w:cs="Arial" w:eastAsia="Arial" w:hAnsi="Arial"/>
          <w:sz w:val="15"/>
          <w:szCs w:val="15"/>
          <w:color w:val="auto"/>
        </w:rPr>
        <w:t>®</w:t>
      </w:r>
      <w:r>
        <w:rPr>
          <w:rFonts w:ascii="Arial" w:cs="Arial" w:eastAsia="Arial" w:hAnsi="Arial"/>
          <w:sz w:val="18"/>
          <w:szCs w:val="18"/>
          <w:color w:val="auto"/>
        </w:rPr>
        <w:t xml:space="preserve"> (palbociclib), </w:t>
      </w:r>
      <w:r>
        <w:rPr>
          <w:rFonts w:ascii="Arial" w:cs="Arial" w:eastAsia="Arial" w:hAnsi="Arial"/>
          <w:sz w:val="18"/>
          <w:szCs w:val="18"/>
          <w:i w:val="1"/>
          <w:iCs w:val="1"/>
          <w:color w:val="auto"/>
        </w:rPr>
        <w:t>Kisqali</w:t>
      </w:r>
      <w:r>
        <w:rPr>
          <w:rFonts w:ascii="Arial" w:cs="Arial" w:eastAsia="Arial" w:hAnsi="Arial"/>
          <w:sz w:val="15"/>
          <w:szCs w:val="15"/>
          <w:color w:val="auto"/>
        </w:rPr>
        <w:t>®</w:t>
      </w:r>
      <w:r>
        <w:rPr>
          <w:rFonts w:ascii="Arial" w:cs="Arial" w:eastAsia="Arial" w:hAnsi="Arial"/>
          <w:sz w:val="18"/>
          <w:szCs w:val="18"/>
          <w:color w:val="auto"/>
        </w:rPr>
        <w:t xml:space="preserve"> (ribociclib) and </w:t>
      </w:r>
      <w:r>
        <w:rPr>
          <w:rFonts w:ascii="Arial" w:cs="Arial" w:eastAsia="Arial" w:hAnsi="Arial"/>
          <w:sz w:val="18"/>
          <w:szCs w:val="18"/>
          <w:i w:val="1"/>
          <w:iCs w:val="1"/>
          <w:color w:val="auto"/>
        </w:rPr>
        <w:t>Verzenio</w:t>
      </w:r>
      <w:r>
        <w:rPr>
          <w:rFonts w:ascii="Arial" w:cs="Arial" w:eastAsia="Arial" w:hAnsi="Arial"/>
          <w:sz w:val="15"/>
          <w:szCs w:val="15"/>
          <w:i w:val="1"/>
          <w:iCs w:val="1"/>
          <w:color w:val="auto"/>
        </w:rPr>
        <w:t>®</w:t>
      </w:r>
      <w:r>
        <w:rPr>
          <w:rFonts w:ascii="Arial" w:cs="Arial" w:eastAsia="Arial" w:hAnsi="Arial"/>
          <w:sz w:val="18"/>
          <w:szCs w:val="18"/>
          <w:color w:val="auto"/>
        </w:rPr>
        <w:t xml:space="preserve"> (abemaciclib) in combination with endocrine therapy for the treatment of breast cancer in postmenopausal women with metastatic disease. Based on the significant PFS benefit observed in combination with endocrine therapy, these agents have been adopted as standard of care treatment, with patients increasingly receiving a CDK4/6 therapy in the front-line setting.</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While the treatment of advanced HR+ breast cancer is evolving given the introduction of multiple combination therapies</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physicians will welcome the introduction of a well-tolerated therapy that improves OS, which has not been demonstrated to date for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or the CDK 4/6 inhibitors in combination with hormone therapy. We believe current data suggests that entinostat could demonstrate a favorable benefit-risk profile and an improvement in OS, and thus may become a preferred treatment option for patients with advanced HR+ breast cancer who have stopped responding to their first line endocrine-based regimen.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Entinostat with Immune Checkpoint Inhibitors in NSCLC, Melanoma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NSCLC</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Lung cancer is the leading cause of cancer death among men and women, with more people dying of lung cancer each year than of colon, breast, and prostate cancers combined. According to the American Cancer Society, approximately 80% to 85% of lung cancers are NSCLC; and in 2017, an estimated 222,500 new cases of lung cancer were diagnosed, and an estimated 155,870 people died from lung cancer in the United States. The five-year survival rate for patients with lung cancer generally is 18% and for patients with Stage IV is approximately 5%, indicating a significant need for new therapies that can prolong OS.</w:t>
      </w:r>
    </w:p>
    <w:p>
      <w:pPr>
        <w:spacing w:after="0" w:line="188"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Advanced/metastatic NSCLC is a severe disease with a poor prognosis in the majority of patients. Treatment typically included a first-line combination chemotherapy followed by a choice of a second-line therapeutic approach. Most patients receiving first-line chemotherapy will progress within one year of treatment with a median PFS of approximately six to seven months and median OS of approximately 12 to 14 months. In the second-line setting, the median PFS for standard chemotherapy is approximately three to four months and median OS is approximately six to nine months.</w:t>
      </w:r>
    </w:p>
    <w:p>
      <w:pPr>
        <w:spacing w:after="0" w:line="154"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However, even as the development of these immune checkpoint inhibitors represent a significant advance for NSCLC patients, most patients may still see their disease progress and the proportion of treated patients with low PD-L1 expression who respond to approved regimens is quite low (approximately 10%). We believe with these disease-progressing patients and low response rates, there is significant room to improve upon the benefit of PD-L1 inhibitors through combinations with drugs, like entinostat, that target immune modulation through complementary mechanisms.</w:t>
      </w:r>
    </w:p>
    <w:p>
      <w:pPr>
        <w:spacing w:after="0" w:line="171"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 xml:space="preserve">There are other PD-L1 inhibitors being developed to treat NSCLC, such as Merck KGaA/Pfizer’s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BeiGene, Ltd.’s BGB-A317, and Sanofi/Regeneron’s cemiplimab which are in Phase 3 trials. The clinical development programs for these PD-L1 inhibitors have been designed to understand the broad impact they could have across NSCLC, including chemotherapy-naive and previously treated patients, as well as earlier stage patients. We anticipate the immune checkpoint inhibitors will be available for use across the spectrum of advanced NSCLC patients.</w:t>
      </w:r>
    </w:p>
    <w:p>
      <w:pPr>
        <w:spacing w:after="0" w:line="17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However, even as the development of these immune checkpoint inhibitors represent a significant advance for NSCLC patients, most patients may still see their disease progress and the proportion of treated patients with low PD-L1 expression who respond to approved regimens is quite low (approximately 10%). We believe with these disease-progressing patients and low response rates, there is significant room to improve upon the benefit of PD-L1 inhibitors through combinations with drugs, like entinostat, that target immune modulation through complementary mechanisms.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Melanoma</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 xml:space="preserve">The incidence of malignant melanoma in most developed countries has risen faster than any other cancer type since the mid-1950s. In 2011, the average survival duration for patients with Stage IV melanoma, in which the melanoma has metastasized, was only six to ten months; and the five-year survival rate for such patients was 16%. Although this rate had not changed in some time, a recent major advance for melanoma came with the development and approval of drugs such as </w:t>
      </w:r>
      <w:r>
        <w:rPr>
          <w:rFonts w:ascii="Arial" w:cs="Arial" w:eastAsia="Arial" w:hAnsi="Arial"/>
          <w:sz w:val="18"/>
          <w:szCs w:val="18"/>
          <w:i w:val="1"/>
          <w:iCs w:val="1"/>
          <w:color w:val="auto"/>
        </w:rPr>
        <w:t>Zelboraf</w:t>
      </w:r>
      <w:r>
        <w:rPr>
          <w:rFonts w:ascii="Arial" w:cs="Arial" w:eastAsia="Arial" w:hAnsi="Arial"/>
          <w:sz w:val="15"/>
          <w:szCs w:val="15"/>
          <w:i w:val="1"/>
          <w:iCs w:val="1"/>
          <w:color w:val="auto"/>
        </w:rPr>
        <w:t>®</w:t>
      </w:r>
      <w:r>
        <w:rPr>
          <w:rFonts w:ascii="Arial" w:cs="Arial" w:eastAsia="Arial" w:hAnsi="Arial"/>
          <w:sz w:val="18"/>
          <w:szCs w:val="18"/>
          <w:color w:val="auto"/>
        </w:rPr>
        <w:t xml:space="preserve"> (vemurafenib), </w:t>
      </w:r>
      <w:r>
        <w:rPr>
          <w:rFonts w:ascii="Arial" w:cs="Arial" w:eastAsia="Arial" w:hAnsi="Arial"/>
          <w:sz w:val="18"/>
          <w:szCs w:val="18"/>
          <w:i w:val="1"/>
          <w:iCs w:val="1"/>
          <w:color w:val="auto"/>
        </w:rPr>
        <w:t>Tafinlar</w:t>
      </w:r>
      <w:r>
        <w:rPr>
          <w:rFonts w:ascii="Arial" w:cs="Arial" w:eastAsia="Arial" w:hAnsi="Arial"/>
          <w:sz w:val="15"/>
          <w:szCs w:val="15"/>
          <w:i w:val="1"/>
          <w:iCs w:val="1"/>
          <w:color w:val="auto"/>
        </w:rPr>
        <w:t>®</w:t>
      </w:r>
      <w:r>
        <w:rPr>
          <w:rFonts w:ascii="Arial" w:cs="Arial" w:eastAsia="Arial" w:hAnsi="Arial"/>
          <w:sz w:val="18"/>
          <w:szCs w:val="18"/>
          <w:color w:val="auto"/>
        </w:rPr>
        <w:t xml:space="preserve"> (dabrafenib) and </w:t>
      </w:r>
      <w:r>
        <w:rPr>
          <w:rFonts w:ascii="Arial" w:cs="Arial" w:eastAsia="Arial" w:hAnsi="Arial"/>
          <w:sz w:val="18"/>
          <w:szCs w:val="18"/>
          <w:i w:val="1"/>
          <w:iCs w:val="1"/>
          <w:color w:val="auto"/>
        </w:rPr>
        <w:t>Mekinist</w:t>
      </w:r>
      <w:r>
        <w:rPr>
          <w:rFonts w:ascii="Arial" w:cs="Arial" w:eastAsia="Arial" w:hAnsi="Arial"/>
          <w:sz w:val="15"/>
          <w:szCs w:val="15"/>
          <w:i w:val="1"/>
          <w:iCs w:val="1"/>
          <w:color w:val="auto"/>
        </w:rPr>
        <w:t>®</w:t>
      </w:r>
      <w:r>
        <w:rPr>
          <w:rFonts w:ascii="Arial" w:cs="Arial" w:eastAsia="Arial" w:hAnsi="Arial"/>
          <w:sz w:val="18"/>
          <w:szCs w:val="18"/>
          <w:color w:val="auto"/>
        </w:rPr>
        <w:t xml:space="preserve"> (trametinib), for patients with a mutated BRAF gene, which is a human gene that encodes a protein called B Raf.</w:t>
      </w:r>
    </w:p>
    <w:p>
      <w:pPr>
        <w:spacing w:after="0" w:line="18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 xml:space="preserve">Melanoma is a particularly immune-responsive tumor, and thus, immunotherapy of melanoma has developed as a dynamic field for clinical research. To date, immunotherapies such as </w:t>
      </w:r>
      <w:r>
        <w:rPr>
          <w:rFonts w:ascii="Arial" w:cs="Arial" w:eastAsia="Arial" w:hAnsi="Arial"/>
          <w:sz w:val="18"/>
          <w:szCs w:val="18"/>
          <w:i w:val="1"/>
          <w:iCs w:val="1"/>
          <w:color w:val="auto"/>
        </w:rPr>
        <w:t>Yervoy</w:t>
      </w:r>
      <w:r>
        <w:rPr>
          <w:rFonts w:ascii="Arial" w:cs="Arial" w:eastAsia="Arial" w:hAnsi="Arial"/>
          <w:sz w:val="15"/>
          <w:szCs w:val="15"/>
          <w:color w:val="auto"/>
        </w:rPr>
        <w:t>®</w:t>
      </w:r>
      <w:r>
        <w:rPr>
          <w:rFonts w:ascii="Arial" w:cs="Arial" w:eastAsia="Arial" w:hAnsi="Arial"/>
          <w:sz w:val="18"/>
          <w:szCs w:val="18"/>
          <w:color w:val="auto"/>
        </w:rPr>
        <w:t xml:space="preserve"> (ipilmumab),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w:t>
      </w:r>
      <w:r>
        <w:rPr>
          <w:rFonts w:ascii="Arial" w:cs="Arial" w:eastAsia="Arial" w:hAnsi="Arial"/>
          <w:sz w:val="18"/>
          <w:szCs w:val="18"/>
          <w:i w:val="1"/>
          <w:iCs w:val="1"/>
          <w:color w:val="auto"/>
        </w:rPr>
        <w:t>Opdivo</w:t>
      </w:r>
      <w:r>
        <w:rPr>
          <w:rFonts w:ascii="Arial" w:cs="Arial" w:eastAsia="Arial" w:hAnsi="Arial"/>
          <w:sz w:val="15"/>
          <w:szCs w:val="15"/>
          <w:color w:val="auto"/>
        </w:rPr>
        <w:t>®</w:t>
      </w:r>
      <w:r>
        <w:rPr>
          <w:rFonts w:ascii="Arial" w:cs="Arial" w:eastAsia="Arial" w:hAnsi="Arial"/>
          <w:sz w:val="18"/>
          <w:szCs w:val="18"/>
          <w:color w:val="auto"/>
        </w:rPr>
        <w:t xml:space="preserve"> (nivolumab), have been approved for the treatment of malignant melanoma patients with unresectable or metastatic disease. However, in this tumor type as well, the immunotherapies represent a significant advance for only a small proportion of patients, leaving significant room to improve upon the benefit of immune checkpoint inhibitors through combinations with drugs, like entinostat, that target immune modulation through complementary mechanisms.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SNDX-6352 in GVHD</w:t>
      </w:r>
    </w:p>
    <w:p>
      <w:pPr>
        <w:spacing w:after="0" w:line="117" w:lineRule="exact"/>
        <w:rPr>
          <w:sz w:val="20"/>
          <w:szCs w:val="20"/>
          <w:color w:val="auto"/>
        </w:rPr>
      </w:pPr>
    </w:p>
    <w:p>
      <w:pPr>
        <w:ind w:right="200" w:firstLine="598"/>
        <w:spacing w:after="0" w:line="312" w:lineRule="auto"/>
        <w:rPr>
          <w:sz w:val="20"/>
          <w:szCs w:val="20"/>
          <w:color w:val="auto"/>
        </w:rPr>
      </w:pPr>
      <w:r>
        <w:rPr>
          <w:rFonts w:ascii="Arial" w:cs="Arial" w:eastAsia="Arial" w:hAnsi="Arial"/>
          <w:sz w:val="16"/>
          <w:szCs w:val="16"/>
          <w:color w:val="auto"/>
        </w:rPr>
        <w:t>GVHD is a condition that can develop after an allogeneic hematopoietic stem cell transplant, HSCT, whereby donated cells, graft, view the recipient’s, host’s, tissue as foreign and attack. The chronic form of GVHD, cGVHD, can occur months or years after transplant and is the leading cause of late morbidity and mortality after allogeneic HSCT. U.S. incidence of cGVHD is approximately 5,000 patients, or 30-70% of HSCT recipients.</w:t>
      </w:r>
    </w:p>
    <w:p>
      <w:pPr>
        <w:spacing w:after="0" w:line="14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 xml:space="preserve">cGVHD can affect many different organs or tissues, including skin, eyes, lungs, gastrointestinal tract, genitourinary tract and neuromuscular system. The first line of therapy for cGVHD is typically corticosteroids, though approximately 50% of patients may require treatment with additional systemic therapies, such as extracorporeal photopheresis, cytostatic agents such as mycophenolate moftetil, methotrexate, and immunmodulators such as rituximab, IL-2. </w:t>
      </w:r>
      <w:r>
        <w:rPr>
          <w:rFonts w:ascii="Arial" w:cs="Arial" w:eastAsia="Arial" w:hAnsi="Arial"/>
          <w:sz w:val="18"/>
          <w:szCs w:val="18"/>
          <w:i w:val="1"/>
          <w:iCs w:val="1"/>
          <w:color w:val="auto"/>
        </w:rPr>
        <w:t>Imbruvica</w:t>
      </w:r>
      <w:r>
        <w:rPr>
          <w:rFonts w:ascii="Arial" w:cs="Arial" w:eastAsia="Arial" w:hAnsi="Arial"/>
          <w:sz w:val="18"/>
          <w:szCs w:val="18"/>
          <w:color w:val="auto"/>
        </w:rPr>
        <w:t xml:space="preserve">® (ibrutinib), a BTK inhibitor, is the only FDA-approved therapy for cGVHD and is indicated for use after one or more lines of therapy. </w:t>
      </w:r>
      <w:r>
        <w:rPr>
          <w:rFonts w:ascii="Arial" w:cs="Arial" w:eastAsia="Arial" w:hAnsi="Arial"/>
          <w:sz w:val="18"/>
          <w:szCs w:val="18"/>
          <w:i w:val="1"/>
          <w:iCs w:val="1"/>
          <w:color w:val="auto"/>
        </w:rPr>
        <w:t>Imbruvica</w:t>
      </w:r>
      <w:r>
        <w:rPr>
          <w:rFonts w:ascii="Arial" w:cs="Arial" w:eastAsia="Arial" w:hAnsi="Arial"/>
          <w:sz w:val="18"/>
          <w:szCs w:val="18"/>
          <w:color w:val="auto"/>
        </w:rPr>
        <w:t xml:space="preserve"> received approval based on Phase 1/2 clinical trial data that showed a 68% overall response rate, with 48% of responses lasting 20 weeks or longer and reduced dependence on steroids for most patients. Significant unmet need remains for these patients as no agent has demonstrated an improvement in long-term outcomes.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MLLr</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MLLr leukemias arise by rare, spontaneous translocations at the MLL1 locus (11q23). It is estimated that approximately 10% of AML and ALL harbor this MLL-re-arrangement with a worldwide incidence of approximately 4,000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targeted strategy for the treatment of MLLr leukemias.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Nucleophosmin 1 Mutant AML</w:t>
      </w:r>
    </w:p>
    <w:p>
      <w:pPr>
        <w:spacing w:after="0" w:line="117"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NPM1 is among the most frequently mutated genes in AML, found in approximately 30% of AML cases for an incidence of approximately 20,000 cases per year. Mutations in NPM1 lead to the aberrant cytoplasmic localization of the mutants, termed NPM1c. Loss of NPM1c from the nucleus leads to suppression of differentiation and enables a leukemic transcription program that relies critically on the menin-MLL1 complex to drive and maintain the program. As a result, NPM1c harboring cells are sensitive to menin-MLL interaction inhibitors. In NPM1c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NPM1c xenografts. Based on these findings, blocking the menin-MLL1 interaction represents a novel targeted strategy for the treatment of NPM1c AML.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Collaborations in Immuno-Oncology</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have entered into several clinical collaborations in immuno-oncology, as we have further described below. To the extent that any inventions arise from such a collaboration, each party will solely own inventions relating to its drug alone, and the parties will jointly own any inventions relating to the combination of the two drugs. In most cases, clinical data from the trial will be jointly owned. In general, either party may terminate the applicable collaboration agreement for the other party’s uncured material breach. In addition, either party may terminate the applicable agreement if it determines that the trial may unreasonably affect patient safety, or if a regulatory authority withdraws the approval to conduct a trial or takes an action that prevent such party from supplying its drug, or if the other party or its employees are sanctioned under certain healthcare-related laws, or if such party decides to discontinue development of its drug.</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Merck—MSD International GmbH</w:t>
      </w:r>
    </w:p>
    <w:p>
      <w:pPr>
        <w:spacing w:after="0" w:line="11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 xml:space="preserve">In March 2015, we entered into a clinical trial collaboration and supply agreement with MSD International GmbH, an affiliate of Merck, under which we will conduct a clinical trial evaluating entinostat in combination with Merck’s drug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melanoma. We are the sponsor of the clinical trial. Merck is supplying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for use in the clinical trial. Neither party will have any obligation to reimburse any costs incurred by the other party, except that a party may be required to reimburse the manufacturing costs of the other party upon certain early termination events.</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 xml:space="preserve">In August 2015, we entered into a combination study collaboration agreement with Genentech under which we will conduct a clinical trial evaluating entinostat in combination with Genentech’s drug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patients with TNBC. We are the sponsor of the clinical trial. Genentech supplied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for use in the clinical trial. Each party will perform its obligations under the agreement at its own expense, including its internal costs. In March 2019, we announced that this trial did not meet its primary endpoint of statistically significant improvement in PFS for the combination regimen versus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monotherapy.</w:t>
      </w:r>
    </w:p>
    <w:p>
      <w:pPr>
        <w:spacing w:after="0" w:line="18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In January 2018, we entered into a combination study collaboration agreement with Genentech under which Genentech will conduct a clinical trial evaluating entinostat in combination with Genentech’s drug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in patients with HR+, HER2-, metastatic breast cancer. Genentech is the sponsor of the clinical trial. We are supplying entinostat for use in the clinical trial. Each party will perform its obligations under the agreement at its own expense, including its internal costs.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Merck KGaA and Pfizer</w:t>
      </w:r>
    </w:p>
    <w:p>
      <w:pPr>
        <w:spacing w:after="0" w:line="11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 xml:space="preserve">In December 2015, we entered into a clinical trial collaboration and supply agreement with Merck KGaA and Pfizer under which we will conduct a clinical trial evaluating entinostat in combination with an investigational monoclonal antibody,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in patients with ovarian cancer.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is being developed collaboratively by Merck KGaA and Pfizer, which are together treated as a single party for purposes of this agreement. We are the sponsor of the clinical trial. Merck KGaA and Pfizer supplied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for use in the clinical trial. In March 2019, we announced that this did not meet its primary endpoint of a statistically significant improvement in PFS for the combination regimen compared with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monotherapy.</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Nektar Therapeutics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May 2018, we entered into a clinical trial collaboration agreement with Nektar under which we agreed to conduct a clinical trial evaluating</w:t>
      </w:r>
    </w:p>
    <w:p>
      <w:pPr>
        <w:spacing w:after="0" w:line="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entinostat in combination with Nektar’s proprietary IL2-based, CD122-biased agonist known as NKTR-214, in patients with metastatic melanoma. In January 2019, we agreed with Nektar not to advance the proposed clinical trial and the parties terminated the agreement. There were no costs associated with terminating the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Our collaboration with the NCI is governed by a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8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5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88" w:lineRule="exact"/>
        <w:rPr>
          <w:sz w:val="20"/>
          <w:szCs w:val="20"/>
          <w:color w:val="auto"/>
        </w:rPr>
      </w:pPr>
    </w:p>
    <w:p>
      <w:pPr>
        <w:ind w:right="300" w:firstLine="598"/>
        <w:spacing w:after="0" w:line="308" w:lineRule="auto"/>
        <w:rPr>
          <w:sz w:val="20"/>
          <w:szCs w:val="20"/>
          <w:color w:val="auto"/>
        </w:rPr>
      </w:pPr>
      <w:r>
        <w:rPr>
          <w:rFonts w:ascii="Arial" w:cs="Arial" w:eastAsia="Arial" w:hAnsi="Arial"/>
          <w:sz w:val="17"/>
          <w:szCs w:val="17"/>
          <w:color w:val="auto"/>
        </w:rPr>
        <w:t>Either party may terminate the CRADA either by mutual consent or unilaterally upon advance written notice to the other party. Absent such early termination, the CRADA will expire on May 21, 2019. As we have in the past, we expect to renew the CRADA at that time.</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 Agreement with Eastern Cooperative Oncology Group</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March 2014, we entered into a clinical trial agreement with Eastern Cooperative Oncology Group, a contracting entity for ECOG-ACRIN,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describes the parties’ obligations with respect to the NCI-sponsored pivotal Phase 3 clinical trial of entinostat. Under the terms of the clinical trial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ECOG-ACRIN is performing this clinical trial in accordance with the clinical trial protocol and a mutually agreed scope of work. In January 2015,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the agreement to provide for additional patient site reimbursement funds, which will be paid based on milestone-based payments. We will provide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level of financial support for the clinical trial through an upfront payment of $0.7 million and a series of time- and milestone-based payments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each that are comprised of milestone payments through the completion of enrollment and time-based payments through the completion of patient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monitoring post-enrollment. In addition, we are obligated to supply entinostat and placebo to ECOG-ACRIN for use in the clinical trial. From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2016 through the fourth quarter of 2018, we have entered into a number of amendments to the agreement to provide for additional study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resulting in an increase of the contractual obligation of $5.1 million. We have agreed to provide this additional financial support to fund the additional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required to ensure that the E2112 clinical trial will satisfy FDA registration requirements. As of December 31, 2018, our aggregate payment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this agreement are approximately $24.5 million; and our remaining obligations under this agreement were $9.6 million over an estimated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of approximately three years.</w:t>
      </w:r>
    </w:p>
    <w:p>
      <w:pPr>
        <w:spacing w:after="0" w:line="21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ECOG-ACRIN owns data and inventions from the Phase 3 clinical trial.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8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4" w:name="page15"/>
    <w:bookmarkEnd w:id="14"/>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 and SNDX-6352</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September 2016, we entered into a collaboration with the NCI related to both entinostat and SNDX-6352 is governed by a CRADA between us and the NCI. Under the CRADA, the NCI sponsors clinical studies on entinostat and SNDX-6352 using researchers at the NCI as well as NCI-funded researchers at other institutions. In return, we receive access to the data generated in these clinical studies, and we are obligated to supply the clinical trial sites with sufficient quantities of entinostat and SNDX-6352. Additionally, we are required to make an annual payment to a particular NCI laboratory to help support certain research studies related to this and other clinical trial. We have no other payment obligations under the CRADA.</w:t>
      </w:r>
    </w:p>
    <w:p>
      <w:pPr>
        <w:spacing w:after="0" w:line="173"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own all intellectual property generated during the collaboration with the NCI, or 6352 Collaboration IP, to the extent that 6352 Collaboration IP is generated by our employees. We also have an exclusive option to obtain an exclusive or non-exclusive commercialization license under 6352 Collaboration IP generated by the NCI. With respect to any 6352 Collaboration IP that is owned by or licensed to us, we have agreed to grant the United States government a non-exclusive license to practice or have practiced this 6352 Collaboration IP throughout the world by or on behalf of the government for research or other government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11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In December 2014, we entered into a license, development and commercialization agreement with Kyowa Hakko Kirin Co., Ltd., or KHK, under which KHK received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I HDAC, such drug will be included in this license as well. We will manufacture and supply entinostat to KHK during the term of the agreement, and such obligation may continue for a longer period if KHK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I HDACs for the same indication as entinostat, with all forms of cancer being treated as the same indication.</w:t>
      </w:r>
    </w:p>
    <w:p>
      <w:pPr>
        <w:spacing w:after="0" w:line="192"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received an upfront license fee of $17.5 million, and KHK purchased 536,049 shares of our Series B-1 Preferred Stock for an aggregate price of approximately $7.5 million. We are eligible to receive up to $50.0 million in development and regulatory milestone payments and up to $25.0 million in sales milestone payments. In October 2017, we announced that KHK dosed the first patient in a randomized, double-blind, placebo-controlled, pivotal Phase 2 trial of entinostat (designated KHK2375 by KHK), in combination with exemestane versus exemestane plus placebo in Japanese patients with advanced or recurrent HR+, HER2- breast cancer. Enrollment of the first patient in this trial triggered a $5 million milestone payment to us from KHK.</w:t>
      </w:r>
    </w:p>
    <w:p>
      <w:pPr>
        <w:spacing w:after="0" w:line="158"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color w:val="auto"/>
        </w:rPr>
        <w:t>KHK will pay us a transfer price for the supply of entinostat as well as royalties on net sales of entinostat above a specified threshold each calendar year by KHK, its affiliates and sublicensees in the low single digits. Royalty payment obligations will be payable in each country in the KHK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KHK’s development and commercialization of entinostat in the KHK territory will be made by us out of the payments we receive from KHK.</w:t>
      </w:r>
    </w:p>
    <w:p>
      <w:pPr>
        <w:spacing w:after="0" w:line="173"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The agreement with KHK will expire with respect to each country in the KHK territory upon the expiration of all royalty payment obligations in such country. In addition, we may terminate the agreement in its entirety upon written notice to KHK if KHK or any affiliate commences any action or proceeding that challenges the validity, enforceability or scope of any licensed patent in the KHK territory. KHK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KHK may, instead of terminating the agreement, elect to continue the agreement in full force and effect except certain payments to us will be reduced.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intend to create a commercial infrastructure to support sales of our product candidates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do not own or operate manufacturing facilities for the production of entinostat, SNDX-6352 or SNDX-5613,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long-term agreements with any of these third parties. We also do not have any current contractual relationship for the manufacture of commercial supplies. If entinostat, SNDX-6352 or SNDX-5613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88"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We strive to protect entinostat with multiple layers of patents. As of December 31, 2018, our portfolio included one owned U.S. provisional patent applications jointly owned with The Regents of the University of Colorado, five owned pending U.S. non-provisional patent applications, one owned allowed U.S. patent, five granted non-U.S. patents (including one Canadian patent jointly owned with The Regents of the University of Colorado), including a European Patent validated in seven countries, and 65 non-U.S. pending patent applications (including two pending international patent applications under the Patent Cooperation Treaty, or PCT). Also, we have filed national phase applications in the Eurasia Regional Patent Office, Ukraine and Georgia based on our owned PCT application directed to treatment of selected breast cancer patients with a combination of entinostat and exemestane. We have assigned our rights to the application we filed in the Eurasia Regional Patent Office to Domain Russia Investments Limited, or DRI. We have also assigned our rights to the applications we filed in Ukraine and Georgia to NovaMedica LLC, or NovaMedica. We have also filed national phase applications based 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6" w:name="page17"/>
    <w:bookmarkEnd w:id="16"/>
    <w:p>
      <w:pPr>
        <w:ind w:right="80"/>
        <w:spacing w:after="0" w:line="290" w:lineRule="auto"/>
        <w:rPr>
          <w:sz w:val="20"/>
          <w:szCs w:val="20"/>
          <w:color w:val="auto"/>
        </w:rPr>
      </w:pPr>
      <w:r>
        <w:rPr>
          <w:rFonts w:ascii="Arial" w:cs="Arial" w:eastAsia="Arial" w:hAnsi="Arial"/>
          <w:sz w:val="16"/>
          <w:szCs w:val="16"/>
          <w:color w:val="auto"/>
        </w:rPr>
        <w:t>our owned PCT application directed to treatment of selected breast cancer patients with the combination of entinostat and exemestane in the U.S. Patent and Trademark Office, or USPTO, the European Patent Office, or EPO, China, India, Australia, Canada, Japan, South Korea, South Africa, Brazil and Mexico. Our owned entinostat patent portfolio includes pending U.S. and ex-U.S. patent applications directed to methods of treating cancer patients by administration of entinostat according to selected dosing regimens, methods of treating cancer patients by administration of entinostat in combination with an HER2 inhibitor, methods of treating lung cancer patients by administration of entinostat in combination with an EGFR inhibitor, and treatments with entinostat combined with anti PD-1 or anti PD-L1 antibodies. Our owned pending U.S. provisional and PCT applications relate to entinostat and CSF-1 or CSF-1R combination therapies and patient selection for combination therapy comprising entinostat and a second therapeutic agent, respectively. If issued, patents based on our owned pending U.S. applications and non-U.S. filings based on our owned PCT applications would expire between April 2029 and May 2039.</w:t>
      </w:r>
    </w:p>
    <w:p>
      <w:pPr>
        <w:spacing w:after="0" w:line="166"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2018,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193"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9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Of the 62 foreign-granted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15 of the 17 pending foreign applications are counterparts of the ‘166 crystalline polymorph B patent. Other patents and patent applications in the licensed Bayer portfolio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expires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SNDX-6352 Patent Portfolio</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We have also in-licensed from UCB a patent portfolio directed to SNDX-6352, an IND-ready anti-CSF-1R monoclonal antibody. As of December 31, 2018, the SNDX-6352 composition-of-matter patent portfolio included one granted U.S. non-provisional patent application, two allowed non-U.S. applications, four granted non-U.S. patents and 33 non-U.S. pending patent applications. If issued, patents based on the in-licensed pending U.S. application and non-U.S. applications covering SNDX-6352 would expire in August 2034. 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issued, patents based on these pending applications would expire between November 2024 and February 2036. Further, the in-licensed portfolio includes three non-U.S. patents directed to methods of treating solid tumors by administration of an inhibitor of CSF-1R activity. The three patents will expire in October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 Asset Patent Portfolio</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have in-licensed from Vitae Pharmaceuticals, Inc., a subsidiary of Allergan, a patent portfolio directed to a series of selective preclinical inhibitors targeting the binding interaction of Menin with MLL-r. As of December 31, 2018, the in-licensed portfolio included two pending U.S. applications and 29 non-U.S. pending patent applications (including pending PCT application) covering composition of matter and methods of treating, e.g., MLL. If issued, patents based on the in-licensed applications would expire between December 2036 and September 2037.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70"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In-Licensed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Development and Commercialization Agreement with Bayer</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5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connection with the execution of the Bayer license agreement, we paid Bayer an upfront license fee of $2.0 million. We are also obligated to pay up to approximately $50.0 million in the aggregate upon obtaining certain milestones in the development and marketing approval of entinostat, assuming that we pursue at least two different indications for entinostat or any other licensed product.</w:t>
      </w:r>
    </w:p>
    <w:p>
      <w:pPr>
        <w:spacing w:after="0" w:line="181"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UCB</w:t>
      </w:r>
    </w:p>
    <w:p>
      <w:pPr>
        <w:spacing w:after="0" w:line="117" w:lineRule="exact"/>
        <w:rPr>
          <w:sz w:val="20"/>
          <w:szCs w:val="20"/>
          <w:color w:val="auto"/>
        </w:rPr>
      </w:pPr>
    </w:p>
    <w:p>
      <w:pPr>
        <w:ind w:right="340" w:firstLine="598"/>
        <w:spacing w:after="0" w:line="257" w:lineRule="auto"/>
        <w:rPr>
          <w:sz w:val="20"/>
          <w:szCs w:val="20"/>
          <w:color w:val="auto"/>
        </w:rPr>
      </w:pPr>
      <w:r>
        <w:rPr>
          <w:rFonts w:ascii="Arial" w:cs="Arial" w:eastAsia="Arial" w:hAnsi="Arial"/>
          <w:sz w:val="18"/>
          <w:szCs w:val="18"/>
          <w:color w:val="auto"/>
        </w:rPr>
        <w:t>In July 2016, we entered into a license agreement with UCB, or the UCB license agreement, under which UCB granted us a worldwide, sublicenseable, exclusive license to UCB6352, which the Company refers to as SNDX-6352, an IND-ready anti-CSF-1R monoclonal antibody. The UCB license agreement permits us to use SNDX-6352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w:t>
      </w:r>
    </w:p>
    <w:p>
      <w:pPr>
        <w:spacing w:after="0" w:line="18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In consideration for the license grant, we made a nonrefundable upfront payment of $5.0 million to UCB in the third quarter of 2016. Additionally,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We are solely responsible for the development and commercialization of SNDX-6352, except that UCB is performing a limited set of transitional chemistry, manufacturing and control tasks related to SNDX-6352.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9" w:name="page20"/>
    <w:bookmarkEnd w:id="19"/>
    <w:p>
      <w:pPr>
        <w:ind w:firstLine="598"/>
        <w:spacing w:after="0" w:line="255" w:lineRule="auto"/>
        <w:rPr>
          <w:sz w:val="20"/>
          <w:szCs w:val="20"/>
          <w:color w:val="auto"/>
        </w:rPr>
      </w:pPr>
      <w:r>
        <w:rPr>
          <w:rFonts w:ascii="Arial" w:cs="Arial" w:eastAsia="Arial" w:hAnsi="Arial"/>
          <w:sz w:val="18"/>
          <w:szCs w:val="18"/>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Vitae Pharmaceuticals, Inc.</w:t>
      </w:r>
    </w:p>
    <w:p>
      <w:pPr>
        <w:spacing w:after="0" w:line="117" w:lineRule="exact"/>
        <w:rPr>
          <w:sz w:val="20"/>
          <w:szCs w:val="20"/>
          <w:color w:val="auto"/>
        </w:rPr>
      </w:pPr>
    </w:p>
    <w:p>
      <w:pPr>
        <w:jc w:val="both"/>
        <w:ind w:right="80" w:firstLine="598"/>
        <w:spacing w:after="0" w:line="288" w:lineRule="auto"/>
        <w:rPr>
          <w:sz w:val="20"/>
          <w:szCs w:val="20"/>
          <w:color w:val="auto"/>
        </w:rPr>
      </w:pPr>
      <w:r>
        <w:rPr>
          <w:rFonts w:ascii="Arial" w:cs="Arial" w:eastAsia="Arial" w:hAnsi="Arial"/>
          <w:sz w:val="16"/>
          <w:szCs w:val="16"/>
          <w:color w:val="auto"/>
        </w:rPr>
        <w:t>In October 2017, we entered into a license agreement with Vitae Pharmaceuticals, Inc., a subsidiary of Allergan, or the Allergan License Agreement, under which Allergan granted us an exclusive, sublicenseable, worldwide license to, preclinical, orally-available, small molecule inhibitors of the interaction of Menin with the MLL protein, or the Menin Assets. We made a nonrefundable upfront payment of $5.0 million to Allergan in the fourth quarter of</w:t>
      </w:r>
    </w:p>
    <w:p>
      <w:pPr>
        <w:ind w:right="80"/>
        <w:spacing w:after="0" w:line="270" w:lineRule="auto"/>
        <w:rPr>
          <w:sz w:val="20"/>
          <w:szCs w:val="20"/>
          <w:color w:val="auto"/>
        </w:rPr>
      </w:pPr>
      <w:r>
        <w:rPr>
          <w:rFonts w:ascii="Arial" w:cs="Arial" w:eastAsia="Arial" w:hAnsi="Arial"/>
          <w:sz w:val="17"/>
          <w:szCs w:val="17"/>
          <w:color w:val="auto"/>
        </w:rPr>
        <w:t>2017. Additionally, subject to the achievement of certain milestone events, we may be required to pay Allergan up to an aggregate of $99 million in one-time development and regulatory milestone payments over the term of the Allergan License Agreement. In the event that we or any of its affiliates or sublicensees commercializes the Menin Assets, we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Allergan. We are solely responsible for the development and commercialization of the Menin Assets.</w:t>
      </w:r>
    </w:p>
    <w:p>
      <w:pPr>
        <w:spacing w:after="0" w:line="179" w:lineRule="exact"/>
        <w:rPr>
          <w:sz w:val="20"/>
          <w:szCs w:val="20"/>
          <w:color w:val="auto"/>
        </w:rPr>
      </w:pPr>
    </w:p>
    <w:p>
      <w:pPr>
        <w:jc w:val="both"/>
        <w:ind w:right="240" w:firstLine="598"/>
        <w:spacing w:after="0" w:line="286" w:lineRule="auto"/>
        <w:rPr>
          <w:sz w:val="20"/>
          <w:szCs w:val="20"/>
          <w:color w:val="auto"/>
        </w:rPr>
      </w:pPr>
      <w:r>
        <w:rPr>
          <w:rFonts w:ascii="Arial" w:cs="Arial" w:eastAsia="Arial" w:hAnsi="Arial"/>
          <w:sz w:val="16"/>
          <w:szCs w:val="16"/>
          <w:color w:val="auto"/>
        </w:rPr>
        <w:t>Each party may terminate the Allergan License Agreement for the other party’s uncured material breach or insolvency; and we may terminate the Allergan License Agreement at will at any time upon advance written notice to Allergan. Allergan may terminate the Allergan License Agreement if we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w:t>
      </w:r>
    </w:p>
    <w:p>
      <w:pPr>
        <w:spacing w:after="0" w:line="2" w:lineRule="exact"/>
        <w:rPr>
          <w:sz w:val="20"/>
          <w:szCs w:val="20"/>
          <w:color w:val="auto"/>
        </w:rPr>
      </w:pPr>
    </w:p>
    <w:p>
      <w:pPr>
        <w:ind w:right="140" w:firstLine="8"/>
        <w:spacing w:after="0" w:line="261"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81" w:lineRule="exact"/>
        <w:rPr>
          <w:sz w:val="20"/>
          <w:szCs w:val="20"/>
          <w:color w:val="auto"/>
        </w:rPr>
      </w:pPr>
    </w:p>
    <w:p>
      <w:pPr>
        <w:ind w:right="280" w:firstLine="598"/>
        <w:spacing w:after="0" w:line="312"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left="600"/>
        <w:spacing w:after="0"/>
        <w:rPr>
          <w:sz w:val="20"/>
          <w:szCs w:val="20"/>
          <w:color w:val="auto"/>
        </w:rPr>
      </w:pPr>
      <w:r>
        <w:rPr>
          <w:rFonts w:ascii="Arial" w:cs="Arial" w:eastAsia="Arial" w:hAnsi="Arial"/>
          <w:sz w:val="18"/>
          <w:szCs w:val="18"/>
          <w:b w:val="1"/>
          <w:bCs w:val="1"/>
          <w:i w:val="1"/>
          <w:iCs w:val="1"/>
          <w:color w:val="auto"/>
        </w:rPr>
        <w:t>Biopharmaceutical Product Development Process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process required by the FDA before biopharmaceutical products may be marketed in the United States generally involves the following:</w:t>
      </w:r>
    </w:p>
    <w:p>
      <w:pPr>
        <w:spacing w:after="0" w:line="129" w:lineRule="exact"/>
        <w:rPr>
          <w:sz w:val="20"/>
          <w:szCs w:val="20"/>
          <w:color w:val="auto"/>
        </w:rPr>
      </w:pPr>
    </w:p>
    <w:p>
      <w:pPr>
        <w:ind w:left="1200" w:right="18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17" w:lineRule="exact"/>
        <w:rPr>
          <w:rFonts w:ascii="Arial" w:cs="Arial" w:eastAsia="Arial" w:hAnsi="Arial"/>
          <w:sz w:val="18"/>
          <w:szCs w:val="18"/>
          <w:color w:val="auto"/>
        </w:rPr>
      </w:pPr>
    </w:p>
    <w:p>
      <w:pPr>
        <w:ind w:left="1200" w:right="340" w:hanging="598"/>
        <w:spacing w:after="0" w:line="342"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 or a Biologics License Application, or BLA, for biologics;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application for filing and review;</w:t>
      </w:r>
    </w:p>
    <w:p>
      <w:pPr>
        <w:spacing w:after="0" w:line="117"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an NDA or BLA; and</w:t>
      </w:r>
    </w:p>
    <w:p>
      <w:pPr>
        <w:spacing w:after="0" w:line="117"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an NDA or BLA prior to any commercial marketing or sale of the biopharmaceutical product in the United States.</w:t>
      </w:r>
    </w:p>
    <w:p>
      <w:pPr>
        <w:spacing w:after="0" w:line="170"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66"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17" w:lineRule="exact"/>
        <w:rPr>
          <w:sz w:val="20"/>
          <w:szCs w:val="20"/>
          <w:color w:val="auto"/>
        </w:rPr>
      </w:pPr>
    </w:p>
    <w:p>
      <w:pPr>
        <w:ind w:left="1200" w:right="300" w:hanging="598"/>
        <w:spacing w:after="0" w:line="342"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15" w:lineRule="exact"/>
        <w:rPr>
          <w:rFonts w:ascii="Arial" w:cs="Arial" w:eastAsia="Arial" w:hAnsi="Arial"/>
          <w:sz w:val="16"/>
          <w:szCs w:val="16"/>
          <w:color w:val="auto"/>
        </w:rPr>
      </w:pPr>
    </w:p>
    <w:p>
      <w:pPr>
        <w:ind w:left="1200" w:right="16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73"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right="240" w:firstLine="598"/>
        <w:spacing w:after="0" w:line="264"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FDCA permits the FDA and an IND sponsor to agree in writing on the design and size of clinical studies intended to form the primary basis of a claim of effectiveness in an NDA or BLA.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82"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4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17" w:lineRule="exact"/>
        <w:rPr>
          <w:sz w:val="20"/>
          <w:szCs w:val="20"/>
          <w:color w:val="auto"/>
        </w:rPr>
      </w:pPr>
    </w:p>
    <w:p>
      <w:pPr>
        <w:jc w:val="both"/>
        <w:ind w:right="180" w:firstLine="598"/>
        <w:spacing w:after="0" w:line="293" w:lineRule="auto"/>
        <w:rPr>
          <w:sz w:val="20"/>
          <w:szCs w:val="20"/>
          <w:color w:val="auto"/>
        </w:rPr>
      </w:pPr>
      <w:r>
        <w:rPr>
          <w:rFonts w:ascii="Arial" w:cs="Arial" w:eastAsia="Arial" w:hAnsi="Arial"/>
          <w:sz w:val="16"/>
          <w:szCs w:val="16"/>
          <w:color w:val="auto"/>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right="80" w:firstLine="598"/>
        <w:spacing w:after="0" w:line="259" w:lineRule="auto"/>
        <w:rPr>
          <w:sz w:val="20"/>
          <w:szCs w:val="20"/>
          <w:color w:val="auto"/>
        </w:rPr>
      </w:pPr>
      <w:r>
        <w:rPr>
          <w:rFonts w:ascii="Arial" w:cs="Arial" w:eastAsia="Arial" w:hAnsi="Arial"/>
          <w:sz w:val="18"/>
          <w:szCs w:val="18"/>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8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87"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pacing w:after="0" w:line="166"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Breakthrough therapy designation does not change the standards for approval, but may expedite the development or review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firstLine="598"/>
        <w:spacing w:after="0" w:line="289" w:lineRule="auto"/>
        <w:rPr>
          <w:sz w:val="20"/>
          <w:szCs w:val="20"/>
          <w:color w:val="auto"/>
        </w:rPr>
      </w:pPr>
      <w:r>
        <w:rPr>
          <w:rFonts w:ascii="Arial" w:cs="Arial" w:eastAsia="Arial" w:hAnsi="Arial"/>
          <w:sz w:val="16"/>
          <w:szCs w:val="16"/>
          <w:color w:val="auto"/>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16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The FDA closely regulates the labeling, marketing and promotion of drugs and biologics.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6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60" w:firstLine="598"/>
        <w:spacing w:after="0" w:line="269" w:lineRule="auto"/>
        <w:rPr>
          <w:sz w:val="20"/>
          <w:szCs w:val="20"/>
          <w:color w:val="auto"/>
        </w:rPr>
      </w:pPr>
      <w:r>
        <w:rPr>
          <w:rFonts w:ascii="Arial" w:cs="Arial" w:eastAsia="Arial" w:hAnsi="Arial"/>
          <w:sz w:val="17"/>
          <w:szCs w:val="17"/>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73" w:lineRule="exact"/>
        <w:rPr>
          <w:sz w:val="20"/>
          <w:szCs w:val="20"/>
          <w:color w:val="auto"/>
        </w:rPr>
      </w:pPr>
    </w:p>
    <w:p>
      <w:pPr>
        <w:ind w:left="1200" w:hanging="598"/>
        <w:spacing w:after="0" w:line="271"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70" w:lineRule="exact"/>
        <w:rPr>
          <w:rFonts w:ascii="Arial" w:cs="Arial" w:eastAsia="Arial" w:hAnsi="Arial"/>
          <w:sz w:val="17"/>
          <w:szCs w:val="17"/>
          <w:color w:val="auto"/>
        </w:rPr>
      </w:pPr>
    </w:p>
    <w:p>
      <w:pPr>
        <w:ind w:left="1200" w:right="20" w:hanging="598"/>
        <w:spacing w:after="0" w:line="255"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85"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(e.g., public or private);</w:t>
      </w:r>
    </w:p>
    <w:p>
      <w:pPr>
        <w:spacing w:after="0" w:line="73" w:lineRule="exact"/>
        <w:rPr>
          <w:rFonts w:ascii="Arial" w:cs="Arial" w:eastAsia="Arial" w:hAnsi="Arial"/>
          <w:sz w:val="18"/>
          <w:szCs w:val="18"/>
          <w:color w:val="auto"/>
        </w:rPr>
      </w:pPr>
    </w:p>
    <w:p>
      <w:pPr>
        <w:ind w:left="1200" w:right="140" w:hanging="598"/>
        <w:spacing w:after="0" w:line="276"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left="1200" w:hanging="598"/>
        <w:spacing w:after="0" w:line="302"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and teaching hospitals; and (ii) ownership and investment interests held by physicians and their immediate family members;</w:t>
      </w:r>
    </w:p>
    <w:p>
      <w:pPr>
        <w:spacing w:after="0" w:line="46" w:lineRule="exact"/>
        <w:rPr>
          <w:rFonts w:ascii="Arial" w:cs="Arial" w:eastAsia="Arial" w:hAnsi="Arial"/>
          <w:sz w:val="16"/>
          <w:szCs w:val="16"/>
          <w:color w:val="auto"/>
        </w:rPr>
      </w:pPr>
    </w:p>
    <w:p>
      <w:pPr>
        <w:ind w:left="1200" w:right="40" w:hanging="598"/>
        <w:spacing w:after="0" w:line="25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pacing w:after="0" w:line="192"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1"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individual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78"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changes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74"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200" w:right="32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 sale discounts off negotiated prices;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There have been judicial and Congressional challenges to certain aspects of the Affordable Care Act, and we expect such challenges to continue. In July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While the Texas U.S. District Court Judge, as well as the Trump administration and CMS, have stated that the ruling will have no immediate effect pending appeal of the decision, it is unclear how this decision, subsequent appeals, and other efforts to repeal and replace the Affordable Care Act will impact the Affordable Care Act.</w:t>
      </w:r>
    </w:p>
    <w:p>
      <w:pPr>
        <w:spacing w:after="0" w:line="16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cost-sharing for generic drugs for low-income patients.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While some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As of March 6, 2019, we had 38 full-time employees. Of the full-time employees, 24 were primarily engaged in research and development activities and 13 have an M.D. or Ph.D. degree. None of our employees are represented by labor unions or covered by collective bargaining agreements. We consider our relationship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21" w:lineRule="exact"/>
        <w:rPr>
          <w:sz w:val="20"/>
          <w:szCs w:val="20"/>
          <w:color w:val="auto"/>
        </w:rPr>
      </w:pPr>
    </w:p>
    <w:p>
      <w:pPr>
        <w:jc w:val="both"/>
        <w:ind w:right="80" w:firstLine="598"/>
        <w:spacing w:after="0" w:line="308" w:lineRule="auto"/>
        <w:rPr>
          <w:sz w:val="20"/>
          <w:szCs w:val="20"/>
          <w:color w:val="auto"/>
        </w:rPr>
      </w:pPr>
      <w:r>
        <w:rPr>
          <w:rFonts w:ascii="Arial" w:cs="Arial" w:eastAsia="Arial" w:hAnsi="Arial"/>
          <w:sz w:val="17"/>
          <w:szCs w:val="17"/>
          <w:color w:val="auto"/>
        </w:rPr>
        <w:t>We were incorporated in Delaware in 2005. In 2011, we established a wholly owned subsidiary in the United Kingdom and in 2014 we established a wholly owned U.S. subsidiary. There have been no material activities for these entities to date. We currently operate in one segment.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35 Gatehouse Drive, Building D, Floor 3, Waltham, Massachusetts 02451 and our telephone number is</w:t>
      </w:r>
    </w:p>
    <w:p>
      <w:pPr>
        <w:spacing w:after="0" w:line="46" w:lineRule="exact"/>
        <w:rPr>
          <w:sz w:val="20"/>
          <w:szCs w:val="20"/>
          <w:color w:val="auto"/>
        </w:rPr>
      </w:pPr>
    </w:p>
    <w:p>
      <w:pPr>
        <w:ind w:right="140" w:firstLine="8"/>
        <w:spacing w:after="0" w:line="261" w:lineRule="auto"/>
        <w:tabs>
          <w:tab w:leader="none" w:pos="4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419-1400. Our corporate website address is www.syndax.com. Information contained on or accessible through our website is not a part of this Annual Report, and the inclusion of our website address in this Annual Report is an inactive textual reference only.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amendments to those reports filed or furnished pursuant to Section 13(a) or 15(d) of the Exchange Act. We make available on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www.syndax.com</w:t>
      </w:r>
      <w:r>
        <w:rPr>
          <w:rFonts w:ascii="Arial" w:cs="Arial" w:eastAsia="Arial" w:hAnsi="Arial"/>
          <w:sz w:val="16"/>
          <w:szCs w:val="16"/>
          <w:color w:val="auto"/>
        </w:rPr>
        <w:t>, under “Investors,” free of charge, copies of these reports as soon as reasonably practicable after filing or furnishing these reports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on Form 10-K as well as our other publicly available filings with the Securities and Exchange Commission.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NCI designed the trial to measuring two primary endpoints, progression-free survival, or PFS, and overall survival, or OS. We received the final PFS analysis from ECOG-ACRIN in October 2018 and we expect to receive the final OS analysis no later than the end of 2020. In October 2018, ECOG-ACRIN informed us that the trial did not achieve the high statistical hurdle for the first primary endpoint of improving PFS, which would have provided the earliest regulatory filing opportunity. In accordance with the trial protocol, ECOG-ACRIN is confidentially holding the findings from the PFS analysis until reporting final OS results. We will not be able to submit an NDA unless and until we receive data demonstrating that the trial has achieved the primary endpoint for OS. In addition, based on scientific advice that we received from the European Medicines Agency in March 2014, the current Phase 3 clinical trial may not be sufficient to receive regulatory approval in Europe for entinostat to treat advanced HR+, HER2- breast cancer, and it is unclear whether we would be able to complete an alternate clinical trial that would be sufficient.</w:t>
      </w:r>
    </w:p>
    <w:p>
      <w:pPr>
        <w:spacing w:after="0" w:line="183"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adverse drug reactions in the Phase 3 clinical trial.</w:t>
      </w:r>
    </w:p>
    <w:p>
      <w:pPr>
        <w:spacing w:after="0" w:line="154"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Verzenio, Kisqali and Ibrance, patients enrolled in the Phase 3 clinical trial may be different than those enrolled in our previous Phase 2b clinical trial in that 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9" w:name="page30"/>
    <w:bookmarkEnd w:id="29"/>
    <w:p>
      <w:pPr>
        <w:ind w:right="20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100" w:firstLine="598"/>
        <w:spacing w:after="0" w:line="253" w:lineRule="auto"/>
        <w:rPr>
          <w:sz w:val="20"/>
          <w:szCs w:val="20"/>
          <w:color w:val="auto"/>
        </w:rPr>
      </w:pPr>
      <w:r>
        <w:rPr>
          <w:rFonts w:ascii="Arial" w:cs="Arial" w:eastAsia="Arial" w:hAnsi="Arial"/>
          <w:sz w:val="18"/>
          <w:szCs w:val="18"/>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GCPs,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9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current Good Manufacturing Practices regulations, or cGMP requirements. Failure to comply with any of these regulations may require us to repeat preclinical and clinical trials, which would delay the regulatory development process.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OS analysis no later than the end of 2020. Our product development costs could increase if we experience delays in the overall number of survival events.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5" w:lineRule="exact"/>
        <w:rPr>
          <w:sz w:val="20"/>
          <w:szCs w:val="20"/>
          <w:color w:val="auto"/>
        </w:rPr>
      </w:pPr>
    </w:p>
    <w:p>
      <w:pPr>
        <w:jc w:val="both"/>
        <w:ind w:left="1200" w:right="24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 including patients that withdraw or are lost to follow-up following our announcement in October 2018 that the trial did not achieve the statistical hurdle for the first primary endpoint of improving PFS;</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200" w:right="78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ind w:left="1200" w:right="64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withdrawal of sponsorship of the NCI because of a failure of ECOG-ACRIN to meet certain performance metrics in the clinical trial;</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drug reactions;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In October 2018, ECOG-ACRIN informed us that the trial did not achieve the statistical hurdle for the first primary endpoint of improving PFS, which would have provided the earliest regulatory filing opportunity. Further, obtaining clinical trial data meeting the OS endpoint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OS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We received breakthrough therapy designation from the FDA for entinostat when used in combination with exemestane based on the OS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our Phase 3 trial in HR+, HER2- breast cancer patients failed to achieve one of its primary endpoints of improving PFS. We expect to receive final analysis on the second primary endpoint, OS, no later than the end of 2020. If the results do not confirm the improvement in OS observed in our Phase 2b clinical trial, the FDA may rescind our breakthrough therapy designation.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17"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200" w:right="80" w:hanging="59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Entinostat, SNDX-6352 and SNDX-5613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200" w:right="14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timely commencement and completion of the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the Phase 1/1b clinical trials of SNDX-6352 as a monotherapy and in combination with durvalumab;</w:t>
      </w:r>
    </w:p>
    <w:p>
      <w:pPr>
        <w:spacing w:after="0" w:line="62" w:lineRule="exact"/>
        <w:rPr>
          <w:rFonts w:ascii="Arial" w:cs="Arial" w:eastAsia="Arial" w:hAnsi="Arial"/>
          <w:sz w:val="18"/>
          <w:szCs w:val="18"/>
          <w:color w:val="auto"/>
        </w:rPr>
      </w:pPr>
    </w:p>
    <w:p>
      <w:pPr>
        <w:ind w:left="1200" w:right="80" w:hanging="598"/>
        <w:spacing w:after="0" w:line="264"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the Phase 3 clinical trial in advanced HR+, HER2- breast cancer, which has been significantly slower than we anticipated and will depend substantially upon the satisfactory performance of ECOG-ACRIN and the NCI and other third-party contractors for entinostat;</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able to complete IND enabling studies for SNDX-5613 and file an IND with the FDA;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2" w:name="page33"/>
    <w:bookmarkEnd w:id="32"/>
    <w:p>
      <w:pPr>
        <w:ind w:left="1200" w:right="24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200" w:right="320" w:hanging="598"/>
        <w:spacing w:after="0" w:line="342" w:lineRule="auto"/>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availability of commercial supplies of therapeutics, including exemestane,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Tecentriq</w:t>
      </w:r>
      <w:r>
        <w:rPr>
          <w:rFonts w:ascii="Arial" w:cs="Arial" w:eastAsia="Arial" w:hAnsi="Arial"/>
          <w:sz w:val="16"/>
          <w:szCs w:val="16"/>
          <w:color w:val="auto"/>
        </w:rPr>
        <w:t xml:space="preserve"> and clinical supplies of investigational drugs, to support the development and marketing of the entinostat therapy as a component of a combination drug regimen for entinostat;</w:t>
      </w:r>
    </w:p>
    <w:p>
      <w:pPr>
        <w:spacing w:after="0" w:line="15" w:lineRule="exact"/>
        <w:rPr>
          <w:rFonts w:ascii="Arial" w:cs="Arial" w:eastAsia="Arial" w:hAnsi="Arial"/>
          <w:sz w:val="16"/>
          <w:szCs w:val="16"/>
          <w:color w:val="auto"/>
        </w:rPr>
      </w:pPr>
    </w:p>
    <w:p>
      <w:pPr>
        <w:ind w:left="1200" w:right="620" w:hanging="598"/>
        <w:spacing w:after="0" w:line="308"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availability of commercial supplies of therapeutics, including </w:t>
      </w:r>
      <w:r>
        <w:rPr>
          <w:rFonts w:ascii="Arial" w:cs="Arial" w:eastAsia="Arial" w:hAnsi="Arial"/>
          <w:sz w:val="17"/>
          <w:szCs w:val="17"/>
          <w:i w:val="1"/>
          <w:iCs w:val="1"/>
          <w:color w:val="auto"/>
        </w:rPr>
        <w:t>Imfinzi</w:t>
      </w:r>
      <w:r>
        <w:rPr>
          <w:rFonts w:ascii="Arial" w:cs="Arial" w:eastAsia="Arial" w:hAnsi="Arial"/>
          <w:sz w:val="17"/>
          <w:szCs w:val="17"/>
          <w:color w:val="auto"/>
        </w:rPr>
        <w:t>, and clinical supplies of investigational drugs, to support the development and marketing of the SNDX-6352 therapy as a component of a combination drug regimen for SNDX-6352;</w:t>
      </w:r>
    </w:p>
    <w:p>
      <w:pPr>
        <w:spacing w:after="0" w:line="38" w:lineRule="exact"/>
        <w:rPr>
          <w:rFonts w:ascii="Arial" w:cs="Arial" w:eastAsia="Arial" w:hAnsi="Arial"/>
          <w:sz w:val="17"/>
          <w:szCs w:val="17"/>
          <w:color w:val="auto"/>
        </w:rPr>
      </w:pPr>
    </w:p>
    <w:p>
      <w:pPr>
        <w:ind w:left="1200" w:right="44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27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Our strategy of combining entinostat with immune checkpoint inhibitors has undergone limited clinical testing and we may fail to show that the combination is safe and well tolerated and demonstrates additional clinical benefit from the combination.</w:t>
      </w:r>
    </w:p>
    <w:p>
      <w:pPr>
        <w:spacing w:after="0" w:line="38"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Preclinical studies conducted by us and others suggest a strong rationale for combining entinostat with immune checkpoint inhibitors, including PD-1 pathway antagonists, to enhance the immune system’s ability to detect and eliminate tumor cells. Our approach is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However, we have not yet sufficiently demonstrated a favorable risk-benefit of this combination in patients, and we may be unable to establish sufficient efficacy to warrant regulatory submission and approval.</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strategy for developing SNDX-6352 has undergone limited clinical testing and we may fail to show that this drug is safe, well tolerated and provides a clinical benefit for patients.</w:t>
      </w:r>
    </w:p>
    <w:p>
      <w:pPr>
        <w:spacing w:after="0" w:line="62" w:lineRule="exact"/>
        <w:rPr>
          <w:sz w:val="20"/>
          <w:szCs w:val="20"/>
          <w:color w:val="auto"/>
        </w:rPr>
      </w:pPr>
    </w:p>
    <w:p>
      <w:pPr>
        <w:ind w:right="160" w:firstLine="598"/>
        <w:spacing w:after="0" w:line="290" w:lineRule="auto"/>
        <w:rPr>
          <w:sz w:val="20"/>
          <w:szCs w:val="20"/>
          <w:color w:val="auto"/>
        </w:rPr>
      </w:pPr>
      <w:r>
        <w:rPr>
          <w:rFonts w:ascii="Arial" w:cs="Arial" w:eastAsia="Arial" w:hAnsi="Arial"/>
          <w:sz w:val="16"/>
          <w:szCs w:val="16"/>
          <w:color w:val="auto"/>
        </w:rPr>
        <w:t>Preclinical studies suggest that CSF-1/CSF-1R signaling may be the key regulatory pathway involved in the expansion and infiltration of donor derived macrophages that mediate the disease processes involved in cGVHD.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SNDX-6352 may play a meaningful role as a monotherapy agent in the treatment of cGVHD. Our approach is to conduct Phase 1 clinical trial with SNDX-6352 in subjects with active cGVHD who have failed at least two prior lines of therapy. If our initial clinical data lend support for our hypothesis, we plan to continue developing SNDX-6352 in this indication. At this time however, we have not yet sufficiently demonstrated a favorable risk-benefit of SNDX-6352 in patients and we may be unable to establish sufficient efficacy to warrant continued development in this indication.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undergone limited clinical testing and we may fail to show that the drug is safe, well tolerated and a provide clinical benefit for patients.</w:t>
      </w:r>
    </w:p>
    <w:p>
      <w:pPr>
        <w:spacing w:after="0" w:line="62"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Research conducted in the field suggest that MLLr leukemias are driven by the interaction of Menin, a nuclear protein involved in transcription, with MLL-r, a rare, spontaneous fusion between the N-terminus of MLL1 and a host of signaling molecules and nuclear transcription factors. This fusion produces an aberrant transcription program that drives leukemic transformation. In pre-clinical animal models, small molecule inhibitors of the menin-MLL-r interaction, such as SNDX-5613, have demonstrated deep and durable single agent treatment effects in multiple leukemic xenografts harboring MLL fusions. Our approach is to conduct a Phase 1 clinical trial in patients with MLL-r leukemia and assess both the safety and efficacy of SNDX-5613. If our initial clinical data lend support for our hypothesis, we plan to continue developing SNDX-5613 in this indication. At this time however, we have not yet sufficiently demonstrated a favorable risk-benefit of SNDX-5613 in patients, and we may be unable to establish sufficient efficacy to warrant continued development in this indication.</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unable to transfer, qualify and validate an assay for determining peripheral monocyte levels in our forthcoming non-small cell lung cancer, or NSCLC, registration trial.</w:t>
      </w:r>
    </w:p>
    <w:p>
      <w:pPr>
        <w:spacing w:after="0" w:line="62"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 xml:space="preserve">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 successfully transfer, qualify and validate an assay for determining peripheral monocyte levels that will be acceptable to the FDA. We recently completed a full portfolio prioritization assessment and have determined to place the initiation of this trial on hold until we receive final OS results from E2112.</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200" w:hanging="598"/>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We are dependent on Merck, Genentech, Merck KGaA, Pfizer, AstraZeneca and any future collaborators to perform satisfactorily under our agreements.</w:t>
      </w:r>
    </w:p>
    <w:p>
      <w:pPr>
        <w:spacing w:after="0" w:line="152"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Under the agreements with Merck, Genentech, Merck KGaA, Pfizer, AstraZeneca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and SNDX-6352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actions of KHK, Eddingpharm Investment Company Limited and any other current or future sublicensees could adversely affect our business.</w:t>
      </w:r>
    </w:p>
    <w:p>
      <w:pPr>
        <w:spacing w:after="0" w:line="14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KHK,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200" w:right="11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200" w:right="44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Keytruda, Tecentriq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9"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w:t>
      </w:r>
      <w:r>
        <w:rPr>
          <w:rFonts w:ascii="Arial" w:cs="Arial" w:eastAsia="Arial" w:hAnsi="Arial"/>
          <w:sz w:val="17"/>
          <w:szCs w:val="17"/>
          <w:i w:val="1"/>
          <w:iCs w:val="1"/>
          <w:color w:val="auto"/>
        </w:rPr>
        <w:t>Keytruda</w:t>
      </w:r>
      <w:r>
        <w:rPr>
          <w:rFonts w:ascii="Arial" w:cs="Arial" w:eastAsia="Arial" w:hAnsi="Arial"/>
          <w:sz w:val="17"/>
          <w:szCs w:val="17"/>
          <w:color w:val="auto"/>
        </w:rPr>
        <w:t>,</w:t>
      </w:r>
      <w:r>
        <w:rPr>
          <w:rFonts w:ascii="Arial" w:cs="Arial" w:eastAsia="Arial" w:hAnsi="Arial"/>
          <w:sz w:val="17"/>
          <w:szCs w:val="17"/>
          <w:i w:val="1"/>
          <w:iCs w:val="1"/>
          <w:color w:val="auto"/>
        </w:rPr>
        <w:t xml:space="preserve"> Tecentriq </w:t>
      </w:r>
      <w:r>
        <w:rPr>
          <w:rFonts w:ascii="Arial" w:cs="Arial" w:eastAsia="Arial" w:hAnsi="Arial"/>
          <w:sz w:val="17"/>
          <w:szCs w:val="17"/>
          <w:color w:val="auto"/>
        </w:rPr>
        <w:t>or other drugs that we are testing in combination with entinostat could adversely affect our ability to timely conduct the Phase 3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trial in advanced HR+, HER2- breast cancer, our future potential Phase 3 clinical trial in NSCLC, any future clinical trials in melanoma, and if entinostat receives regulatory approval, to commercialize entinostat for treatment of advanced HR+, HER2- breast cancer, NSCLC, or melanoma. A shortage of supply may also result in an increase, which could be significant, in our costs of procuring exemestane.</w:t>
      </w:r>
    </w:p>
    <w:p>
      <w:pPr>
        <w:spacing w:after="0" w:line="178"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right="4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60" w:firstLine="598"/>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9" w:name="page40"/>
    <w:bookmarkEnd w:id="39"/>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ind w:left="1200" w:right="4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200" w:right="620" w:hanging="598"/>
        <w:spacing w:after="0" w:line="264"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 xml:space="preserve">The pharmacologic treatment of NSCLC and melanoma patients has included chemotherapies and therapies targeting specific gene mutations. Over the past few years, immune checkpoint inhibitors have been approved for NSCLC and melanoma. Currently there are few approved combination immuno-oncology therapies although numerous drugs are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were approved for the treatment of NSCLC or melanoma it would face competition from standard-of-care approaches and other investigational drugs being tested in combination with any of these approaches.</w:t>
      </w:r>
    </w:p>
    <w:p>
      <w:pPr>
        <w:spacing w:after="0" w:line="188"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and other therapies under FDA review such as alpelisib, or currently in Phase 3 clinical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right="20" w:firstLine="59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acceptance of entinostat in combination with exemestane, </w:t>
      </w:r>
      <w:r>
        <w:rPr>
          <w:rFonts w:ascii="Arial" w:cs="Arial" w:eastAsia="Arial" w:hAnsi="Arial"/>
          <w:sz w:val="17"/>
          <w:szCs w:val="17"/>
          <w:i w:val="1"/>
          <w:iCs w:val="1"/>
          <w:color w:val="auto"/>
        </w:rPr>
        <w:t>Keytruda</w:t>
      </w:r>
      <w:r>
        <w:rPr>
          <w:rFonts w:ascii="Arial" w:cs="Arial" w:eastAsia="Arial" w:hAnsi="Arial"/>
          <w:sz w:val="17"/>
          <w:szCs w:val="17"/>
          <w:color w:val="auto"/>
        </w:rPr>
        <w:t>, and other drugs by physicians and other healthcare providers.</w:t>
      </w:r>
    </w:p>
    <w:p>
      <w:pPr>
        <w:spacing w:after="0" w:line="23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3" w:name="page44"/>
    <w:bookmarkEnd w:id="43"/>
    <w:p>
      <w:pPr>
        <w:ind w:right="60" w:firstLine="59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Some of the provisions of the Affordable Care Act have yet to be implemented, while certain provisions have been subject to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spacing w:after="0" w:line="287" w:lineRule="auto"/>
        <w:rPr>
          <w:sz w:val="20"/>
          <w:szCs w:val="20"/>
          <w:color w:val="auto"/>
        </w:rPr>
      </w:pPr>
      <w:r>
        <w:rPr>
          <w:rFonts w:ascii="Arial" w:cs="Arial" w:eastAsia="Arial" w:hAnsi="Arial"/>
          <w:sz w:val="16"/>
          <w:szCs w:val="16"/>
          <w:color w:val="auto"/>
        </w:rPr>
        <w:t>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While the Texas U.S. District Court Judge, as well as the Trump administration and CMS, have stated that the ruling will have no immediate effect pending appeal of the decision, it is unclear how this decision, subsequent appeals, and other efforts to repeal and replace the Affordable Care Act will impact the Affordable Care and our business. In addition, Congress may consider other legislation to repeal and replace elements of the Affordable Care Act.</w:t>
      </w:r>
    </w:p>
    <w:p>
      <w:pPr>
        <w:spacing w:after="0" w:line="176"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2027.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right="60" w:firstLine="598"/>
        <w:spacing w:after="0" w:line="286"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While some of these and other-sharing for generic drugs for low-income patients. While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jc w:val="both"/>
        <w:ind w:right="100" w:firstLine="598"/>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30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200" w:right="120" w:hanging="598"/>
        <w:spacing w:after="0" w:line="279"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6" w:name="page47"/>
    <w:bookmarkEnd w:id="46"/>
    <w:p>
      <w:pPr>
        <w:ind w:left="1200" w:right="80" w:hanging="598"/>
        <w:spacing w:after="0" w:line="259"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200" w:right="300" w:hanging="598"/>
        <w:spacing w:after="0" w:line="255"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and</w:t>
      </w:r>
    </w:p>
    <w:p>
      <w:pPr>
        <w:spacing w:after="0" w:line="85" w:lineRule="exact"/>
        <w:rPr>
          <w:rFonts w:ascii="Arial" w:cs="Arial" w:eastAsia="Arial" w:hAnsi="Arial"/>
          <w:sz w:val="18"/>
          <w:szCs w:val="18"/>
          <w:color w:val="auto"/>
        </w:rPr>
      </w:pPr>
    </w:p>
    <w:p>
      <w:pPr>
        <w:ind w:left="1200" w:right="100" w:hanging="598"/>
        <w:spacing w:after="0" w:line="287"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7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the year ended December 31, 2018, we reported a net loss of $74.0 million; and as of December 31, 2018, we had an accumulated deficit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$439.4 million, which included non-cash charges for stock-based compensation, preferred stock accretion and extinguishment charges. We expect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incur significant losses for the foreseeable future, and we expect these losses to increase as we continue our research and development of, and seek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approvals for, our product candidates. We may also encounter unforeseen expenses, difficulties, complications, delays and other unknown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adversely affect our business. The size of our future net losses will depend, in part, on the rate of future growth of our expenses and our 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generate revenues, if any. Our prior losses and expected future losses have had and will continue to have an adverse effect on our stockholders’ equity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8" w:name="page49"/>
    <w:bookmarkEnd w:id="48"/>
    <w:p>
      <w:pPr>
        <w:ind w:right="260" w:firstLine="59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5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200" w:hanging="598"/>
        <w:spacing w:after="0"/>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260" w:firstLine="59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200" w:right="320" w:hanging="598"/>
        <w:spacing w:after="0" w:line="308"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200" w:right="260" w:hanging="598"/>
        <w:spacing w:after="0" w:line="264"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left="1200" w:right="4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4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2017 and determined that on March 30, 2007 and August 21, 2015 ownership changes had occurred. We did not experience ownership changes since August 21, 2015 but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80" w:firstLine="598"/>
        <w:spacing w:after="0" w:line="290" w:lineRule="auto"/>
        <w:rPr>
          <w:sz w:val="20"/>
          <w:szCs w:val="20"/>
          <w:color w:val="auto"/>
        </w:rPr>
      </w:pPr>
      <w:r>
        <w:rPr>
          <w:rFonts w:ascii="Arial" w:cs="Arial" w:eastAsia="Arial" w:hAnsi="Arial"/>
          <w:sz w:val="16"/>
          <w:szCs w:val="16"/>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 what extent various states will conform to the newly enacted federal tax law. We will continue to examine the impact the Tax Act may have on our business.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0" w:name="page51"/>
    <w:bookmarkEnd w:id="50"/>
    <w:p>
      <w:pPr>
        <w:ind w:firstLine="59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right="40" w:firstLine="598"/>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183"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2036. The actual term of any patents granted based on the pending applications that we licensed from Allergan can only be determined after such patents are actually granted.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97"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3" w:name="page54"/>
    <w:bookmarkEnd w:id="53"/>
    <w:p>
      <w:pPr>
        <w:ind w:right="20" w:firstLine="59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60" w:firstLine="59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commercial success depends upon our ability to develop, manufacture, market and sell SNDX-5613. Subject to the achievement of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milestone events, we may be required to pay Vitae, a subsidiary of Allergan, up to $99 million in one-time development and regulatory milestone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term of the Allergan license agreement. In the event that we or any of our affiliates or sublicensees commercializes SNDX-5613, we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obligated to pay Allergan low single to low double-digit royalties on sales, subject to reduction in certain circumstances, as well as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in potential one-time sales-based milestone payments based on achievement of certain annual sales thresholds. Under certain circumstances,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required to share a percentage of non-royalty income from sublicensees, subject to certain deductions, with Allergan.</w:t>
      </w:r>
    </w:p>
    <w:p>
      <w:pPr>
        <w:spacing w:after="0" w:line="211"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SNDX-5613 have occurred and the last-to-expire relevant patent covering SNDX-5613 in a given country may change in the future.</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20" w:firstLine="59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9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80" w:firstLine="59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right="140" w:firstLine="59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60" w:firstLine="598"/>
        <w:spacing w:after="0" w:line="255"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w:t>
      </w:r>
    </w:p>
    <w:p>
      <w:pPr>
        <w:spacing w:after="0" w:line="28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00" w:right="72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left="1200" w:hanging="598"/>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40" w:firstLine="598"/>
        <w:spacing w:after="0" w:line="286"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offering program, or ATM program. As of December 31, 2018, $32.1 million of common stock remained available for sale under the at-the-market offering program. In the first quarter of 2019, through March 6, 2019, we sold 140,819 shares of common stock under the ATM program for net proceeds of approximately $0.9 million. As of March 6, 2019, we have $31.2 million of common stock available for sale under the ATM program.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As of December 31, 2018, our executive officers, directors, holders of 5% or more of our capital stock and their respective affiliates beneficially own approximately 60.8% of our outstanding voting stock and options.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may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200" w:right="300" w:hanging="598"/>
        <w:spacing w:after="0" w:line="308" w:lineRule="auto"/>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200" w:right="20" w:hanging="598"/>
        <w:spacing w:after="0" w:line="259"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200" w:hanging="598"/>
        <w:spacing w:after="0" w:line="342" w:lineRule="auto"/>
        <w:tabs>
          <w:tab w:leader="none" w:pos="1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200" w:right="26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8" w:lineRule="exact"/>
        <w:rPr>
          <w:sz w:val="20"/>
          <w:szCs w:val="20"/>
          <w:color w:val="auto"/>
        </w:rPr>
      </w:pPr>
    </w:p>
    <w:p>
      <w:pPr>
        <w:ind w:right="140" w:firstLine="598"/>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ind w:right="60"/>
        <w:spacing w:after="0" w:line="255" w:lineRule="auto"/>
        <w:rPr>
          <w:sz w:val="20"/>
          <w:szCs w:val="20"/>
          <w:color w:val="auto"/>
        </w:rPr>
      </w:pPr>
      <w:r>
        <w:rPr>
          <w:rFonts w:ascii="Arial" w:cs="Arial" w:eastAsia="Arial" w:hAnsi="Arial"/>
          <w:sz w:val="18"/>
          <w:szCs w:val="18"/>
          <w:color w:val="auto"/>
        </w:rPr>
        <w:t>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0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6"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Our headquarters is currently located in Waltham, Massachusetts, and consists of 12,207 square feet of leased office space under a lease that expires on March 1, 2022. We also have 4,039 square feet of leased office space in New York, New York, under a lease that expires on February 28, 2021. We believe that our existing facilities are sufficient for our needs for the foreseeable future. If we determine that additional or new facilities are needed in the future, we believe that sufficient options would be available to us on commercially reasonable terms.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firstLine="598"/>
        <w:spacing w:after="0" w:line="277" w:lineRule="auto"/>
        <w:rPr>
          <w:sz w:val="20"/>
          <w:szCs w:val="20"/>
          <w:color w:val="auto"/>
        </w:rPr>
      </w:pPr>
      <w:r>
        <w:rPr>
          <w:rFonts w:ascii="Arial" w:cs="Arial" w:eastAsia="Arial" w:hAnsi="Arial"/>
          <w:sz w:val="18"/>
          <w:szCs w:val="18"/>
          <w:color w:val="auto"/>
        </w:rPr>
        <w:t>Our common stock began trading on the Nasdaq Global Select Market on March 2, 2016, under the symbol “SNDX.” Prior to that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of March 6, 2019, we had approximately 26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In March 2016, we completed our initial public offering, or IPO, pursuant to a registration statement on Form S-1 (File No. 333-208861), which the SEC declared effective on March 2, 2016. In our IPO, we issued and sold 4,809,475 shares of common stock (inclusive of 409,475 shares of common stock sold by us pursuant to the partial exercise of an overallotment option granted to the underwriters in connection with the offering) at a public offering price of $12.00 per share. The aggregate net proceeds received by us from our IPO were $50.5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The managing underwriters for our IPO were Morgan Stanley &amp; Co. LLC, Citigroup Global Markets Inc., JPM Securities LLC, and Oppenheimer &amp; Co. Inc.</w:t>
      </w:r>
    </w:p>
    <w:p>
      <w:pPr>
        <w:spacing w:after="0" w:line="178"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filed with the SEC pursuant to Rule 424(b)(4) on March 2, 2016. As of December 31, 2018, we have used all of the proceeds from the IPO.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i w:val="1"/>
          <w:iCs w:val="1"/>
          <w:color w:val="auto"/>
        </w:rPr>
        <w:t>The following table sets forth our selected consolidated financial data. We derived the consolidated statement of operations data for the years ended December 31, 2018, 2017, and 2016 and the consolidated balance sheet data as of December 31, 2018 and 2017, from our audited consolidated financial statements, included elsewhere in this Annual Report on Form 10-K. The following selected consolidated statements of operations data for the years ended December 31, 2015 and 2014 and the selected consolidated balance sheet data as of December 31, 2016, 2015 and 2014 are derived from our audited consolidated financial statements not included in this Annual Report on Form 10-K.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on Form 10-K. The selected consolidated financial data in this section is not intended to replace our consolidated financial statements and the related notes thereto.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 of Operations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gridSpan w:val="2"/>
            <w:vMerge w:val="continue"/>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31,665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17,287</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15,861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13,321</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11,591</w:t>
            </w:r>
          </w:p>
        </w:tc>
        <w:tc>
          <w:tcPr>
            <w:tcW w:w="3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77,393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44,986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21,140</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(75,876)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(61,954)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(43,766)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(20,513)</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(expense)</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(1,414)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57"/>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(2,192)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300" w:type="dxa"/>
            <w:vAlign w:val="bottom"/>
            <w:tcBorders>
              <w:top w:val="single" w:sz="8" w:color="CFF0FC"/>
              <w:bottom w:val="single" w:sz="8" w:color="CFF0FC"/>
            </w:tcBorders>
            <w:shd w:val="clear" w:color="auto" w:fill="CFF0FC"/>
          </w:tcPr>
          <w:p>
            <w:pPr>
              <w:jc w:val="right"/>
              <w:ind w:right="157"/>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(44,472</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(24,119</w:t>
            </w:r>
          </w:p>
        </w:tc>
        <w:tc>
          <w:tcPr>
            <w:tcW w:w="340" w:type="dxa"/>
            <w:vAlign w:val="bottom"/>
            <w:tcBorders>
              <w:top w:val="single" w:sz="8" w:color="CFF0FC"/>
              <w:bottom w:val="single" w:sz="8" w:color="CFF0FC"/>
            </w:tcBorders>
            <w:shd w:val="clear" w:color="auto" w:fill="CFF0FC"/>
          </w:tcPr>
          <w:p>
            <w:pPr>
              <w:jc w:val="right"/>
              <w:ind w:right="20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(19,828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loss attributable to common stockholders </w:t>
            </w:r>
            <w:r>
              <w:rPr>
                <w:rFonts w:ascii="Arial" w:cs="Arial" w:eastAsia="Arial" w:hAnsi="Arial"/>
                <w:sz w:val="15"/>
                <w:szCs w:val="15"/>
                <w:color w:val="auto"/>
              </w:rPr>
              <w:t>(1)</w:t>
            </w: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(73,961</w:t>
            </w:r>
          </w:p>
        </w:tc>
        <w:tc>
          <w:tcPr>
            <w:tcW w:w="300" w:type="dxa"/>
            <w:vAlign w:val="bottom"/>
            <w:tcBorders>
              <w:bottom w:val="single" w:sz="8" w:color="CFF0FC"/>
            </w:tcBorders>
          </w:tcPr>
          <w:p>
            <w:pPr>
              <w:jc w:val="right"/>
              <w:ind w:right="157"/>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(60,802</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(47,070</w:t>
            </w:r>
          </w:p>
        </w:tc>
        <w:tc>
          <w:tcPr>
            <w:tcW w:w="300" w:type="dxa"/>
            <w:vAlign w:val="bottom"/>
            <w:tcBorders>
              <w:bottom w:val="single" w:sz="8" w:color="CFF0FC"/>
            </w:tcBorders>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(103,845</w:t>
            </w:r>
          </w:p>
        </w:tc>
        <w:tc>
          <w:tcPr>
            <w:tcW w:w="340" w:type="dxa"/>
            <w:vAlign w:val="bottom"/>
            <w:tcBorders>
              <w:bottom w:val="single" w:sz="8" w:color="CFF0FC"/>
            </w:tcBorders>
          </w:tcPr>
          <w:p>
            <w:pPr>
              <w:jc w:val="right"/>
              <w:ind w:right="200"/>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(26,357</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48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stockholders--basic and diluted </w:t>
            </w:r>
            <w:r>
              <w:rPr>
                <w:rFonts w:ascii="Arial" w:cs="Arial" w:eastAsia="Arial" w:hAnsi="Arial"/>
                <w:sz w:val="15"/>
                <w:szCs w:val="15"/>
                <w:color w:val="auto"/>
              </w:rPr>
              <w:t>(1)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157"/>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w w:val="92"/>
              </w:rPr>
              <w:t>(1,519.27)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(453.02)</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5"/>
                <w:szCs w:val="15"/>
                <w:color w:val="auto"/>
              </w:rPr>
              <w:t>(1)</w:t>
            </w: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25,371,511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20,997,211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8"/>
              </w:rPr>
              <w:t>14,619,716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68,352</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w w:val="89"/>
              </w:rPr>
              <w:t>Consolidated Balance Sheet Data:</w:t>
            </w:r>
          </w:p>
        </w:tc>
        <w:tc>
          <w:tcPr>
            <w:tcW w:w="186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2620" w:type="dxa"/>
            <w:vAlign w:val="bottom"/>
            <w:tcBorders>
              <w:bottom w:val="single" w:sz="8" w:color="auto"/>
            </w:tcBorders>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right"/>
              <w:ind w:right="157"/>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short-term and long-</w:t>
            </w:r>
          </w:p>
        </w:tc>
        <w:tc>
          <w:tcPr>
            <w:tcW w:w="9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term investments</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80,911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$ 133,220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$ 105,330</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86,489</w:t>
            </w: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67,241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117,644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98,144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83,160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109,013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89,903</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319,113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15"/>
                <w:szCs w:val="15"/>
                <w:color w:val="auto"/>
              </w:rPr>
              <w:t>(3)</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(439,423)</w:t>
            </w:r>
          </w:p>
        </w:tc>
        <w:tc>
          <w:tcPr>
            <w:tcW w:w="1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(366,111)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(305,293)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w w:val="93"/>
              </w:rPr>
              <w:t>(259,675)</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(159,801)</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53,047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104,319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84,139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(252,415)</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(152,569)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54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54" w:lineRule="exact"/>
        <w:rPr>
          <w:sz w:val="20"/>
          <w:szCs w:val="20"/>
          <w:color w:val="auto"/>
        </w:rPr>
      </w:pPr>
    </w:p>
    <w:p>
      <w:pPr>
        <w:ind w:left="600" w:right="40" w:hanging="592"/>
        <w:spacing w:after="0" w:line="221" w:lineRule="auto"/>
        <w:tabs>
          <w:tab w:leader="none" w:pos="600" w:val="left"/>
        </w:tabs>
        <w:numPr>
          <w:ilvl w:val="0"/>
          <w:numId w:val="38"/>
        </w:numPr>
        <w:rPr>
          <w:rFonts w:ascii="Arial" w:cs="Arial" w:eastAsia="Arial" w:hAnsi="Arial"/>
          <w:sz w:val="25"/>
          <w:szCs w:val="25"/>
          <w:color w:val="auto"/>
          <w:vertAlign w:val="superscript"/>
        </w:rPr>
      </w:pPr>
      <w:r>
        <w:rPr>
          <w:rFonts w:ascii="Arial" w:cs="Arial" w:eastAsia="Arial" w:hAnsi="Arial"/>
          <w:sz w:val="17"/>
          <w:szCs w:val="17"/>
          <w:color w:val="auto"/>
        </w:rPr>
        <w:t>See Note 5 to our consolidated financial statements included elsewhere herein for an explanation of the method used to compute basic and diluted net loss and net loss per share and the weighted-average number of shares used in the computation of the per share amounts.</w:t>
      </w:r>
    </w:p>
    <w:p>
      <w:pPr>
        <w:spacing w:after="0" w:line="27" w:lineRule="exact"/>
        <w:rPr>
          <w:rFonts w:ascii="Arial" w:cs="Arial" w:eastAsia="Arial" w:hAnsi="Arial"/>
          <w:sz w:val="25"/>
          <w:szCs w:val="25"/>
          <w:color w:val="auto"/>
          <w:vertAlign w:val="superscript"/>
        </w:rPr>
      </w:pPr>
    </w:p>
    <w:p>
      <w:pPr>
        <w:ind w:left="600" w:right="80" w:hanging="592"/>
        <w:spacing w:after="0" w:line="223" w:lineRule="auto"/>
        <w:tabs>
          <w:tab w:leader="none" w:pos="60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 xml:space="preserve">Working capital and total assets for 2014 have been restated for the adoption of Accounting Standard Update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835-30): Simplifying the Presentation of Debt Issuance Costs</w:t>
      </w:r>
      <w:r>
        <w:rPr>
          <w:rFonts w:ascii="Arial" w:cs="Arial" w:eastAsia="Arial" w:hAnsi="Arial"/>
          <w:sz w:val="18"/>
          <w:szCs w:val="18"/>
          <w:color w:val="auto"/>
        </w:rPr>
        <w:t>. The impact of the adoption was an increase of $83,000 in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and a decrease of $291,000 in total assets.</w:t>
      </w:r>
    </w:p>
    <w:p>
      <w:pPr>
        <w:spacing w:after="0" w:line="26" w:lineRule="exact"/>
        <w:rPr>
          <w:rFonts w:ascii="Arial" w:cs="Arial" w:eastAsia="Arial" w:hAnsi="Arial"/>
          <w:sz w:val="26"/>
          <w:szCs w:val="26"/>
          <w:color w:val="auto"/>
          <w:vertAlign w:val="superscript"/>
        </w:rPr>
      </w:pPr>
    </w:p>
    <w:p>
      <w:pPr>
        <w:ind w:left="600" w:right="140" w:hanging="592"/>
        <w:spacing w:after="0" w:line="211" w:lineRule="auto"/>
        <w:tabs>
          <w:tab w:leader="none" w:pos="600" w:val="left"/>
        </w:tabs>
        <w:numPr>
          <w:ilvl w:val="0"/>
          <w:numId w:val="38"/>
        </w:numPr>
        <w:rPr>
          <w:rFonts w:ascii="Arial" w:cs="Arial" w:eastAsia="Arial" w:hAnsi="Arial"/>
          <w:sz w:val="26"/>
          <w:szCs w:val="26"/>
          <w:color w:val="auto"/>
          <w:vertAlign w:val="superscript"/>
        </w:rPr>
      </w:pPr>
      <w:r>
        <w:rPr>
          <w:rFonts w:ascii="Arial" w:cs="Arial" w:eastAsia="Arial" w:hAnsi="Arial"/>
          <w:sz w:val="18"/>
          <w:szCs w:val="18"/>
          <w:color w:val="auto"/>
        </w:rPr>
        <w:t xml:space="preserve">Accumulated deficit for 2018 includes the impact of the adoption of Accounting Standard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The impact on Accumulated deficit was an increase of $648,000.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20" w:firstLine="598"/>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entitled “Special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98"/>
        <w:spacing w:after="0" w:line="255" w:lineRule="auto"/>
        <w:rPr>
          <w:sz w:val="20"/>
          <w:szCs w:val="20"/>
          <w:color w:val="auto"/>
        </w:rPr>
      </w:pPr>
      <w:r>
        <w:rPr>
          <w:rFonts w:ascii="Arial" w:cs="Arial" w:eastAsia="Arial" w:hAnsi="Arial"/>
          <w:sz w:val="18"/>
          <w:szCs w:val="18"/>
          <w:color w:val="auto"/>
        </w:rPr>
        <w:t>We are a clinical stage biopharmaceutical company developing an innovative pipeline of cancer therapies. We are developing our lead product candidate, entinostat, a once-weekly, oral, small molecule, Class I HDAC inhibitor, in combination with exemestane and several approved PD-1/PD-L1 antagonists. Our pipeline also includes SNDX-6352, a monoclonal antibody that blocks the colony stimulating factor 1, or CSF-1 receptor, as well as a portfolio of potent and selective inhibitors, including our lead candidate SNDX-5613, targeting the binding interaction of Menin with mixed lineage leukemia-rearranged, or MLLr, and acute myeloid leukemia, or AML, with a mutated nucleophosmin 1, or NPM1. We plan to continue to leverage the technical and business expertise of our management team and scientific collaborators to license, acquire and develop additional cancer therapies to expand our pipeline.</w:t>
      </w:r>
    </w:p>
    <w:p>
      <w:pPr>
        <w:spacing w:after="0" w:line="18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years ended December 31, 2018, 2017, and 2016, we reported a net loss of $74.0 million, $60.8 million and $44.5 million, respectively. As of December 31, 2018, we had an accumulated deficit of $439.4 million, which included non-cash charges for stock-based compensation, preferred stock accretion and extinguishment charges. As of December 31, 2018, we had cash, cash equivalents and short-term investments of $80.9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left="1200" w:right="20" w:hanging="598"/>
        <w:spacing w:after="0" w:line="272" w:lineRule="auto"/>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continue to anticipate the next interim overall survival (OS) analysis for E2112, our NCI-sponsored, ECOG-ACRIN led Phase 3 registration trial of entinostat plus exemestane in advanced hormone receptor positive, human epidermal growth factor receptor 2 negative (HR+, HER2-) breast cancer, in the second quarter of 2019. Additional interim analyses will be conducted by ECOG-ACRIN approximately every six months until either an OS benefit is observed, or the final target number of events occur. Any positive OS assessment would enable us to file for full regulatory approval. The E2112 trial design was informed by the Phase 2b ENCORE 301 trial, the results of which led to entinostat’s Breakthrough Therapy designation in HR+, HER2- breast cancer, in which patients receiving the entinostat/exemestane combination demonstrated a statistically significant OS benefit.</w:t>
      </w:r>
    </w:p>
    <w:p>
      <w:pPr>
        <w:spacing w:after="0" w:line="69" w:lineRule="exact"/>
        <w:rPr>
          <w:rFonts w:ascii="Arial" w:cs="Arial" w:eastAsia="Arial" w:hAnsi="Arial"/>
          <w:sz w:val="17"/>
          <w:szCs w:val="17"/>
          <w:color w:val="auto"/>
        </w:rPr>
      </w:pPr>
    </w:p>
    <w:p>
      <w:pPr>
        <w:ind w:left="1200" w:right="200" w:hanging="598"/>
        <w:spacing w:after="0" w:line="276" w:lineRule="auto"/>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Phase 2 portion of ENCORE 603, our randomized, double-blind, placebo-controlled trial of entinostat, our Class I selective HDAC inhibitor, in combination with Pfizer/Merck KGaA’s PD-L1 inhibitor,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(avelumab), in patients with heavily pretreated advanced epithelial ovarian cancer did not meet its primary endpoint of a statistically significant improvement in PFS for the combination regimen compared with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monotherapy. The Phase 2 trial randomized 126 patients to receive 10 mg/kg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every two weeks in combination with either 5 mg of entinostat (n=85) or placebo (n=41) once weekly.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6" w:name="page67"/>
    <w:bookmarkEnd w:id="66"/>
    <w:p>
      <w:pPr>
        <w:ind w:left="1200" w:hanging="598"/>
        <w:spacing w:after="0" w:line="25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Phase 2 portion of ENCORE 602, our randomized, double-blind, placebo-controlled trial of entinostat in combination with Genentech’s PD-L1 inhibitor,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(atezolizumab), in patients with PD-1 naïve, previously treated triple negative breast cancer did not meet its primary endpoint of statistically significant improvement in PFS for the combination regimen versus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monotherapy. The Phase 2 trial randomized 81 patients to receive 1200 mg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every three weeks in combination with either 5 mg of entinostat (n=40) or placebo (n=41) once weekly.</w:t>
      </w:r>
    </w:p>
    <w:p>
      <w:pPr>
        <w:spacing w:after="0" w:line="80" w:lineRule="exact"/>
        <w:rPr>
          <w:rFonts w:ascii="Arial" w:cs="Arial" w:eastAsia="Arial" w:hAnsi="Arial"/>
          <w:sz w:val="18"/>
          <w:szCs w:val="18"/>
          <w:color w:val="auto"/>
        </w:rPr>
      </w:pPr>
    </w:p>
    <w:p>
      <w:pPr>
        <w:ind w:left="1200" w:right="200" w:hanging="598"/>
        <w:spacing w:after="0" w:line="264"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Data from the NSCLC and melanoma cohorts of the ENCORE 601 trial will each be featured during oral presentations at the American Association of Cancer Research (AACR) Meeting in March. This data will include our most recent insights into the potential mechanisms that allow entinostat to enhance the benefit of immune checkpoint therapy.</w:t>
      </w:r>
    </w:p>
    <w:p>
      <w:pPr>
        <w:spacing w:after="0" w:line="73"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the activity observed to date, we have decided not to advance the ENCORE 601 cohort of patients with microsatellite stable colorectal cancer to the second stage of the trial.</w:t>
      </w:r>
    </w:p>
    <w:p>
      <w:pPr>
        <w:spacing w:after="0" w:line="62"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Due to strategic considerations, we have mutually agreed with Nektar Therapeutics to discontinue the clinical collaboration to evaluate the safety and efficacy of Nektar’s NKTR-214, a CD122-biased agonist, in combination with entinostat.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SNDX-5613</w:t>
      </w:r>
    </w:p>
    <w:p>
      <w:pPr>
        <w:spacing w:after="0" w:line="121" w:lineRule="exact"/>
        <w:rPr>
          <w:sz w:val="20"/>
          <w:szCs w:val="20"/>
          <w:color w:val="auto"/>
        </w:rPr>
      </w:pPr>
    </w:p>
    <w:p>
      <w:pPr>
        <w:ind w:left="1200" w:right="8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Preclinical data supporting our Menin-Mixed Lineage Leukemia (MLL) inhibitor program were presented during an oral session at the 60th American Society of Hematology (ASH) Annual Meeting in December 2018.</w:t>
      </w:r>
    </w:p>
    <w:p>
      <w:pPr>
        <w:spacing w:after="0" w:line="62" w:lineRule="exact"/>
        <w:rPr>
          <w:rFonts w:ascii="Arial" w:cs="Arial" w:eastAsia="Arial" w:hAnsi="Arial"/>
          <w:sz w:val="18"/>
          <w:szCs w:val="18"/>
          <w:color w:val="auto"/>
        </w:rPr>
      </w:pPr>
    </w:p>
    <w:p>
      <w:pPr>
        <w:ind w:left="1200" w:right="60" w:hanging="598"/>
        <w:spacing w:after="0" w:line="264"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continue to expect to complete pre-investigational new drug (IND) studies and submit the IND filing to the U.S. Food and Drug Administration for our Menin inhibitor, SNDX-5613, in the second quarter of 2019, with the initiation of a Phase 1 clinical trial in a defined subset of acute leukemias patients expected to follow.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SNDX-6352</w:t>
      </w:r>
    </w:p>
    <w:p>
      <w:pPr>
        <w:spacing w:after="0" w:line="121" w:lineRule="exact"/>
        <w:rPr>
          <w:sz w:val="20"/>
          <w:szCs w:val="20"/>
          <w:color w:val="auto"/>
        </w:rPr>
      </w:pPr>
    </w:p>
    <w:p>
      <w:pPr>
        <w:ind w:left="1200" w:right="140" w:hanging="598"/>
        <w:spacing w:after="0" w:line="286" w:lineRule="auto"/>
        <w:tabs>
          <w:tab w:leader="none" w:pos="12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continue to anticipate initial results from the Phase 1 dose escalation trial of SNDX-6352, our anti-CSF-1R monoclonal antibody, in patients with chronic graft versus host disease (cGVHD) in the second half of the year. The objectives of this trial are to evaluate the safety and preliminary efficacy of SNDX-6352 in cGVHD and to identify a recommended Phase 2 dose and schedule.</w:t>
      </w:r>
    </w:p>
    <w:p>
      <w:pPr>
        <w:spacing w:after="0" w:line="57" w:lineRule="exact"/>
        <w:rPr>
          <w:rFonts w:ascii="Arial" w:cs="Arial" w:eastAsia="Arial" w:hAnsi="Arial"/>
          <w:sz w:val="17"/>
          <w:szCs w:val="17"/>
          <w:color w:val="auto"/>
        </w:rPr>
      </w:pPr>
    </w:p>
    <w:p>
      <w:pPr>
        <w:ind w:left="1200" w:right="340" w:hanging="598"/>
        <w:spacing w:after="0" w:line="259"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We continue to anticipate identifying a recommended Phase 2 dose and schedule for SNDX-6352 monotherapy and in combination with </w:t>
      </w:r>
      <w:r>
        <w:rPr>
          <w:rFonts w:ascii="Arial" w:cs="Arial" w:eastAsia="Arial" w:hAnsi="Arial"/>
          <w:sz w:val="18"/>
          <w:szCs w:val="18"/>
          <w:i w:val="1"/>
          <w:iCs w:val="1"/>
          <w:color w:val="auto"/>
        </w:rPr>
        <w:t>Imfinzi</w:t>
      </w:r>
      <w:r>
        <w:rPr>
          <w:rFonts w:ascii="Arial" w:cs="Arial" w:eastAsia="Arial" w:hAnsi="Arial"/>
          <w:sz w:val="18"/>
          <w:szCs w:val="18"/>
          <w:color w:val="auto"/>
        </w:rPr>
        <w:t>® (durvalumab), AstraZeneca’s human monoclonal antibody directed against PD-L1 in the second quarter of 2019. The dose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selections will be based on the results of the ongoing Phase 1/1b ascending dose trial evaluating the safety of SNDX-6352 alone or in combination with </w:t>
      </w:r>
      <w:r>
        <w:rPr>
          <w:rFonts w:ascii="Arial" w:cs="Arial" w:eastAsia="Arial" w:hAnsi="Arial"/>
          <w:sz w:val="18"/>
          <w:szCs w:val="18"/>
          <w:i w:val="1"/>
          <w:iCs w:val="1"/>
          <w:color w:val="auto"/>
        </w:rPr>
        <w:t>Imfinzi</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years ended December 31, 2018 and 2017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KHK’s purchase of shares of our convertible preferred stock.</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67" w:name="page68"/>
    <w:bookmarkEnd w:id="67"/>
    <w:p>
      <w:pPr>
        <w:jc w:val="both"/>
        <w:ind w:right="480" w:firstLine="598"/>
        <w:spacing w:after="0" w:line="264" w:lineRule="auto"/>
        <w:rPr>
          <w:sz w:val="20"/>
          <w:szCs w:val="20"/>
          <w:color w:val="auto"/>
        </w:rPr>
      </w:pPr>
      <w:r>
        <w:rPr>
          <w:rFonts w:ascii="Arial" w:cs="Arial" w:eastAsia="Arial" w:hAnsi="Arial"/>
          <w:sz w:val="18"/>
          <w:szCs w:val="18"/>
          <w:color w:val="auto"/>
        </w:rPr>
        <w:t>In October 2017, KHK enrolled the first Japanese patient into a local pivotal study of entinostat for the treatment of hormone receptor positive, human epidermal growth factor receptor 2 negative breast cancer. In accordance with the terms of the KHK License Agreement, in December 2017 we received a $5.0 million milestone payment from KHK for achievement of the development milestone.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200" w:right="980" w:hanging="598"/>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December 31, 2018, we have incurred $211.7 million in research and development expenses.</w:t>
      </w:r>
    </w:p>
    <w:p>
      <w:pPr>
        <w:spacing w:after="0" w:line="15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8" w:name="page69"/>
    <w:bookmarkEnd w:id="68"/>
    <w:p>
      <w:pPr>
        <w:ind w:right="120" w:firstLine="59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on Form 10-K, we believe that the impact of recently issued standards that are not yet effective will not have a material impact on our financial position or results of operations upon adoption.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and liabilities, revenues and expenses, and other financial information.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89"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3 to our consolidated financial statements included elsewhere in this Annual Report on Form 10-K,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9" w:name="page70"/>
    <w:bookmarkEnd w:id="69"/>
    <w:p>
      <w:pPr>
        <w:ind w:left="6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On January 1, 2018, we adopted Financial Accounting Standards Board Accounting Standards Codification Topic 606, Revenue from Contracts with Customers, or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adoption of ASC 606 requires us to provide expanded disclosures related to our contracts with customers but did not have a material impact on the Company’s consolidated financial position, results of operations, equity or cash flows as of the adoption date or for the periods presented. See note 4 for additional information on the impact of ASC 606 on our consolidated financial statements.</w:t>
      </w:r>
    </w:p>
    <w:p>
      <w:pPr>
        <w:spacing w:after="0" w:line="167" w:lineRule="exact"/>
        <w:rPr>
          <w:sz w:val="20"/>
          <w:szCs w:val="20"/>
          <w:color w:val="auto"/>
        </w:rPr>
      </w:pPr>
    </w:p>
    <w:p>
      <w:pPr>
        <w:ind w:right="120" w:firstLine="598"/>
        <w:spacing w:after="0" w:line="289" w:lineRule="auto"/>
        <w:rPr>
          <w:sz w:val="20"/>
          <w:szCs w:val="20"/>
          <w:color w:val="auto"/>
        </w:rPr>
      </w:pPr>
      <w:r>
        <w:rPr>
          <w:rFonts w:ascii="Arial" w:cs="Arial" w:eastAsia="Arial" w:hAnsi="Arial"/>
          <w:sz w:val="16"/>
          <w:szCs w:val="16"/>
          <w:color w:val="auto"/>
        </w:rPr>
        <w:t>For license fee revenues, we applied and may continue to apply significant judgment to our KHK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The KHK agreement also includes variable consideration. We assess variable consideration at each reporting period as to whether it is not subject to significant future reversal and, therefore, should be included in the transaction price. For development milestones related to the KHK Agreement, the Company does not take a substantive role or control the research, development or commercialization of any products generated by KHK. Therefore, the Company is not able to reasonably estimate when, if at all, any development milestone payments may be payable to the Company. As such, the development milestone payments associated with the KHK Agreement involve a substantial degree of uncertainty and risk that they may never be received. Sales-based milestones and royalties will be recognized as royalty revenue in the period the related sale occurred.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89"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87"/>
              </w:rPr>
              <w:t>Increase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vMerge w:val="continue"/>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2,108</w:t>
            </w:r>
          </w:p>
        </w:tc>
        <w:tc>
          <w:tcPr>
            <w:tcW w:w="14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77,393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(75,876)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(61,954)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Total other income (expense)</w:t>
            </w:r>
          </w:p>
        </w:tc>
        <w:tc>
          <w:tcPr>
            <w:tcW w:w="1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shd w:val="clear" w:color="auto" w:fill="CFF0FC"/>
          </w:tcPr>
          <w:p>
            <w:pPr>
              <w:spacing w:after="0"/>
              <w:rPr>
                <w:sz w:val="20"/>
                <w:szCs w:val="20"/>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(73,961)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(60,802)</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For the year ended December 31, 2018, license fees decreased $0.6 million, or 28%, to $1.5 million compared to $2.1 million in the prior year. This decrease in license fees is primarily due to receipt of a $5.0 million milestone payment from KHK in 2017. We recognized $0.9 million in 2017 and $0.3 million in 2018 due to the ratable recognition over our expected performance period.</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For the year ended December 31, 2018, our total research and development expenses increased $11.9 million, or 25%, to $60.1 million from $48.2 million for the prior year due to increases in clinical trial activities of $5.4 million, employee compensation expense of $4.4 million, legal and consultant expenses of $1.8 million, facility costs of $0.2 million and other expenses of $0.1 million. The increase in clinical trial activities was primarily due to increases in spending related to our CMC activities for SNDX-6352 of $7.9 million, activities related to our Menin program of $5.8 million, increased clinical activities for SNDX-6352 and the ENCORE studies, offset by decreases in spending to our clinical pharmacology trials and clinical activities for E2112. In 2017 we expensed a nonrefundable upfront payment of $5.0 million made to Allergan plc for the purchase of the Menin Assets. The increase in employee compensation of $4.4 million was due to increased salary expense of $3.7 million and increased bonus expense of $0.3 million due to increased headcount and non-cash charges related to stock-based compensation of $0.5 million, partially offset by reduced severance expenses of $0.1 million. The increase in legal and consulting expenses was primarily due to increased activities related to NDA preparation of $1.2 million, medical communication and patient advocacy of $0.5 million and other professional fees of $0.1 million. We expect our research and development expenses to fluctuate from quarter to quarter depending on the timing of clinical trial activities, clinical manufacturing and other development activities, however we anticipate the full year research and development expenses to decrease in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1" w:name="page72"/>
    <w:bookmarkEnd w:id="71"/>
    <w:p>
      <w:pPr>
        <w:ind w:left="60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37,398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15,561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10,803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48,201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For the year ended December 31, 2018, our total general and administrative expenses increased $1.4 million, or 9%, to $17.3 million, from $15.9 million for the prior year. The increase in general and administrative expenses was primarily due to increases in pre-commercialization work of $1.1 million and increases in employee compensation of $0.4 million. The increase in employee compensation of $0.4 million was due to increased headcount of $0.2 million and non-cash charges related to stock-based compensation of $0.2 million.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For the year ended December 31, 2018, interest income (expense), net, increased $0.5 million from the prior year. This increase was primarily due to increased yield on our cash, cash equivalents and short-term and long-term investments, offset by a lower average cash and investment balance.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87"/>
              </w:rPr>
              <w:t>Increase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gridSpan w:val="2"/>
            <w:vMerge w:val="restart"/>
          </w:tcPr>
          <w:p>
            <w:pPr>
              <w:ind w:left="580"/>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2,108</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vMerge w:val="continue"/>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580"/>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vMerge w:val="continue"/>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580"/>
              <w:spacing w:after="0"/>
              <w:rPr>
                <w:sz w:val="20"/>
                <w:szCs w:val="20"/>
                <w:color w:val="auto"/>
              </w:rPr>
            </w:pPr>
            <w:r>
              <w:rPr>
                <w:rFonts w:ascii="Arial" w:cs="Arial" w:eastAsia="Arial" w:hAnsi="Arial"/>
                <w:sz w:val="18"/>
                <w:szCs w:val="18"/>
                <w:color w:val="auto"/>
              </w:rPr>
              <w:t>Loss from operations</w:t>
            </w: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(61,954)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(43,766)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Interest (expense) income, net</w:t>
            </w: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common stock warrant</w:t>
            </w: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1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(1,703)</w:t>
            </w: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18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vMerge w:val="continue"/>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loss</w:t>
            </w: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2"/>
            <w:vMerge w:val="continue"/>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(60,802)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(44,472)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0" w:type="dxa"/>
            <w:vAlign w:val="bottom"/>
            <w:vMerge w:val="restart"/>
          </w:tcPr>
          <w:p>
            <w:pPr>
              <w:jc w:val="right"/>
              <w:ind w:right="810"/>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2" w:name="page73"/>
    <w:bookmarkEnd w:id="72"/>
    <w:p>
      <w:pPr>
        <w:ind w:left="60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For the year ended December 31, 2017, license fees increased $0.9 million, or 73%, to $2.1 million compared to $1.2 million in the prior year.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 In October 2017, KHK enrolled the first Japanese patient into a local pivotal study of entinostat for the treatment of hormone receptor positive, human epidermal growth factor receptor 2 negative breast cancer. In accordance with the terms of the KHK License Agreement, in December 2017 we received a $5.0 million milestone payment from KHK for achievement of the development milestone. We determined that the milestone is not substantive as the achievement was dependent upon the counterparty. Therefore, during the fourth quarter of 2017, we recorded $0.9 million as license fee revenue and have deferred the remaining $4.1 million to be recognized over the remaining performance period coinciding with the license unit of accounting.</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For the year ended December 31, 2017, our total research and development expenses increased $16.5 million, or 52%, to $48.2 million from $31.7 million for the prior year due to increases in clinical trial activities of $9.1 million, employee compensation expense of $3.6 million, legal and consultant expenses of $3.1 million, facility costs of $0.3 million and travel costs of $0.4 million. The increase in clinical trial activities was primarily due to increases in spending related to our Phase 1 clinical pharmacology trials, increased enrollment in ENCORE 601, costs related to SNDX-6352 trials, increased activities in ENCORE 602 and ENCORE 603, and CMC activities. In 2017 we expensed a nonrefundable upfront payment of $5.0 million to Allergan plc for the Menin Assets and in 2016 we expensed a nonrefundable upfront payment of $5.0 million related to the UCB License Agreement. The increase in employee compensation costs was primarily due to increased headcount. We expect our research and development expenses for the foreseeable future to increase as we continue to advance the development of our product candidates.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37,398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25,236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31,665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For the year ended December 31, 2017, our total general and administrative expenses increased $2.5 million, or 19%, to $15.9 million, from $13.3 million for the prior year. The increase in general and administrative expenses was primarily due to increases in employee compensation of $1.3 million, increases in pre-commercialization work of $0.7 million, professional fees of $0.5 million, directors’ and officers’ insurance and other costs related to being a public company of $0.2 million and facilities costs of $0.3 million. These increases were partially offset by decreases in legal expenses of $0.5 million primarily due to lower general and business development legal costs. The increase in employee compensation of $1.3 million was due to increased salary expense of $1.1 million due to increased headcount and non-cash charges related to stock-based compensation of $0.3 million offset in part by decrease in bonus expense of $0.1 million.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3" w:name="page74"/>
    <w:bookmarkEnd w:id="73"/>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For the year ended December 31, 2017, interest income (expense), net, increased $0.5 million from the prior year. The increase was primarily due to increased yield on our cash, cash equivalents, short-term and long-term investments and increase in our cash, cash equivalents, short-term and long-term investment balances which increased as a result of the $48.7 million of net proceeds from our follow on offering in May 2017 and $24.9 million of net proceeds from our direct stock placement with BVF in October 2017.</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change in fair value of common stock warrant liability for the year ended December 31, 2017 decreased $1.7 million. There was no common stock warrant liability outstanding during the year ended December 31, 2017. At each period end until the closing of our IPO, the fair value of the outstanding common stock warrant liability was re-measured; and the change in the fair value was recorded in other expense in the condensed consolidated statement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As of December 31, 2018, we had cash, cash equivalents and short-term investments totaling $80.9 million. Since our inception, our operations have been primarily financed by net proceeds from our IPO, our follow-on stock offering, sale of convertible preferred stock and convertible debt securities and proceeds from our license agreements. We believe that our existing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79"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In March 2016, we completed our IPO whereby we sold 4,809,475 shares of our common stock at the price of $12.00 per share, resulting in total net proceeds of $50.5 million, after deducting underwriting discounts and commissions and offering expenses.</w:t>
      </w:r>
    </w:p>
    <w:p>
      <w:pPr>
        <w:spacing w:after="0" w:line="170"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April 2017, we entered into a sales agreement with Cowen under which we may issue and sell shares of our common stock having aggregate sales proceeds of up to $50.0 million from time to time pursuant to the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(Registration No. 333-217172), which was declared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the Company’s drug products. During the year ended December 31, 2018, the Company sold 2,114,169 shares of common stock, with net proceeds of $15.5 million. As of December 31, 2018, $32.1 million of common stock remained available for sale under the ATM program. In the first quarter of 2019, up to March 6, 2019, we have sold an additional 140,819 shares of our common stock with net proceeds of approximately $0.9 million. As of March 6, 2019, we have $31.2 million of common stock available for sale under the ATM program.</w:t>
      </w:r>
    </w:p>
    <w:p>
      <w:pPr>
        <w:spacing w:after="0" w:line="169" w:lineRule="exact"/>
        <w:rPr>
          <w:sz w:val="20"/>
          <w:szCs w:val="20"/>
          <w:color w:val="auto"/>
        </w:rPr>
      </w:pPr>
    </w:p>
    <w:p>
      <w:pPr>
        <w:ind w:right="500" w:firstLine="598"/>
        <w:spacing w:after="0" w:line="308" w:lineRule="auto"/>
        <w:rPr>
          <w:sz w:val="20"/>
          <w:szCs w:val="20"/>
          <w:color w:val="auto"/>
        </w:rPr>
      </w:pPr>
      <w:r>
        <w:rPr>
          <w:rFonts w:ascii="Arial" w:cs="Arial" w:eastAsia="Arial" w:hAnsi="Arial"/>
          <w:sz w:val="17"/>
          <w:szCs w:val="17"/>
          <w:color w:val="auto"/>
        </w:rPr>
        <w:t>In May 2017, we completed a follow-on public offering whereby we sold 3,950,190 shares of our common stock at a price of $13.25 per share, resulting in total net proceeds of $48.7 million, net of underwriting discounts and commissions and estimated offering expenses.</w:t>
      </w:r>
    </w:p>
    <w:p>
      <w:pPr>
        <w:spacing w:after="0" w:line="14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In October 2017, we issued to BVF 2,021,018 shares of our common stock at a price of $12.37 per share. Net proceeds after deducting expenses were approximately $24.9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73" w:lineRule="exact"/>
        <w:rPr>
          <w:sz w:val="20"/>
          <w:szCs w:val="20"/>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200" w:right="300" w:hanging="598"/>
        <w:spacing w:after="0" w:line="308" w:lineRule="auto"/>
        <w:tabs>
          <w:tab w:leader="none" w:pos="1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200" w:right="240" w:hanging="598"/>
        <w:spacing w:after="0" w:line="264"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200" w:right="560" w:hanging="598"/>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4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54"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As of December 31, 2018, we had an accumulated deficit of $439.4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cash flows:</w:t>
      </w: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operating activities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cash provided by (used in) investing activities</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0"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Net (decrease) increase in cash and cash equivalents</w:t>
      </w:r>
    </w:p>
    <w:p>
      <w:pPr>
        <w:spacing w:after="0" w:line="3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852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5" w:lineRule="exact"/>
        <w:rPr>
          <w:sz w:val="20"/>
          <w:szCs w:val="20"/>
          <w:color w:val="auto"/>
        </w:rPr>
      </w:pPr>
    </w:p>
    <w:p>
      <w:pPr>
        <w:ind w:left="260"/>
        <w:spacing w:after="0"/>
        <w:tabs>
          <w:tab w:leader="none" w:pos="1280" w:val="left"/>
          <w:tab w:leader="none" w:pos="2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15" w:lineRule="exact"/>
        <w:rPr>
          <w:sz w:val="20"/>
          <w:szCs w:val="20"/>
          <w:color w:val="auto"/>
        </w:rPr>
      </w:pPr>
    </w:p>
    <w:p>
      <w:pPr>
        <w:ind w:left="260" w:hanging="253"/>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(68,531)  $  (47,371)  $  (35,157)</w:t>
      </w:r>
    </w:p>
    <w:p>
      <w:pPr>
        <w:spacing w:after="0" w:line="3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51,398(17,072)</w:t>
      </w:r>
      <w:r>
        <w:rPr>
          <w:rFonts w:ascii="Arial" w:cs="Arial" w:eastAsia="Arial" w:hAnsi="Arial"/>
          <w:sz w:val="16"/>
          <w:szCs w:val="16"/>
          <w:color w:val="auto"/>
        </w:rPr>
        <w:t>(18,283)</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u w:val="single" w:color="auto"/>
          <w:color w:val="auto"/>
        </w:rPr>
        <w:t>15,72975,722</w:t>
      </w:r>
      <w:r>
        <w:rPr>
          <w:rFonts w:ascii="Arial" w:cs="Arial" w:eastAsia="Arial" w:hAnsi="Arial"/>
          <w:sz w:val="16"/>
          <w:szCs w:val="16"/>
          <w:color w:val="auto"/>
        </w:rPr>
        <w:t>54,202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14605</wp:posOffset>
            </wp:positionV>
            <wp:extent cx="5314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0" w:lineRule="exact"/>
        <w:rPr>
          <w:sz w:val="20"/>
          <w:szCs w:val="20"/>
          <w:color w:val="auto"/>
        </w:rPr>
      </w:pPr>
    </w:p>
    <w:p>
      <w:pPr>
        <w:spacing w:after="0"/>
        <w:tabs>
          <w:tab w:leader="none" w:pos="340" w:val="left"/>
          <w:tab w:leader="none" w:pos="1020" w:val="left"/>
          <w:tab w:leader="none" w:pos="1340" w:val="left"/>
          <w:tab w:leader="none" w:pos="2060" w:val="left"/>
          <w:tab w:leader="none" w:pos="26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(1,404</w:t>
      </w:r>
      <w:r>
        <w:rPr>
          <w:rFonts w:ascii="Arial" w:cs="Arial" w:eastAsia="Arial" w:hAnsi="Arial"/>
          <w:sz w:val="18"/>
          <w:szCs w:val="18"/>
          <w:color w:val="auto"/>
        </w:rPr>
        <w:t>)</w:t>
      </w:r>
      <w:r>
        <w:rPr>
          <w:sz w:val="20"/>
          <w:szCs w:val="20"/>
          <w:color w:val="auto"/>
        </w:rPr>
        <w:tab/>
      </w:r>
      <w:r>
        <w:rPr>
          <w:rFonts w:ascii="Arial" w:cs="Arial" w:eastAsia="Arial" w:hAnsi="Arial"/>
          <w:sz w:val="18"/>
          <w:szCs w:val="18"/>
          <w:u w:val="single" w:color="auto"/>
          <w:color w:val="auto"/>
        </w:rPr>
        <w:t>$</w:t>
        <w:tab/>
        <w:t>11,279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14605</wp:posOffset>
            </wp:positionV>
            <wp:extent cx="5314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31750</wp:posOffset>
            </wp:positionV>
            <wp:extent cx="18522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6540" w:space="720"/>
            <w:col w:w="4120"/>
          </w:cols>
          <w:pgMar w:left="240" w:top="665" w:right="279" w:bottom="1440" w:gutter="0" w:footer="0" w:header="0"/>
        </w:sectPr>
      </w:pPr>
    </w:p>
    <w:p>
      <w:pPr>
        <w:ind w:firstLine="598"/>
        <w:spacing w:after="0" w:line="257" w:lineRule="auto"/>
        <w:rPr>
          <w:sz w:val="20"/>
          <w:szCs w:val="20"/>
          <w:color w:val="auto"/>
        </w:rPr>
      </w:pPr>
      <w:r>
        <w:rPr>
          <w:rFonts w:ascii="Arial" w:cs="Arial" w:eastAsia="Arial" w:hAnsi="Arial"/>
          <w:sz w:val="18"/>
          <w:szCs w:val="18"/>
          <w:color w:val="auto"/>
        </w:rPr>
        <w:t>Net cash used in operating activities for the year ended December 31, 2018 was $68.5 million and primarily consisted of our net loss of $74.0 million adjusted for non-cash items including stock-based compensation of $6.2 million and a net decrease in operating assets and liabilities of $0.3 million. The significant items in the decrease in operating assets and liabilities include an increase in prepaid expenses and other assets of $1.0 million and a decrease in deferred revenue of $1.5 million partially offset by a decrease in accounts payable of $0.8 million and an increase in accrued expenses and other liabilities of $1.0 million.</w:t>
      </w:r>
    </w:p>
    <w:p>
      <w:pPr>
        <w:spacing w:after="0" w:line="18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Net cash used in operating activities for the year ended December 31, 2017 was $47.4 million and primarily consisted of our net loss of $60.8 million adjusted for non-cash items, including stock-based compensation of $5.5 million and a net increase in operating assets and liabilities of $7.7 million. The significant items in the increase in operating assets and liabilities include increases in accrued expenses and other liabilities of $5.3 and increase in deferred revenue of $2.9 million partially offset by an increase in prepaid expenses and other assets of $0.3 million and a decrease in account payable of $0.2 million.</w:t>
      </w:r>
    </w:p>
    <w:p>
      <w:pPr>
        <w:spacing w:after="0" w:line="15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Net cash used in operating activities for the year ended December 31, 2016 was $35.2 million and primarily consisted of our net loss of $38.1 million adjusted for non-cash items including stock-based compensation of $4.7 million and the change in fair value of warrants of $1.7 million and a net increase in operating assets and liabilities of $2.9 million. The significant items in the increase in operating assets and liabilities include an increase in prepaid expenses and other assets of $1.6 million and a decrease in deferred revenue of $1.2 million partially offset by increases in accounts payable of $0.9 million and accrued expenses and other liabilities of $4.8 million</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Net cash provided by investing activities for the year ended December 31, 2018 was $51.4 million and primarily due to the purchases of available-for-sale marketable securities of $78.8 million and property and equipment of $0.2 million offset by proceeds from the maturities of available-for-sale marketable securities of $130.4 million.</w:t>
      </w:r>
    </w:p>
    <w:p>
      <w:pPr>
        <w:spacing w:after="0" w:line="18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Net cash used in investing activities for the year ended December 31, 2017 was $17.0 million and was primarily due to the purchase of $152.3 million of available-for-sale marketable securities partially offset by $135.3 million in proceeds from the maturities of available-for-sale marketable securities and purchases of property and equipment of $0.1 million.</w:t>
      </w:r>
    </w:p>
    <w:p>
      <w:pPr>
        <w:spacing w:after="0" w:line="181" w:lineRule="exact"/>
        <w:rPr>
          <w:sz w:val="20"/>
          <w:szCs w:val="20"/>
          <w:color w:val="auto"/>
        </w:rPr>
      </w:pPr>
    </w:p>
    <w:p>
      <w:pPr>
        <w:ind w:right="520" w:firstLine="598"/>
        <w:spacing w:after="0" w:line="286" w:lineRule="auto"/>
        <w:rPr>
          <w:sz w:val="20"/>
          <w:szCs w:val="20"/>
          <w:color w:val="auto"/>
        </w:rPr>
      </w:pPr>
      <w:r>
        <w:rPr>
          <w:rFonts w:ascii="Arial" w:cs="Arial" w:eastAsia="Arial" w:hAnsi="Arial"/>
          <w:sz w:val="17"/>
          <w:szCs w:val="17"/>
          <w:color w:val="auto"/>
        </w:rPr>
        <w:t>Net cash used in investing activities for the year ended December 31, 2016 was $18.4 million and was primarily due to the purchase of $158.3 million of available-for-sale marketable securities partially offset by $140.3 million in proceeds from the maturities of available-for-sale marketable securities, purchases of property and equipment of $0.3 million and an increase in restricted cash of $0.1 million.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type w:val="continuous"/>
        </w:sectPr>
      </w:pPr>
    </w:p>
    <w:bookmarkStart w:id="76" w:name="page77"/>
    <w:bookmarkEnd w:id="76"/>
    <w:p>
      <w:pPr>
        <w:ind w:left="60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2018 was $15.7 million and was primarily due to the net proceeds from “at-the-market” offerings of $15.5 million and $0.2 million from stock option exercises and ESPP employee stock purchases.</w:t>
      </w:r>
    </w:p>
    <w:p>
      <w:pPr>
        <w:spacing w:after="0" w:line="17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2017 was $75.7 million and was primarily due to the $48.7 million of net proceeds from our follow-on offering, $24.9 million in net proceeds from our direct stock placement with BVF, $1.7 million of net proceeds from our “at-the-market” offering and $0.4 million of proceeds from stock option exercises and ESPP employee stock purchases.</w:t>
      </w:r>
    </w:p>
    <w:p>
      <w:pPr>
        <w:spacing w:after="0" w:line="181"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$54.2 million and was primarily due to the $52.1 million of proceeds from our IPO, net of underwriting discounts and commissions of $4.0 million and other direct costs of $1.5 million, and $2.1 million of proceeds from stock option exercises.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significant contractual obligations as of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to 5</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leases for office space </w:t>
            </w:r>
            <w:r>
              <w:rPr>
                <w:rFonts w:ascii="Arial" w:cs="Arial" w:eastAsia="Arial" w:hAnsi="Arial"/>
                <w:sz w:val="15"/>
                <w:szCs w:val="15"/>
                <w:color w:val="auto"/>
              </w:rPr>
              <w:t>(1)</w:t>
            </w:r>
          </w:p>
        </w:tc>
        <w:tc>
          <w:tcPr>
            <w:tcW w:w="1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 xml:space="preserve">Operating lease for office equipment </w:t>
            </w:r>
            <w:r>
              <w:rPr>
                <w:rFonts w:ascii="Arial" w:cs="Arial" w:eastAsia="Arial" w:hAnsi="Arial"/>
                <w:sz w:val="15"/>
                <w:szCs w:val="15"/>
                <w:color w:val="auto"/>
              </w:rPr>
              <w:t>(2)</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Capital lease for office equipment </w:t>
            </w:r>
            <w:r>
              <w:rPr>
                <w:rFonts w:ascii="Arial" w:cs="Arial" w:eastAsia="Arial" w:hAnsi="Arial"/>
                <w:sz w:val="15"/>
                <w:szCs w:val="15"/>
                <w:color w:val="auto"/>
              </w:rPr>
              <w:t>(3)</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6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line="297"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6"/>
          <w:szCs w:val="16"/>
          <w:color w:val="auto"/>
        </w:rPr>
        <w:t>In September 2016, we entered into a new five-year operating lease for office space in Waltham, Massachusetts, with a lease commencement date of March 1, 2017. We have the right to terminate the Waltham lease after three years as long as proper notice is given and a termination fee of $55,000 is paid on the lease termination date. The landlord also has the right to terminate the Waltham least after three years as long as proper notice is given. In December 2015, we entered into a 62-month building lease for office space in New York, New York, which commenced on January 1, 2016. The minimum lease payments above do not include any related common area maintenance charges or real estate taxes.</w:t>
      </w:r>
    </w:p>
    <w:p>
      <w:pPr>
        <w:spacing w:after="0" w:line="50" w:lineRule="exact"/>
        <w:rPr>
          <w:rFonts w:ascii="Arial" w:cs="Arial" w:eastAsia="Arial" w:hAnsi="Arial"/>
          <w:sz w:val="14"/>
          <w:szCs w:val="14"/>
          <w:color w:val="auto"/>
        </w:rPr>
      </w:pPr>
    </w:p>
    <w:p>
      <w:pPr>
        <w:ind w:left="600" w:hanging="592"/>
        <w:spacing w:after="0"/>
        <w:tabs>
          <w:tab w:leader="none" w:pos="60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February 2016, we entered into a five-year non-cancelable operating lease for office equipment.</w:t>
      </w:r>
    </w:p>
    <w:p>
      <w:pPr>
        <w:spacing w:after="0" w:line="117" w:lineRule="exact"/>
        <w:rPr>
          <w:rFonts w:ascii="Arial" w:cs="Arial" w:eastAsia="Arial" w:hAnsi="Arial"/>
          <w:sz w:val="15"/>
          <w:szCs w:val="15"/>
          <w:color w:val="auto"/>
        </w:rPr>
      </w:pPr>
    </w:p>
    <w:p>
      <w:pPr>
        <w:ind w:left="600" w:right="340" w:hanging="592"/>
        <w:spacing w:after="0" w:line="277" w:lineRule="auto"/>
        <w:tabs>
          <w:tab w:leader="none" w:pos="60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April 2018, we entered into a four-year non-cancelable lease for office equipment, which is accounted for as a capital lease. The leased asset is included in property, plant and equipment, at cost.</w:t>
      </w:r>
    </w:p>
    <w:p>
      <w:pPr>
        <w:spacing w:after="0" w:line="170"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The contractual obligations table does not include any potential contingent payments upon the achievement by us of clinical, regulatory and commercial events, as applicable, or royalty payments we may be required to make under license or collaboration agreements we have entered into with various entities pursuant to which we have in-licensed certain intellectual property. See “Business—Collaborations,” “Business—License Agreements” and “Business—In-Licensed Intellectual Property” for additional information. The table also excludes potential payments we may be required to make under manufacturing agreements as the timing of when these payments will actually be made is uncertain and the payments are contingent upon the initiation and completion of future activities.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At December 31, 2018, we had federal and state tax net operating loss carryforwards of approximately $51.7 million and $27.9 million, respectively. The federal and state net operating loss carryforwards begin to expire at various dates starting in 2025. Any federal net operating loss incurred in 2018 and in future years may now be carried forward indefinitely pursuant to the Tax Cuts and Jobs Act of 2017. It is uncertain if and to what extent various states will conform to the newly enacted federal tax law. At December 31, 2018, we had available income tax credits of approximately $3.7 million, with $2.3 million attributable to Federal R&amp;D Credits and $1.4 million attributable to state R&amp;D Credits, which are available to reduce future income taxes, if any. These income tax credits begin to expire in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ind w:right="60" w:firstLine="598"/>
        <w:spacing w:after="0" w:line="259"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60" w:firstLine="598"/>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39" w:lineRule="exact"/>
        <w:rPr>
          <w:sz w:val="20"/>
          <w:szCs w:val="20"/>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non-binding stockholder advisory votes on executive compensation or golden parachute arrangements;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have taken advantage of reduced reporting burdens in this Annual Report on Form 10-K. In particular, in this Annual Report on Form 10-K, we have not included all of the executive compensation related information that would be required if we were not an emerging growth company. We may take advantage of these exemptions for up to five years or such earlier time that we are no longer an emerging growth company. We would cease to be an emerging growth company if we have more than $1.07 billion in annual revenues as of the end of any fiscal year, if we are deemed to be a large accelerated filer under the rules of the Securities and Exchange Commission, or SEC, or if we issue more than $1.0 billion of non- convertible debt over a three-year period.</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2018, we had cash and cash equivalents of $33.8 million, consisting of overnight investments, interest-bearing money market funds and highly rated corporate bonds and short-term investments of $47.1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in this Annual Report on Form 10-K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as of December 31, 2018, our principal executive officer and principal financial officer concluded that our disclosure controls and procedures as of such date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2018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9" w:name="page80"/>
    <w:bookmarkEnd w:id="79"/>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“Information About Our Board of Directors,” “Executive Officers,” “The Board of Directors and Its Committees,” and “Section 16(a) Beneficial Ownership Reporting Compliance” in our 2019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in our 2019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Related Stockholder Matters” in our 2019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“The Board of Directors and Its Committees – Board Independence” and “Certain Relationships and Related Party Transactions” in our 2019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“Independent Registered Public Accounting Firm Fees” contained in Proposal 2 in our 2019 Proxy Statement.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response to this portion of Item 15 is set forth under Item 8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300" w:type="dxa"/>
            <w:vAlign w:val="bottom"/>
            <w:gridSpan w:val="18"/>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30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70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Amended and Restated Certificate of Incorporation of the Company (incorporated herein by reference to Exhibit 3.1 to the Company’s</w:t>
              </w:r>
            </w:hyperlink>
          </w:p>
        </w:tc>
        <w:tc>
          <w:tcPr>
            <w:tcW w:w="340" w:type="dxa"/>
            <w:vAlign w:val="bottom"/>
            <w:tcBorders>
              <w:top w:val="single" w:sz="8" w:color="auto"/>
            </w:tcBorders>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Current Report on Form 8-K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Amended and Restated Bylaws of the Company (incorporated herein by reference to Exhibit 3.2 to the Company’s Current Report on</w:t>
              </w:r>
            </w:hyperlink>
          </w:p>
        </w:tc>
        <w:tc>
          <w:tcPr>
            <w:tcW w:w="4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8-K (File No. 001-37708), as filed with the SEC on March 8, 2016).</w:t>
              </w:r>
            </w:hyperlink>
          </w:p>
        </w:tc>
        <w:tc>
          <w:tcPr>
            <w:tcW w:w="46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4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Statement on Form S-1/A (File No. 333-208861), as filed with the SEC on February 20,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980" w:type="dxa"/>
            <w:vAlign w:val="bottom"/>
            <w:tcBorders>
              <w:bottom w:val="single" w:sz="8" w:color="0000EE"/>
            </w:tcBorders>
            <w:gridSpan w:val="19"/>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Form of Warrant to purchase Common Stock issued pursuant to the Warrant Agreement by and between the Company and Bayer Schering</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Pharma AG, dated as of March 26, 2007 (incorporated herein by reference to Exhibit 4.2 to the Company’s Registration Statement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Form S-1 (File No. 333-208861), as filed with the SEC on January 4, 2016).</w:t>
              </w:r>
            </w:hyperlink>
          </w:p>
        </w:tc>
        <w:tc>
          <w:tcPr>
            <w:tcW w:w="4120" w:type="dxa"/>
            <w:vAlign w:val="bottom"/>
            <w:tcBorders>
              <w:top w:val="single" w:sz="8" w:color="0000EE"/>
            </w:tcBorders>
            <w:gridSpan w:val="7"/>
          </w:tcPr>
          <w:p>
            <w:pPr>
              <w:spacing w:after="0"/>
              <w:rPr>
                <w:sz w:val="17"/>
                <w:szCs w:val="17"/>
                <w:color w:val="auto"/>
              </w:rPr>
            </w:pPr>
          </w:p>
        </w:tc>
        <w:tc>
          <w:tcPr>
            <w:tcW w:w="4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Indenture, between the Registrant and one or more trustees to be named (incorporated herein by reference to Exhibit 4.5 to the</w:t>
              </w:r>
            </w:hyperlink>
          </w:p>
        </w:tc>
        <w:tc>
          <w:tcPr>
            <w:tcW w:w="2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Company’s Registration Statement on Form S-3 (File No. 333-217172), as filed with the SEC on April 6, 2017).</w:t>
              </w:r>
            </w:hyperlink>
          </w:p>
        </w:tc>
        <w:tc>
          <w:tcPr>
            <w:tcW w:w="19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Common Stock Warrant Agreement and Warrant Certificate (incorporated herein by reference to Exhibit 4.7 to the Company’s</w:t>
              </w:r>
            </w:hyperlink>
          </w:p>
        </w:tc>
        <w:tc>
          <w:tcPr>
            <w:tcW w:w="2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Registration Statement on Form S-3 (File No. 333-217172), as filed with the SEC on April 6, 2017).</w:t>
              </w:r>
            </w:hyperlink>
          </w:p>
        </w:tc>
        <w:tc>
          <w:tcPr>
            <w:tcW w:w="28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Debt Securities Warrant Agreement and Warrant Certificate (incorporated herein by reference to Exhibit 4.9 to the Company’s</w:t>
              </w:r>
            </w:hyperlink>
          </w:p>
        </w:tc>
        <w:tc>
          <w:tcPr>
            <w:tcW w:w="3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Registration Statement on Form S-3 (File No. 333-217172), as filed with the SEC on April 6, 2017).</w:t>
              </w:r>
            </w:hyperlink>
          </w:p>
        </w:tc>
        <w:tc>
          <w:tcPr>
            <w:tcW w:w="28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Preferred Stock Warrant Agreement and Warrant Certificate  (incorporated herein by reference to Exhibit 4.8 to the Company’s</w:t>
              </w:r>
            </w:hyperlink>
          </w:p>
        </w:tc>
        <w:tc>
          <w:tcPr>
            <w:tcW w:w="2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Registration Statement on Form S-3 (File No. 333-217172), as filed with the SEC on April 6, 2017).</w:t>
              </w:r>
            </w:hyperlink>
          </w:p>
        </w:tc>
        <w:tc>
          <w:tcPr>
            <w:tcW w:w="28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Warrant Agreement by and between the company and Bayer Schering Pharma AG, dated as of March 26, 2007 (incorporated herein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111">
              <w:r>
                <w:rPr>
                  <w:rFonts w:ascii="Arial" w:cs="Arial" w:eastAsia="Arial" w:hAnsi="Arial"/>
                  <w:sz w:val="18"/>
                  <w:szCs w:val="18"/>
                  <w:color w:val="0000EE"/>
                  <w:w w:val="95"/>
                </w:rPr>
                <w:t>reference to Exhibit 10.2 to the Company’s Registration Statement on Form S-1 (File No. 333-208861), as filed with the SEC on</w:t>
              </w:r>
            </w:hyperlink>
          </w:p>
        </w:tc>
        <w:tc>
          <w:tcPr>
            <w:tcW w:w="3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January 4, 2016).</w:t>
              </w:r>
            </w:hyperlink>
          </w:p>
        </w:tc>
        <w:tc>
          <w:tcPr>
            <w:tcW w:w="8000" w:type="dxa"/>
            <w:vAlign w:val="bottom"/>
            <w:tcBorders>
              <w:top w:val="single" w:sz="8" w:color="0000EE"/>
            </w:tcBorders>
            <w:gridSpan w:val="9"/>
          </w:tcPr>
          <w:p>
            <w:pPr>
              <w:spacing w:after="0"/>
              <w:rPr>
                <w:sz w:val="17"/>
                <w:szCs w:val="17"/>
                <w:color w:val="auto"/>
              </w:rPr>
            </w:pPr>
          </w:p>
        </w:tc>
        <w:tc>
          <w:tcPr>
            <w:tcW w:w="7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2007 Stock Plan (incorporated herein by reference to Exhibit 10.3 to the Company’s Registration Statement on Form S-1 (File No. 333-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420" w:type="dxa"/>
            <w:vAlign w:val="bottom"/>
            <w:gridSpan w:val="1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40"/>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2007 Stock Plan Amendment, dated as of March 8, 2013 (incorporated herein by reference to Exhibit 10.4 to the Company’s Registration</w:t>
              </w:r>
            </w:hyperlink>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tcBorders>
              <w:top w:val="single" w:sz="8" w:color="0000EE"/>
            </w:tcBorders>
            <w:gridSpan w:val="3"/>
          </w:tcPr>
          <w:p>
            <w:pPr>
              <w:ind w:left="4240"/>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560" w:type="dxa"/>
            <w:vAlign w:val="bottom"/>
            <w:gridSpan w:val="19"/>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56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82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2007 Stock Plan Amendment, dated as of July 10, 2013 (incorporated herein by reference to Exhibit 10.5 to the Company’s Registration</w:t>
              </w:r>
            </w:hyperlink>
          </w:p>
        </w:tc>
        <w:tc>
          <w:tcPr>
            <w:tcW w:w="220" w:type="dxa"/>
            <w:vAlign w:val="bottom"/>
            <w:tcBorders>
              <w:top w:val="single" w:sz="8" w:color="auto"/>
            </w:tcBorders>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2007 Stock Plan Amendment, dated as of January 23, 2014 (incorporated herein by reference to Exhibit 10.6 to the Company’s</w:t>
              </w:r>
            </w:hyperlink>
          </w:p>
        </w:tc>
        <w:tc>
          <w:tcPr>
            <w:tcW w:w="8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Registration Statement on Form S-1 (File No. 333-208861), as filed with the SEC on January 4, 2016).</w:t>
              </w:r>
            </w:hyperlink>
          </w:p>
        </w:tc>
        <w:tc>
          <w:tcPr>
            <w:tcW w:w="2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340" w:type="dxa"/>
            <w:vAlign w:val="bottom"/>
            <w:tcBorders>
              <w:bottom w:val="single" w:sz="8" w:color="0000EE"/>
            </w:tcBorders>
            <w:gridSpan w:val="11"/>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2007 Stock Plan Amendment, dated as of December 17, 2014 (incorporated herein by reference to Exhibit 10.7 to the Company’s</w:t>
              </w:r>
            </w:hyperlink>
          </w:p>
        </w:tc>
        <w:tc>
          <w:tcPr>
            <w:tcW w:w="7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Registration Statement on Form S-1 (File No. 333-208861), as filed with the SEC on January 4, 2016).</w:t>
              </w:r>
            </w:hyperlink>
          </w:p>
        </w:tc>
        <w:tc>
          <w:tcPr>
            <w:tcW w:w="2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2007 Stock Plan Amendment, dated as of May 28, 2015 (incorporated herein by reference to Exhibit 10.8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Statement on Form S-1 (File No. 333-208861), as filed with the SEC on January 4, 2016).</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2007 Stock Plan Amendment, dated as of August 20, 2015 (incorporated herein by reference to Exhibit 10.9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Form of Incentive Stock Option Agreement under 2007 Stock Plan (incorporated herein by reference to Exhibit 10.10 to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Registration Statement on Form S-1 (File No. 333-208861), as filed with the SEC on January 4, 2016).</w:t>
              </w:r>
            </w:hyperlink>
          </w:p>
        </w:tc>
        <w:tc>
          <w:tcPr>
            <w:tcW w:w="2380" w:type="dxa"/>
            <w:vAlign w:val="bottom"/>
            <w:tcBorders>
              <w:top w:val="single" w:sz="8" w:color="0000EE"/>
            </w:tcBorders>
            <w:gridSpan w:val="8"/>
          </w:tcPr>
          <w:p>
            <w:pPr>
              <w:spacing w:after="0"/>
              <w:rPr>
                <w:sz w:val="17"/>
                <w:szCs w:val="17"/>
                <w:color w:val="auto"/>
              </w:rPr>
            </w:pPr>
          </w:p>
        </w:tc>
        <w:tc>
          <w:tcPr>
            <w:tcW w:w="2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9300" w:type="dxa"/>
            <w:vAlign w:val="bottom"/>
            <w:tcBorders>
              <w:bottom w:val="single" w:sz="8" w:color="0000EE"/>
            </w:tcBorders>
            <w:gridSpan w:val="10"/>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Form of Non-Statutory Stock Option Agreement under 2007 Stock Plan (incorporated herein by reference to Exhibit 10.11 to the</w:t>
              </w:r>
            </w:hyperlink>
          </w:p>
        </w:tc>
        <w:tc>
          <w:tcPr>
            <w:tcW w:w="7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2015 Omnibus Incentive Plan (incorporated herein by reference to Exhibit 10.12 to the Company’s Registration Statement on Form S-8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(File No. 333-210412), as filed with the SEC on March 25, 2016).</w:t>
              </w:r>
            </w:hyperlink>
          </w:p>
        </w:tc>
        <w:tc>
          <w:tcPr>
            <w:tcW w:w="4980" w:type="dxa"/>
            <w:vAlign w:val="bottom"/>
            <w:tcBorders>
              <w:top w:val="single" w:sz="8" w:color="0000EE"/>
            </w:tcBorders>
            <w:gridSpan w:val="10"/>
          </w:tcPr>
          <w:p>
            <w:pPr>
              <w:spacing w:after="0"/>
              <w:rPr>
                <w:sz w:val="17"/>
                <w:szCs w:val="17"/>
                <w:color w:val="auto"/>
              </w:rPr>
            </w:pPr>
          </w:p>
        </w:tc>
        <w:tc>
          <w:tcPr>
            <w:tcW w:w="2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20" w:type="dxa"/>
            <w:vAlign w:val="bottom"/>
            <w:tcBorders>
              <w:bottom w:val="single" w:sz="8" w:color="0000EE"/>
            </w:tcBorders>
            <w:gridSpan w:val="20"/>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Incentive Stock Option Agreement under 2015 Omnibus Incentive Plan (incorporated herein by reference to Exhibit 10.13 to the</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Form of Non-Qualified Option Agreement under 2015 Omnibus Incentive Plan (incorporated herein by reference to Exhibit 10.14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Company’s Registration Statement on Form S-1 (File No. 333-208861), as filed with the SEC on January 4, 2016).</w:t>
              </w:r>
            </w:hyperlink>
          </w:p>
        </w:tc>
        <w:tc>
          <w:tcPr>
            <w:tcW w:w="1540" w:type="dxa"/>
            <w:vAlign w:val="bottom"/>
            <w:tcBorders>
              <w:top w:val="single" w:sz="8" w:color="0000EE"/>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2015 Employee Stock Purchase Plan (incorporated herein by reference to Exhibit 4.16 to the Company’s Registration Statement on Form</w:t>
              </w:r>
            </w:hyperlink>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S-8 (File No. 333-210412), as filed with the SEC on March 25,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7"/>
              </w:rPr>
            </w:pPr>
            <w:hyperlink r:id="rId127">
              <w:r>
                <w:rPr>
                  <w:rFonts w:ascii="Arial" w:cs="Arial" w:eastAsia="Arial" w:hAnsi="Arial"/>
                  <w:sz w:val="18"/>
                  <w:szCs w:val="18"/>
                  <w:color w:val="0000EE"/>
                  <w:w w:val="97"/>
                </w:rPr>
                <w:t>Executive Employment Agreement by and between the company and Briggs W. Morrison, M.D., dated as of September 30,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3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(incorporated herein by reference to Exhibit 10.16 to the Company’s Registration Statement on Form S-1 (File No. 333-208861), as filed</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9880" w:type="dxa"/>
            <w:vAlign w:val="bottom"/>
            <w:tcBorders>
              <w:bottom w:val="single" w:sz="8" w:color="0000EE"/>
            </w:tcBorders>
            <w:gridSpan w:val="18"/>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Executive Employment Agreement by and between the company and Michael A. Metzger, dated as of September 30, 2015 (incorporated</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herein by reference to Exhibit 10.17 to the Company’s Registration Statement on Form S-1 (File No. 333-208861), as filed with the SEC</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6"/>
              </w:rPr>
            </w:pPr>
            <w:hyperlink r:id="rId129">
              <w:r>
                <w:rPr>
                  <w:rFonts w:ascii="Arial" w:cs="Arial" w:eastAsia="Arial" w:hAnsi="Arial"/>
                  <w:sz w:val="18"/>
                  <w:szCs w:val="18"/>
                  <w:color w:val="0000EE"/>
                  <w:w w:val="96"/>
                </w:rPr>
                <w:t>Executive Employment Agreement by and between the Company and Michael L. Meyers, M.D., Ph.D., dated as of October 1,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60" w:type="dxa"/>
            <w:vAlign w:val="bottom"/>
            <w:gridSpan w:val="8"/>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(incorporated herein by reference to Exhibit 10.18 to the Company’s Registration Statement on Form S-1 (File No. 333-208861), as filed</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40"/>
              <w:spacing w:after="0" w:line="19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Executive Employment Agreement by and between the Company and Richard P. Shea, dated as of February 9, 2017 (incorporated herein</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by reference to Exhibit 10.1 to the Company’s Quarterly Report on Form 10-Q, as filed with the SEC on August 10,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tcBorders>
              <w:top w:val="single" w:sz="8" w:color="0000EE"/>
            </w:tcBorders>
            <w:gridSpan w:val="3"/>
          </w:tcPr>
          <w:p>
            <w:pPr>
              <w:ind w:left="4240"/>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60" w:type="dxa"/>
            <w:vAlign w:val="bottom"/>
            <w:gridSpan w:val="18"/>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6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040" w:type="dxa"/>
            <w:vAlign w:val="bottom"/>
            <w:tcBorders>
              <w:top w:val="single" w:sz="8" w:color="auto"/>
            </w:tcBorders>
            <w:gridSpan w:val="23"/>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Form of Indemnification Agreement by and between the company and each of its directors and officers (incorporated herein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to Exhibit 10.21 to the Company’s Registration Statement on Form S-1 (File No. 333-208861), as filed with the SEC on January 4, 2016).</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9580" w:type="dxa"/>
            <w:vAlign w:val="bottom"/>
            <w:tcBorders>
              <w:bottom w:val="single" w:sz="8" w:color="0000EE"/>
            </w:tcBorders>
            <w:gridSpan w:val="9"/>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License, Development and Commercialization Agreement by and between the company and Bayer Schering Pharma AG, dated as of</w:t>
              </w:r>
            </w:hyperlink>
          </w:p>
        </w:tc>
        <w:tc>
          <w:tcPr>
            <w:tcW w:w="4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March 26, 2007 (incorporated herein by reference to Exhibit 10.22 to the Company’s Registration Statement on Form S-1 (File No. 333-</w:t>
              </w:r>
            </w:hyperlink>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10040" w:type="dxa"/>
            <w:vAlign w:val="bottom"/>
            <w:gridSpan w:val="23"/>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First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dated as of October 13, 2012 (incorporated herein by reference to Exhibit 10.23 to the Company’s Registration Statement on Form S-1</w:t>
              </w:r>
            </w:hyperlink>
          </w:p>
        </w:tc>
        <w:tc>
          <w:tcPr>
            <w:tcW w:w="2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(File No. 333-208861), as filed with the SEC on January 4, 2016).</w:t>
              </w:r>
            </w:hyperlink>
          </w:p>
        </w:tc>
        <w:tc>
          <w:tcPr>
            <w:tcW w:w="4920" w:type="dxa"/>
            <w:vAlign w:val="bottom"/>
            <w:tcBorders>
              <w:top w:val="single" w:sz="8" w:color="0000EE"/>
            </w:tcBorders>
            <w:gridSpan w:val="7"/>
          </w:tcPr>
          <w:p>
            <w:pPr>
              <w:spacing w:after="0"/>
              <w:rPr>
                <w:sz w:val="17"/>
                <w:szCs w:val="17"/>
                <w:color w:val="auto"/>
              </w:rPr>
            </w:pPr>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Second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dated as of February 1, 2013 (incorporated herein by reference to Exhibit 10.24 to the Company’s Registration Statement on Form S-1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(File No. 333-208861), as filed with the SEC on January 4, 2016).</w:t>
              </w:r>
            </w:hyperlink>
          </w:p>
        </w:tc>
        <w:tc>
          <w:tcPr>
            <w:tcW w:w="4900" w:type="dxa"/>
            <w:vAlign w:val="bottom"/>
            <w:tcBorders>
              <w:top w:val="single" w:sz="8" w:color="0000EE"/>
            </w:tcBorders>
            <w:gridSpan w:val="6"/>
          </w:tcPr>
          <w:p>
            <w:pPr>
              <w:spacing w:after="0"/>
              <w:rPr>
                <w:sz w:val="17"/>
                <w:szCs w:val="17"/>
                <w:color w:val="auto"/>
              </w:rPr>
            </w:pPr>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9900" w:type="dxa"/>
            <w:vAlign w:val="bottom"/>
            <w:tcBorders>
              <w:bottom w:val="single" w:sz="8" w:color="0000EE"/>
            </w:tcBorders>
            <w:gridSpan w:val="17"/>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Third Amendment to the License, Development and Commercialization Agreement by and between the company and Bayer Pharma AG,</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dated as of October 9, 2013 (incorporated herein by reference to Exhibit 10.25 to the Company’s Registration Statement on Form S-1 (File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9920" w:type="dxa"/>
            <w:vAlign w:val="bottom"/>
            <w:tcBorders>
              <w:bottom w:val="single" w:sz="8" w:color="0000EE"/>
            </w:tcBorders>
            <w:gridSpan w:val="18"/>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Letter Agreement by and between the company and Bayer Pharma AG, dated as of September 18, 2014 (incorporated herein by reference</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to Exhibit 10.26 to the Company’s Registration Statement on Form S-1 (File No. 333-208861), as filed with the SEC on January 4, 2016).</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10040" w:type="dxa"/>
            <w:vAlign w:val="bottom"/>
            <w:gridSpan w:val="23"/>
          </w:tcPr>
          <w:p>
            <w:pPr>
              <w:spacing w:after="0"/>
              <w:rPr>
                <w:rFonts w:ascii="Arial" w:cs="Arial" w:eastAsia="Arial" w:hAnsi="Arial"/>
                <w:sz w:val="18"/>
                <w:szCs w:val="18"/>
                <w:color w:val="0000EE"/>
              </w:rPr>
            </w:pPr>
            <w:hyperlink r:id="rId139">
              <w:r>
                <w:rPr>
                  <w:rFonts w:ascii="Arial" w:cs="Arial" w:eastAsia="Arial" w:hAnsi="Arial"/>
                  <w:sz w:val="18"/>
                  <w:szCs w:val="18"/>
                  <w:color w:val="0000EE"/>
                </w:rPr>
                <w:t>Clinical Trial Agreement by and between the company and Eastern Cooperative Oncology Group, dated as of March 14, 2014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(incorporated herein by reference to Exhibit 10.27 to the Company’s Registration Statement on Form S-1 (File No. 333-208861),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with the SEC on January 4, 2016).</w:t>
              </w:r>
            </w:hyperlink>
          </w:p>
        </w:tc>
        <w:tc>
          <w:tcPr>
            <w:tcW w:w="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9620" w:type="dxa"/>
            <w:vAlign w:val="bottom"/>
            <w:tcBorders>
              <w:bottom w:val="single" w:sz="8" w:color="0000EE"/>
            </w:tcBorders>
            <w:gridSpan w:val="10"/>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Amendment No. 1 to Clinical Trial Agreement by and between the company and ECOG-ACRIN Cancer Research Group, dated as of</w:t>
              </w:r>
            </w:hyperlink>
          </w:p>
        </w:tc>
        <w:tc>
          <w:tcPr>
            <w:tcW w:w="4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January 30, 2015 (incorporated herein by reference to Exhibit 10.28 to the Company’s Registration Statement on Form S-1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9960" w:type="dxa"/>
            <w:vAlign w:val="bottom"/>
            <w:tcBorders>
              <w:bottom w:val="single" w:sz="8" w:color="0000EE"/>
            </w:tcBorders>
            <w:gridSpan w:val="20"/>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Amendment No. 2 to Clinical Trial Agreement by and between the company and ECOG-ACRIN Cancer Research Group, dated as of July</w:t>
              </w:r>
            </w:hyperlink>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31, 2015 (incorporated herein by reference to Exhibit 10.37 to the Company’s Registration Statement on Form S-1/A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February 22, 2016).</w:t>
              </w:r>
            </w:hyperlink>
          </w:p>
        </w:tc>
        <w:tc>
          <w:tcPr>
            <w:tcW w:w="54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Amendment No. 3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April 20, 2016 (incorporated herein by reference to Exhibit 10.1 to the Company’s Quarterly Report on Form 10-Q, as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on August 15, 2016).</w:t>
              </w:r>
            </w:hyperlink>
          </w:p>
        </w:tc>
        <w:tc>
          <w:tcPr>
            <w:tcW w:w="8360" w:type="dxa"/>
            <w:vAlign w:val="bottom"/>
            <w:tcBorders>
              <w:top w:val="single" w:sz="8" w:color="0000EE"/>
            </w:tcBorders>
            <w:gridSpan w:val="16"/>
          </w:tcPr>
          <w:p>
            <w:pPr>
              <w:spacing w:after="0"/>
              <w:rPr>
                <w:sz w:val="17"/>
                <w:szCs w:val="17"/>
                <w:color w:val="auto"/>
              </w:rPr>
            </w:pPr>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Amendment No. 4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April 20, 2016 (incorporated herein by reference to Exhibit 10.2 to the Company’s Quarterly Report on Form 10-Q, as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on August 15, 2016).</w:t>
              </w:r>
            </w:hyperlink>
          </w:p>
        </w:tc>
        <w:tc>
          <w:tcPr>
            <w:tcW w:w="8360" w:type="dxa"/>
            <w:vAlign w:val="bottom"/>
            <w:tcBorders>
              <w:top w:val="single" w:sz="8" w:color="0000EE"/>
            </w:tcBorders>
            <w:gridSpan w:val="16"/>
          </w:tcPr>
          <w:p>
            <w:pPr>
              <w:spacing w:after="0"/>
              <w:rPr>
                <w:sz w:val="17"/>
                <w:szCs w:val="17"/>
                <w:color w:val="auto"/>
              </w:rPr>
            </w:pPr>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Amendment No. 5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April 20, 2016 (incorporated herein by reference to Exhibit 10.3 to the Company’s Quarterly Report on Form 10-Q, as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on August 15, 2016).</w:t>
              </w:r>
            </w:hyperlink>
          </w:p>
        </w:tc>
        <w:tc>
          <w:tcPr>
            <w:tcW w:w="8360" w:type="dxa"/>
            <w:vAlign w:val="bottom"/>
            <w:tcBorders>
              <w:top w:val="single" w:sz="8" w:color="0000EE"/>
            </w:tcBorders>
            <w:gridSpan w:val="16"/>
          </w:tcPr>
          <w:p>
            <w:pPr>
              <w:spacing w:after="0"/>
              <w:rPr>
                <w:sz w:val="17"/>
                <w:szCs w:val="17"/>
                <w:color w:val="auto"/>
              </w:rPr>
            </w:pPr>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10.31†</w:t>
            </w:r>
          </w:p>
        </w:tc>
        <w:tc>
          <w:tcPr>
            <w:tcW w:w="96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Amendment No. 6 to Clinical Trial Agreement by and between the Company and ECOG-ACRIN Cancer Research Group, dated as of</w:t>
              </w:r>
            </w:hyperlink>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April 25, 2016 (incorporated herein by reference to Exhibit 10.4 to the Company’s Quarterly Report on Form 10-Q, as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on August 15, 2016).</w:t>
              </w:r>
            </w:hyperlink>
          </w:p>
        </w:tc>
        <w:tc>
          <w:tcPr>
            <w:tcW w:w="8360" w:type="dxa"/>
            <w:vAlign w:val="bottom"/>
            <w:tcBorders>
              <w:top w:val="single" w:sz="8" w:color="0000EE"/>
            </w:tcBorders>
            <w:gridSpan w:val="16"/>
          </w:tcPr>
          <w:p>
            <w:pPr>
              <w:spacing w:after="0"/>
              <w:rPr>
                <w:sz w:val="17"/>
                <w:szCs w:val="17"/>
                <w:color w:val="auto"/>
              </w:rPr>
            </w:pPr>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6"/>
          </w:tcPr>
          <w:p>
            <w:pPr>
              <w:ind w:left="4240"/>
              <w:spacing w:after="0"/>
              <w:rPr>
                <w:sz w:val="20"/>
                <w:szCs w:val="20"/>
                <w:color w:val="auto"/>
              </w:rPr>
            </w:pPr>
            <w:r>
              <w:rPr>
                <w:rFonts w:ascii="Arial" w:cs="Arial" w:eastAsia="Arial" w:hAnsi="Arial"/>
                <w:sz w:val="18"/>
                <w:szCs w:val="18"/>
                <w:color w:val="auto"/>
              </w:rPr>
              <w:t>79</w:t>
            </w:r>
          </w:p>
        </w:tc>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20" w:type="dxa"/>
            <w:vAlign w:val="bottom"/>
            <w:gridSpan w:val="19"/>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10040" w:type="dxa"/>
            <w:vAlign w:val="bottom"/>
            <w:gridSpan w:val="29"/>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Amendment No. 7 to Clinical Trial Agreement by and between the Company and ECOG-ACRIN Cancer Research Group, dated January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9, 2017 (incorporated herein by reference to Exhibit 10.1 to the Company’s Quarterly Report on Form 10-Q, as filed with the SEC on May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9, 2017).</w:t>
              </w:r>
            </w:hyperlink>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10.33†</w:t>
            </w:r>
          </w:p>
        </w:tc>
        <w:tc>
          <w:tcPr>
            <w:tcW w:w="10040" w:type="dxa"/>
            <w:vAlign w:val="bottom"/>
            <w:gridSpan w:val="29"/>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Amendment No. 8 to Clinical Trial Agreement by and between the Company and ECOG-ACRIN Cancer Research Group, dated January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18, 2017 (incorporated herein by reference to Exhibit 10.3 to the Company’s Quarterly Report on Form 10-Q, as filed with the SEC on</w:t>
              </w:r>
            </w:hyperlink>
          </w:p>
        </w:tc>
        <w:tc>
          <w:tcPr>
            <w:tcW w:w="1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May 9, 2017).</w:t>
              </w:r>
            </w:hyperlink>
          </w:p>
        </w:tc>
        <w:tc>
          <w:tcPr>
            <w:tcW w:w="3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10040" w:type="dxa"/>
            <w:vAlign w:val="bottom"/>
            <w:gridSpan w:val="29"/>
          </w:tcPr>
          <w:p>
            <w:pPr>
              <w:spacing w:after="0"/>
              <w:rPr>
                <w:rFonts w:ascii="Arial" w:cs="Arial" w:eastAsia="Arial" w:hAnsi="Arial"/>
                <w:sz w:val="18"/>
                <w:szCs w:val="18"/>
                <w:color w:val="0000EE"/>
                <w:w w:val="98"/>
              </w:rPr>
            </w:pPr>
            <w:hyperlink r:id="rId150">
              <w:r>
                <w:rPr>
                  <w:rFonts w:ascii="Arial" w:cs="Arial" w:eastAsia="Arial" w:hAnsi="Arial"/>
                  <w:sz w:val="18"/>
                  <w:szCs w:val="18"/>
                  <w:color w:val="0000EE"/>
                  <w:w w:val="98"/>
                </w:rPr>
                <w:t>Amendment No. 9 to Clinical Trial Agreement by and between the Company and ECOG-ACRIN Cancer Research Group,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November 22, 2017 (incorporated herein by reference to Exhibit 10.34 to the Company’s Annual Report on Form 10-K, as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SEC on March 8, 2018).</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10.35†</w:t>
            </w:r>
          </w:p>
        </w:tc>
        <w:tc>
          <w:tcPr>
            <w:tcW w:w="10040" w:type="dxa"/>
            <w:vAlign w:val="bottom"/>
            <w:gridSpan w:val="29"/>
          </w:tcPr>
          <w:p>
            <w:pPr>
              <w:spacing w:after="0"/>
              <w:rPr>
                <w:rFonts w:ascii="Arial" w:cs="Arial" w:eastAsia="Arial" w:hAnsi="Arial"/>
                <w:sz w:val="18"/>
                <w:szCs w:val="18"/>
                <w:color w:val="0000EE"/>
                <w:w w:val="91"/>
              </w:rPr>
            </w:pPr>
            <w:hyperlink w:anchor="page118">
              <w:r>
                <w:rPr>
                  <w:rFonts w:ascii="Arial" w:cs="Arial" w:eastAsia="Arial" w:hAnsi="Arial"/>
                  <w:sz w:val="18"/>
                  <w:szCs w:val="18"/>
                  <w:color w:val="0000EE"/>
                  <w:w w:val="91"/>
                </w:rPr>
                <w:t>Amendment No. 10 to Clinical Trial Agreement by and between the Company and ECOG-ACRIN Cancer Research Group, dated October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15, 2018.</w:t>
              </w:r>
            </w:hyperlink>
          </w:p>
        </w:tc>
        <w:tc>
          <w:tcPr>
            <w:tcW w:w="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Clinical Trial Collaboration and Supply Agreement by and between the company and MSD International GmbH, dated as of March 27,</w:t>
              </w:r>
            </w:hyperlink>
          </w:p>
        </w:tc>
        <w:tc>
          <w:tcPr>
            <w:tcW w:w="2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10.36†</w:t>
            </w:r>
          </w:p>
        </w:tc>
        <w:tc>
          <w:tcPr>
            <w:tcW w:w="99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2015 (incorporated herein by reference to Exhibit 10.32 to the Company’s Registration Statement on Form S-1 (File No. 333-208861), as</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10040" w:type="dxa"/>
            <w:vAlign w:val="bottom"/>
            <w:gridSpan w:val="29"/>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First Amendment to Clinical Trial Collaboration and Supply Agreement by and between the company and MSD International GmbH,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dated as of August 13, 2015 (incorporated herein by reference to Exhibit 10.38 to the Company’s Registration Statement on Form S-1/A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(File No. 333-208861), as filed with the SEC on February 22, 2016).</w:t>
              </w:r>
            </w:hyperlink>
          </w:p>
        </w:tc>
        <w:tc>
          <w:tcPr>
            <w:tcW w:w="4860" w:type="dxa"/>
            <w:vAlign w:val="bottom"/>
            <w:tcBorders>
              <w:top w:val="single" w:sz="8" w:color="0000EE"/>
            </w:tcBorders>
            <w:gridSpan w:val="11"/>
          </w:tcPr>
          <w:p>
            <w:pPr>
              <w:spacing w:after="0"/>
              <w:rPr>
                <w:sz w:val="17"/>
                <w:szCs w:val="17"/>
                <w:color w:val="auto"/>
              </w:rPr>
            </w:pPr>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10.38†</w:t>
            </w: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Amendment #1 to Clinical Trial Collaboration and Supply Agreement by and between the Company, Merck Sharp &amp; Dohme B.V., and</w:t>
              </w:r>
            </w:hyperlink>
          </w:p>
        </w:tc>
        <w:tc>
          <w:tcPr>
            <w:tcW w:w="3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MSD International GmbH, dated as of April 26, 2017 (incorporated herein by reference to Exhibit 10.2 to the Company’s Quarterly Report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on Form 10-Q, as filed with the SEC on August 10,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10.39†</w:t>
            </w:r>
          </w:p>
        </w:tc>
        <w:tc>
          <w:tcPr>
            <w:tcW w:w="10040" w:type="dxa"/>
            <w:vAlign w:val="bottom"/>
            <w:gridSpan w:val="29"/>
          </w:tcPr>
          <w:p>
            <w:pPr>
              <w:spacing w:after="0"/>
              <w:rPr>
                <w:rFonts w:ascii="Arial" w:cs="Arial" w:eastAsia="Arial" w:hAnsi="Arial"/>
                <w:sz w:val="18"/>
                <w:szCs w:val="18"/>
                <w:color w:val="0000EE"/>
                <w:w w:val="98"/>
              </w:rPr>
            </w:pPr>
            <w:hyperlink r:id="rId154">
              <w:r>
                <w:rPr>
                  <w:rFonts w:ascii="Arial" w:cs="Arial" w:eastAsia="Arial" w:hAnsi="Arial"/>
                  <w:sz w:val="18"/>
                  <w:szCs w:val="18"/>
                  <w:color w:val="0000EE"/>
                  <w:w w:val="98"/>
                </w:rPr>
                <w:t>License, Development and Commercialization Agreement by and between the company and Kyowa Hakko Kirin Co., Ltd.,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December 19, 2014 (incorporated herein by reference to Exhibit 10.33 to the Company’s Registration Statement on Form S-1 (File No.</w:t>
              </w:r>
            </w:hyperlink>
          </w:p>
        </w:tc>
        <w:tc>
          <w:tcPr>
            <w:tcW w:w="3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333-208861), as filed with the SEC on January 4, 2016).</w:t>
              </w:r>
            </w:hyperlink>
          </w:p>
        </w:tc>
        <w:tc>
          <w:tcPr>
            <w:tcW w:w="596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10.40†</w:t>
            </w:r>
          </w:p>
        </w:tc>
        <w:tc>
          <w:tcPr>
            <w:tcW w:w="10040" w:type="dxa"/>
            <w:vAlign w:val="bottom"/>
            <w:gridSpan w:val="29"/>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Side Letter by and between the company and Kyowa Hakko Kirin Co., Ltd., dated December 19, 2014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Exhibit 10.34 to the Company’s Registration Statement on Form S-1 (File No. 333-208861), as filed with the SEC on January 4, 2016).</w:t>
              </w:r>
            </w:hyperlink>
          </w:p>
        </w:tc>
        <w:tc>
          <w:tcPr>
            <w:tcW w:w="2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10.41†</w:t>
            </w:r>
          </w:p>
        </w:tc>
        <w:tc>
          <w:tcPr>
            <w:tcW w:w="9860" w:type="dxa"/>
            <w:vAlign w:val="bottom"/>
            <w:tcBorders>
              <w:bottom w:val="single" w:sz="8" w:color="0000EE"/>
            </w:tcBorders>
            <w:gridSpan w:val="24"/>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Amendment #1 to License, Development and Commercialization Agreement by and between the company and Kyowa Hakko Kirin Co.,</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Ltd., dated September 18, 2015 (incorporated herein by reference to Exhibit 10.39 to the Company’s Registration Statement on Form S-</w:t>
              </w:r>
            </w:hyperlink>
          </w:p>
        </w:tc>
        <w:tc>
          <w:tcPr>
            <w:tcW w:w="2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1/A (File No. 333-208861), as filed with the SEC on February 22,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10.42†</w:t>
            </w:r>
          </w:p>
        </w:tc>
        <w:tc>
          <w:tcPr>
            <w:tcW w:w="9860" w:type="dxa"/>
            <w:vAlign w:val="bottom"/>
            <w:tcBorders>
              <w:bottom w:val="single" w:sz="8" w:color="0000EE"/>
            </w:tcBorders>
            <w:gridSpan w:val="24"/>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Amendment #2 to License, Development and Commercialization Agreement by and between the company and Kyowa Hakko Kirin Co.,</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Ltd., dated January 16, 2017 (incorporated herein by reference to Exhibit 10.2 to the Company’s Quarterly Report on Form 10-Q,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with the SEC on May 9, 2017).</w:t>
              </w:r>
            </w:hyperlink>
          </w:p>
        </w:tc>
        <w:tc>
          <w:tcPr>
            <w:tcW w:w="7640" w:type="dxa"/>
            <w:vAlign w:val="bottom"/>
            <w:tcBorders>
              <w:top w:val="single" w:sz="8" w:color="0000EE"/>
            </w:tcBorders>
            <w:gridSpan w:val="19"/>
          </w:tcPr>
          <w:p>
            <w:pPr>
              <w:spacing w:after="0"/>
              <w:rPr>
                <w:sz w:val="17"/>
                <w:szCs w:val="17"/>
                <w:color w:val="auto"/>
              </w:rPr>
            </w:pPr>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10.43†</w:t>
            </w:r>
          </w:p>
        </w:tc>
        <w:tc>
          <w:tcPr>
            <w:tcW w:w="10040" w:type="dxa"/>
            <w:vAlign w:val="bottom"/>
            <w:gridSpan w:val="29"/>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Combination Study Collaboration Agreement by and between the company and Genentech, Inc. dated August 24, 2015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56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herein by reference to Exhibit 10.35 to the Company’s Registration Statement on Form S-1 (File No. 333-208861), as filed with the SEC</w:t>
              </w:r>
            </w:hyperlink>
          </w:p>
        </w:tc>
        <w:tc>
          <w:tcPr>
            <w:tcW w:w="1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10.44†</w:t>
            </w:r>
          </w:p>
        </w:tc>
        <w:tc>
          <w:tcPr>
            <w:tcW w:w="10000" w:type="dxa"/>
            <w:vAlign w:val="bottom"/>
            <w:tcBorders>
              <w:bottom w:val="single" w:sz="8" w:color="0000EE"/>
            </w:tcBorders>
            <w:gridSpan w:val="27"/>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Clinical Trial Collaboration and Supply Agreement by and between the company, Pfizer Inc. and Ares Trading S.A., dated as of December</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9"/>
          </w:tcPr>
          <w:p>
            <w:pPr>
              <w:spacing w:after="0" w:line="196" w:lineRule="exact"/>
              <w:rPr>
                <w:rFonts w:ascii="Arial" w:cs="Arial" w:eastAsia="Arial" w:hAnsi="Arial"/>
                <w:sz w:val="18"/>
                <w:szCs w:val="18"/>
                <w:color w:val="0000EE"/>
                <w:w w:val="96"/>
              </w:rPr>
            </w:pPr>
            <w:hyperlink r:id="rId159">
              <w:r>
                <w:rPr>
                  <w:rFonts w:ascii="Arial" w:cs="Arial" w:eastAsia="Arial" w:hAnsi="Arial"/>
                  <w:sz w:val="18"/>
                  <w:szCs w:val="18"/>
                  <w:color w:val="0000EE"/>
                  <w:w w:val="96"/>
                </w:rPr>
                <w:t>31, 2015 (incorporated herein by reference to Exhibit 10.36 to the Company’s Registration Statement on Form S-1/A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11, 2016).</w:t>
              </w:r>
            </w:hyperlink>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Borders>
              <w:top w:val="single" w:sz="8" w:color="0000EE"/>
            </w:tcBorders>
            <w:gridSpan w:val="8"/>
          </w:tcPr>
          <w:p>
            <w:pPr>
              <w:spacing w:after="0"/>
              <w:rPr>
                <w:sz w:val="24"/>
                <w:szCs w:val="24"/>
                <w:color w:val="auto"/>
              </w:rPr>
            </w:pPr>
          </w:p>
        </w:tc>
        <w:tc>
          <w:tcPr>
            <w:tcW w:w="1140" w:type="dxa"/>
            <w:vAlign w:val="bottom"/>
            <w:gridSpan w:val="3"/>
          </w:tcPr>
          <w:p>
            <w:pPr>
              <w:jc w:val="right"/>
              <w:ind w:right="468"/>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720" w:type="dxa"/>
            <w:vAlign w:val="bottom"/>
            <w:gridSpan w:val="18"/>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5720" w:type="dxa"/>
            <w:vAlign w:val="bottom"/>
            <w:tcBorders>
              <w:bottom w:val="single" w:sz="8" w:color="auto"/>
            </w:tcBorders>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10.45†</w:t>
            </w:r>
          </w:p>
        </w:tc>
        <w:tc>
          <w:tcPr>
            <w:tcW w:w="9940" w:type="dxa"/>
            <w:vAlign w:val="bottom"/>
            <w:tcBorders>
              <w:bottom w:val="single" w:sz="8" w:color="0000EE"/>
            </w:tcBorders>
            <w:gridSpan w:val="19"/>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License Agreement by and between the Company and UCB Biopharma Sprl, dated as of July 1, 2016 (incorporated herein by reference 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Exhibit 10.1 to the Company’s Current Report on Form 8-K (File No. 001- 37708), as filed with the SEC on October 7, 2016).</w:t>
              </w:r>
            </w:hyperlink>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10.46†</w:t>
            </w:r>
          </w:p>
        </w:tc>
        <w:tc>
          <w:tcPr>
            <w:tcW w:w="9480" w:type="dxa"/>
            <w:vAlign w:val="bottom"/>
            <w:tcBorders>
              <w:bottom w:val="single" w:sz="8" w:color="0000EE"/>
            </w:tcBorders>
            <w:gridSpan w:val="12"/>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Side Agreement by and between the Company and UCB Biopharma Sprl, dated March 8, 2017 (incorporated herein by reference to</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Exhibit 10.4 to the Company’s Quarterly Report on Form 10-Q, as filed with the SEC on May 9, 2017).</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Third Amended and Restated Investors’ Rights Agreement by and among the company and the parties thereto, dated as of August 21, 2015</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(incorporated herein by reference to Exhibit 10.1 to the Company’s Registration Statement on Form S-1 (File No. 333-208861), as filed</w:t>
              </w:r>
            </w:hyperlink>
          </w:p>
        </w:tc>
        <w:tc>
          <w:tcPr>
            <w:tcW w:w="2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with the SEC on January 4, 2016).</w:t>
              </w:r>
            </w:hyperlink>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10.48†</w:t>
            </w:r>
          </w:p>
        </w:tc>
        <w:tc>
          <w:tcPr>
            <w:tcW w:w="9820" w:type="dxa"/>
            <w:vAlign w:val="bottom"/>
            <w:tcBorders>
              <w:bottom w:val="single" w:sz="8" w:color="0000EE"/>
            </w:tcBorders>
            <w:gridSpan w:val="16"/>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License Agreement by and between the Company and Vitae Pharmaceuticals, Inc., dated as of October 13, 2017 (incorporated herein by</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reference to Exhibit 10.47 to the Company’s Annual Report on Form 10-K, as filed with the SEC on March 8, 2018).</w:t>
              </w:r>
            </w:hyperlink>
          </w:p>
        </w:tc>
        <w:tc>
          <w:tcPr>
            <w:tcW w:w="1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4"/>
                <w:szCs w:val="24"/>
                <w:color w:val="auto"/>
              </w:rPr>
            </w:pPr>
          </w:p>
        </w:tc>
        <w:tc>
          <w:tcPr>
            <w:tcW w:w="9680" w:type="dxa"/>
            <w:vAlign w:val="bottom"/>
            <w:tcBorders>
              <w:bottom w:val="single" w:sz="8" w:color="0000EE"/>
            </w:tcBorders>
            <w:gridSpan w:val="14"/>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Purchase Agreement by and among the Company, Biotechnology Value Fund, L.P. and certain entities affiliated with BVF, dated as of</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October 17, 2017 (incorporated herein by reference to Exhibit 10.1 to the Company’s Periodic Report on Form 8-K, as filed with the SEC</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on October 20, 2017).</w:t>
              </w:r>
            </w:hyperlink>
          </w:p>
        </w:tc>
        <w:tc>
          <w:tcPr>
            <w:tcW w:w="8320" w:type="dxa"/>
            <w:vAlign w:val="bottom"/>
            <w:tcBorders>
              <w:top w:val="single" w:sz="8" w:color="0000EE"/>
            </w:tcBorders>
            <w:gridSpan w:val="17"/>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Subsidiaries of the Registrant (incorporated herein by reference to Exhibit 21.1 to the Company’s Registration Statement on Form S-1</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(File No. 333-208861), as filed with the SEC on January 4, 2016).</w:t>
              </w:r>
            </w:hyperlink>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760" w:type="dxa"/>
            <w:vAlign w:val="bottom"/>
            <w:tcBorders>
              <w:top w:val="single" w:sz="8" w:color="0000EE"/>
            </w:tcBorders>
            <w:gridSpan w:val="5"/>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Consent of Independent Registered Public Accounting Firm</w:t>
              </w:r>
            </w:hyperlink>
          </w:p>
        </w:tc>
        <w:tc>
          <w:tcPr>
            <w:tcW w:w="52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Power of Attorney (included on the signature page to this report).</w:t>
              </w:r>
            </w:hyperlink>
          </w:p>
        </w:tc>
        <w:tc>
          <w:tcPr>
            <w:tcW w:w="53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Certification of the Principal Executive Officer pursuant to Rule 13a-14(a) or 15d-14(a) of the Securities Exchange Act of 1934.</w:t>
              </w:r>
            </w:hyperlink>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2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Certification of the Principal Financial Officer pursuant to Rule 13a-14(a) or 15d-14(a) of the Securities Exchange Act of 1934.</w:t>
              </w:r>
            </w:hyperlink>
          </w:p>
        </w:tc>
        <w:tc>
          <w:tcPr>
            <w:tcW w:w="40" w:type="dxa"/>
            <w:vAlign w:val="bottom"/>
            <w:tcBorders>
              <w:top w:val="single" w:sz="8" w:color="0000EE"/>
            </w:tcBorders>
          </w:tcPr>
          <w:p>
            <w:pPr>
              <w:spacing w:after="0"/>
              <w:rPr>
                <w:sz w:val="24"/>
                <w:szCs w:val="24"/>
                <w:color w:val="auto"/>
              </w:rPr>
            </w:pPr>
          </w:p>
        </w:tc>
        <w:tc>
          <w:tcPr>
            <w:tcW w:w="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Certification of Principal Executive Officer and Principal Financial Officer pursuant to Rule 13a-14(b) or 15d-14(b) of the Exchange Act</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and 18 U.S.C. Section 1350, as adopted pursuant to Section 906 of the Sarbanes-Oxley Act of 2002.</w:t>
              </w:r>
            </w:hyperlink>
          </w:p>
        </w:tc>
        <w:tc>
          <w:tcPr>
            <w:tcW w:w="2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1004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1004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1004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1004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1004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1004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547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Act”), and shall not be deemed to be incorporated by reference into any filing under the Securities Act of 1933, as amended, or the Exchange Act.</w:t>
      </w:r>
    </w:p>
    <w:p>
      <w:pPr>
        <w:spacing w:after="0" w:line="32"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Confidential treatment has been granted for certain portions of this exhibit. These portions have been omitted and filed separately with the SEC.</w:t>
      </w:r>
    </w:p>
    <w:p>
      <w:pPr>
        <w:spacing w:after="0" w:line="326" w:lineRule="exact"/>
        <w:rPr>
          <w:sz w:val="20"/>
          <w:szCs w:val="20"/>
          <w:color w:val="auto"/>
        </w:rPr>
      </w:pPr>
    </w:p>
    <w:p>
      <w:pPr>
        <w:jc w:val="center"/>
        <w:ind w:right="9060"/>
        <w:spacing w:after="0"/>
        <w:rPr>
          <w:sz w:val="20"/>
          <w:szCs w:val="20"/>
          <w:color w:val="auto"/>
        </w:rPr>
      </w:pPr>
      <w:r>
        <w:rPr>
          <w:rFonts w:ascii="Arial" w:cs="Arial" w:eastAsia="Arial" w:hAnsi="Arial"/>
          <w:sz w:val="17"/>
          <w:szCs w:val="17"/>
          <w:b w:val="1"/>
          <w:bCs w:val="1"/>
          <w:color w:val="auto"/>
        </w:rPr>
        <w:t>Item 16. Form 10-K Summary</w:t>
      </w:r>
    </w:p>
    <w:p>
      <w:pPr>
        <w:spacing w:after="0" w:line="133"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SYNDAX PHARMACEUTICALS, INC.</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March 7, 2019</w:t>
            </w:r>
          </w:p>
        </w:tc>
        <w:tc>
          <w:tcPr>
            <w:tcW w:w="7380" w:type="dxa"/>
            <w:vAlign w:val="bottom"/>
            <w:gridSpan w:val="2"/>
          </w:tcPr>
          <w:p>
            <w:pPr>
              <w:ind w:left="2540"/>
              <w:spacing w:after="0"/>
              <w:rPr>
                <w:sz w:val="20"/>
                <w:szCs w:val="20"/>
                <w:color w:val="auto"/>
              </w:rPr>
            </w:pPr>
            <w:r>
              <w:rPr>
                <w:rFonts w:ascii="Arial" w:cs="Arial" w:eastAsia="Arial" w:hAnsi="Arial"/>
                <w:sz w:val="18"/>
                <w:szCs w:val="18"/>
                <w:color w:val="auto"/>
              </w:rPr>
              <w:t>By:/s/  Briggs W. Morrison, M.D.</w:t>
            </w:r>
          </w:p>
        </w:tc>
      </w:tr>
      <w:tr>
        <w:trPr>
          <w:trHeight w:val="195"/>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Briggs W. Morrison, M.D.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7" w:right="239" w:bottom="1440" w:gutter="0" w:footer="0" w:header="0"/>
        </w:sectPr>
      </w:pPr>
    </w:p>
    <w:p>
      <w:pPr>
        <w:spacing w:after="0" w:line="176"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784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8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Briggs W. Morrison, M.D.</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Richard P. Shea</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Dennis G. Podlesak</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Dennis G. Podlesak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Pierre Legault</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Pierre Legault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Fabrice Egros, PharmD, Ph.D.</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Fabrice Egros, PharmD,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0784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2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Keith A. Katkin</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Keith A. Katkin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Jennifer Jarrett</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William Meury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William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2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r>
      <w:tr>
        <w:trPr>
          <w:trHeight w:val="290"/>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230"/>
        </w:trPr>
        <w:tc>
          <w:tcPr>
            <w:tcW w:w="40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(Principal Executive Officer)</w:t>
            </w:r>
          </w:p>
        </w:tc>
        <w:tc>
          <w:tcPr>
            <w:tcW w:w="2260" w:type="dxa"/>
            <w:vAlign w:val="bottom"/>
          </w:tcPr>
          <w:p>
            <w:pPr>
              <w:spacing w:after="0"/>
              <w:rPr>
                <w:sz w:val="20"/>
                <w:szCs w:val="20"/>
                <w:color w:val="auto"/>
              </w:rPr>
            </w:pPr>
          </w:p>
        </w:tc>
      </w:tr>
      <w:tr>
        <w:trPr>
          <w:trHeight w:val="33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Financial Officer and Treasurer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216"/>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Officer and</w:t>
            </w:r>
          </w:p>
        </w:tc>
        <w:tc>
          <w:tcPr>
            <w:tcW w:w="2260" w:type="dxa"/>
            <w:vAlign w:val="bottom"/>
          </w:tcPr>
          <w:p>
            <w:pPr>
              <w:spacing w:after="0"/>
              <w:rPr>
                <w:sz w:val="18"/>
                <w:szCs w:val="18"/>
                <w:color w:val="auto"/>
              </w:rPr>
            </w:pPr>
          </w:p>
        </w:tc>
      </w:tr>
      <w:tr>
        <w:trPr>
          <w:trHeight w:val="230"/>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2260" w:type="dxa"/>
            <w:vAlign w:val="bottom"/>
          </w:tcPr>
          <w:p>
            <w:pPr>
              <w:spacing w:after="0"/>
              <w:rPr>
                <w:sz w:val="20"/>
                <w:szCs w:val="20"/>
                <w:color w:val="auto"/>
              </w:rPr>
            </w:pPr>
          </w:p>
        </w:tc>
      </w:tr>
      <w:tr>
        <w:trPr>
          <w:trHeight w:val="338"/>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7, 2019</w:t>
            </w:r>
          </w:p>
        </w:tc>
      </w:tr>
    </w:tbl>
    <w:p>
      <w:pPr>
        <w:spacing w:after="0" w:line="406" w:lineRule="exact"/>
        <w:rPr>
          <w:sz w:val="20"/>
          <w:szCs w:val="20"/>
          <w:color w:val="auto"/>
        </w:rPr>
      </w:pPr>
    </w:p>
    <w:p>
      <w:pPr>
        <w:sectPr>
          <w:pgSz w:w="11900" w:h="16838" w:orient="portrait"/>
          <w:cols w:equalWidth="0" w:num="2">
            <w:col w:w="4360" w:space="720"/>
            <w:col w:w="634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c>
          <w:tcPr>
            <w:tcW w:w="20" w:type="dxa"/>
            <w:vAlign w:val="bottom"/>
          </w:tcPr>
          <w:p>
            <w:pPr>
              <w:spacing w:after="0"/>
              <w:rPr>
                <w:sz w:val="20"/>
                <w:szCs w:val="20"/>
                <w:color w:val="auto"/>
              </w:rPr>
            </w:pPr>
          </w:p>
        </w:tc>
      </w:tr>
      <w:tr>
        <w:trPr>
          <w:trHeight w:val="183"/>
        </w:trPr>
        <w:tc>
          <w:tcPr>
            <w:tcW w:w="10780" w:type="dxa"/>
            <w:vAlign w:val="bottom"/>
            <w:gridSpan w:val="8"/>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640" w:type="dxa"/>
            <w:vAlign w:val="bottom"/>
          </w:tcPr>
          <w:p>
            <w:pPr>
              <w:ind w:left="38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Consolidated Balance Sheets as of December 31, 2018 and 2017</w:t>
              </w:r>
            </w:hyperlink>
          </w:p>
        </w:tc>
        <w:tc>
          <w:tcPr>
            <w:tcW w:w="6120" w:type="dxa"/>
            <w:vAlign w:val="bottom"/>
            <w:gridSpan w:val="5"/>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18"/>
                <w:szCs w:val="18"/>
                <w:color w:val="auto"/>
              </w:rPr>
            </w:pPr>
          </w:p>
        </w:tc>
      </w:tr>
      <w:tr>
        <w:trPr>
          <w:trHeight w:val="210"/>
        </w:trPr>
        <w:tc>
          <w:tcPr>
            <w:tcW w:w="6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Operations for the Years Ended December 31, 2018, 2017 and 2016</w:t>
              </w:r>
            </w:hyperlink>
          </w:p>
        </w:tc>
        <w:tc>
          <w:tcPr>
            <w:tcW w:w="3860" w:type="dxa"/>
            <w:vAlign w:val="bottom"/>
            <w:gridSpan w:val="4"/>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8"/>
                <w:szCs w:val="18"/>
                <w:color w:val="auto"/>
              </w:rPr>
            </w:pPr>
          </w:p>
        </w:tc>
      </w:tr>
      <w:tr>
        <w:trPr>
          <w:trHeight w:val="210"/>
        </w:trPr>
        <w:tc>
          <w:tcPr>
            <w:tcW w:w="7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Comprehensive Loss for the Years Ended December 31, 2018, 2017 and 2016</w:t>
              </w:r>
            </w:hyperlink>
          </w:p>
        </w:tc>
        <w:tc>
          <w:tcPr>
            <w:tcW w:w="314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8"/>
                <w:szCs w:val="18"/>
                <w:color w:val="auto"/>
              </w:rPr>
            </w:pPr>
          </w:p>
        </w:tc>
      </w:tr>
      <w:tr>
        <w:trPr>
          <w:trHeight w:val="210"/>
        </w:trPr>
        <w:tc>
          <w:tcPr>
            <w:tcW w:w="10780" w:type="dxa"/>
            <w:vAlign w:val="bottom"/>
            <w:gridSpan w:val="8"/>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Consolidated Statements of Convertible Preferred Stock and Stockholders’ Equity (Deficit) for the Years Ended December 31, 2018, 2017 and 2016</w:t>
              </w:r>
            </w:hyperlink>
          </w:p>
        </w:tc>
        <w:tc>
          <w:tcPr>
            <w:tcW w:w="640" w:type="dxa"/>
            <w:vAlign w:val="bottom"/>
          </w:tcPr>
          <w:p>
            <w:pPr>
              <w:ind w:left="380"/>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r>
      <w:tr>
        <w:trPr>
          <w:trHeight w:val="210"/>
        </w:trPr>
        <w:tc>
          <w:tcPr>
            <w:tcW w:w="10680" w:type="dxa"/>
            <w:vAlign w:val="bottom"/>
            <w:tcBorders>
              <w:top w:val="single" w:sz="8" w:color="0000EE"/>
            </w:tcBorders>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Cash Flows for the Years Ended December 31, 2018, 2017 and 2016</w:t>
              </w:r>
            </w:hyperlink>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8"/>
                <w:szCs w:val="18"/>
                <w:color w:val="auto"/>
              </w:rPr>
            </w:pPr>
          </w:p>
        </w:tc>
      </w:tr>
      <w:tr>
        <w:trPr>
          <w:trHeight w:val="210"/>
        </w:trPr>
        <w:tc>
          <w:tcPr>
            <w:tcW w:w="6960" w:type="dxa"/>
            <w:vAlign w:val="bottom"/>
            <w:tcBorders>
              <w:top w:val="single" w:sz="8" w:color="0000EE"/>
            </w:tcBorders>
            <w:gridSpan w:val="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Notes to Consolidated Financial Statements</w:t>
              </w:r>
            </w:hyperlink>
          </w:p>
        </w:tc>
        <w:tc>
          <w:tcPr>
            <w:tcW w:w="3820" w:type="dxa"/>
            <w:vAlign w:val="bottom"/>
            <w:gridSpan w:val="3"/>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F-8</w:t>
            </w:r>
          </w:p>
        </w:tc>
        <w:tc>
          <w:tcPr>
            <w:tcW w:w="20" w:type="dxa"/>
            <w:vAlign w:val="bottom"/>
          </w:tcPr>
          <w:p>
            <w:pPr>
              <w:spacing w:after="0"/>
              <w:rPr>
                <w:sz w:val="18"/>
                <w:szCs w:val="18"/>
                <w:color w:val="auto"/>
              </w:rPr>
            </w:pPr>
          </w:p>
        </w:tc>
      </w:tr>
      <w:tr>
        <w:trPr>
          <w:trHeight w:val="669"/>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gridSpan w:val="5"/>
          </w:tcPr>
          <w:p>
            <w:pPr>
              <w:ind w:left="92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Syndax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Syndax Pharmaceuticals, Inc. and its subsidiaries (the “Company”) as of December 31, 2018 and 2017, and the related consolidated statements of operations, comprehensive loss, convertible preferred stock and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83,346</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1,439</w:t>
            </w:r>
          </w:p>
        </w:tc>
        <w:tc>
          <w:tcPr>
            <w:tcW w:w="3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16,105</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30,891</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Commitments (Note 14)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outstanding at December 31, 2018 and December 31, 2017,</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68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80"/>
              <w:spacing w:after="0"/>
              <w:rPr>
                <w:sz w:val="20"/>
                <w:szCs w:val="20"/>
                <w:color w:val="auto"/>
              </w:rPr>
            </w:pPr>
            <w:r>
              <w:rPr>
                <w:rFonts w:ascii="Arial" w:cs="Arial" w:eastAsia="Arial" w:hAnsi="Arial"/>
                <w:sz w:val="18"/>
                <w:szCs w:val="18"/>
                <w:color w:val="auto"/>
              </w:rPr>
              <w:t>24,835,951 and 24,390,033 shares outstanding at December 31, 2018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80"/>
              <w:spacing w:after="0"/>
              <w:rPr>
                <w:sz w:val="20"/>
                <w:szCs w:val="20"/>
                <w:color w:val="auto"/>
              </w:rPr>
            </w:pPr>
            <w:r>
              <w:rPr>
                <w:rFonts w:ascii="Arial" w:cs="Arial" w:eastAsia="Arial" w:hAnsi="Arial"/>
                <w:sz w:val="18"/>
                <w:szCs w:val="18"/>
                <w:color w:val="auto"/>
              </w:rPr>
              <w:t>and December 31, 2017, respectively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(439,423)</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(366,111)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53,047</w:t>
            </w:r>
          </w:p>
        </w:tc>
        <w:tc>
          <w:tcPr>
            <w:tcW w:w="3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Interest income (expense), net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common stock warrant liability</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5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(60,802)</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5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w:t>
            </w: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96"/>
        </w:trPr>
        <w:tc>
          <w:tcPr>
            <w:tcW w:w="61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common shares outstanding—basic</w:t>
            </w:r>
          </w:p>
        </w:tc>
        <w:tc>
          <w:tcPr>
            <w:tcW w:w="15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15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25,371,511</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20,997,211</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14,619,716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gains on marketable securities, net of tax</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(73,843)</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(44,444)</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60" w:type="dxa"/>
            <w:vAlign w:val="bottom"/>
            <w:gridSpan w:val="4"/>
          </w:tcPr>
          <w:p>
            <w:pPr>
              <w:jc w:val="center"/>
              <w:ind w:left="422"/>
              <w:spacing w:after="0"/>
              <w:rPr>
                <w:sz w:val="20"/>
                <w:szCs w:val="20"/>
                <w:color w:val="auto"/>
              </w:rPr>
            </w:pPr>
            <w:r>
              <w:rPr>
                <w:rFonts w:ascii="Arial" w:cs="Arial" w:eastAsia="Arial" w:hAnsi="Arial"/>
                <w:sz w:val="11"/>
                <w:szCs w:val="11"/>
                <w:b w:val="1"/>
                <w:bCs w:val="1"/>
                <w:color w:val="auto"/>
                <w:w w:val="86"/>
              </w:rPr>
              <w:t>Series A</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700" w:type="dxa"/>
            <w:vAlign w:val="bottom"/>
            <w:tcBorders>
              <w:right w:val="single" w:sz="8" w:color="auto"/>
            </w:tcBorders>
            <w:gridSpan w:val="5"/>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520" w:type="dxa"/>
            <w:vAlign w:val="bottom"/>
            <w:gridSpan w:val="6"/>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400" w:type="dxa"/>
            <w:vAlign w:val="bottom"/>
            <w:gridSpan w:val="4"/>
          </w:tcPr>
          <w:p>
            <w:pPr>
              <w:jc w:val="right"/>
              <w:ind w:right="302"/>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22"/>
        </w:trPr>
        <w:tc>
          <w:tcPr>
            <w:tcW w:w="3380" w:type="dxa"/>
            <w:vAlign w:val="bottom"/>
          </w:tcPr>
          <w:p>
            <w:pPr>
              <w:spacing w:after="0"/>
              <w:rPr>
                <w:sz w:val="10"/>
                <w:szCs w:val="10"/>
                <w:color w:val="auto"/>
              </w:rPr>
            </w:pPr>
          </w:p>
        </w:tc>
        <w:tc>
          <w:tcPr>
            <w:tcW w:w="1700" w:type="dxa"/>
            <w:vAlign w:val="bottom"/>
            <w:tcBorders>
              <w:right w:val="single" w:sz="8" w:color="auto"/>
            </w:tcBorders>
            <w:gridSpan w:val="5"/>
          </w:tcPr>
          <w:p>
            <w:pPr>
              <w:jc w:val="center"/>
              <w:ind w:right="28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1520" w:type="dxa"/>
            <w:vAlign w:val="bottom"/>
            <w:gridSpan w:val="6"/>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Preferred Stock</w:t>
            </w:r>
          </w:p>
        </w:tc>
        <w:tc>
          <w:tcPr>
            <w:tcW w:w="920" w:type="dxa"/>
            <w:vAlign w:val="bottom"/>
            <w:gridSpan w:val="3"/>
          </w:tcPr>
          <w:p>
            <w:pPr>
              <w:jc w:val="right"/>
              <w:ind w:right="13"/>
              <w:spacing w:after="0" w:line="122" w:lineRule="exact"/>
              <w:rPr>
                <w:sz w:val="20"/>
                <w:szCs w:val="20"/>
                <w:color w:val="auto"/>
              </w:rPr>
            </w:pPr>
            <w:r>
              <w:rPr>
                <w:rFonts w:ascii="Arial" w:cs="Arial" w:eastAsia="Arial" w:hAnsi="Arial"/>
                <w:sz w:val="11"/>
                <w:szCs w:val="11"/>
                <w:b w:val="1"/>
                <w:bCs w:val="1"/>
                <w:color w:val="auto"/>
              </w:rPr>
              <w:t>$0.0001</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9"/>
              </w:rPr>
              <w:t>Stockholders'</w:t>
            </w:r>
          </w:p>
        </w:tc>
      </w:tr>
      <w:tr>
        <w:trPr>
          <w:trHeight w:val="135"/>
        </w:trPr>
        <w:tc>
          <w:tcPr>
            <w:tcW w:w="3380" w:type="dxa"/>
            <w:vAlign w:val="bottom"/>
          </w:tcPr>
          <w:p>
            <w:pPr>
              <w:spacing w:after="0"/>
              <w:rPr>
                <w:sz w:val="11"/>
                <w:szCs w:val="11"/>
                <w:color w:val="auto"/>
              </w:rPr>
            </w:pPr>
          </w:p>
        </w:tc>
        <w:tc>
          <w:tcPr>
            <w:tcW w:w="170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1"/>
                <w:szCs w:val="11"/>
                <w:b w:val="1"/>
                <w:bCs w:val="1"/>
                <w:color w:val="auto"/>
                <w:w w:val="89"/>
              </w:rPr>
              <w:t>$0.001 Par Value</w:t>
            </w:r>
          </w:p>
        </w:tc>
        <w:tc>
          <w:tcPr>
            <w:tcW w:w="152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w w:val="89"/>
              </w:rPr>
              <w:t>$0.001 Par Value</w:t>
            </w: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Par Value</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2"/>
              </w:rPr>
              <w:t>Paid-In</w:t>
            </w:r>
          </w:p>
        </w:tc>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Comprehensive</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Equity</w:t>
            </w:r>
          </w:p>
        </w:tc>
      </w:tr>
      <w:tr>
        <w:trPr>
          <w:trHeight w:val="129"/>
        </w:trPr>
        <w:tc>
          <w:tcPr>
            <w:tcW w:w="3380" w:type="dxa"/>
            <w:vAlign w:val="bottom"/>
            <w:tcBorders>
              <w:bottom w:val="single" w:sz="8" w:color="CFF0FC"/>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Borders>
              <w:bottom w:val="single" w:sz="8" w:color="CFF0FC"/>
              <w:right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81"/>
              </w:rPr>
              <w:t>Amount</w:t>
            </w:r>
          </w:p>
        </w:tc>
        <w:tc>
          <w:tcPr>
            <w:tcW w:w="20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86"/>
              </w:rPr>
              <w:t>Amount</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Income (Loss)</w:t>
            </w:r>
          </w:p>
        </w:tc>
        <w:tc>
          <w:tcPr>
            <w:tcW w:w="1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w w:val="95"/>
              </w:rPr>
              <w:t>Deficit</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92"/>
              </w:rPr>
              <w:t>(Deficit)</w:t>
            </w:r>
          </w:p>
        </w:tc>
        <w:tc>
          <w:tcPr>
            <w:tcW w:w="100" w:type="dxa"/>
            <w:vAlign w:val="bottom"/>
            <w:tcBorders>
              <w:bottom w:val="single" w:sz="8" w:color="CFF0FC"/>
            </w:tcBorders>
          </w:tcPr>
          <w:p>
            <w:pPr>
              <w:spacing w:after="0"/>
              <w:rPr>
                <w:sz w:val="11"/>
                <w:szCs w:val="11"/>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BALANCE--January 1, 2016</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12,732,466</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319,113</w:t>
            </w: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700,435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7,231</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85,440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(259,675)</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(252,415)</w:t>
            </w: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Accretion for convertible preferred stock</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380" w:type="dxa"/>
            <w:vAlign w:val="bottom"/>
          </w:tcPr>
          <w:p>
            <w:pPr>
              <w:ind w:left="100"/>
              <w:spacing w:after="0"/>
              <w:rPr>
                <w:sz w:val="20"/>
                <w:szCs w:val="20"/>
                <w:color w:val="auto"/>
              </w:rPr>
            </w:pPr>
            <w:r>
              <w:rPr>
                <w:rFonts w:ascii="Arial" w:cs="Arial" w:eastAsia="Arial" w:hAnsi="Arial"/>
                <w:sz w:val="12"/>
                <w:szCs w:val="12"/>
                <w:color w:val="auto"/>
              </w:rPr>
              <w:t>dividends</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2,598</w:t>
            </w:r>
          </w:p>
        </w:tc>
        <w:tc>
          <w:tcPr>
            <w:tcW w:w="260" w:type="dxa"/>
            <w:vAlign w:val="bottom"/>
            <w:tcBorders>
              <w:right w:val="single" w:sz="8" w:color="auto"/>
            </w:tcBorders>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(1,452)</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(1,146)</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(2,598)</w:t>
            </w: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initial public offering,</w:t>
            </w:r>
          </w:p>
        </w:tc>
        <w:tc>
          <w:tcPr>
            <w:tcW w:w="6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380" w:type="dxa"/>
            <w:vAlign w:val="bottom"/>
            <w:shd w:val="clear" w:color="auto" w:fill="CFF0FC"/>
          </w:tcPr>
          <w:p>
            <w:pPr>
              <w:ind w:left="100"/>
              <w:spacing w:after="0"/>
              <w:rPr>
                <w:sz w:val="20"/>
                <w:szCs w:val="20"/>
                <w:color w:val="auto"/>
              </w:rPr>
            </w:pPr>
            <w:r>
              <w:rPr>
                <w:rFonts w:ascii="Arial" w:cs="Arial" w:eastAsia="Arial" w:hAnsi="Arial"/>
                <w:sz w:val="12"/>
                <w:szCs w:val="12"/>
                <w:color w:val="auto"/>
              </w:rPr>
              <w:t>net of offering costs of $7,186</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4,809,475</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50,527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50,527</w:t>
            </w:r>
          </w:p>
        </w:tc>
        <w:tc>
          <w:tcPr>
            <w:tcW w:w="100" w:type="dxa"/>
            <w:vAlign w:val="bottom"/>
            <w:shd w:val="clear" w:color="auto" w:fill="CFF0FC"/>
          </w:tcPr>
          <w:p>
            <w:pPr>
              <w:spacing w:after="0"/>
              <w:rPr>
                <w:sz w:val="12"/>
                <w:szCs w:val="12"/>
                <w:color w:val="auto"/>
              </w:rPr>
            </w:pP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Conversion of preferred stock into common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380" w:type="dxa"/>
            <w:vAlign w:val="bottom"/>
          </w:tcPr>
          <w:p>
            <w:pPr>
              <w:ind w:left="100"/>
              <w:spacing w:after="0"/>
              <w:rPr>
                <w:sz w:val="20"/>
                <w:szCs w:val="20"/>
                <w:color w:val="auto"/>
              </w:rPr>
            </w:pPr>
            <w:r>
              <w:rPr>
                <w:rFonts w:ascii="Arial" w:cs="Arial" w:eastAsia="Arial" w:hAnsi="Arial"/>
                <w:sz w:val="12"/>
                <w:szCs w:val="12"/>
                <w:color w:val="auto"/>
              </w:rPr>
              <w:t>stock</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(12,732,466)</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(321,711)</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(700,435)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(7,231)</w:t>
            </w:r>
          </w:p>
        </w:tc>
        <w:tc>
          <w:tcPr>
            <w:tcW w:w="640" w:type="dxa"/>
            <w:vAlign w:val="bottom"/>
          </w:tcPr>
          <w:p>
            <w:pPr>
              <w:jc w:val="right"/>
              <w:spacing w:after="0"/>
              <w:rPr>
                <w:sz w:val="20"/>
                <w:szCs w:val="20"/>
                <w:color w:val="auto"/>
              </w:rPr>
            </w:pPr>
            <w:r>
              <w:rPr>
                <w:rFonts w:ascii="Arial" w:cs="Arial" w:eastAsia="Arial" w:hAnsi="Arial"/>
                <w:sz w:val="12"/>
                <w:szCs w:val="12"/>
                <w:color w:val="auto"/>
              </w:rPr>
              <w:t>12,872,551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328,941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321,711</w:t>
            </w:r>
          </w:p>
        </w:tc>
        <w:tc>
          <w:tcPr>
            <w:tcW w:w="100" w:type="dxa"/>
            <w:vAlign w:val="bottom"/>
          </w:tcPr>
          <w:p>
            <w:pPr>
              <w:spacing w:after="0"/>
              <w:rPr>
                <w:sz w:val="12"/>
                <w:szCs w:val="12"/>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Reclassification of common stock warrant</w:t>
            </w:r>
          </w:p>
        </w:tc>
        <w:tc>
          <w:tcPr>
            <w:tcW w:w="6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380" w:type="dxa"/>
            <w:vAlign w:val="bottom"/>
            <w:shd w:val="clear" w:color="auto" w:fill="CFF0FC"/>
          </w:tcPr>
          <w:p>
            <w:pPr>
              <w:ind w:left="100"/>
              <w:spacing w:after="0"/>
              <w:rPr>
                <w:sz w:val="20"/>
                <w:szCs w:val="20"/>
                <w:color w:val="auto"/>
              </w:rPr>
            </w:pPr>
            <w:r>
              <w:rPr>
                <w:rFonts w:ascii="Arial" w:cs="Arial" w:eastAsia="Arial" w:hAnsi="Arial"/>
                <w:sz w:val="12"/>
                <w:szCs w:val="12"/>
                <w:color w:val="auto"/>
              </w:rPr>
              <w:t>liability</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Exercise of stock options</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441,573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2,058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2,058</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Vesting of restricted stock</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4,708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4,708</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Unrealized gain on short-term investments</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FF0FC"/>
          </w:tcPr>
          <w:p>
            <w:pPr>
              <w:spacing w:after="0"/>
              <w:rPr>
                <w:sz w:val="12"/>
                <w:szCs w:val="12"/>
                <w:color w:val="auto"/>
              </w:rPr>
            </w:pP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Repurchase of fractional shares resulting from</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380" w:type="dxa"/>
            <w:vAlign w:val="bottom"/>
          </w:tcPr>
          <w:p>
            <w:pPr>
              <w:ind w:left="100"/>
              <w:spacing w:after="0"/>
              <w:rPr>
                <w:sz w:val="20"/>
                <w:szCs w:val="20"/>
                <w:color w:val="auto"/>
              </w:rPr>
            </w:pPr>
            <w:r>
              <w:rPr>
                <w:rFonts w:ascii="Arial" w:cs="Arial" w:eastAsia="Arial" w:hAnsi="Arial"/>
                <w:sz w:val="12"/>
                <w:szCs w:val="12"/>
                <w:color w:val="auto"/>
              </w:rPr>
              <w:t>reverse stock splits</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(44,472)</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(44,472)</w:t>
            </w:r>
          </w:p>
        </w:tc>
      </w:tr>
      <w:tr>
        <w:trPr>
          <w:trHeight w:val="20"/>
        </w:trPr>
        <w:tc>
          <w:tcPr>
            <w:tcW w:w="3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Balance—December 31, 2016</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18,215,181</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389,374</w:t>
            </w:r>
          </w:p>
        </w:tc>
        <w:tc>
          <w:tcPr>
            <w:tcW w:w="1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(305,293)</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84,139</w:t>
            </w:r>
          </w:p>
        </w:tc>
        <w:tc>
          <w:tcPr>
            <w:tcW w:w="100" w:type="dxa"/>
            <w:vAlign w:val="bottom"/>
          </w:tcPr>
          <w:p>
            <w:pPr>
              <w:spacing w:after="0"/>
              <w:rPr>
                <w:sz w:val="12"/>
                <w:szCs w:val="12"/>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follow on offering, net of</w:t>
            </w:r>
          </w:p>
        </w:tc>
        <w:tc>
          <w:tcPr>
            <w:tcW w:w="6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38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offering cost of $3,665</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3,950,190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48,675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48,675</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46,680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277</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Vesting of restricted stock</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8,543</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5,450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5,450</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"At-the-market" offering, net</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148,421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1,705</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Unrealized losses on short-term investments</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(199)</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(199)</w:t>
            </w: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Employee withholdings ESPP</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FF0FC"/>
          </w:tcPr>
          <w:p>
            <w:pPr>
              <w:spacing w:after="0"/>
              <w:rPr>
                <w:sz w:val="12"/>
                <w:szCs w:val="12"/>
                <w:color w:val="auto"/>
              </w:rPr>
            </w:pP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Cumulative effect adjustment of adoption ASU</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380" w:type="dxa"/>
            <w:vAlign w:val="bottom"/>
          </w:tcPr>
          <w:p>
            <w:pPr>
              <w:ind w:left="100"/>
              <w:spacing w:after="0"/>
              <w:rPr>
                <w:sz w:val="20"/>
                <w:szCs w:val="20"/>
                <w:color w:val="auto"/>
              </w:rPr>
            </w:pPr>
            <w:r>
              <w:rPr>
                <w:rFonts w:ascii="Arial" w:cs="Arial" w:eastAsia="Arial" w:hAnsi="Arial"/>
                <w:sz w:val="12"/>
                <w:szCs w:val="12"/>
                <w:color w:val="auto"/>
              </w:rPr>
              <w:t>2016-09</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direct stock placement, net</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2,021,018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24,918</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24,918</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Net loss</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(60,802)</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(60,802)</w:t>
            </w:r>
          </w:p>
        </w:tc>
      </w:tr>
      <w:tr>
        <w:trPr>
          <w:trHeight w:val="20"/>
        </w:trPr>
        <w:tc>
          <w:tcPr>
            <w:tcW w:w="33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Balance—December 31, 2017</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24,390,033</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470,571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(143)</w:t>
            </w:r>
          </w:p>
        </w:tc>
        <w:tc>
          <w:tcPr>
            <w:tcW w:w="1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(366,111)</w:t>
            </w: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104,319</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Proceeds from "At-the-market" offering, net</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2,114,169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15,497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15,497</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7,850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Stock issuance due to warrant exercise, cashless</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299,215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Stock purchase under ESPP</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24,684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6,201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6,201</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Unrealized losses on short-term investments</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Employee withholdings ESPP</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2"/>
                <w:szCs w:val="12"/>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Cumulative effect adjustment of adoption ASU</w:t>
            </w:r>
          </w:p>
        </w:tc>
        <w:tc>
          <w:tcPr>
            <w:tcW w:w="6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380" w:type="dxa"/>
            <w:vAlign w:val="bottom"/>
            <w:shd w:val="clear" w:color="auto" w:fill="CFF0FC"/>
          </w:tcPr>
          <w:p>
            <w:pPr>
              <w:ind w:left="100"/>
              <w:spacing w:after="0"/>
              <w:rPr>
                <w:sz w:val="20"/>
                <w:szCs w:val="20"/>
                <w:color w:val="auto"/>
              </w:rPr>
            </w:pPr>
            <w:r>
              <w:rPr>
                <w:rFonts w:ascii="Arial" w:cs="Arial" w:eastAsia="Arial" w:hAnsi="Arial"/>
                <w:sz w:val="12"/>
                <w:szCs w:val="12"/>
                <w:color w:val="auto"/>
              </w:rPr>
              <w:t>2014-09</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w:t>
            </w:r>
          </w:p>
        </w:tc>
        <w:tc>
          <w:tcPr>
            <w:tcW w:w="100" w:type="dxa"/>
            <w:vAlign w:val="bottom"/>
            <w:shd w:val="clear" w:color="auto" w:fill="CFF0FC"/>
          </w:tcPr>
          <w:p>
            <w:pPr>
              <w:spacing w:after="0"/>
              <w:rPr>
                <w:sz w:val="12"/>
                <w:szCs w:val="12"/>
                <w:color w:val="auto"/>
              </w:rPr>
            </w:pP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Retirement of common stock in exchange</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380" w:type="dxa"/>
            <w:vAlign w:val="bottom"/>
          </w:tcPr>
          <w:p>
            <w:pPr>
              <w:ind w:left="100"/>
              <w:spacing w:after="0"/>
              <w:rPr>
                <w:sz w:val="20"/>
                <w:szCs w:val="20"/>
                <w:color w:val="auto"/>
              </w:rPr>
            </w:pPr>
            <w:r>
              <w:rPr>
                <w:rFonts w:ascii="Arial" w:cs="Arial" w:eastAsia="Arial" w:hAnsi="Arial"/>
                <w:sz w:val="12"/>
                <w:szCs w:val="12"/>
                <w:color w:val="auto"/>
              </w:rPr>
              <w:t>for common stock warrant</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(16,780)</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(16,780)</w:t>
            </w: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warrant in exchange</w:t>
            </w:r>
          </w:p>
        </w:tc>
        <w:tc>
          <w:tcPr>
            <w:tcW w:w="6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380" w:type="dxa"/>
            <w:vAlign w:val="bottom"/>
            <w:shd w:val="clear" w:color="auto" w:fill="CFF0FC"/>
          </w:tcPr>
          <w:p>
            <w:pPr>
              <w:ind w:left="60"/>
              <w:spacing w:after="0"/>
              <w:rPr>
                <w:sz w:val="20"/>
                <w:szCs w:val="20"/>
                <w:color w:val="auto"/>
              </w:rPr>
            </w:pPr>
            <w:r>
              <w:rPr>
                <w:rFonts w:ascii="Arial" w:cs="Arial" w:eastAsia="Arial" w:hAnsi="Arial"/>
                <w:sz w:val="12"/>
                <w:szCs w:val="12"/>
                <w:color w:val="auto"/>
              </w:rPr>
              <w:t>for retirement of common stock</w:t>
            </w: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16,780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16,780</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2"/>
                <w:szCs w:val="12"/>
                <w:color w:val="auto"/>
              </w:rPr>
              <w:t>Net loss</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(73,961)</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(73,961)</w:t>
            </w:r>
          </w:p>
        </w:tc>
      </w:tr>
      <w:tr>
        <w:trPr>
          <w:trHeight w:val="20"/>
        </w:trPr>
        <w:tc>
          <w:tcPr>
            <w:tcW w:w="33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Balance—December 31, 2018</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24,835,951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492,493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4"/>
              </w:rPr>
              <w:t>(439,423 )</w:t>
            </w: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53,047</w:t>
            </w:r>
          </w:p>
        </w:tc>
        <w:tc>
          <w:tcPr>
            <w:tcW w:w="100" w:type="dxa"/>
            <w:vAlign w:val="bottom"/>
            <w:shd w:val="clear" w:color="auto" w:fill="CFF0FC"/>
          </w:tcPr>
          <w:p>
            <w:pPr>
              <w:spacing w:after="0"/>
              <w:rPr>
                <w:sz w:val="12"/>
                <w:szCs w:val="12"/>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169"/>
        </w:trPr>
        <w:tc>
          <w:tcPr>
            <w:tcW w:w="71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(73,961)</w:t>
            </w: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(60,802)</w:t>
            </w:r>
          </w:p>
        </w:tc>
        <w:tc>
          <w:tcPr>
            <w:tcW w:w="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(44,472)</w:t>
            </w:r>
          </w:p>
        </w:tc>
      </w:tr>
      <w:tr>
        <w:trPr>
          <w:trHeight w:val="162"/>
        </w:trPr>
        <w:tc>
          <w:tcPr>
            <w:tcW w:w="71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Adjustments to reconcile net loss to net cash used in operating</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1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activities:</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Depreciation</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76</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5"/>
                <w:szCs w:val="15"/>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and accretion of investments</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(558)</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(126)</w:t>
            </w: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Stock-based compensation</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6,201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5,450</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4,708</w:t>
            </w:r>
          </w:p>
        </w:tc>
        <w:tc>
          <w:tcPr>
            <w:tcW w:w="100" w:type="dxa"/>
            <w:vAlign w:val="bottom"/>
          </w:tcPr>
          <w:p>
            <w:pPr>
              <w:spacing w:after="0"/>
              <w:rPr>
                <w:sz w:val="15"/>
                <w:szCs w:val="15"/>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warrants</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1,703</w:t>
            </w:r>
          </w:p>
        </w:tc>
        <w:tc>
          <w:tcPr>
            <w:tcW w:w="100" w:type="dxa"/>
            <w:vAlign w:val="bottom"/>
            <w:shd w:val="clear" w:color="auto" w:fill="CFF0FC"/>
          </w:tcPr>
          <w:p>
            <w:pPr>
              <w:spacing w:after="0"/>
              <w:rPr>
                <w:sz w:val="15"/>
                <w:szCs w:val="15"/>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5"/>
                <w:szCs w:val="15"/>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160" w:type="dxa"/>
            <w:vAlign w:val="bottom"/>
          </w:tcPr>
          <w:p>
            <w:pPr>
              <w:ind w:left="74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1,033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(329)</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(1,629)</w:t>
            </w:r>
          </w:p>
        </w:tc>
      </w:tr>
      <w:tr>
        <w:trPr>
          <w:trHeight w:val="176"/>
        </w:trPr>
        <w:tc>
          <w:tcPr>
            <w:tcW w:w="71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(194)</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923</w:t>
            </w:r>
          </w:p>
        </w:tc>
        <w:tc>
          <w:tcPr>
            <w:tcW w:w="100" w:type="dxa"/>
            <w:vAlign w:val="bottom"/>
            <w:shd w:val="clear" w:color="auto" w:fill="CFF0FC"/>
          </w:tcPr>
          <w:p>
            <w:pPr>
              <w:spacing w:after="0"/>
              <w:rPr>
                <w:sz w:val="15"/>
                <w:szCs w:val="15"/>
                <w:color w:val="auto"/>
              </w:rPr>
            </w:pPr>
          </w:p>
        </w:tc>
      </w:tr>
      <w:tr>
        <w:trPr>
          <w:trHeight w:val="176"/>
        </w:trPr>
        <w:tc>
          <w:tcPr>
            <w:tcW w:w="7160" w:type="dxa"/>
            <w:vAlign w:val="bottom"/>
          </w:tcPr>
          <w:p>
            <w:pPr>
              <w:ind w:left="740"/>
              <w:spacing w:after="0"/>
              <w:rPr>
                <w:sz w:val="20"/>
                <w:szCs w:val="20"/>
                <w:color w:val="auto"/>
              </w:rPr>
            </w:pPr>
            <w:r>
              <w:rPr>
                <w:rFonts w:ascii="Arial" w:cs="Arial" w:eastAsia="Arial" w:hAnsi="Arial"/>
                <w:sz w:val="15"/>
                <w:szCs w:val="15"/>
                <w:color w:val="auto"/>
              </w:rPr>
              <w:t>Deferred revenue</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(1,517)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2,892</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(1,220)</w:t>
            </w:r>
          </w:p>
        </w:tc>
      </w:tr>
      <w:tr>
        <w:trPr>
          <w:trHeight w:val="176"/>
        </w:trPr>
        <w:tc>
          <w:tcPr>
            <w:tcW w:w="71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 and other liabilities</w:t>
            </w: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5,305</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4,842</w:t>
            </w:r>
          </w:p>
        </w:tc>
        <w:tc>
          <w:tcPr>
            <w:tcW w:w="100" w:type="dxa"/>
            <w:vAlign w:val="bottom"/>
            <w:shd w:val="clear" w:color="auto" w:fill="CFF0FC"/>
          </w:tcPr>
          <w:p>
            <w:pPr>
              <w:spacing w:after="0"/>
              <w:rPr>
                <w:sz w:val="15"/>
                <w:szCs w:val="15"/>
                <w:color w:val="auto"/>
              </w:rPr>
            </w:pPr>
          </w:p>
        </w:tc>
      </w:tr>
      <w:tr>
        <w:trPr>
          <w:trHeight w:val="169"/>
        </w:trPr>
        <w:tc>
          <w:tcPr>
            <w:tcW w:w="7160" w:type="dxa"/>
            <w:vAlign w:val="bottom"/>
          </w:tcPr>
          <w:p>
            <w:pPr>
              <w:ind w:left="740"/>
              <w:spacing w:after="0" w:line="169" w:lineRule="exact"/>
              <w:rPr>
                <w:sz w:val="20"/>
                <w:szCs w:val="20"/>
                <w:color w:val="auto"/>
              </w:rPr>
            </w:pPr>
            <w:r>
              <w:rPr>
                <w:rFonts w:ascii="Arial" w:cs="Arial" w:eastAsia="Arial" w:hAnsi="Arial"/>
                <w:sz w:val="15"/>
                <w:szCs w:val="15"/>
                <w:color w:val="auto"/>
              </w:rPr>
              <w:t>Net cash used in operating activities</w:t>
            </w:r>
          </w:p>
        </w:tc>
        <w:tc>
          <w:tcPr>
            <w:tcW w:w="240" w:type="dxa"/>
            <w:vAlign w:val="bottom"/>
          </w:tcPr>
          <w:p>
            <w:pPr>
              <w:spacing w:after="0"/>
              <w:rPr>
                <w:sz w:val="14"/>
                <w:szCs w:val="14"/>
                <w:color w:val="auto"/>
              </w:rPr>
            </w:pP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(68,531)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(47,371)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(35,157)</w:t>
            </w:r>
          </w:p>
        </w:tc>
      </w:tr>
      <w:tr>
        <w:trPr>
          <w:trHeight w:val="169"/>
        </w:trPr>
        <w:tc>
          <w:tcPr>
            <w:tcW w:w="71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(187)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(84)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(261)</w:t>
            </w: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short-term investments</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(78,844)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(152,263)</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(158,319)</w:t>
            </w:r>
          </w:p>
        </w:tc>
      </w:tr>
      <w:tr>
        <w:trPr>
          <w:trHeight w:val="176"/>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Proceeds from sales and maturities of short-term investments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130,429</w:t>
            </w:r>
          </w:p>
        </w:tc>
        <w:tc>
          <w:tcPr>
            <w:tcW w:w="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135,275</w:t>
            </w:r>
          </w:p>
        </w:tc>
        <w:tc>
          <w:tcPr>
            <w:tcW w:w="2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140,297</w:t>
            </w:r>
          </w:p>
        </w:tc>
        <w:tc>
          <w:tcPr>
            <w:tcW w:w="100" w:type="dxa"/>
            <w:vAlign w:val="bottom"/>
            <w:tcBorders>
              <w:bottom w:val="single" w:sz="8" w:color="CFF0FC"/>
            </w:tcBorders>
          </w:tcPr>
          <w:p>
            <w:pPr>
              <w:spacing w:after="0"/>
              <w:rPr>
                <w:sz w:val="15"/>
                <w:szCs w:val="15"/>
                <w:color w:val="auto"/>
              </w:rPr>
            </w:pPr>
          </w:p>
        </w:tc>
      </w:tr>
      <w:tr>
        <w:trPr>
          <w:trHeight w:val="169"/>
        </w:trPr>
        <w:tc>
          <w:tcPr>
            <w:tcW w:w="71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provided by (used in) investing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51,398</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(17,072)</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(18,283)</w:t>
            </w: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common stock in initial public offering, net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52,148</w:t>
            </w:r>
          </w:p>
        </w:tc>
        <w:tc>
          <w:tcPr>
            <w:tcW w:w="100" w:type="dxa"/>
            <w:vAlign w:val="bottom"/>
            <w:shd w:val="clear" w:color="auto" w:fill="CFF0FC"/>
          </w:tcPr>
          <w:p>
            <w:pPr>
              <w:spacing w:after="0"/>
              <w:rPr>
                <w:sz w:val="15"/>
                <w:szCs w:val="15"/>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in follow on public offering, net</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48,675</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common stock in at-the-market offering, net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15,497</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1,755</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in direct placement offering, net</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24,918</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Employee Stock Purchase Plan</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277</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2,058</w:t>
            </w:r>
          </w:p>
        </w:tc>
        <w:tc>
          <w:tcPr>
            <w:tcW w:w="100" w:type="dxa"/>
            <w:vAlign w:val="bottom"/>
          </w:tcPr>
          <w:p>
            <w:pPr>
              <w:spacing w:after="0"/>
              <w:rPr>
                <w:sz w:val="15"/>
                <w:szCs w:val="15"/>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w:t>
            </w:r>
          </w:p>
        </w:tc>
      </w:tr>
      <w:tr>
        <w:trPr>
          <w:trHeight w:val="169"/>
        </w:trPr>
        <w:tc>
          <w:tcPr>
            <w:tcW w:w="71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15,729</w:t>
            </w: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75,722</w:t>
            </w:r>
          </w:p>
        </w:tc>
        <w:tc>
          <w:tcPr>
            <w:tcW w:w="2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54,202</w:t>
            </w:r>
          </w:p>
        </w:tc>
        <w:tc>
          <w:tcPr>
            <w:tcW w:w="100" w:type="dxa"/>
            <w:vAlign w:val="bottom"/>
            <w:tcBorders>
              <w:bottom w:val="single" w:sz="8" w:color="CFF0FC"/>
            </w:tcBorders>
          </w:tcPr>
          <w:p>
            <w:pPr>
              <w:spacing w:after="0"/>
              <w:rPr>
                <w:sz w:val="14"/>
                <w:szCs w:val="14"/>
                <w:color w:val="auto"/>
              </w:rPr>
            </w:pPr>
          </w:p>
        </w:tc>
      </w:tr>
      <w:tr>
        <w:trPr>
          <w:trHeight w:val="156"/>
        </w:trPr>
        <w:tc>
          <w:tcPr>
            <w:tcW w:w="71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NET (DECREASE) INCREASE IN CASH, CASH EQUIVALENTS AND</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1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RESTRICTED CASH</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(1,404)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11,279</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w:t>
            </w:r>
          </w:p>
        </w:tc>
        <w:tc>
          <w:tcPr>
            <w:tcW w:w="100" w:type="dxa"/>
            <w:vAlign w:val="bottom"/>
            <w:shd w:val="clear" w:color="auto" w:fill="CFF0FC"/>
          </w:tcPr>
          <w:p>
            <w:pPr>
              <w:spacing w:after="0"/>
              <w:rPr>
                <w:sz w:val="15"/>
                <w:szCs w:val="15"/>
                <w:color w:val="auto"/>
              </w:rPr>
            </w:pPr>
          </w:p>
        </w:tc>
      </w:tr>
      <w:tr>
        <w:trPr>
          <w:trHeight w:val="176"/>
        </w:trPr>
        <w:tc>
          <w:tcPr>
            <w:tcW w:w="71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CASH—beginning of year</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35,389</w:t>
            </w:r>
          </w:p>
        </w:tc>
        <w:tc>
          <w:tcPr>
            <w:tcW w:w="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24,110</w:t>
            </w:r>
          </w:p>
        </w:tc>
        <w:tc>
          <w:tcPr>
            <w:tcW w:w="2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23,348</w:t>
            </w:r>
          </w:p>
        </w:tc>
        <w:tc>
          <w:tcPr>
            <w:tcW w:w="100" w:type="dxa"/>
            <w:vAlign w:val="bottom"/>
            <w:tcBorders>
              <w:bottom w:val="single" w:sz="8" w:color="CFF0FC"/>
            </w:tcBorders>
          </w:tcPr>
          <w:p>
            <w:pPr>
              <w:spacing w:after="0"/>
              <w:rPr>
                <w:sz w:val="15"/>
                <w:szCs w:val="15"/>
                <w:color w:val="auto"/>
              </w:rPr>
            </w:pPr>
          </w:p>
        </w:tc>
      </w:tr>
      <w:tr>
        <w:trPr>
          <w:trHeight w:val="169"/>
        </w:trPr>
        <w:tc>
          <w:tcPr>
            <w:tcW w:w="7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CASH EQUIVALENTS AND RESTRICTED CASH—end of year</w:t>
            </w: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33,985</w:t>
            </w:r>
          </w:p>
        </w:tc>
        <w:tc>
          <w:tcPr>
            <w:tcW w:w="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35,389</w:t>
            </w:r>
          </w:p>
        </w:tc>
        <w:tc>
          <w:tcPr>
            <w:tcW w:w="2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24,110</w:t>
            </w:r>
          </w:p>
        </w:tc>
        <w:tc>
          <w:tcPr>
            <w:tcW w:w="100" w:type="dxa"/>
            <w:vAlign w:val="bottom"/>
            <w:shd w:val="clear" w:color="auto" w:fill="CFF0FC"/>
          </w:tcPr>
          <w:p>
            <w:pPr>
              <w:spacing w:after="0"/>
              <w:rPr>
                <w:sz w:val="14"/>
                <w:szCs w:val="14"/>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disclosures of cash flow information (Note 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Syndax Pharmaceuticals, Inc. (the Company) is a clinical stage biopharmaceutical company developing an innovative pipeline of cancer therapies. The Company is developing its lead product candidate, entinostat, a once-weekly, oral, small molecule, Class I HDAC inhibitor, in combination with exemestane and several approved PD-1/PD-L1 antagonists. The Company’s pipeline also includes SNDX-6352, a monoclonal antibody that blocks the colony stimulating factor 1 (CSF-1) receptor, as well as SNDX-5613, a selective inhibitor targeting the binding interaction of Menin with the mixed lineage leukemia (“MLL”) protein. The Company plans to continue to leverage the technical and business expertise of our management team and scientific collaborators to license, acquire and develop additional cancer therapies to expand our pipeline.</w:t>
      </w:r>
    </w:p>
    <w:p>
      <w:pPr>
        <w:spacing w:after="0" w:line="178"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In March 2016, the Company completed its initial public offering (“IPO”) whereby it sold 4,809,475 shares of common stock at the initial public offering price of $12.00 per share. The aggregate net proceeds received by the Company from the offering were $50.5 million, net of underwriting discounts and commissions and offering expenses.</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program”) equity offerings. Cowen is not required to sell any specific amount but acts as our sales agent using commercially reasonable efforts consistent with its normal trading and sales practices. Shares sold pursuant to the sales agreement will be sold pursuant to a shelf registration statement, which became effective on April 20, 2017. Our common stock will be sold at prevailing market prices at the time of the sale; and as a result, prices may vary. We will pay Cowen up to 3% of the gross proceeds from any common stock sold through the sales agreement. Since inception of the ATM program in 2017, though March 6, 2019, the Company has sold 2,403,409 shares of common stock pursuant to the ATM program, at an average price of $7.82 per share for gross proceeds of $18.8 million, resulting in net proceeds of $18.2 million after deducting sales commissions and offering expenses. As of December 31, 2018, $32.1 million of common stock remained available for sale under the ATM program. In 2019, the Company sold 140,819 shares of common stock pursuant to the ATM program, with net proceeds of $0.9 million. As of March 6, 2019, $31.2 million of common stock remained available for sale under the ATM program.</w:t>
      </w:r>
    </w:p>
    <w:p>
      <w:pPr>
        <w:spacing w:after="0" w:line="18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May 2017, the Company completed a follow-on public offering whereby the Company sold 3,950,190 shares of common stock at a price of $13.25 per share. The aggregate net proceeds received by the Company from the offering were approximately $48.7 million, net of underwriting discounts and commissions and estimated offering expenses payable by the Company.</w:t>
      </w:r>
    </w:p>
    <w:p>
      <w:pPr>
        <w:spacing w:after="0" w:line="18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On October 13, 2017, the Company entered into a license agreement with Vitae Pharmaceuticals, Inc., a subsidiary of Allergan plc (“Allergan”), under which Allergan granted to the Company a worldwide, sublicenseable, exclusive license to a portfolio of preclinical, orally-available, small molecule inhibitors of the interaction of Menin with the MLL protein (the “Menin Assets”). The Company made a nonrefundable upfront payment of $5.0 million to Allergan in the fourth quarter of 2017. The Company is developing the Menin Assets to potentially treat two genetically defined acute leukemias: (i) a genetically-defined subset of acute leukemias with chromosomal rearrangements in the MLL gene (“MLL-r”) and (ii) acute myeloid leukemia (“AML”) with a mutated nucleophosmin 1 (“NPM1”).</w:t>
      </w:r>
    </w:p>
    <w:p>
      <w:pPr>
        <w:spacing w:after="0" w:line="193"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On October 17, 2017, the Company entered into a purchase agreement with Biotech Value Fund, L.P. (“BVF”) and certain entities affiliated with BVF (the “Purchase Agreement”). Pursuant to the Purchase Agreement, the Company issued directly to BVF in a registered direct offering (the “Offering”), 2,021,018 shares of the Company’s common stock at a price of $12.37 per share, representing the closing price of the Company’s shares on the Nasdaq Global Select Market on Friday, October 13, 2017. The net proceeds from the Offering, after deducting estimated expenses, were $24.9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4" w:name="page95"/>
    <w:bookmarkEnd w:id="94"/>
    <w:p>
      <w:pPr>
        <w:ind w:right="20" w:firstLine="598"/>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Company’s management believes that the cash, cash equivalents and short-term investments balances as of December 31, 2018 should enable the Company to maintain its planned operations for at least twelve months from the date these financial statements were issued.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accounting principles generally accepted in the United States of America (“U.S. GAAP”).</w:t>
      </w:r>
    </w:p>
    <w:p>
      <w:pPr>
        <w:spacing w:after="0" w:line="170"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color w:val="auto"/>
        </w:rPr>
        <w:t>In 2011, the Company established a wholly owned subsidiary in the United Kingdom. There have been no activities for this entity to date. In 2014, the Company established a wholly owned U.S. subsidiary, Syndax Securities Corporation. The consolidated financial statements include the accounts of the Company and its wholly owned subsidiaries. All intercompany balances and transactions have been eliminated in consolidation.</w:t>
      </w:r>
    </w:p>
    <w:p>
      <w:pPr>
        <w:spacing w:after="0" w:line="270" w:lineRule="exact"/>
        <w:rPr>
          <w:sz w:val="20"/>
          <w:szCs w:val="20"/>
          <w:color w:val="auto"/>
        </w:rPr>
      </w:pPr>
    </w:p>
    <w:p>
      <w:pPr>
        <w:ind w:left="600" w:right="7860" w:hanging="592"/>
        <w:spacing w:after="0" w:line="378" w:lineRule="auto"/>
        <w:tabs>
          <w:tab w:leader="none" w:pos="18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260" w:firstLine="59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ind w:left="6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Short-term investments include marketable securities with maturities of less than one year or where management’s intent is to use the investments to fund current operations or to make them available for current operations. Long-term investments include marketable securities with remaining maturities greater than one year or that are due after one year from the balance sheet date. All investments in marketable securities are classified as available-for-sale and are reported at fair value with unrealized gains and losses excluded from earnings and reported net of tax in accumulated other comprehensive income, which is a component of stockholders’ equity (deficit).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Cash and cash equivalents, restricted cash, and short-term and long-term investments are financial instruments that potentially subject the Company to concentrations of credit risk. Substantially all of the Company’s cash, cash equivalents, and short-term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U.S. Treasury securities, U.S. government agency securities, corporate debt securities, certificates of deposit and overnight deposits and potentially subject the Company to concentrations of credit risk.</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20" w:firstLine="598"/>
        <w:spacing w:after="0" w:line="286" w:lineRule="auto"/>
        <w:rPr>
          <w:sz w:val="20"/>
          <w:szCs w:val="20"/>
          <w:color w:val="auto"/>
        </w:rPr>
      </w:pPr>
      <w:r>
        <w:rPr>
          <w:rFonts w:ascii="Arial" w:cs="Arial" w:eastAsia="Arial" w:hAnsi="Arial"/>
          <w:sz w:val="17"/>
          <w:szCs w:val="17"/>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The Company adopted Accounting Standards Codification Rule 606 Revenue from Contracts with Customers (ASC 606), on January 1, 2018, using the modified retrospective method for all contracts not completed as of the date of adoption. The reported results for 2018 reflect the application of ASC 606 guidance while the reported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6" w:name="page97"/>
    <w:bookmarkEnd w:id="96"/>
    <w:p>
      <w:pPr>
        <w:ind w:right="80"/>
        <w:spacing w:after="0" w:line="257" w:lineRule="auto"/>
        <w:rPr>
          <w:sz w:val="20"/>
          <w:szCs w:val="20"/>
          <w:color w:val="auto"/>
        </w:rPr>
      </w:pPr>
      <w:r>
        <w:rPr>
          <w:rFonts w:ascii="Arial" w:cs="Arial" w:eastAsia="Arial" w:hAnsi="Arial"/>
          <w:sz w:val="18"/>
          <w:szCs w:val="18"/>
          <w:color w:val="auto"/>
        </w:rPr>
        <w:t>results for 2017 were prepared under the guidance of ASC 605, Revenue Recognition (ASC 605). For the Company’s accounting policy for revenue recognition under ASC 605, refer to Item 8 of the Annual Report on Form 10-K for the year ended December 31, 2017. As of January 1, 2018, the Company had only one contract within the scope of ASC 606, a license agreement with Kyowa Hakko Kirin Co., Ltd. (“KHK”), under which the Company granted KHK an exclusive license to develop and commercialize entinostat in Japan and Korea (the “KHK License Agreement”). The KHK License Agreement is discussed further in Note 6.</w:t>
      </w:r>
    </w:p>
    <w:p>
      <w:pPr>
        <w:spacing w:after="0" w:line="188"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93" w:lineRule="exact"/>
        <w:rPr>
          <w:sz w:val="20"/>
          <w:szCs w:val="20"/>
          <w:color w:val="auto"/>
        </w:rPr>
      </w:pPr>
    </w:p>
    <w:p>
      <w:pPr>
        <w:ind w:right="360" w:firstLine="598"/>
        <w:spacing w:after="0" w:line="285" w:lineRule="auto"/>
        <w:rPr>
          <w:sz w:val="20"/>
          <w:szCs w:val="20"/>
          <w:color w:val="auto"/>
        </w:rPr>
      </w:pPr>
      <w:r>
        <w:rPr>
          <w:rFonts w:ascii="Arial" w:cs="Arial" w:eastAsia="Arial" w:hAnsi="Arial"/>
          <w:sz w:val="16"/>
          <w:szCs w:val="16"/>
          <w:color w:val="auto"/>
        </w:rPr>
        <w:t>Revenue is recognized when, or as, performance obligations are satisfied, which occurs when control of the promised products or services is transferred to customers. Revenue is measured as the amount of consideration the Company expects to receive in exchange for transferring products or services to a customer (“transaction price”). To the extent that the transaction price includes variable consideration, the Company estimates the amount of variable consideration that should be included in the transaction price utilizing the most likely amount method. Variable consideration is included in the transaction price if, in the Company’s judgment, it is probable that a significant future reversal of cumulative revenue under the contract will not</w:t>
      </w:r>
    </w:p>
    <w:p>
      <w:pPr>
        <w:spacing w:after="0" w:line="2"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3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assesses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87"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Licenses of intellectual property: 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the Company’s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ind w:firstLine="598"/>
        <w:spacing w:after="0" w:line="287" w:lineRule="auto"/>
        <w:rPr>
          <w:sz w:val="20"/>
          <w:szCs w:val="20"/>
          <w:color w:val="auto"/>
        </w:rPr>
      </w:pPr>
      <w:r>
        <w:rPr>
          <w:rFonts w:ascii="Arial" w:cs="Arial" w:eastAsia="Arial" w:hAnsi="Arial"/>
          <w:sz w:val="16"/>
          <w:szCs w:val="16"/>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For development milestones related to the KHK Agreement, the Company does not take a substantive role or control the research, development or commercialization of any products generated by KHK. Therefore, the Company is not able to reasonably estimate when, if at all, any development milestone payments may be payable to the Company. As such, the development milestone payments associated with the KHK Agreement involve a substantial degree of uncertainty and risk that they may never be received.</w:t>
      </w:r>
    </w:p>
    <w:p>
      <w:pPr>
        <w:spacing w:after="0" w:line="169"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71"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5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188"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In instances where the Company enters into cost-sharing arrangements, all research and development costs reimbursed by the collaborators are accounted for as reductions to research and development expense. During the year ended December 31, 2018, the Company incurred $4.7 million in external costs related to cost-sharing collaborations, of which $2.4 million has been recorded as a reduction to research and development expense. During the year ended December 31, 2017, the Company incurred $3.0 million in external costs related to cost-sharing collaborations, of which $1.4 million has been recorded as a reduction to research and development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8" w:name="page99"/>
    <w:bookmarkEnd w:id="98"/>
    <w:p>
      <w:pPr>
        <w:ind w:left="600"/>
        <w:spacing w:after="0"/>
        <w:rPr>
          <w:sz w:val="20"/>
          <w:szCs w:val="20"/>
          <w:color w:val="auto"/>
        </w:rPr>
      </w:pPr>
      <w:r>
        <w:rPr>
          <w:rFonts w:ascii="Arial" w:cs="Arial" w:eastAsia="Arial" w:hAnsi="Arial"/>
          <w:sz w:val="18"/>
          <w:szCs w:val="18"/>
          <w:b w:val="1"/>
          <w:bCs w:val="1"/>
          <w:i w:val="1"/>
          <w:iCs w:val="1"/>
          <w:color w:val="auto"/>
        </w:rPr>
        <w:t>Clinical Trial Costs</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activations, or other information provided to us by our vendors.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14) that require it to indemnify the landlord against all costs, expenses, fines, suits, claims, demands, liabilities, and actions directly resulting from any breach, violation, or nonperformance of any covenant or condition of the Company’s lease. Through December 31,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Company accounts for all stock option awards granted to employees and non-employees using a fair value method. Stock-based compensation is measured at the grant date fair value of employee stock option grants and is recognized over the requisite service period of the awards (usually the vesting period) on a straight-line basis. Stock option awards to non-employees are subject to periodic revaluation over their vesting terms. The Company accounts for forfeitures as they occur.</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Upon closing of the IPO, all of the outstanding shares of the Company’s outstanding convertible preferred stock converted into shares of the common stock. Prior to the IPO, the Company had classified certain series of convertible preferred stock as temporary equity in the consolidated balance sheets due to certain change in control events that were outside of the Company’s control, including liquidation, sale, or transfer of control of the Company, as holders of the convertible preferred stock could cause redemption of the shares in these situations. The carrying value of the convertible preferred stock was presented at its maximum redemption value. As of December 31, 2015, the Series A preferred stock had no liquidation preference and was presented in permanent equity.</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 xml:space="preserve">In June 2018, the Financial Accounting Standards Board (“FASB”) issued Accounting Standards Update (“ASU”) 2018-07,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Improvements to Nonemployee Share-Based Payment Accounting </w:t>
      </w:r>
      <w:r>
        <w:rPr>
          <w:rFonts w:ascii="Arial" w:cs="Arial" w:eastAsia="Arial" w:hAnsi="Arial"/>
          <w:sz w:val="17"/>
          <w:szCs w:val="17"/>
          <w:color w:val="auto"/>
        </w:rPr>
        <w:t>(“ASU 2018-07”). ASU 2018-07 is intended to simplify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the accounting for nonemployee share-based payment transactions by expanding the scope of Topic 718 to include share-based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9" w:name="page100"/>
    <w:bookmarkEnd w:id="99"/>
    <w:p>
      <w:pPr>
        <w:ind w:right="320"/>
        <w:spacing w:after="0" w:line="259" w:lineRule="auto"/>
        <w:rPr>
          <w:sz w:val="20"/>
          <w:szCs w:val="20"/>
          <w:color w:val="auto"/>
        </w:rPr>
      </w:pPr>
      <w:r>
        <w:rPr>
          <w:rFonts w:ascii="Arial" w:cs="Arial" w:eastAsia="Arial" w:hAnsi="Arial"/>
          <w:sz w:val="18"/>
          <w:szCs w:val="18"/>
          <w:color w:val="auto"/>
        </w:rPr>
        <w:t>payment transactions for acquiring goods and services from nonemployees. This ASU is effective for public reporting companies for interim and annual periods beginning after December 15, 2018, with early adoption permitted but no earlier than an entity’s adoption date of Topic 606. The Company has evaluated the effect of the new guidance on the Company’s consolidated financial statements and related disclosures and determined that the impact is not material.</w:t>
      </w:r>
    </w:p>
    <w:p>
      <w:pPr>
        <w:spacing w:after="0" w:line="18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ASU 2017-09 provides guidance about which changes to the terms or conditions of a share-based payment award require an entity to apply modification accounting in Topic 718.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ASU 2017-09 on January 1, 2018, and it did not have a material impact on its consolidated balance sheet, consolidated statement of comprehensive loss or consolidated statement of cash flows. As part of the adoption of this guidance, the Company adopted a policy to account for the effects of a modification unless certain exclusions are met.</w:t>
      </w:r>
    </w:p>
    <w:p>
      <w:pPr>
        <w:spacing w:after="0" w:line="173"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ASU 2016-18 requires that restricted cash and restricted cash equivalents be included with cash 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The Company adopted ASU 2016-18 on January 1, 2018, utilizing the retrospective transition method and it did not have a material impact on its consolidated statement of cash flows. As part of the adoption of this guidance, the Company included restricted cash with cash and cash equivalent in the consolidated statement of cash flows for the periods ending December 31, 2018, 2017 and 2016. The following table provides a reconciliation of the cash, cash equivalents and restricted cash balances as of December 31, 2018, 2017 and 2016, as shown below:</w:t>
      </w:r>
    </w:p>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1"/>
              </w:rPr>
              <w:t>Years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33,769</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23,844</w:t>
            </w: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Restricted cash included in current and</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noncurrent assets</w:t>
            </w:r>
          </w:p>
        </w:tc>
        <w:tc>
          <w:tcPr>
            <w:tcW w:w="13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FF0FC"/>
            </w:tcBorders>
          </w:tcPr>
          <w:p>
            <w:pPr>
              <w:spacing w:after="0"/>
              <w:rPr>
                <w:sz w:val="20"/>
                <w:szCs w:val="20"/>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35,389</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The provisions of ASU 2016-02 are effective for annual reporting periods beginning after December 15, 2018; early adoption permitted. In July 2018, an amendment was made that allows companies the option of using the effective date of the new standard as the initial application date (at the beginning of the period in which it is adopted, rather than at the beginning of the earliest comparative period). The standard is effective for the Company on January 1, 2019. The Company has completed its assessment on the impact of the standard, including optional practical expedients and transition methods that the Company will elect upon adoption. The implementation plan included identifying the Company’s lease population, assessing significant leases under the new guidance and identifying changes to processes and controls. The Company concluded that upon adoption of this standard there will not be a material impact to its consolidated balance sheet with expected recognition of right-of-use assets and liabilities between $1 million and $1.5 million. The Company will utilize the prospective approach of adopting this standard.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0" w:name="page101"/>
    <w:bookmarkEnd w:id="100"/>
    <w:p>
      <w:pPr>
        <w:ind w:right="220"/>
        <w:spacing w:after="0" w:line="277" w:lineRule="auto"/>
        <w:rPr>
          <w:sz w:val="20"/>
          <w:szCs w:val="20"/>
          <w:color w:val="auto"/>
        </w:rPr>
      </w:pPr>
      <w:r>
        <w:rPr>
          <w:rFonts w:ascii="Arial" w:cs="Arial" w:eastAsia="Arial" w:hAnsi="Arial"/>
          <w:sz w:val="18"/>
          <w:szCs w:val="18"/>
          <w:color w:val="auto"/>
        </w:rPr>
        <w:t>The Company has identified and implemented appropriate changes to its business processes and controls to support recognition and disclosure under this standard.</w:t>
      </w:r>
    </w:p>
    <w:p>
      <w:pPr>
        <w:spacing w:after="0" w:line="17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The Company adopted ASU 2014-09 and its related amendments (collectively known as ASC 606) effective January 1, 2018 using the modified retrospective method. See Note 4 “Revenue from Contracts with Customers” for the required disclosures related to the impact of adopting this standard and a discussion of the Company’s updated policies related to revenue recognition.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On January 1, 2018, the Company adopted ASC 606 applying the modified retrospective method, which only impacted the accounting for the KHK License Agreement. As a result of applying the modified retrospective method to adopt the new revenue guidance, the following adjustments were made to accounts on the consolidated balance sheet as of January 1, 2018:</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As Reported at</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r>
      <w:tr>
        <w:trPr>
          <w:trHeight w:val="149"/>
        </w:trPr>
        <w:tc>
          <w:tcPr>
            <w:tcW w:w="4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Due to ASC</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January 1,</w:t>
            </w:r>
          </w:p>
        </w:tc>
      </w:tr>
      <w:tr>
        <w:trPr>
          <w:trHeight w:val="171"/>
        </w:trPr>
        <w:tc>
          <w:tcPr>
            <w:tcW w:w="42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606</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revenue</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FF0FC"/>
          </w:tcPr>
          <w:p>
            <w:pPr>
              <w:spacing w:after="0"/>
              <w:rPr>
                <w:sz w:val="19"/>
                <w:szCs w:val="19"/>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280" w:type="dxa"/>
            <w:vAlign w:val="bottom"/>
            <w:tcBorders>
              <w:bottom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Deferred revenue, less current portion</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16,759</w:t>
            </w:r>
          </w:p>
        </w:tc>
        <w:tc>
          <w:tcPr>
            <w:tcW w:w="2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16,166</w:t>
            </w:r>
          </w:p>
        </w:tc>
        <w:tc>
          <w:tcPr>
            <w:tcW w:w="120" w:type="dxa"/>
            <w:vAlign w:val="bottom"/>
          </w:tcPr>
          <w:p>
            <w:pPr>
              <w:spacing w:after="0"/>
              <w:rPr>
                <w:sz w:val="19"/>
                <w:szCs w:val="19"/>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1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c>
          <w:tcPr>
            <w:tcW w:w="28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32,218</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(366,111)</w:t>
            </w:r>
          </w:p>
        </w:tc>
        <w:tc>
          <w:tcPr>
            <w:tcW w:w="136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(365,462)</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137,186</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137,186</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Results for reporting periods beginning after January 1, 2018 were presented under ASC 606, while prior period amounts were not adjusted and reported under the accounting standards in effect for the prior periods. The following tables show the impact on the reported consolidated balance sheet for the year ended December 31, 2018, and the statements of operations and comprehensive loss for the year ended December 31, 2018, for pro-forma amounts had the previous guidance been in effect (in thousands):</w:t>
      </w:r>
    </w:p>
    <w:p>
      <w:pPr>
        <w:sectPr>
          <w:pgSz w:w="11900" w:h="16838" w:orient="portrait"/>
          <w:cols w:equalWidth="0" w:num="1">
            <w:col w:w="11240"/>
          </w:cols>
          <w:pgMar w:left="240" w:top="341" w:right="419" w:bottom="1440" w:gutter="0" w:footer="0" w:header="0"/>
        </w:sectPr>
      </w:pPr>
    </w:p>
    <w:p>
      <w:pPr>
        <w:spacing w:after="0" w:line="19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Financial Statement Line Item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5171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20955</wp:posOffset>
            </wp:positionV>
            <wp:extent cx="651764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License fee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Consolidated Balance Sheet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651764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portion of deferred revenue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revenue, less current portion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6350</wp:posOffset>
            </wp:positionV>
            <wp:extent cx="11664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b w:val="1"/>
          <w:bCs w:val="1"/>
          <w:color w:val="auto"/>
        </w:rPr>
        <w:t>Year ended</w:t>
      </w:r>
    </w:p>
    <w:p>
      <w:pPr>
        <w:ind w:left="20"/>
        <w:spacing w:after="0"/>
        <w:rPr>
          <w:sz w:val="20"/>
          <w:szCs w:val="20"/>
          <w:color w:val="auto"/>
        </w:rPr>
      </w:pPr>
      <w:r>
        <w:rPr>
          <w:rFonts w:ascii="Arial" w:cs="Arial" w:eastAsia="Arial" w:hAnsi="Arial"/>
          <w:sz w:val="14"/>
          <w:szCs w:val="14"/>
          <w:b w:val="1"/>
          <w:bCs w:val="1"/>
          <w:color w:val="auto"/>
        </w:rPr>
        <w:t>December 31, 2018</w:t>
      </w:r>
    </w:p>
    <w:p>
      <w:pPr>
        <w:spacing w:after="0" w:line="9"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(56)</w:t>
      </w:r>
    </w:p>
    <w:p>
      <w:pPr>
        <w:spacing w:after="0" w:line="21"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(56)</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December 31, 2018</w:t>
      </w:r>
    </w:p>
    <w:p>
      <w:pPr>
        <w:spacing w:after="0" w:line="25"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(56)</w:t>
      </w:r>
    </w:p>
    <w:p>
      <w:pPr>
        <w:spacing w:after="0" w:line="21"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(537)</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593</w:t>
      </w:r>
    </w:p>
    <w:p>
      <w:pPr>
        <w:spacing w:after="0" w:line="200" w:lineRule="exact"/>
        <w:rPr>
          <w:sz w:val="20"/>
          <w:szCs w:val="20"/>
          <w:color w:val="auto"/>
        </w:rPr>
      </w:pPr>
    </w:p>
    <w:p>
      <w:pPr>
        <w:sectPr>
          <w:pgSz w:w="11900" w:h="16838" w:orient="portrait"/>
          <w:cols w:equalWidth="0" w:num="2">
            <w:col w:w="8500" w:space="720"/>
            <w:col w:w="2020"/>
          </w:cols>
          <w:pgMar w:left="240" w:top="341" w:right="419" w:bottom="1440" w:gutter="0" w:footer="0" w:header="0"/>
          <w:type w:val="continuous"/>
        </w:sect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type w:val="continuous"/>
        </w:sectPr>
      </w:pPr>
    </w:p>
    <w:bookmarkStart w:id="101" w:name="page102"/>
    <w:bookmarkEnd w:id="101"/>
    <w:p>
      <w:pPr>
        <w:ind w:left="600" w:right="240" w:hanging="59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line items that were not affected by the Company’s adoption of ASC 606. The adoption had no impact to cash provided by or used in net operating, investing or financing activities in the Consolidated Statement of Cash Flows.</w:t>
      </w:r>
    </w:p>
    <w:p>
      <w:pPr>
        <w:spacing w:after="0" w:line="62" w:lineRule="exact"/>
        <w:rPr>
          <w:sz w:val="20"/>
          <w:szCs w:val="20"/>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Balance sheet line item amounts include the cumulative-effect adjustment recorded on December 31,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KHK License Agreement Revenue</w:t>
      </w:r>
    </w:p>
    <w:p>
      <w:pPr>
        <w:spacing w:after="0" w:line="117"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Under ASC 606, the Company determined that the performance obligations associated with the KHK License Agreement include (i) the combined license, rights to access and use materials and data, and rights to additional intellectual property, and (ii) the clinical supply obligation. All other goods or services promised to KHK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as opposed to the initial delivery of the clinical trial materials in June 2015.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KHK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KHK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KHK Agreement at contract inception were not distinct and represented a single performance obligation, and that the obligations for goods and services provided would be completed over the performance period of the agreement, any payments received by the Company from KHK,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102" w:name="page103"/>
    <w:bookmarkEnd w:id="102"/>
    <w:p>
      <w:pPr>
        <w:ind w:right="100" w:firstLine="598"/>
        <w:spacing w:after="0" w:line="259" w:lineRule="auto"/>
        <w:rPr>
          <w:sz w:val="20"/>
          <w:szCs w:val="20"/>
          <w:color w:val="auto"/>
        </w:rPr>
      </w:pPr>
      <w:r>
        <w:rPr>
          <w:rFonts w:ascii="Arial" w:cs="Arial" w:eastAsia="Arial" w:hAnsi="Arial"/>
          <w:sz w:val="18"/>
          <w:szCs w:val="18"/>
          <w:color w:val="auto"/>
        </w:rPr>
        <w:t>Contract liabilities consisted of deferred revenue, as presented on the consolidated balance sheet, as of December 31, 2018. Deferred revenue related to the KHK License Agreement was $16.2 million as of December 31, 2018 and will be recognized over the remainder of the contract term. The Company recognized license fees revenue of $1.5 million during the year ended December 31, 2018 that was included in the deferred revenue balance as of January 1, 2018.</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three years ended December 31, 2018, 2017, and 2016, diluted net loss per common share is the same as basic net loss per common share for those periods. The following table summarizes the computation of basic and diluted net loss per share attributable to common stockholders of the Company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(73,961)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(60,802)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(44,472)</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Accretion of convertible preferred stock dividends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(2,598)</w:t>
            </w:r>
          </w:p>
        </w:tc>
      </w:tr>
      <w:tr>
        <w:trPr>
          <w:trHeight w:val="26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4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(73,961)</w:t>
            </w:r>
          </w:p>
        </w:tc>
        <w:tc>
          <w:tcPr>
            <w:tcW w:w="2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(60,802)</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(47,070)</w:t>
            </w:r>
          </w:p>
        </w:tc>
        <w:tc>
          <w:tcPr>
            <w:tcW w:w="120" w:type="dxa"/>
            <w:vAlign w:val="bottom"/>
            <w:tcBorders>
              <w:bottom w:val="single" w:sz="8" w:color="CFF0FC"/>
            </w:tcBorders>
          </w:tcPr>
          <w:p>
            <w:pPr>
              <w:spacing w:after="0"/>
              <w:rPr>
                <w:sz w:val="22"/>
                <w:szCs w:val="22"/>
                <w:color w:val="auto"/>
              </w:rPr>
            </w:pPr>
          </w:p>
        </w:tc>
      </w:tr>
      <w:tr>
        <w:trPr>
          <w:trHeight w:val="210"/>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14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Arial" w:cs="Arial" w:eastAsia="Arial" w:hAnsi="Arial"/>
                <w:sz w:val="18"/>
                <w:szCs w:val="18"/>
                <w:b w:val="1"/>
                <w:bCs w:val="1"/>
                <w:color w:val="auto"/>
              </w:rPr>
              <w:t>Denominator—basic and diluted:</w:t>
            </w:r>
          </w:p>
        </w:tc>
        <w:tc>
          <w:tcPr>
            <w:tcW w:w="2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Weighted-average common shares used to compute net loss per</w:t>
            </w:r>
          </w:p>
        </w:tc>
        <w:tc>
          <w:tcPr>
            <w:tcW w:w="2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share—basic and diluted</w:t>
            </w: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25,371,511</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20,997,211</w:t>
            </w:r>
          </w:p>
        </w:tc>
        <w:tc>
          <w:tcPr>
            <w:tcW w:w="1060" w:type="dxa"/>
            <w:vAlign w:val="bottom"/>
          </w:tcPr>
          <w:p>
            <w:pPr>
              <w:jc w:val="right"/>
              <w:spacing w:after="0"/>
              <w:rPr>
                <w:sz w:val="20"/>
                <w:szCs w:val="20"/>
                <w:color w:val="auto"/>
              </w:rPr>
            </w:pPr>
            <w:r>
              <w:rPr>
                <w:rFonts w:ascii="Arial" w:cs="Arial" w:eastAsia="Arial" w:hAnsi="Arial"/>
                <w:sz w:val="18"/>
                <w:szCs w:val="18"/>
                <w:color w:val="auto"/>
              </w:rPr>
              <w:t>14,619,716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3" w:lineRule="exact"/>
        <w:rPr>
          <w:sz w:val="20"/>
          <w:szCs w:val="20"/>
          <w:color w:val="auto"/>
        </w:rPr>
      </w:pPr>
    </w:p>
    <w:p>
      <w:pPr>
        <w:jc w:val="both"/>
        <w:ind w:right="160" w:firstLine="59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5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4,252,983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3,391,832</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2,560,737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Common stock warrant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357,840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357,840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subject to future vesting</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As discussed in Note 11, in June 2018, the Company signed an exchange agreement with an investor under which the investor exchanged 2,000,000 shares of common stock for 2,000,000 warrant shares. The warrants are exercisable into shares of common stock for $0.0001 per share. The shares of common stock into which the warrants may be exercised are considered outstanding for the purposes of computing earnings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6. Significant Agreements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UCB Biopharma Sprl</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4" w:name="page105"/>
    <w:bookmarkEnd w:id="104"/>
    <w:p>
      <w:pPr>
        <w:ind w:right="140" w:firstLine="598"/>
        <w:spacing w:after="0" w:line="259" w:lineRule="auto"/>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Kyowa Hakko Kirin Co., Ltd.</w:t>
      </w:r>
    </w:p>
    <w:p>
      <w:pPr>
        <w:spacing w:after="0" w:line="117"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On December 19, 2014 (the “Effective Date”), the Company entered into the KHK License Agreement,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0"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October 2017, the Company announced that KHK enrolled the first Japanese patient into a local pivotal study of entinostat for the treatment of hormone receptor positive, human epidermal growth factor receptor 2 negative breast cancer. In accordance with the terms of the agreement KHK paid the Company a $5.0 million milestone payment which the Company received in December 2017. Please refer to Note 4, Revenue from Contracts with Customers, for further discussion related to the accounting for the milestone.</w:t>
      </w:r>
    </w:p>
    <w:p>
      <w:pPr>
        <w:spacing w:after="0" w:line="187"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expanded its clinical trial agreement with Eastern Cooperative Oncology Group (the “ECOG Agreement”) to include enrollments from sites in Korea.</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Eastern Cooperative Oncology Group</w:t>
      </w:r>
    </w:p>
    <w:p>
      <w:pPr>
        <w:spacing w:after="0" w:line="117" w:lineRule="exact"/>
        <w:rPr>
          <w:sz w:val="20"/>
          <w:szCs w:val="20"/>
          <w:color w:val="auto"/>
        </w:rPr>
      </w:pPr>
    </w:p>
    <w:p>
      <w:pPr>
        <w:ind w:right="100" w:firstLine="598"/>
        <w:spacing w:after="0" w:line="269" w:lineRule="auto"/>
        <w:rPr>
          <w:sz w:val="20"/>
          <w:szCs w:val="20"/>
          <w:color w:val="auto"/>
        </w:rPr>
      </w:pPr>
      <w:r>
        <w:rPr>
          <w:rFonts w:ascii="Arial" w:cs="Arial" w:eastAsia="Arial" w:hAnsi="Arial"/>
          <w:sz w:val="17"/>
          <w:szCs w:val="17"/>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$5.1 million. As of December 31, 2018, the Company’s aggregate payment obligations under this agreement were approximately $24.5 million; and as of December 31, 2018, the Company’s remaining payment obligations are approximately $9.6 million over an estimated period of approximately three years.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ind w:right="100" w:firstLine="598"/>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Bayer Pharma AG (formerly known as Bayer Schering Pharma AG)</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was exercised or the closing of the IPO. The warrant contained anti-dilution protection to maintain Bayer’s potential ownership at 1.75% of the shares of common stock outstanding on a fully diluted basis, requiring that the actual number of shares of common stock issuable pursuant to the warrant be increased or decreased for any changes in the fully diluted shares of common stock outstanding. The warrant was exercisable at an exercise price of $1.54 per share and would have expired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 On March 1, 2018, Bayer notified the Company of its election to exercise the warrant utilizing the net exercise feature contained therein, resulting in the Company’s issuance to Bayer of 299,215 shares of the Company’s common stock for no net cash proceeds.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3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Office and computer equipment</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Office equipment under capital lease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During the years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2018, 2017 and 2016.</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07" w:name="page108"/>
    <w:bookmarkEnd w:id="107"/>
    <w:p>
      <w:pPr>
        <w:ind w:left="60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1"/>
                <w:szCs w:val="11"/>
                <w:color w:val="auto"/>
              </w:rPr>
            </w:pPr>
          </w:p>
        </w:tc>
        <w:tc>
          <w:tcPr>
            <w:tcW w:w="8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4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December 31, 2018</w:t>
            </w:r>
          </w:p>
        </w:tc>
        <w:tc>
          <w:tcPr>
            <w:tcW w:w="2600" w:type="dxa"/>
            <w:vAlign w:val="bottom"/>
            <w:tcBorders>
              <w:top w:val="single" w:sz="8" w:color="CFF0FC"/>
              <w:bottom w:val="single" w:sz="8" w:color="CFF0FC"/>
            </w:tcBorders>
            <w:shd w:val="clear" w:color="auto" w:fill="CFF0FC"/>
          </w:tcPr>
          <w:p>
            <w:pPr>
              <w:spacing w:after="0"/>
              <w:rPr>
                <w:sz w:val="17"/>
                <w:szCs w:val="17"/>
                <w:color w:val="auto"/>
              </w:rPr>
            </w:pPr>
          </w:p>
        </w:tc>
        <w:tc>
          <w:tcPr>
            <w:tcW w:w="2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Cash equivalents</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80,911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Cash equivalents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10,196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Long-term investments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Cash equivalents of $29.3 million as of December 31, 2018 and $25.0 million as of December 31, 2017 consisted of overnight investments and money market funds and are classified within Level 1 of the fair value hierarchy because they are valued using quoted market prices in active markets. Cash equivalents of $4.5 million as of December 31, 2018 and $10.2 million as of December 31, 2017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Short-term investments of $47.1 million as of December 31, 2018 and $94.8 million as of December 31, 2017, and long-term investments of $3.2 million as of December 31, 2017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08" w:name="page109"/>
    <w:bookmarkEnd w:id="108"/>
    <w:p>
      <w:pPr>
        <w:ind w:right="80" w:firstLine="598"/>
        <w:spacing w:after="0" w:line="272" w:lineRule="auto"/>
        <w:rPr>
          <w:sz w:val="20"/>
          <w:szCs w:val="20"/>
          <w:color w:val="auto"/>
        </w:rPr>
      </w:pPr>
      <w:r>
        <w:rPr>
          <w:rFonts w:ascii="Arial" w:cs="Arial" w:eastAsia="Arial" w:hAnsi="Arial"/>
          <w:sz w:val="17"/>
          <w:szCs w:val="17"/>
          <w:color w:val="auto"/>
        </w:rPr>
        <w:t>The short-term and long-term investments are classified as available-for-sale securities. As of December 31, 2018, the remaining contractual maturities of the available-for-sale securities were less than 9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2018. As a result, the Company did not reclassify any amounts out of accumulated other comprehensive income for the same periods. The Company has a limited number of available-for-sale securities in insignificant loss positions as of December 31, 2018, which the Company does not intend to sell and has concluded it will not be required to sell before recovery of the amortized cost for the investment at maturity. The following table summarizes the available-for-sale securities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4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December 31, 2018</w:t>
            </w:r>
          </w:p>
        </w:tc>
        <w:tc>
          <w:tcPr>
            <w:tcW w:w="46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22,619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14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spacing w:after="0"/>
              <w:rPr>
                <w:sz w:val="22"/>
                <w:szCs w:val="22"/>
                <w:color w:val="auto"/>
              </w:rPr>
            </w:pPr>
          </w:p>
        </w:tc>
        <w:tc>
          <w:tcPr>
            <w:tcW w:w="46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51,666</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46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8"/>
              </w:rPr>
              <w:t>December 31, 2017</w:t>
            </w:r>
          </w:p>
        </w:tc>
        <w:tc>
          <w:tcPr>
            <w:tcW w:w="46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36,567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108,391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Prepaid Expenses and Other Current Assets</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w w:val="90"/>
              </w:rPr>
              <w:t>Prepaid expenses and other current assets consisted of the following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Prepaid clinical supplies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Reimbursable costs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6380" w:type="dxa"/>
            <w:vAlign w:val="bottom"/>
            <w:gridSpan w:val="5"/>
          </w:tcPr>
          <w:p>
            <w:pPr>
              <w:ind w:left="20"/>
              <w:spacing w:after="0"/>
              <w:rPr>
                <w:sz w:val="20"/>
                <w:szCs w:val="20"/>
                <w:color w:val="auto"/>
              </w:rPr>
            </w:pPr>
            <w:r>
              <w:rPr>
                <w:rFonts w:ascii="Arial" w:cs="Arial" w:eastAsia="Arial" w:hAnsi="Arial"/>
                <w:sz w:val="18"/>
                <w:szCs w:val="18"/>
                <w:color w:val="auto"/>
                <w:w w:val="91"/>
              </w:rPr>
              <w:t>Accrued expenses and other current liabilities consisted of the following (in thousands):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Accrued compensation and related costs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In connection with the closing of the Company’s IPO, the Company filed an amended and restated certificate of incorporation and adopted amended and restated bylaws; and pursuant to the amended and restated certificate of incorporation, the Company is authorized to issue 100,000,000 shares of common stock. The holders of each share of common stock are entitled to one vote per share held and are entitled to receive dividends, if and when declared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by the Board, and to share ratably in the Company’s assets available for distribution to stockholders, in the event of liquidation.</w:t>
      </w:r>
    </w:p>
    <w:p>
      <w:pPr>
        <w:spacing w:after="0" w:line="225"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On June 18, 2018, the Company signed an exchange agreement with Biotechnology Value Fund and certain affiliated funds (“BVF”) under which BVF exchanged 2,000,000 shares of common stock for 2,000,000 warrant shares. The Company recorded the issuance of the warrants and the retirement of the common stock at fair value within additional paid-in capital. BVF can exercise the warrant shares at an exercise price per share equal to $0.0001 per share and the warrant shares expire 20 years from issuance. Per the terms of the warrant agreement, the outstanding warrants to purchase shares of common stock may not be exercised if the holder's ownership of the Company's common stock would exceed 9.99 percent following such exercise.</w:t>
      </w:r>
    </w:p>
    <w:p>
      <w:pPr>
        <w:spacing w:after="0" w:line="158"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BVF warrant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80" w:type="dxa"/>
            <w:vAlign w:val="bottom"/>
          </w:tcPr>
          <w:p>
            <w:pPr>
              <w:jc w:val="right"/>
              <w:spacing w:after="0"/>
              <w:rPr>
                <w:sz w:val="20"/>
                <w:szCs w:val="20"/>
                <w:color w:val="auto"/>
              </w:rPr>
            </w:pPr>
            <w:r>
              <w:rPr>
                <w:rFonts w:ascii="Arial" w:cs="Arial" w:eastAsia="Arial" w:hAnsi="Arial"/>
                <w:sz w:val="18"/>
                <w:szCs w:val="18"/>
                <w:color w:val="auto"/>
              </w:rPr>
              <w:t>5,675,984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651,453</w:t>
            </w:r>
          </w:p>
        </w:tc>
        <w:tc>
          <w:tcPr>
            <w:tcW w:w="80" w:type="dxa"/>
            <w:vAlign w:val="bottom"/>
            <w:shd w:val="clear" w:color="auto" w:fill="CFF0FC"/>
          </w:tcPr>
          <w:p>
            <w:pPr>
              <w:spacing w:after="0"/>
              <w:rPr>
                <w:sz w:val="19"/>
                <w:szCs w:val="19"/>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8,327,437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2018, there were 1,423,001 shares available for issuance under the 2015 Plan.</w:t>
      </w:r>
    </w:p>
    <w:p>
      <w:pPr>
        <w:spacing w:after="0" w:line="182"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2019, the shares available for issuance under the 2015 Plan were increased to 2,416,439.</w:t>
      </w:r>
    </w:p>
    <w:p>
      <w:pPr>
        <w:spacing w:after="0" w:line="18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As of December 31, 2018, there was $8.8 million of unrecognized compensation cost related to employee and non-employee unvested stock options granted under the 2007 and 2015 Plans, which is expected to be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over a weighted-average remaining service period of 2.4 years. Stock compensation costs have not been capitalized by the Company.</w:t>
      </w:r>
    </w:p>
    <w:p>
      <w:pPr>
        <w:spacing w:after="0" w:line="266"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Our stock-based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Compensation expense related to awards to non-employees with service-based vesting conditions is recognized on the then-current fair value at each financial reporting date prior to the measurement date over the associated service period of the award, which is generally the vesting term, using the accelerated attribution method. Compensation expense related to awards to employees with performance-based vesting conditions is recognized based on the grant date fair value over the requisite service period using the straight-line method to the extent achievement of the performance condition is probable. To date, the Company has granted 60,000 options with performance conditions, none of which have vested as of December 31, 2018.</w:t>
      </w:r>
    </w:p>
    <w:p>
      <w:pPr>
        <w:spacing w:after="0" w:line="179"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a peer group of similar public companies.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3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4"/>
              </w:rPr>
              <w:t>Years Ended December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Volatility rate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76.28%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73.86%</w:t>
            </w: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71.40%</w:t>
            </w: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2.69%</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determining the exercise prices for options granted, the Board has considered the fair value of the common stock as of each grant date. Prior to the Company’s IPO, the fair value of the common stock underlying the stock options was determined by the Board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1" w:name="page112"/>
    <w:bookmarkEnd w:id="111"/>
    <w:p>
      <w:pPr>
        <w:ind w:left="600"/>
        <w:spacing w:after="0"/>
        <w:rPr>
          <w:sz w:val="20"/>
          <w:szCs w:val="20"/>
          <w:color w:val="auto"/>
        </w:rPr>
      </w:pPr>
      <w:r>
        <w:rPr>
          <w:rFonts w:ascii="Arial" w:cs="Arial" w:eastAsia="Arial" w:hAnsi="Arial"/>
          <w:sz w:val="16"/>
          <w:szCs w:val="16"/>
          <w:color w:val="auto"/>
        </w:rPr>
        <w:t>A summary of employee and non-employee option activity under the Company’s equity award plans is presented below (in thousands, except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Outstanding—January 1, 2018</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3,391,832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1,049,400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Canceled or 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(180,399)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2018</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4,252,983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Exercisable—December 31, 2018</w:t>
            </w: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2,794,957</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7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2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gridSpan w:val="2"/>
            <w:vMerge w:val="continue"/>
          </w:tcPr>
          <w:p>
            <w:pPr>
              <w:spacing w:after="0"/>
              <w:rPr>
                <w:sz w:val="21"/>
                <w:szCs w:val="21"/>
                <w:color w:val="auto"/>
              </w:rPr>
            </w:pPr>
          </w:p>
        </w:tc>
        <w:tc>
          <w:tcPr>
            <w:tcW w:w="7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Options vested, exercisable or expected to</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vest—December 31, 2018</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4,232,982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2018, 2017 and 2016, was $6.17, $6.68,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$7.94 per share, respectively. The fair value is being expensed over the vesting period of the options (usually three to four years) on a straight-line basis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are being provided.</w:t>
      </w:r>
    </w:p>
    <w:p>
      <w:pPr>
        <w:spacing w:after="0" w:line="21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There were 7,850 options exercised for the year ended December 31, 2018, resulting in total proceeds of $26,000; 46,680 options exercised for the year ended December 31, 2017, resulting in total proceeds of $0.3 million; and 441,573 options exercised for the year ended December 31, 2016, resulting in total proceeds of $2.1 million. The intrinsic value of options exercised during the years ended December 31, 2018, 2017 and 2016 was $0.1 million, $0.2 million, and $3.8 million, respectively. In accordance with the Company’s policy, the shares were issued from a pool of shares reserved for issuance under the 2007 and 2015 Plans.</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Upon the closing of the IPO in March 2016, the Company recorded $0.7 million of additional stock compensation expense related to certain options granted to two of the Company’s executives.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September 2015, the Company’s Board adopted the Employee Stock Purchase Plan (the “ESPP”), which was subsequently approved by the Company’s stockholders in February 2016 and became effective upon the closing of the IPO on March 8, 2016. The ESPP authorizes the initial issuance of up to a total of 250,000 shares of common stock to the Company’s employees. The Company issued 24,684 shares during 2018. On January 1, 2019, the shares of common stock reserved for issuance under the ESPP was increased to 899,812. Under the terms of the ESPP, eligible employees can elect to acquire shares of the Company’s common stock through periodic payroll deductions during a series of six month offering periods. Purchases under the ESPP are effected on the last business day of each offering period at a 15% discount to the lower of closing price on that day or the closing price on the first day of the offering period.</w:t>
      </w:r>
    </w:p>
    <w:p>
      <w:pPr>
        <w:spacing w:after="0" w:line="189"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In 2018 and 2017 the Company recorded stock-based compensation expense related to the ESPP of $132,000 and $42,000 respectively. There was zero expense for the year ended December 31, 2016.</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2018, 2017 and 2016, the Company made $126,000, $106,000 and $72,000 contributions to the plan,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3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Years Ended</w:t>
      </w:r>
    </w:p>
    <w:p>
      <w:pPr>
        <w:ind w:left="82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96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12,684</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11,091</w:t>
            </w:r>
          </w:p>
        </w:tc>
        <w:tc>
          <w:tcPr>
            <w:tcW w:w="8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80" w:type="dxa"/>
            <w:vAlign w:val="bottom"/>
            <w:shd w:val="clear" w:color="auto" w:fill="CFF0FC"/>
          </w:tcPr>
          <w:p>
            <w:pPr>
              <w:spacing w:after="0"/>
              <w:rPr>
                <w:sz w:val="19"/>
                <w:szCs w:val="19"/>
                <w:color w:val="auto"/>
              </w:rPr>
            </w:pPr>
          </w:p>
        </w:tc>
      </w:tr>
      <w:tr>
        <w:trPr>
          <w:trHeight w:val="215"/>
        </w:trPr>
        <w:tc>
          <w:tcPr>
            <w:tcW w:w="4960" w:type="dxa"/>
            <w:vAlign w:val="bottom"/>
          </w:tcPr>
          <w:p>
            <w:pPr>
              <w:ind w:left="240"/>
              <w:spacing w:after="0"/>
              <w:rPr>
                <w:sz w:val="20"/>
                <w:szCs w:val="20"/>
                <w:color w:val="auto"/>
              </w:rPr>
            </w:pPr>
            <w:r>
              <w:rPr>
                <w:rFonts w:ascii="Arial" w:cs="Arial" w:eastAsia="Arial" w:hAnsi="Arial"/>
                <w:sz w:val="18"/>
                <w:szCs w:val="18"/>
                <w:color w:val="auto"/>
              </w:rPr>
              <w:t>Capitalized start-up and research and development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60" w:type="dxa"/>
            <w:vAlign w:val="bottom"/>
          </w:tcPr>
          <w:p>
            <w:pPr>
              <w:ind w:left="380"/>
              <w:spacing w:after="0"/>
              <w:rPr>
                <w:sz w:val="20"/>
                <w:szCs w:val="20"/>
                <w:color w:val="auto"/>
              </w:rPr>
            </w:pPr>
            <w:r>
              <w:rPr>
                <w:rFonts w:ascii="Arial" w:cs="Arial" w:eastAsia="Arial" w:hAnsi="Arial"/>
                <w:sz w:val="18"/>
                <w:szCs w:val="18"/>
                <w:color w:val="auto"/>
              </w:rPr>
              <w:t>costs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43,282</w:t>
            </w:r>
          </w:p>
        </w:tc>
        <w:tc>
          <w:tcPr>
            <w:tcW w:w="80" w:type="dxa"/>
            <w:vAlign w:val="bottom"/>
          </w:tcPr>
          <w:p>
            <w:pPr>
              <w:spacing w:after="0"/>
              <w:rPr>
                <w:sz w:val="20"/>
                <w:szCs w:val="20"/>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(11,550)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(8,610)</w:t>
            </w: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19"/>
                <w:szCs w:val="19"/>
                <w:color w:val="auto"/>
              </w:rPr>
            </w:pPr>
          </w:p>
        </w:tc>
      </w:tr>
      <w:tr>
        <w:trPr>
          <w:trHeight w:val="230"/>
        </w:trPr>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temporary differences</w:t>
            </w:r>
          </w:p>
        </w:tc>
        <w:tc>
          <w:tcPr>
            <w:tcW w:w="10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80" w:type="dxa"/>
            <w:vAlign w:val="bottom"/>
            <w:tcBorders>
              <w:bottom w:val="single" w:sz="8" w:color="CFF0FC"/>
            </w:tcBorders>
          </w:tcPr>
          <w:p>
            <w:pPr>
              <w:spacing w:after="0"/>
              <w:rPr>
                <w:sz w:val="19"/>
                <w:szCs w:val="19"/>
                <w:color w:val="auto"/>
              </w:rPr>
            </w:pPr>
          </w:p>
        </w:tc>
      </w:tr>
      <w:tr>
        <w:trPr>
          <w:trHeight w:val="223"/>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tax assets before valuation allowance</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Valuation allowances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(71,651)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(54,447)</w:t>
            </w: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has provided a valuation allowance for the full amount of the net deferred tax assets as the realization of the deferred tax assets is not determined to be more likely than not. The valuation allowance decreased by $5.9 million in 2017, due to the decrease in the federal tax rate, and increased by $17.2 million in 2018 due to the increase in deferred tax assets, primarily due to net operating loss carryforwards and capitalized research and development costs.</w:t>
      </w:r>
    </w:p>
    <w:p>
      <w:pPr>
        <w:spacing w:after="0" w:line="187"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As of December 31, 2018, the Company had approximately $51.7 million and $27.9 million in federal and state Net Operating Losses (“NOLs”), respectively, which begin to expire at various dates starting in 2025. As of December 31, 2018, the Company had federal and state research credits of $2.3 million and $1.4 million, respectively, which begin to expire in 2021.</w:t>
      </w:r>
    </w:p>
    <w:p>
      <w:pPr>
        <w:spacing w:after="0" w:line="181"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 Tax Cuts and Jobs Act (the “Act”) was enacted on December 22, 2017. The Act reduced the US federal corporate tax rate from 35% to 21%, required companies to pay a one-time transition tax on earnings of certain foreign subsidiaries that were previously tax deferred and creates new taxes on certain foreign sourced earnings. The only impact of the Act was the remeasurement of the Company’s deferred tax assets and liabilities, which was recorded in fiscal 2017 as a result of the reduction in U.S. corporate tax rates from 35% to 21%. The Company determined it had no accumulated unrepatriated foreign earnings, and therefore had recorded no liability for the repatriation transition tax. The Company has also completed its evaluation of and accounting for all other relevant changes resulting from the Act, and has determined that through December 31, 2018, these changes do not impact the Company’s deferred tax assets. No changes have been made to the estimates recorded in fiscal 2017. For the years ended December 31, 2017 and December 31, 2018, the Company recognized no transition tax.</w:t>
      </w:r>
    </w:p>
    <w:p>
      <w:pPr>
        <w:spacing w:after="0" w:line="179"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As a result of the Act, the Company re-measured certain deferred tax assets and liabilities based on the rates at which they are anticipated to reverse in the future, which is generally 21%. For the year end December 31, 2017, the provisional amount recorded related to the re-measurement of the deferred tax asset balance was a decrease of $28.8 million, with a corresponding reduction to the valuation allowance of $28.8 million for a net effect of $0.</w:t>
      </w:r>
    </w:p>
    <w:p>
      <w:pPr>
        <w:spacing w:after="0" w:line="14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3" w:name="page114"/>
    <w:bookmarkEnd w:id="113"/>
    <w:p>
      <w:pPr>
        <w:spacing w:after="0" w:line="293" w:lineRule="auto"/>
        <w:rPr>
          <w:sz w:val="20"/>
          <w:szCs w:val="20"/>
          <w:color w:val="auto"/>
        </w:rPr>
      </w:pPr>
      <w:r>
        <w:rPr>
          <w:rFonts w:ascii="Arial" w:cs="Arial" w:eastAsia="Arial" w:hAnsi="Arial"/>
          <w:sz w:val="16"/>
          <w:szCs w:val="16"/>
          <w:color w:val="auto"/>
        </w:rPr>
        <w:t>ownership due to sales of equity, may have limited, or may limit in the future, the amount of net operating loss carryforwards which could be used annually to offset future taxable income. The Company completed an analysis through December 31, 2017 and determined that on March 30, 2007 and August 21, 2015 ownership changes had occurred. The Company may also experience ownership changes in the future as a result of subsequent shifts in its stock ownership, some of which may be outside of the Company’s control. As a result, the Company’s ability to use its pre-change NOLs to offset U.S. federal taxable income may be subject to limitations, which could potentially result in an increased future tax liability. In addition, at the state level, there may be periods during which the use of NOLs is suspended or otherwise limited, which could accelerate or permanently increase state taxes owed.</w:t>
      </w:r>
    </w:p>
    <w:p>
      <w:pPr>
        <w:spacing w:after="0" w:line="165"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As of December 31, 2018, and 2017, the Company had uncertain tax positions of $0.2 million related to capitalized research and development costs and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2018 and 2017. The Company expects none of the unrecognized tax benefits to decrease within the next 12 months related to expired statutes or settlement with the taxing authorities. Due to the Company’s valuation allowance as of December 31, 2018, none of the Company’s unrecognized tax benefits, if recognized, would affect the effective tax rate.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benefit--beginning of year</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benefit--end of year</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Company files tax returns in the United States, Massachusetts, California, Pennsylvania, New Jersey and New York.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00" w:firstLine="598"/>
        <w:spacing w:after="0" w:line="287" w:lineRule="auto"/>
        <w:rPr>
          <w:sz w:val="20"/>
          <w:szCs w:val="20"/>
          <w:color w:val="auto"/>
        </w:rPr>
      </w:pPr>
      <w:r>
        <w:rPr>
          <w:rFonts w:ascii="Arial" w:cs="Arial" w:eastAsia="Arial" w:hAnsi="Arial"/>
          <w:sz w:val="16"/>
          <w:szCs w:val="16"/>
          <w:color w:val="auto"/>
        </w:rPr>
        <w:t>NovaMedica—In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73"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4" w:name="page115"/>
    <w:bookmarkEnd w:id="114"/>
    <w:p>
      <w:pPr>
        <w:ind w:right="60"/>
        <w:spacing w:after="0" w:line="259" w:lineRule="auto"/>
        <w:rPr>
          <w:sz w:val="20"/>
          <w:szCs w:val="20"/>
          <w:color w:val="auto"/>
        </w:rPr>
      </w:pPr>
      <w:r>
        <w:rPr>
          <w:rFonts w:ascii="Arial" w:cs="Arial" w:eastAsia="Arial" w:hAnsi="Arial"/>
          <w:sz w:val="18"/>
          <w:szCs w:val="18"/>
          <w:color w:val="auto"/>
        </w:rPr>
        <w:t>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September 2016, the Company entered into a five-year operating lease for 12,207 square feet of office space in Waltham, Massachusetts, with a lease commencement date of March 1, 2017, and an option to extend the lease term once for an additional three years. The Company also has an option to cancel the lease after three years with the termination fee consisting of $55,000. The lease has monthly lease payments of $25,000 the first 12 months with annual rent escalations thereafter and provides a rent abatement of $0.2 million for the first year. The Company recorded the lease abatement as deferred rent and will amortize these amounts on a straight-line basis as a reduction of rent expense over the lease term. The Company paid the landlord a security deposit of $0.1 million in 2016, which will be returned without interest at the end of the lease. The Company recorded the security deposit as a long-term deposit on its consolidated balance sheet.</w:t>
      </w:r>
    </w:p>
    <w:p>
      <w:pPr>
        <w:spacing w:after="0" w:line="189"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December 2015, the Company entered into a 62-month operating lease for 4,039 square feet of space in New York, New York, which commenced on January 1, 2016. The lease has monthly lease payments of $18,000 the first 12 months with an annual rent escalation each year thereafter and provides a rent abatement of $18,000 per month for the first two months. The Company recorded the lease abatement as deferred rent and will amortize these amounts on a straight-line basis as a reduction of rent expense over the lease term. In accordance with the lease, in December 2015, the Company entered into a cash-collateralized irrevocable standby letter of credit in the amount of $0.1 million naming the landlord as beneficiary.</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also leases office equipment, which is accounted for as a capital lease and included in property and equipment at cost.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annual minimum lease payments as of December 31, 2018, are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 the years ended December 31,</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569</w:t>
            </w:r>
          </w:p>
        </w:tc>
        <w:tc>
          <w:tcPr>
            <w:tcW w:w="3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 and thereafter</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3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68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40"/>
              <w:spacing w:after="0"/>
              <w:rPr>
                <w:sz w:val="20"/>
                <w:szCs w:val="20"/>
                <w:color w:val="auto"/>
              </w:rPr>
            </w:pPr>
            <w:r>
              <w:rPr>
                <w:rFonts w:ascii="Arial" w:cs="Arial" w:eastAsia="Arial" w:hAnsi="Arial"/>
                <w:sz w:val="18"/>
                <w:szCs w:val="18"/>
                <w:color w:val="auto"/>
              </w:rPr>
              <w:t>Present value of net minimum lease payments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Rent expense recognized under all operating leases, including additional rent charges for utilities, maintenance, and real estate taxes, is calculated on a straight-line basis and amounted to $0.8 million, $0.8 million and $0.4 million for the years ended December 31, 2018, 2017, and 2016, respectively.</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9"/>
              </w:rPr>
              <w:t>Years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223"/>
        </w:trPr>
        <w:tc>
          <w:tcPr>
            <w:tcW w:w="7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Interest paid</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11"/>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Activities:</w:t>
            </w:r>
          </w:p>
        </w:tc>
        <w:tc>
          <w:tcPr>
            <w:tcW w:w="6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59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15"/>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common stock warrant liability to additional paid-in</w:t>
            </w: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w:t>
            </w: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FF0FC"/>
          </w:tcPr>
          <w:p>
            <w:pPr>
              <w:spacing w:after="0"/>
              <w:rPr>
                <w:sz w:val="20"/>
                <w:szCs w:val="20"/>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Conversion of preferred stock to common stock upon closing of initial</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public offering</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328,941</w:t>
            </w:r>
          </w:p>
        </w:tc>
        <w:tc>
          <w:tcPr>
            <w:tcW w:w="120" w:type="dxa"/>
            <w:vAlign w:val="bottom"/>
          </w:tcPr>
          <w:p>
            <w:pPr>
              <w:spacing w:after="0"/>
              <w:rPr>
                <w:sz w:val="20"/>
                <w:szCs w:val="20"/>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17. Quarterly financial information (unaudited)</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table contains quarterly financial information for 2018 and 2017.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774"/>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 fees</w:t>
            </w: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(18,388</w:t>
            </w:r>
          </w:p>
        </w:tc>
        <w:tc>
          <w:tcPr>
            <w:tcW w:w="340" w:type="dxa"/>
            <w:vAlign w:val="bottom"/>
            <w:tcBorders>
              <w:bottom w:val="single" w:sz="8" w:color="CFF0F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(17,338</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(18,837</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(0.74)</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1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24,478,269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24,705,441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25,471,587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26,804,089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774"/>
              <w:spacing w:after="0" w:line="155"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License fees </w:t>
            </w:r>
            <w:r>
              <w:rPr>
                <w:rFonts w:ascii="Arial" w:cs="Arial" w:eastAsia="Arial" w:hAnsi="Arial"/>
                <w:sz w:val="15"/>
                <w:szCs w:val="15"/>
                <w:color w:val="auto"/>
              </w:rPr>
              <w:t>(1)</w:t>
            </w: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(2)</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340" w:type="dxa"/>
            <w:vAlign w:val="bottom"/>
            <w:tcBorders>
              <w:bottom w:val="single" w:sz="8" w:color="CFF0F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(19,104</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(0.47)</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1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18,231,602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19,497,581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22,239,996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23,943,241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hanging="592"/>
        <w:spacing w:after="0" w:line="211" w:lineRule="auto"/>
        <w:tabs>
          <w:tab w:leader="none" w:pos="600" w:val="left"/>
        </w:tabs>
        <w:numPr>
          <w:ilvl w:val="0"/>
          <w:numId w:val="55"/>
        </w:numPr>
        <w:rPr>
          <w:rFonts w:ascii="Arial" w:cs="Arial" w:eastAsia="Arial" w:hAnsi="Arial"/>
          <w:sz w:val="26"/>
          <w:szCs w:val="26"/>
          <w:color w:val="auto"/>
          <w:vertAlign w:val="superscript"/>
        </w:rPr>
      </w:pPr>
      <w:r>
        <w:rPr>
          <w:rFonts w:ascii="Arial" w:cs="Arial" w:eastAsia="Arial" w:hAnsi="Arial"/>
          <w:sz w:val="18"/>
          <w:szCs w:val="18"/>
          <w:color w:val="auto"/>
        </w:rPr>
        <w:t>License fees for the three months ended December 31, 2017 included $0.9 million for the partial recognition of the $5.0 million milestone received under the KHK License Agreement.</w:t>
      </w:r>
    </w:p>
    <w:p>
      <w:pPr>
        <w:spacing w:after="0" w:line="1" w:lineRule="exact"/>
        <w:rPr>
          <w:rFonts w:ascii="Arial" w:cs="Arial" w:eastAsia="Arial" w:hAnsi="Arial"/>
          <w:sz w:val="26"/>
          <w:szCs w:val="26"/>
          <w:color w:val="auto"/>
          <w:vertAlign w:val="superscript"/>
        </w:rPr>
      </w:pPr>
    </w:p>
    <w:p>
      <w:pPr>
        <w:ind w:left="600" w:right="300" w:hanging="592"/>
        <w:spacing w:after="0" w:line="217" w:lineRule="auto"/>
        <w:tabs>
          <w:tab w:leader="none" w:pos="600" w:val="left"/>
        </w:tabs>
        <w:numPr>
          <w:ilvl w:val="0"/>
          <w:numId w:val="55"/>
        </w:numPr>
        <w:rPr>
          <w:rFonts w:ascii="Arial" w:cs="Arial" w:eastAsia="Arial" w:hAnsi="Arial"/>
          <w:sz w:val="26"/>
          <w:szCs w:val="26"/>
          <w:color w:val="auto"/>
          <w:vertAlign w:val="superscript"/>
        </w:rPr>
      </w:pPr>
      <w:r>
        <w:rPr>
          <w:rFonts w:ascii="Arial" w:cs="Arial" w:eastAsia="Arial" w:hAnsi="Arial"/>
          <w:sz w:val="18"/>
          <w:szCs w:val="18"/>
          <w:color w:val="auto"/>
        </w:rPr>
        <w:t>Research and development expenses for three months ended December 31, 2017 included the $5.0 million upfront payment related to the Vitae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10547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661" w:right="459" w:bottom="1440" w:gutter="0" w:footer="0" w:header="0"/>
        </w:sectPr>
      </w:pPr>
    </w:p>
    <w:bookmarkStart w:id="117" w:name="page118"/>
    <w:bookmarkEnd w:id="117"/>
    <w:p>
      <w:pPr>
        <w:ind w:right="20" w:firstLine="17"/>
        <w:spacing w:after="0" w:line="251" w:lineRule="auto"/>
        <w:tabs>
          <w:tab w:leader="none" w:pos="330" w:val="left"/>
        </w:tabs>
        <w:numPr>
          <w:ilvl w:val="0"/>
          <w:numId w:val="56"/>
        </w:numPr>
        <w:rPr>
          <w:rFonts w:ascii="Arial" w:cs="Arial" w:eastAsia="Arial" w:hAnsi="Arial"/>
          <w:sz w:val="22"/>
          <w:szCs w:val="22"/>
          <w:color w:val="243F60"/>
        </w:rPr>
      </w:pPr>
      <w:r>
        <w:rPr>
          <w:rFonts w:ascii="Arial" w:cs="Arial" w:eastAsia="Arial" w:hAnsi="Arial"/>
          <w:sz w:val="22"/>
          <w:szCs w:val="22"/>
          <w:color w:val="243F60"/>
        </w:rPr>
        <w:t>= Certain confidential information contained in this document, marked by brackets, is filed with the Securities and Exchange Commission pursuant to Rule 24b-2 of the Securities Exchange Act of 1934, as amended.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10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CLINICAL TRIAL AGREEMENT</w:t>
      </w:r>
    </w:p>
    <w:p>
      <w:pPr>
        <w:jc w:val="center"/>
        <w:spacing w:after="0" w:line="230" w:lineRule="auto"/>
        <w:rPr>
          <w:sz w:val="20"/>
          <w:szCs w:val="20"/>
          <w:color w:val="auto"/>
        </w:rPr>
      </w:pPr>
      <w:r>
        <w:rPr>
          <w:rFonts w:ascii="Arial" w:cs="Arial" w:eastAsia="Arial" w:hAnsi="Arial"/>
          <w:sz w:val="22"/>
          <w:szCs w:val="22"/>
          <w:b w:val="1"/>
          <w:bCs w:val="1"/>
          <w:color w:val="auto"/>
        </w:rPr>
        <w:t>BETWEEN</w:t>
      </w:r>
    </w:p>
    <w:p>
      <w:pPr>
        <w:jc w:val="center"/>
        <w:spacing w:after="0" w:line="231" w:lineRule="auto"/>
        <w:rPr>
          <w:sz w:val="20"/>
          <w:szCs w:val="20"/>
          <w:color w:val="auto"/>
        </w:rPr>
      </w:pPr>
      <w:r>
        <w:rPr>
          <w:rFonts w:ascii="Arial" w:cs="Arial" w:eastAsia="Arial" w:hAnsi="Arial"/>
          <w:sz w:val="22"/>
          <w:szCs w:val="22"/>
          <w:b w:val="1"/>
          <w:bCs w:val="1"/>
          <w:color w:val="auto"/>
        </w:rPr>
        <w:t>ECOG-ACRIN CANCER RESEARCH GROUP</w:t>
      </w:r>
    </w:p>
    <w:p>
      <w:pPr>
        <w:jc w:val="center"/>
        <w:spacing w:after="0"/>
        <w:rPr>
          <w:sz w:val="20"/>
          <w:szCs w:val="20"/>
          <w:color w:val="auto"/>
        </w:rPr>
      </w:pPr>
      <w:r>
        <w:rPr>
          <w:rFonts w:ascii="Arial" w:cs="Arial" w:eastAsia="Arial" w:hAnsi="Arial"/>
          <w:sz w:val="22"/>
          <w:szCs w:val="22"/>
          <w:b w:val="1"/>
          <w:bCs w:val="1"/>
          <w:color w:val="auto"/>
        </w:rPr>
        <w:t>AND SYNDAX PHARMACEUTICALS, INC.</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Amendment No. 10 to Clinical Trial Agreement (the “Amendment” or “Amendment 10”) is entered into as of October 15, 2018 (the “Effective Date”), by and between ECOG-ACRIN Cancer Research Group, on behalf of itself and its member hospitals, institutions and physicians (the “Group,” “ECOG” or “ECOG-ACRIN”), and Syndax Pharmaceuticals, Inc. (“Company” or “Syndax”).</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33" w:lineRule="exact"/>
        <w:rPr>
          <w:sz w:val="20"/>
          <w:szCs w:val="20"/>
          <w:color w:val="auto"/>
        </w:rPr>
      </w:pPr>
    </w:p>
    <w:p>
      <w:pPr>
        <w:jc w:val="both"/>
        <w:ind w:firstLine="858"/>
        <w:spacing w:after="0" w:line="274" w:lineRule="auto"/>
        <w:rPr>
          <w:sz w:val="20"/>
          <w:szCs w:val="20"/>
          <w:color w:val="auto"/>
        </w:rPr>
      </w:pPr>
      <w:r>
        <w:rPr>
          <w:rFonts w:ascii="Arial" w:cs="Arial" w:eastAsia="Arial" w:hAnsi="Arial"/>
          <w:sz w:val="21"/>
          <w:szCs w:val="21"/>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8" w:lineRule="exact"/>
        <w:rPr>
          <w:sz w:val="20"/>
          <w:szCs w:val="20"/>
          <w:color w:val="auto"/>
        </w:rPr>
      </w:pPr>
    </w:p>
    <w:p>
      <w:pPr>
        <w:jc w:val="both"/>
        <w:ind w:firstLine="858"/>
        <w:spacing w:after="0" w:line="251" w:lineRule="auto"/>
        <w:rPr>
          <w:sz w:val="20"/>
          <w:szCs w:val="20"/>
          <w:color w:val="auto"/>
        </w:rPr>
      </w:pPr>
      <w:r>
        <w:rPr>
          <w:rFonts w:ascii="Arial" w:cs="Arial" w:eastAsia="Arial" w:hAnsi="Arial"/>
          <w:sz w:val="22"/>
          <w:szCs w:val="22"/>
          <w:color w:val="auto"/>
        </w:rPr>
        <w:t>WHEREAS, the parties agree to increase the support for the Study to offset the expenses of additional areas associated with [*] as set forth herein.</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33"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following is added to Section 1.G of the Agreement:</w:t>
      </w:r>
    </w:p>
    <w:p>
      <w:pPr>
        <w:spacing w:after="0" w:line="233" w:lineRule="exact"/>
        <w:rPr>
          <w:rFonts w:ascii="Arial" w:cs="Arial" w:eastAsia="Arial" w:hAnsi="Arial"/>
          <w:sz w:val="22"/>
          <w:szCs w:val="22"/>
          <w:color w:val="auto"/>
        </w:rPr>
      </w:pPr>
    </w:p>
    <w:p>
      <w:pPr>
        <w:ind w:left="440"/>
        <w:spacing w:after="0"/>
        <w:rPr>
          <w:rFonts w:ascii="Arial" w:cs="Arial" w:eastAsia="Arial" w:hAnsi="Arial"/>
          <w:sz w:val="22"/>
          <w:szCs w:val="22"/>
          <w:color w:val="auto"/>
        </w:rPr>
      </w:pPr>
      <w:r>
        <w:rPr>
          <w:rFonts w:ascii="Arial" w:cs="Arial" w:eastAsia="Arial" w:hAnsi="Arial"/>
          <w:sz w:val="19"/>
          <w:szCs w:val="19"/>
          <w:color w:val="auto"/>
        </w:rPr>
        <w:t>The Company will provide financial support to the Group in the amount of $177,121 to support the activities associated with</w:t>
      </w:r>
    </w:p>
    <w:p>
      <w:pPr>
        <w:spacing w:after="0" w:line="42" w:lineRule="exact"/>
        <w:rPr>
          <w:rFonts w:ascii="Arial" w:cs="Arial" w:eastAsia="Arial" w:hAnsi="Arial"/>
          <w:sz w:val="22"/>
          <w:szCs w:val="22"/>
          <w:color w:val="auto"/>
        </w:rPr>
      </w:pPr>
    </w:p>
    <w:p>
      <w:pPr>
        <w:ind w:left="440" w:hanging="3"/>
        <w:spacing w:after="0" w:line="237" w:lineRule="auto"/>
        <w:tabs>
          <w:tab w:leader="none" w:pos="755" w:val="left"/>
        </w:tabs>
        <w:numPr>
          <w:ilvl w:val="1"/>
          <w:numId w:val="57"/>
        </w:numPr>
        <w:rPr>
          <w:rFonts w:ascii="Arial" w:cs="Arial" w:eastAsia="Arial" w:hAnsi="Arial"/>
          <w:sz w:val="22"/>
          <w:szCs w:val="22"/>
          <w:color w:val="auto"/>
        </w:rPr>
      </w:pPr>
      <w:r>
        <w:rPr>
          <w:rFonts w:ascii="Arial" w:cs="Arial" w:eastAsia="Arial" w:hAnsi="Arial"/>
          <w:sz w:val="22"/>
          <w:szCs w:val="22"/>
          <w:color w:val="auto"/>
        </w:rPr>
        <w:t>for the Study as set forth in Exhibit E. The maximum financial support for the Agreement is increased from $24,654,424 by $177,121 to $24,831,545.</w:t>
      </w:r>
    </w:p>
    <w:p>
      <w:pPr>
        <w:spacing w:after="0" w:line="211" w:lineRule="exact"/>
        <w:rPr>
          <w:rFonts w:ascii="Arial" w:cs="Arial" w:eastAsia="Arial" w:hAnsi="Arial"/>
          <w:sz w:val="22"/>
          <w:szCs w:val="22"/>
          <w:color w:val="auto"/>
        </w:rPr>
      </w:pPr>
    </w:p>
    <w:p>
      <w:pPr>
        <w:ind w:left="420" w:hanging="412"/>
        <w:spacing w:after="0"/>
        <w:tabs>
          <w:tab w:leader="none" w:pos="4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Exhibit B of the Agreement is deleted in its entirety and replaced by Exhibit B attached hereto.</w:t>
      </w:r>
    </w:p>
    <w:p>
      <w:pPr>
        <w:spacing w:after="0" w:line="233" w:lineRule="exact"/>
        <w:rPr>
          <w:rFonts w:ascii="Arial" w:cs="Arial" w:eastAsia="Arial" w:hAnsi="Arial"/>
          <w:sz w:val="22"/>
          <w:szCs w:val="22"/>
          <w:color w:val="auto"/>
        </w:rPr>
      </w:pPr>
    </w:p>
    <w:p>
      <w:pPr>
        <w:ind w:left="420" w:hanging="412"/>
        <w:spacing w:after="0"/>
        <w:tabs>
          <w:tab w:leader="none" w:pos="4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Exhibit F attached hereto is hereby added as Exhibit F of the Agreement thereto.</w:t>
      </w:r>
    </w:p>
    <w:p>
      <w:pPr>
        <w:spacing w:after="0" w:line="233" w:lineRule="exact"/>
        <w:rPr>
          <w:rFonts w:ascii="Arial" w:cs="Arial" w:eastAsia="Arial" w:hAnsi="Arial"/>
          <w:sz w:val="22"/>
          <w:szCs w:val="22"/>
          <w:color w:val="auto"/>
        </w:rPr>
      </w:pPr>
    </w:p>
    <w:p>
      <w:pPr>
        <w:ind w:left="420" w:right="120" w:hanging="412"/>
        <w:spacing w:after="0" w:line="297" w:lineRule="auto"/>
        <w:tabs>
          <w:tab w:leader="none" w:pos="4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161" w:lineRule="exact"/>
        <w:rPr>
          <w:rFonts w:ascii="Arial" w:cs="Arial" w:eastAsia="Arial" w:hAnsi="Arial"/>
          <w:sz w:val="19"/>
          <w:szCs w:val="19"/>
          <w:color w:val="auto"/>
        </w:rPr>
      </w:pPr>
    </w:p>
    <w:p>
      <w:pPr>
        <w:ind w:left="420" w:hanging="412"/>
        <w:spacing w:after="0"/>
        <w:tabs>
          <w:tab w:leader="none" w:pos="42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Except to the extent amended herein, all of the terms and conditions of the Agreement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8" w:name="page119"/>
    <w:bookmarkEnd w:id="118"/>
    <w:p>
      <w:pPr>
        <w:ind w:left="420" w:hanging="412"/>
        <w:spacing w:after="0"/>
        <w:tabs>
          <w:tab w:leader="none" w:pos="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Capitalized terms herein that are not defined shall have the meaning ascribed to such terms in the Agreement.</w:t>
      </w:r>
    </w:p>
    <w:p>
      <w:pPr>
        <w:spacing w:after="0" w:line="233" w:lineRule="exact"/>
        <w:rPr>
          <w:rFonts w:ascii="Arial" w:cs="Arial" w:eastAsia="Arial" w:hAnsi="Arial"/>
          <w:sz w:val="22"/>
          <w:szCs w:val="22"/>
          <w:color w:val="auto"/>
        </w:rPr>
      </w:pPr>
    </w:p>
    <w:p>
      <w:pPr>
        <w:ind w:left="420" w:hanging="412"/>
        <w:spacing w:after="0" w:line="251" w:lineRule="auto"/>
        <w:tabs>
          <w:tab w:leader="none" w:pos="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This Amendment may be executed in one or more counterparts, each of which shall be deemed an original, but all of which shall be considered one and the same instrument.</w:t>
      </w:r>
    </w:p>
    <w:p>
      <w:pPr>
        <w:spacing w:after="0" w:line="200" w:lineRule="exact"/>
        <w:rPr>
          <w:sz w:val="20"/>
          <w:szCs w:val="20"/>
          <w:color w:val="auto"/>
        </w:rPr>
      </w:pPr>
    </w:p>
    <w:p>
      <w:pPr>
        <w:ind w:firstLine="858"/>
        <w:spacing w:after="0" w:line="251" w:lineRule="auto"/>
        <w:rPr>
          <w:sz w:val="20"/>
          <w:szCs w:val="20"/>
          <w:color w:val="auto"/>
        </w:rPr>
      </w:pPr>
      <w:r>
        <w:rPr>
          <w:rFonts w:ascii="Arial" w:cs="Arial" w:eastAsia="Arial" w:hAnsi="Arial"/>
          <w:sz w:val="22"/>
          <w:szCs w:val="22"/>
          <w:color w:val="auto"/>
        </w:rPr>
        <w:t>IN WITNESS WHEREOF, the parties hereto have executed this Amendment, as of the Effective Date, by proper persons duly authorized.</w:t>
      </w:r>
    </w:p>
    <w:p>
      <w:pPr>
        <w:spacing w:after="0" w:line="200" w:lineRule="exact"/>
        <w:rPr>
          <w:sz w:val="20"/>
          <w:szCs w:val="20"/>
          <w:color w:val="auto"/>
        </w:rPr>
      </w:pPr>
    </w:p>
    <w:p>
      <w:pPr>
        <w:spacing w:after="0"/>
        <w:tabs>
          <w:tab w:leader="none" w:pos="5700" w:val="left"/>
        </w:tabs>
        <w:rPr>
          <w:sz w:val="20"/>
          <w:szCs w:val="20"/>
          <w:color w:val="auto"/>
        </w:rPr>
      </w:pPr>
      <w:r>
        <w:rPr>
          <w:rFonts w:ascii="Arial" w:cs="Arial" w:eastAsia="Arial" w:hAnsi="Arial"/>
          <w:sz w:val="22"/>
          <w:szCs w:val="22"/>
          <w:color w:val="auto"/>
        </w:rPr>
        <w:t>ECOG-ACRIN Cancer Research Group</w:t>
      </w:r>
      <w:r>
        <w:rPr>
          <w:sz w:val="20"/>
          <w:szCs w:val="20"/>
          <w:color w:val="auto"/>
        </w:rPr>
        <w:tab/>
      </w:r>
      <w:r>
        <w:rPr>
          <w:rFonts w:ascii="Arial" w:cs="Arial" w:eastAsia="Arial" w:hAnsi="Arial"/>
          <w:sz w:val="19"/>
          <w:szCs w:val="19"/>
          <w:color w:val="auto"/>
        </w:rPr>
        <w:t>Syndax Pharmaceuticals, Inc.</w:t>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Donna Marinucci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988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Donna Marinucci</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 Luke J.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Name: Luke J. Albrecht</w:t>
      </w:r>
    </w:p>
    <w:p>
      <w:pPr>
        <w:spacing w:after="0" w:line="25" w:lineRule="exact"/>
        <w:rPr>
          <w:sz w:val="20"/>
          <w:szCs w:val="20"/>
          <w:color w:val="auto"/>
        </w:rPr>
      </w:pPr>
    </w:p>
    <w:p>
      <w:pPr>
        <w:jc w:val="center"/>
        <w:ind w:right="3600"/>
        <w:spacing w:after="0"/>
        <w:tabs>
          <w:tab w:leader="none" w:pos="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General Counsel</w:t>
      </w:r>
    </w:p>
    <w:p>
      <w:pPr>
        <w:spacing w:after="0" w:line="200" w:lineRule="exact"/>
        <w:rPr>
          <w:sz w:val="20"/>
          <w:szCs w:val="20"/>
          <w:color w:val="auto"/>
        </w:rPr>
      </w:pPr>
    </w:p>
    <w:p>
      <w:pPr>
        <w:sectPr>
          <w:pgSz w:w="11900" w:h="16838" w:orient="portrait"/>
          <w:cols w:equalWidth="0" w:num="2">
            <w:col w:w="5000" w:space="720"/>
            <w:col w:w="5700"/>
          </w:cols>
          <w:pgMar w:left="240" w:top="36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19" w:name="page120"/>
    <w:bookmarkEnd w:id="119"/>
    <w:p>
      <w:pPr>
        <w:jc w:val="center"/>
        <w:ind w:right="-311"/>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311"/>
        <w:spacing w:after="0"/>
        <w:rPr>
          <w:sz w:val="20"/>
          <w:szCs w:val="20"/>
          <w:color w:val="auto"/>
        </w:rPr>
      </w:pPr>
      <w:r>
        <w:rPr>
          <w:rFonts w:ascii="Arial" w:cs="Arial" w:eastAsia="Arial" w:hAnsi="Arial"/>
          <w:sz w:val="22"/>
          <w:szCs w:val="22"/>
          <w:b w:val="1"/>
          <w:bCs w:val="1"/>
          <w:u w:val="single" w:color="auto"/>
          <w:color w:val="auto"/>
        </w:rPr>
        <w:t>E2112 Budget &amp; Payment Schedule</w:t>
      </w:r>
    </w:p>
    <w:p>
      <w:pPr>
        <w:spacing w:after="0" w:line="233" w:lineRule="exact"/>
        <w:rPr>
          <w:sz w:val="20"/>
          <w:szCs w:val="20"/>
          <w:color w:val="auto"/>
        </w:rPr>
      </w:pPr>
    </w:p>
    <w:p>
      <w:pPr>
        <w:ind w:left="952" w:hanging="857"/>
        <w:spacing w:after="0"/>
        <w:tabs>
          <w:tab w:leader="none" w:pos="952" w:val="left"/>
        </w:tabs>
        <w:numPr>
          <w:ilvl w:val="0"/>
          <w:numId w:val="59"/>
        </w:numPr>
        <w:rPr>
          <w:rFonts w:ascii="Arial" w:cs="Arial" w:eastAsia="Arial" w:hAnsi="Arial"/>
          <w:sz w:val="20"/>
          <w:szCs w:val="20"/>
          <w:b w:val="1"/>
          <w:bCs w:val="1"/>
          <w:color w:val="auto"/>
        </w:rPr>
      </w:pPr>
      <w:r>
        <w:rPr>
          <w:rFonts w:ascii="Arial" w:cs="Arial" w:eastAsia="Arial" w:hAnsi="Arial"/>
          <w:sz w:val="22"/>
          <w:szCs w:val="22"/>
          <w:b w:val="1"/>
          <w:bCs w:val="1"/>
          <w:color w:val="auto"/>
        </w:rPr>
        <w:t>Budget Details</w:t>
      </w:r>
    </w:p>
    <w:p>
      <w:pPr>
        <w:spacing w:after="0" w:line="239" w:lineRule="exact"/>
        <w:rPr>
          <w:sz w:val="20"/>
          <w:szCs w:val="20"/>
          <w:color w:val="auto"/>
        </w:rPr>
      </w:pPr>
    </w:p>
    <w:p>
      <w:pPr>
        <w:ind w:left="952" w:hanging="857"/>
        <w:spacing w:after="0"/>
        <w:tabs>
          <w:tab w:leader="none" w:pos="952" w:val="left"/>
        </w:tabs>
        <w:numPr>
          <w:ilvl w:val="0"/>
          <w:numId w:val="60"/>
        </w:numPr>
        <w:rPr>
          <w:rFonts w:ascii="Arial" w:cs="Arial" w:eastAsia="Arial" w:hAnsi="Arial"/>
          <w:sz w:val="20"/>
          <w:szCs w:val="20"/>
          <w:color w:val="auto"/>
        </w:rPr>
      </w:pPr>
      <w:r>
        <w:rPr>
          <w:rFonts w:ascii="Arial" w:cs="Arial" w:eastAsia="Arial" w:hAnsi="Arial"/>
          <w:sz w:val="22"/>
          <w:szCs w:val="22"/>
          <w:color w:val="auto"/>
        </w:rPr>
        <w:t>Budget – Excluding Amendments</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this project is $19,406,948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952" w:hanging="857"/>
        <w:spacing w:after="0"/>
        <w:tabs>
          <w:tab w:leader="none" w:pos="952" w:val="left"/>
        </w:tabs>
        <w:numPr>
          <w:ilvl w:val="0"/>
          <w:numId w:val="61"/>
        </w:numPr>
        <w:rPr>
          <w:rFonts w:ascii="Arial" w:cs="Arial" w:eastAsia="Arial" w:hAnsi="Arial"/>
          <w:sz w:val="20"/>
          <w:szCs w:val="20"/>
          <w:color w:val="auto"/>
        </w:rPr>
      </w:pPr>
      <w:r>
        <w:rPr>
          <w:rFonts w:ascii="Arial" w:cs="Arial" w:eastAsia="Arial" w:hAnsi="Arial"/>
          <w:sz w:val="22"/>
          <w:szCs w:val="22"/>
          <w:color w:val="auto"/>
        </w:rPr>
        <w:t>Budget – Amendment 1</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1 is $1,200,000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952" w:hanging="857"/>
        <w:spacing w:after="0"/>
        <w:tabs>
          <w:tab w:leader="none" w:pos="952" w:val="left"/>
        </w:tabs>
        <w:numPr>
          <w:ilvl w:val="0"/>
          <w:numId w:val="62"/>
        </w:numPr>
        <w:rPr>
          <w:rFonts w:ascii="Arial" w:cs="Arial" w:eastAsia="Arial" w:hAnsi="Arial"/>
          <w:sz w:val="20"/>
          <w:szCs w:val="20"/>
          <w:color w:val="auto"/>
        </w:rPr>
      </w:pPr>
      <w:r>
        <w:rPr>
          <w:rFonts w:ascii="Arial" w:cs="Arial" w:eastAsia="Arial" w:hAnsi="Arial"/>
          <w:sz w:val="22"/>
          <w:szCs w:val="22"/>
          <w:color w:val="auto"/>
        </w:rPr>
        <w:t>Budget – Amendment 3</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3 ([*] Support) is $450,000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952" w:hanging="857"/>
        <w:spacing w:after="0"/>
        <w:tabs>
          <w:tab w:leader="none" w:pos="952" w:val="left"/>
        </w:tabs>
        <w:numPr>
          <w:ilvl w:val="0"/>
          <w:numId w:val="63"/>
        </w:numPr>
        <w:rPr>
          <w:rFonts w:ascii="Arial" w:cs="Arial" w:eastAsia="Arial" w:hAnsi="Arial"/>
          <w:sz w:val="20"/>
          <w:szCs w:val="20"/>
          <w:color w:val="auto"/>
        </w:rPr>
      </w:pPr>
      <w:r>
        <w:rPr>
          <w:rFonts w:ascii="Arial" w:cs="Arial" w:eastAsia="Arial" w:hAnsi="Arial"/>
          <w:sz w:val="22"/>
          <w:szCs w:val="22"/>
          <w:color w:val="auto"/>
        </w:rPr>
        <w:t>Budget – Amendment 4</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4 ([*]) is $7,908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952" w:hanging="857"/>
        <w:spacing w:after="0"/>
        <w:tabs>
          <w:tab w:leader="none" w:pos="952" w:val="left"/>
        </w:tabs>
        <w:numPr>
          <w:ilvl w:val="0"/>
          <w:numId w:val="64"/>
        </w:numPr>
        <w:rPr>
          <w:rFonts w:ascii="Arial" w:cs="Arial" w:eastAsia="Arial" w:hAnsi="Arial"/>
          <w:sz w:val="20"/>
          <w:szCs w:val="20"/>
          <w:color w:val="auto"/>
        </w:rPr>
      </w:pPr>
      <w:r>
        <w:rPr>
          <w:rFonts w:ascii="Arial" w:cs="Arial" w:eastAsia="Arial" w:hAnsi="Arial"/>
          <w:sz w:val="22"/>
          <w:szCs w:val="22"/>
          <w:color w:val="auto"/>
        </w:rPr>
        <w:t>Budget – Amendment 5</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5 is $30,121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192"/>
        <w:spacing w:after="0"/>
        <w:rPr>
          <w:sz w:val="20"/>
          <w:szCs w:val="20"/>
          <w:color w:val="auto"/>
        </w:rPr>
      </w:pPr>
      <w:r>
        <w:rPr>
          <w:rFonts w:ascii="Arial" w:cs="Arial" w:eastAsia="Arial" w:hAnsi="Arial"/>
          <w:sz w:val="22"/>
          <w:szCs w:val="22"/>
          <w:color w:val="auto"/>
        </w:rPr>
        <w:t>Statistical services being provided through Amendment 5 is limited to [*] of [*] services plus [*] of Group [*].</w:t>
      </w:r>
    </w:p>
    <w:p>
      <w:pPr>
        <w:spacing w:after="0" w:line="233" w:lineRule="exact"/>
        <w:rPr>
          <w:sz w:val="20"/>
          <w:szCs w:val="20"/>
          <w:color w:val="auto"/>
        </w:rPr>
      </w:pPr>
    </w:p>
    <w:p>
      <w:pPr>
        <w:ind w:left="952" w:hanging="857"/>
        <w:spacing w:after="0"/>
        <w:tabs>
          <w:tab w:leader="none" w:pos="952" w:val="left"/>
        </w:tabs>
        <w:numPr>
          <w:ilvl w:val="0"/>
          <w:numId w:val="65"/>
        </w:numPr>
        <w:rPr>
          <w:rFonts w:ascii="Arial" w:cs="Arial" w:eastAsia="Arial" w:hAnsi="Arial"/>
          <w:sz w:val="20"/>
          <w:szCs w:val="20"/>
          <w:color w:val="auto"/>
        </w:rPr>
      </w:pPr>
      <w:r>
        <w:rPr>
          <w:rFonts w:ascii="Arial" w:cs="Arial" w:eastAsia="Arial" w:hAnsi="Arial"/>
          <w:sz w:val="22"/>
          <w:szCs w:val="22"/>
          <w:color w:val="auto"/>
        </w:rPr>
        <w:t>Budget – Amendment 6</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6 is $287,438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952" w:hanging="857"/>
        <w:spacing w:after="0"/>
        <w:tabs>
          <w:tab w:leader="none" w:pos="952" w:val="left"/>
        </w:tabs>
        <w:numPr>
          <w:ilvl w:val="0"/>
          <w:numId w:val="66"/>
        </w:numPr>
        <w:rPr>
          <w:rFonts w:ascii="Arial" w:cs="Arial" w:eastAsia="Arial" w:hAnsi="Arial"/>
          <w:sz w:val="20"/>
          <w:szCs w:val="20"/>
          <w:color w:val="auto"/>
        </w:rPr>
      </w:pPr>
      <w:r>
        <w:rPr>
          <w:rFonts w:ascii="Arial" w:cs="Arial" w:eastAsia="Arial" w:hAnsi="Arial"/>
          <w:sz w:val="22"/>
          <w:szCs w:val="22"/>
          <w:color w:val="auto"/>
        </w:rPr>
        <w:t>Budget – Amendment 7</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7 is $484,091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 w:firstLine="8"/>
        <w:spacing w:after="0" w:line="239" w:lineRule="auto"/>
        <w:tabs>
          <w:tab w:leader="none" w:pos="29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jc w:val="center"/>
        <w:ind w:right="-3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571" w:right="539" w:bottom="1440" w:gutter="0" w:footer="0" w:header="0"/>
        </w:sectPr>
      </w:pPr>
    </w:p>
    <w:bookmarkStart w:id="120" w:name="page121"/>
    <w:bookmarkEnd w:id="120"/>
    <w:p>
      <w:pPr>
        <w:ind w:left="952" w:hanging="857"/>
        <w:spacing w:after="0"/>
        <w:tabs>
          <w:tab w:leader="none" w:pos="952" w:val="left"/>
        </w:tabs>
        <w:numPr>
          <w:ilvl w:val="0"/>
          <w:numId w:val="68"/>
        </w:numPr>
        <w:rPr>
          <w:rFonts w:ascii="Arial" w:cs="Arial" w:eastAsia="Arial" w:hAnsi="Arial"/>
          <w:sz w:val="20"/>
          <w:szCs w:val="20"/>
          <w:color w:val="auto"/>
        </w:rPr>
      </w:pPr>
      <w:r>
        <w:rPr>
          <w:rFonts w:ascii="Arial" w:cs="Arial" w:eastAsia="Arial" w:hAnsi="Arial"/>
          <w:sz w:val="22"/>
          <w:szCs w:val="22"/>
          <w:color w:val="auto"/>
        </w:rPr>
        <w:t>Budget – Amendment 8</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8 is $1,582,064 which is itemized as follows:</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952" w:hanging="857"/>
        <w:spacing w:after="0"/>
        <w:tabs>
          <w:tab w:leader="none" w:pos="952" w:val="left"/>
        </w:tabs>
        <w:numPr>
          <w:ilvl w:val="0"/>
          <w:numId w:val="69"/>
        </w:numPr>
        <w:rPr>
          <w:rFonts w:ascii="Arial" w:cs="Arial" w:eastAsia="Arial" w:hAnsi="Arial"/>
          <w:sz w:val="22"/>
          <w:szCs w:val="22"/>
          <w:color w:val="auto"/>
        </w:rPr>
      </w:pPr>
      <w:r>
        <w:rPr>
          <w:rFonts w:ascii="Arial" w:cs="Arial" w:eastAsia="Arial" w:hAnsi="Arial"/>
          <w:sz w:val="22"/>
          <w:szCs w:val="22"/>
          <w:color w:val="auto"/>
        </w:rPr>
        <w:t>Budget – Amendment 9</w:t>
      </w:r>
    </w:p>
    <w:p>
      <w:pPr>
        <w:spacing w:after="0" w:line="233" w:lineRule="exact"/>
        <w:rPr>
          <w:rFonts w:ascii="Arial" w:cs="Arial" w:eastAsia="Arial" w:hAnsi="Arial"/>
          <w:sz w:val="22"/>
          <w:szCs w:val="22"/>
          <w:color w:val="auto"/>
        </w:rPr>
      </w:pPr>
    </w:p>
    <w:p>
      <w:pPr>
        <w:ind w:left="192"/>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52" w:hanging="857"/>
        <w:spacing w:after="0"/>
        <w:tabs>
          <w:tab w:leader="none" w:pos="952" w:val="left"/>
        </w:tabs>
        <w:numPr>
          <w:ilvl w:val="0"/>
          <w:numId w:val="69"/>
        </w:numPr>
        <w:rPr>
          <w:rFonts w:ascii="Arial" w:cs="Arial" w:eastAsia="Arial" w:hAnsi="Arial"/>
          <w:sz w:val="22"/>
          <w:szCs w:val="22"/>
          <w:color w:val="auto"/>
        </w:rPr>
      </w:pPr>
      <w:r>
        <w:rPr>
          <w:rFonts w:ascii="Arial" w:cs="Arial" w:eastAsia="Arial" w:hAnsi="Arial"/>
          <w:sz w:val="22"/>
          <w:szCs w:val="22"/>
          <w:color w:val="auto"/>
        </w:rPr>
        <w:t>Budget – Amendment 10</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2"/>
          <w:szCs w:val="22"/>
          <w:color w:val="auto"/>
        </w:rPr>
        <w:t>The budget for Amendment 10 is $177,121 which is to pay for [*] provided by [*].</w:t>
      </w:r>
    </w:p>
    <w:p>
      <w:pPr>
        <w:spacing w:after="0" w:line="233" w:lineRule="exact"/>
        <w:rPr>
          <w:sz w:val="20"/>
          <w:szCs w:val="20"/>
          <w:color w:val="auto"/>
        </w:rPr>
      </w:pPr>
    </w:p>
    <w:p>
      <w:pPr>
        <w:ind w:left="952" w:hanging="857"/>
        <w:spacing w:after="0"/>
        <w:tabs>
          <w:tab w:leader="none" w:pos="952"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Invoicing and Payments</w:t>
      </w:r>
    </w:p>
    <w:p>
      <w:pPr>
        <w:spacing w:after="0" w:line="233" w:lineRule="exact"/>
        <w:rPr>
          <w:sz w:val="20"/>
          <w:szCs w:val="20"/>
          <w:color w:val="auto"/>
        </w:rPr>
      </w:pPr>
    </w:p>
    <w:p>
      <w:pPr>
        <w:ind w:left="192"/>
        <w:spacing w:after="0"/>
        <w:rPr>
          <w:sz w:val="20"/>
          <w:szCs w:val="20"/>
          <w:color w:val="auto"/>
        </w:rPr>
      </w:pPr>
      <w:r>
        <w:rPr>
          <w:rFonts w:ascii="Arial" w:cs="Arial" w:eastAsia="Arial" w:hAnsi="Arial"/>
          <w:sz w:val="21"/>
          <w:szCs w:val="21"/>
          <w:color w:val="auto"/>
        </w:rPr>
        <w:t>Company will make payments within [ *] of receipt of invoices from Group according to the Payment Schedule herein.</w:t>
      </w:r>
    </w:p>
    <w:p>
      <w:pPr>
        <w:spacing w:after="0" w:line="20" w:lineRule="exact"/>
        <w:rPr>
          <w:sz w:val="20"/>
          <w:szCs w:val="20"/>
          <w:color w:val="auto"/>
        </w:rPr>
      </w:pPr>
    </w:p>
    <w:p>
      <w:pPr>
        <w:ind w:left="192"/>
        <w:spacing w:after="0"/>
        <w:rPr>
          <w:sz w:val="20"/>
          <w:szCs w:val="20"/>
          <w:color w:val="auto"/>
        </w:rPr>
      </w:pPr>
      <w:r>
        <w:rPr>
          <w:rFonts w:ascii="Arial" w:cs="Arial" w:eastAsia="Arial" w:hAnsi="Arial"/>
          <w:sz w:val="22"/>
          <w:szCs w:val="22"/>
          <w:color w:val="auto"/>
        </w:rPr>
        <w:t>Payments will be made to as set forth in Section 1.B of the Agreement as follows:</w:t>
      </w:r>
    </w:p>
    <w:p>
      <w:pPr>
        <w:spacing w:after="0" w:line="215" w:lineRule="exact"/>
        <w:rPr>
          <w:sz w:val="20"/>
          <w:szCs w:val="20"/>
          <w:color w:val="auto"/>
        </w:rPr>
      </w:pPr>
    </w:p>
    <w:p>
      <w:pPr>
        <w:ind w:left="1912"/>
        <w:spacing w:after="0"/>
        <w:rPr>
          <w:sz w:val="20"/>
          <w:szCs w:val="20"/>
          <w:color w:val="auto"/>
        </w:rPr>
      </w:pPr>
      <w:r>
        <w:rPr>
          <w:rFonts w:ascii="Arial" w:cs="Arial" w:eastAsia="Arial" w:hAnsi="Arial"/>
          <w:sz w:val="22"/>
          <w:szCs w:val="22"/>
          <w:color w:val="auto"/>
        </w:rPr>
        <w:t>ECOG Research and Education Foundation, Inc.</w:t>
      </w:r>
    </w:p>
    <w:p>
      <w:pPr>
        <w:ind w:left="1912"/>
        <w:spacing w:after="0" w:line="238" w:lineRule="auto"/>
        <w:rPr>
          <w:sz w:val="20"/>
          <w:szCs w:val="20"/>
          <w:color w:val="auto"/>
        </w:rPr>
      </w:pPr>
      <w:r>
        <w:rPr>
          <w:rFonts w:ascii="Arial" w:cs="Arial" w:eastAsia="Arial" w:hAnsi="Arial"/>
          <w:sz w:val="22"/>
          <w:szCs w:val="22"/>
          <w:color w:val="auto"/>
        </w:rPr>
        <w:t>Agent for ECOG-ACRIN Cancer Research Group</w:t>
      </w:r>
    </w:p>
    <w:p>
      <w:pPr>
        <w:ind w:left="1912"/>
        <w:spacing w:after="0" w:line="230" w:lineRule="auto"/>
        <w:rPr>
          <w:sz w:val="20"/>
          <w:szCs w:val="20"/>
          <w:color w:val="auto"/>
        </w:rPr>
      </w:pPr>
      <w:r>
        <w:rPr>
          <w:rFonts w:ascii="Arial" w:cs="Arial" w:eastAsia="Arial" w:hAnsi="Arial"/>
          <w:sz w:val="22"/>
          <w:szCs w:val="22"/>
          <w:color w:val="auto"/>
        </w:rPr>
        <w:t>Attn: Donna Marinucci</w:t>
      </w:r>
    </w:p>
    <w:p>
      <w:pPr>
        <w:ind w:left="1912"/>
        <w:spacing w:after="0" w:line="231" w:lineRule="auto"/>
        <w:rPr>
          <w:sz w:val="20"/>
          <w:szCs w:val="20"/>
          <w:color w:val="auto"/>
        </w:rPr>
      </w:pPr>
      <w:r>
        <w:rPr>
          <w:rFonts w:ascii="Arial" w:cs="Arial" w:eastAsia="Arial" w:hAnsi="Arial"/>
          <w:sz w:val="22"/>
          <w:szCs w:val="22"/>
          <w:color w:val="auto"/>
        </w:rPr>
        <w:t>1818 Market Street, Suite 3000</w:t>
      </w:r>
    </w:p>
    <w:p>
      <w:pPr>
        <w:spacing w:after="0" w:line="1" w:lineRule="exact"/>
        <w:rPr>
          <w:sz w:val="20"/>
          <w:szCs w:val="20"/>
          <w:color w:val="auto"/>
        </w:rPr>
      </w:pPr>
    </w:p>
    <w:p>
      <w:pPr>
        <w:ind w:left="1912"/>
        <w:spacing w:after="0"/>
        <w:rPr>
          <w:sz w:val="20"/>
          <w:szCs w:val="20"/>
          <w:color w:val="auto"/>
        </w:rPr>
      </w:pPr>
      <w:r>
        <w:rPr>
          <w:rFonts w:ascii="Arial" w:cs="Arial" w:eastAsia="Arial" w:hAnsi="Arial"/>
          <w:sz w:val="22"/>
          <w:szCs w:val="22"/>
          <w:color w:val="auto"/>
        </w:rPr>
        <w:t>Philadelphia, PA 19103</w:t>
      </w:r>
    </w:p>
    <w:p>
      <w:pPr>
        <w:spacing w:after="0" w:line="18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send invoices to the following address:</w:t>
      </w:r>
    </w:p>
    <w:p>
      <w:pPr>
        <w:spacing w:after="0" w:line="206" w:lineRule="exact"/>
        <w:rPr>
          <w:sz w:val="20"/>
          <w:szCs w:val="20"/>
          <w:color w:val="auto"/>
        </w:rPr>
      </w:pPr>
    </w:p>
    <w:p>
      <w:pPr>
        <w:ind w:left="1912"/>
        <w:spacing w:after="0"/>
        <w:rPr>
          <w:sz w:val="20"/>
          <w:szCs w:val="20"/>
          <w:color w:val="auto"/>
        </w:rPr>
      </w:pPr>
      <w:r>
        <w:rPr>
          <w:rFonts w:ascii="Arial" w:cs="Arial" w:eastAsia="Arial" w:hAnsi="Arial"/>
          <w:sz w:val="22"/>
          <w:szCs w:val="22"/>
          <w:color w:val="auto"/>
        </w:rPr>
        <w:t>Jeannette Hasapidis</w:t>
      </w:r>
    </w:p>
    <w:p>
      <w:pPr>
        <w:ind w:left="1912"/>
        <w:spacing w:after="0" w:line="238" w:lineRule="auto"/>
        <w:rPr>
          <w:sz w:val="20"/>
          <w:szCs w:val="20"/>
          <w:color w:val="auto"/>
        </w:rPr>
      </w:pPr>
      <w:r>
        <w:rPr>
          <w:rFonts w:ascii="Arial" w:cs="Arial" w:eastAsia="Arial" w:hAnsi="Arial"/>
          <w:sz w:val="22"/>
          <w:szCs w:val="22"/>
          <w:color w:val="auto"/>
        </w:rPr>
        <w:t>VP, Program Management</w:t>
      </w:r>
    </w:p>
    <w:p>
      <w:pPr>
        <w:ind w:left="1912"/>
        <w:spacing w:after="0" w:line="230" w:lineRule="auto"/>
        <w:rPr>
          <w:sz w:val="20"/>
          <w:szCs w:val="20"/>
          <w:color w:val="auto"/>
        </w:rPr>
      </w:pPr>
      <w:r>
        <w:rPr>
          <w:rFonts w:ascii="Arial" w:cs="Arial" w:eastAsia="Arial" w:hAnsi="Arial"/>
          <w:sz w:val="22"/>
          <w:szCs w:val="22"/>
          <w:color w:val="auto"/>
        </w:rPr>
        <w:t>Syndax Pharmaceuticals, Inc.</w:t>
      </w:r>
    </w:p>
    <w:p>
      <w:pPr>
        <w:ind w:left="1912"/>
        <w:spacing w:after="0" w:line="231" w:lineRule="auto"/>
        <w:rPr>
          <w:sz w:val="20"/>
          <w:szCs w:val="20"/>
          <w:color w:val="auto"/>
        </w:rPr>
      </w:pPr>
      <w:r>
        <w:rPr>
          <w:rFonts w:ascii="Arial" w:cs="Arial" w:eastAsia="Arial" w:hAnsi="Arial"/>
          <w:sz w:val="22"/>
          <w:szCs w:val="22"/>
          <w:color w:val="auto"/>
        </w:rPr>
        <w:t>35 Gatehouse Drive, Building D, 3</w:t>
      </w:r>
      <w:r>
        <w:rPr>
          <w:rFonts w:ascii="Arial" w:cs="Arial" w:eastAsia="Arial" w:hAnsi="Arial"/>
          <w:sz w:val="18"/>
          <w:szCs w:val="18"/>
          <w:color w:val="auto"/>
        </w:rPr>
        <w:t>rd</w:t>
      </w:r>
      <w:r>
        <w:rPr>
          <w:rFonts w:ascii="Arial" w:cs="Arial" w:eastAsia="Arial" w:hAnsi="Arial"/>
          <w:sz w:val="22"/>
          <w:szCs w:val="22"/>
          <w:color w:val="auto"/>
        </w:rPr>
        <w:t xml:space="preserve"> Flr</w:t>
      </w:r>
    </w:p>
    <w:p>
      <w:pPr>
        <w:spacing w:after="0" w:line="1" w:lineRule="exact"/>
        <w:rPr>
          <w:sz w:val="20"/>
          <w:szCs w:val="20"/>
          <w:color w:val="auto"/>
        </w:rPr>
      </w:pPr>
    </w:p>
    <w:p>
      <w:pPr>
        <w:ind w:left="1912"/>
        <w:spacing w:after="0"/>
        <w:rPr>
          <w:sz w:val="20"/>
          <w:szCs w:val="20"/>
          <w:color w:val="auto"/>
        </w:rPr>
      </w:pPr>
      <w:r>
        <w:rPr>
          <w:rFonts w:ascii="Arial" w:cs="Arial" w:eastAsia="Arial" w:hAnsi="Arial"/>
          <w:sz w:val="22"/>
          <w:szCs w:val="22"/>
          <w:color w:val="auto"/>
        </w:rPr>
        <w:t>Waltham, MA 02451</w:t>
      </w:r>
    </w:p>
    <w:p>
      <w:pPr>
        <w:spacing w:after="0" w:line="209" w:lineRule="exact"/>
        <w:rPr>
          <w:sz w:val="20"/>
          <w:szCs w:val="20"/>
          <w:color w:val="auto"/>
        </w:rPr>
      </w:pPr>
    </w:p>
    <w:p>
      <w:pPr>
        <w:ind w:left="952" w:hanging="857"/>
        <w:spacing w:after="0"/>
        <w:tabs>
          <w:tab w:leader="none" w:pos="952" w:val="left"/>
        </w:tabs>
        <w:numPr>
          <w:ilvl w:val="0"/>
          <w:numId w:val="71"/>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Excluding Amendments</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2"/>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1</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1"/>
          <w:numId w:val="73"/>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3 ([*])</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71" w:lineRule="exact"/>
        <w:rPr>
          <w:rFonts w:ascii="Arial" w:cs="Arial" w:eastAsia="Arial" w:hAnsi="Arial"/>
          <w:sz w:val="20"/>
          <w:szCs w:val="20"/>
          <w:b w:val="1"/>
          <w:bCs w:val="1"/>
          <w:color w:val="auto"/>
        </w:rPr>
      </w:pPr>
    </w:p>
    <w:p>
      <w:pPr>
        <w:ind w:left="-8" w:right="300" w:firstLine="8"/>
        <w:spacing w:after="0" w:line="239" w:lineRule="auto"/>
        <w:tabs>
          <w:tab w:leader="none" w:pos="298" w:val="left"/>
        </w:tabs>
        <w:numPr>
          <w:ilvl w:val="0"/>
          <w:numId w:val="73"/>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121" w:name="page122"/>
    <w:bookmarkEnd w:id="121"/>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4"/>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4</w:t>
      </w:r>
    </w:p>
    <w:p>
      <w:pPr>
        <w:spacing w:after="0" w:line="104"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5"/>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5</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6"/>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6</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7"/>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7</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8"/>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8</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79"/>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9</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952" w:hanging="857"/>
        <w:spacing w:after="0"/>
        <w:tabs>
          <w:tab w:leader="none" w:pos="952" w:val="left"/>
        </w:tabs>
        <w:numPr>
          <w:ilvl w:val="0"/>
          <w:numId w:val="80"/>
        </w:numPr>
        <w:rPr>
          <w:rFonts w:ascii="Arial" w:cs="Arial" w:eastAsia="Arial" w:hAnsi="Arial"/>
          <w:sz w:val="20"/>
          <w:szCs w:val="20"/>
          <w:b w:val="1"/>
          <w:bCs w:val="1"/>
          <w:color w:val="auto"/>
        </w:rPr>
      </w:pPr>
      <w:r>
        <w:rPr>
          <w:rFonts w:ascii="Arial" w:cs="Arial" w:eastAsia="Arial" w:hAnsi="Arial"/>
          <w:sz w:val="22"/>
          <w:szCs w:val="22"/>
          <w:b w:val="1"/>
          <w:bCs w:val="1"/>
          <w:color w:val="auto"/>
        </w:rPr>
        <w:t>Payment Schedule – Amendment 10</w:t>
      </w:r>
    </w:p>
    <w:p>
      <w:pPr>
        <w:spacing w:after="0" w:line="239" w:lineRule="exact"/>
        <w:rPr>
          <w:sz w:val="20"/>
          <w:szCs w:val="20"/>
          <w:color w:val="auto"/>
        </w:rPr>
      </w:pPr>
    </w:p>
    <w:p>
      <w:pPr>
        <w:ind w:left="192"/>
        <w:spacing w:after="0"/>
        <w:rPr>
          <w:sz w:val="20"/>
          <w:szCs w:val="20"/>
          <w:color w:val="auto"/>
        </w:rPr>
      </w:pPr>
      <w:r>
        <w:rPr>
          <w:rFonts w:ascii="Arial" w:cs="Arial" w:eastAsia="Arial" w:hAnsi="Arial"/>
          <w:sz w:val="22"/>
          <w:szCs w:val="22"/>
          <w:color w:val="auto"/>
        </w:rPr>
        <w:t>Group will submit invoices to Company in accordance with the following Payment Schedule:</w:t>
      </w:r>
    </w:p>
    <w:p>
      <w:pPr>
        <w:spacing w:after="0" w:line="8" w:lineRule="exact"/>
        <w:rPr>
          <w:sz w:val="20"/>
          <w:szCs w:val="20"/>
          <w:color w:val="auto"/>
        </w:rPr>
      </w:pPr>
    </w:p>
    <w:p>
      <w:pPr>
        <w:ind w:left="19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firstLine="8"/>
        <w:spacing w:after="0" w:line="239" w:lineRule="auto"/>
        <w:tabs>
          <w:tab w:leader="none" w:pos="298" w:val="left"/>
        </w:tabs>
        <w:numPr>
          <w:ilvl w:val="0"/>
          <w:numId w:val="81"/>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jc w:val="center"/>
        <w:ind w:right="-3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361" w:right="539" w:bottom="1440" w:gutter="0" w:footer="0" w:header="0"/>
        </w:sectPr>
      </w:pPr>
    </w:p>
    <w:bookmarkStart w:id="122" w:name="page123"/>
    <w:bookmarkEnd w:id="122"/>
    <w:p>
      <w:pPr>
        <w:jc w:val="center"/>
        <w:ind w:right="-179"/>
        <w:spacing w:after="0"/>
        <w:rPr>
          <w:sz w:val="20"/>
          <w:szCs w:val="20"/>
          <w:color w:val="auto"/>
        </w:rPr>
      </w:pPr>
      <w:r>
        <w:rPr>
          <w:rFonts w:ascii="Arial" w:cs="Arial" w:eastAsia="Arial" w:hAnsi="Arial"/>
          <w:sz w:val="22"/>
          <w:szCs w:val="22"/>
          <w:b w:val="1"/>
          <w:bCs w:val="1"/>
          <w:color w:val="auto"/>
        </w:rPr>
        <w:t>EXHIBIT F</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E2112 Scope of Work – Amendment 10</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Protocol Title: </w:t>
      </w:r>
      <w:r>
        <w:rPr>
          <w:rFonts w:ascii="Arial" w:cs="Arial" w:eastAsia="Arial" w:hAnsi="Arial"/>
          <w:sz w:val="22"/>
          <w:szCs w:val="22"/>
          <w:color w:val="auto"/>
        </w:rPr>
        <w:t>A Randomized Phase III Trial of Endocrine Therapy plus Entinostat/Placebo in Patients with Hormone Receptor-Positive Advanced Breast Cancer</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right="120" w:firstLine="8"/>
        <w:spacing w:after="0" w:line="239" w:lineRule="auto"/>
        <w:tabs>
          <w:tab w:leader="none" w:pos="306" w:val="left"/>
        </w:tabs>
        <w:numPr>
          <w:ilvl w:val="0"/>
          <w:numId w:val="82"/>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jc w:val="center"/>
        <w:ind w:right="-1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240" w:top="355" w:right="4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333-210412, 333-220172 and 333-226678 on Form S-8 and Registration Statement No. 333-217172 on Form S-3 of our report dated March 7, 2019, relating to the financial statements of Syndax Pharmaceuticals, Inc. appearing in this Annual Report on Form 10-K of Syndax Pharmaceuticals, Inc.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117" w:lineRule="exact"/>
        <w:rPr>
          <w:sz w:val="20"/>
          <w:szCs w:val="20"/>
          <w:color w:val="auto"/>
        </w:rPr>
      </w:pPr>
    </w:p>
    <w:p>
      <w:pPr>
        <w:ind w:left="780" w:hanging="174"/>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60" w:firstLine="606"/>
        <w:spacing w:after="0" w:line="277" w:lineRule="auto"/>
        <w:tabs>
          <w:tab w:leader="none" w:pos="7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0"/>
        <w:spacing w:after="0" w:line="342" w:lineRule="auto"/>
        <w:tabs>
          <w:tab w:leader="none" w:pos="1411"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0"/>
        <w:spacing w:after="0" w:line="264" w:lineRule="auto"/>
        <w:tabs>
          <w:tab w:leader="none" w:pos="142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606"/>
        <w:spacing w:after="0" w:line="308" w:lineRule="auto"/>
        <w:tabs>
          <w:tab w:leader="none" w:pos="77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0"/>
        <w:spacing w:after="0" w:line="308" w:lineRule="auto"/>
        <w:tabs>
          <w:tab w:leader="none" w:pos="1411"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2019</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117" w:lineRule="exact"/>
        <w:rPr>
          <w:sz w:val="20"/>
          <w:szCs w:val="20"/>
          <w:color w:val="auto"/>
        </w:rPr>
      </w:pPr>
    </w:p>
    <w:p>
      <w:pPr>
        <w:ind w:left="780" w:hanging="174"/>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60" w:firstLine="606"/>
        <w:spacing w:after="0" w:line="277" w:lineRule="auto"/>
        <w:tabs>
          <w:tab w:leader="none" w:pos="7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0"/>
        <w:spacing w:after="0" w:line="342" w:lineRule="auto"/>
        <w:tabs>
          <w:tab w:leader="none" w:pos="1411"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0"/>
        <w:spacing w:after="0" w:line="264" w:lineRule="auto"/>
        <w:tabs>
          <w:tab w:leader="none" w:pos="142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606"/>
        <w:spacing w:after="0" w:line="308" w:lineRule="auto"/>
        <w:tabs>
          <w:tab w:leader="none" w:pos="77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0"/>
        <w:spacing w:after="0" w:line="308" w:lineRule="auto"/>
        <w:tabs>
          <w:tab w:leader="none" w:pos="141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2019</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(Principal Financial Officer and Principal Accounting</w:t>
      </w:r>
    </w:p>
    <w:p>
      <w:pPr>
        <w:spacing w:after="0" w:line="3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connection with the Annual Report on Form 10-K of Syndax Pharmaceuticals, Inc. (the “Company”) for the year ended December 31, 2018,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860" w:hanging="254"/>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606"/>
        <w:spacing w:after="0" w:line="524" w:lineRule="auto"/>
        <w:tabs>
          <w:tab w:leader="none" w:pos="8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7,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ind w:left="73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Briggs W. Morrison, M.D.</w:t>
            </w:r>
          </w:p>
        </w:tc>
      </w:tr>
      <w:tr>
        <w:trPr>
          <w:trHeight w:val="222"/>
        </w:trPr>
        <w:tc>
          <w:tcPr>
            <w:tcW w:w="77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Briggs W. Morrison, M.D.</w:t>
            </w:r>
          </w:p>
        </w:tc>
      </w:tr>
      <w:tr>
        <w:trPr>
          <w:trHeight w:val="230"/>
        </w:trPr>
        <w:tc>
          <w:tcPr>
            <w:tcW w:w="770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rPr>
              <w:t>Date: March 7, 2019</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59"/>
        </w:trPr>
        <w:tc>
          <w:tcPr>
            <w:tcW w:w="7700" w:type="dxa"/>
            <w:vAlign w:val="bottom"/>
          </w:tcPr>
          <w:p>
            <w:pPr>
              <w:ind w:left="73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22"/>
        </w:trPr>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lowerRoman"/>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78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decimal"/>
      <w:start w:val="3"/>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upperLetter"/>
      <w:start w:val="1"/>
    </w:lvl>
    <w:lvl w:ilvl="1">
      <w:lvlJc w:val="left"/>
      <w:lvlText w:val="[*]"/>
      <w:numFmt w:val="bullet"/>
      <w:start w:val="1"/>
    </w:lvl>
  </w:abstractNum>
  <w:abstractNum w:abstractNumId="57">
    <w:nsid w:val="6B94764"/>
    <w:multiLevelType w:val="hybridMultilevel"/>
    <w:lvl w:ilvl="0">
      <w:lvlJc w:val="left"/>
      <w:lvlText w:val="%1."/>
      <w:numFmt w:val="upperLetter"/>
      <w:start w:val="6"/>
    </w:lvl>
  </w:abstractNum>
  <w:abstractNum w:abstractNumId="58">
    <w:nsid w:val="42C296BD"/>
    <w:multiLevelType w:val="hybridMultilevel"/>
    <w:lvl w:ilvl="0">
      <w:lvlJc w:val="left"/>
      <w:lvlText w:val="%1."/>
      <w:numFmt w:val="upperLetter"/>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2"/>
    </w:lvl>
  </w:abstractNum>
  <w:abstractNum w:abstractNumId="61">
    <w:nsid w:val="661E3F1E"/>
    <w:multiLevelType w:val="hybridMultilevel"/>
    <w:lvl w:ilvl="0">
      <w:lvlJc w:val="left"/>
      <w:lvlText w:val="%1."/>
      <w:numFmt w:val="decimal"/>
      <w:start w:val="3"/>
    </w:lvl>
  </w:abstractNum>
  <w:abstractNum w:abstractNumId="62">
    <w:nsid w:val="5DC79EA8"/>
    <w:multiLevelType w:val="hybridMultilevel"/>
    <w:lvl w:ilvl="0">
      <w:lvlJc w:val="left"/>
      <w:lvlText w:val="%1."/>
      <w:numFmt w:val="decimal"/>
      <w:start w:val="4"/>
    </w:lvl>
  </w:abstractNum>
  <w:abstractNum w:abstractNumId="63">
    <w:nsid w:val="540A471C"/>
    <w:multiLevelType w:val="hybridMultilevel"/>
    <w:lvl w:ilvl="0">
      <w:lvlJc w:val="left"/>
      <w:lvlText w:val="%1."/>
      <w:numFmt w:val="decimal"/>
      <w:start w:val="5"/>
    </w:lvl>
  </w:abstractNum>
  <w:abstractNum w:abstractNumId="64">
    <w:nsid w:val="7BD3EE7B"/>
    <w:multiLevelType w:val="hybridMultilevel"/>
    <w:lvl w:ilvl="0">
      <w:lvlJc w:val="left"/>
      <w:lvlText w:val="%1."/>
      <w:numFmt w:val="decimal"/>
      <w:start w:val="6"/>
    </w:lvl>
  </w:abstractNum>
  <w:abstractNum w:abstractNumId="65">
    <w:nsid w:val="51D9C564"/>
    <w:multiLevelType w:val="hybridMultilevel"/>
    <w:lvl w:ilvl="0">
      <w:lvlJc w:val="left"/>
      <w:lvlText w:val="%1."/>
      <w:numFmt w:val="decimal"/>
      <w:start w:val="7"/>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8"/>
    </w:lvl>
  </w:abstractNum>
  <w:abstractNum w:abstractNumId="68">
    <w:nsid w:val="11447B73"/>
    <w:multiLevelType w:val="hybridMultilevel"/>
    <w:lvl w:ilvl="0">
      <w:lvlJc w:val="left"/>
      <w:lvlText w:val="%1."/>
      <w:numFmt w:val="decimal"/>
      <w:start w:val="9"/>
    </w:lvl>
  </w:abstractNum>
  <w:abstractNum w:abstractNumId="69">
    <w:nsid w:val="42963E5A"/>
    <w:multiLevelType w:val="hybridMultilevel"/>
    <w:lvl w:ilvl="0">
      <w:lvlJc w:val="left"/>
      <w:lvlText w:val="%1."/>
      <w:numFmt w:val="decimal"/>
      <w:start w:val="11"/>
    </w:lvl>
  </w:abstractNum>
  <w:abstractNum w:abstractNumId="70">
    <w:nsid w:val="A0382C5"/>
    <w:multiLevelType w:val="hybridMultilevel"/>
    <w:lvl w:ilvl="0">
      <w:lvlJc w:val="left"/>
      <w:lvlText w:val="%1."/>
      <w:numFmt w:val="upperLetter"/>
      <w:start w:val="2"/>
    </w:lvl>
  </w:abstractNum>
  <w:abstractNum w:abstractNumId="71">
    <w:nsid w:val="8F2B15E"/>
    <w:multiLevelType w:val="hybridMultilevel"/>
    <w:lvl w:ilvl="0">
      <w:lvlJc w:val="left"/>
      <w:lvlText w:val="%1."/>
      <w:numFmt w:val="upperLetter"/>
      <w:start w:val="3"/>
    </w:lvl>
  </w:abstractNum>
  <w:abstractNum w:abstractNumId="72">
    <w:nsid w:val="1A32234B"/>
    <w:multiLevelType w:val="hybridMultilevel"/>
    <w:lvl w:ilvl="0">
      <w:lvlJc w:val="left"/>
      <w:lvlText w:val="[*]"/>
      <w:numFmt w:val="bullet"/>
      <w:start w:val="1"/>
    </w:lvl>
    <w:lvl w:ilvl="1">
      <w:lvlJc w:val="left"/>
      <w:lvlText w:val="%2."/>
      <w:numFmt w:val="upperLetter"/>
      <w:start w:val="4"/>
    </w:lvl>
  </w:abstractNum>
  <w:abstractNum w:abstractNumId="73">
    <w:nsid w:val="3B0FD379"/>
    <w:multiLevelType w:val="hybridMultilevel"/>
    <w:lvl w:ilvl="0">
      <w:lvlJc w:val="left"/>
      <w:lvlText w:val="%1."/>
      <w:numFmt w:val="upperLetter"/>
      <w:start w:val="5"/>
    </w:lvl>
  </w:abstractNum>
  <w:abstractNum w:abstractNumId="74">
    <w:nsid w:val="68EB2F63"/>
    <w:multiLevelType w:val="hybridMultilevel"/>
    <w:lvl w:ilvl="0">
      <w:lvlJc w:val="left"/>
      <w:lvlText w:val="%1."/>
      <w:numFmt w:val="upperLetter"/>
      <w:start w:val="6"/>
    </w:lvl>
  </w:abstractNum>
  <w:abstractNum w:abstractNumId="75">
    <w:nsid w:val="4962813B"/>
    <w:multiLevelType w:val="hybridMultilevel"/>
    <w:lvl w:ilvl="0">
      <w:lvlJc w:val="left"/>
      <w:lvlText w:val="%1."/>
      <w:numFmt w:val="upperLetter"/>
      <w:start w:val="7"/>
    </w:lvl>
  </w:abstractNum>
  <w:abstractNum w:abstractNumId="76">
    <w:nsid w:val="60B6DF70"/>
    <w:multiLevelType w:val="hybridMultilevel"/>
    <w:lvl w:ilvl="0">
      <w:lvlJc w:val="left"/>
      <w:lvlText w:val="%1."/>
      <w:numFmt w:val="upperLetter"/>
      <w:start w:val="8"/>
    </w:lvl>
  </w:abstractNum>
  <w:abstractNum w:abstractNumId="77">
    <w:nsid w:val="6A5EE64"/>
    <w:multiLevelType w:val="hybridMultilevel"/>
    <w:lvl w:ilvl="0">
      <w:lvlJc w:val="left"/>
      <w:lvlText w:val="%1."/>
      <w:numFmt w:val="upperLetter"/>
      <w:start w:val="9"/>
    </w:lvl>
  </w:abstractNum>
  <w:abstractNum w:abstractNumId="78">
    <w:nsid w:val="14330624"/>
    <w:multiLevelType w:val="hybridMultilevel"/>
    <w:lvl w:ilvl="0">
      <w:lvlJc w:val="left"/>
      <w:lvlText w:val="%1."/>
      <w:numFmt w:val="upperLetter"/>
      <w:start w:val="10"/>
    </w:lvl>
  </w:abstractNum>
  <w:abstractNum w:abstractNumId="79">
    <w:nsid w:val="7FFFCA11"/>
    <w:multiLevelType w:val="hybridMultilevel"/>
    <w:lvl w:ilvl="0">
      <w:lvlJc w:val="left"/>
      <w:lvlText w:val="%1."/>
      <w:numFmt w:val="upperLetter"/>
      <w:start w:val="1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103" Type="http://schemas.openxmlformats.org/officeDocument/2006/relationships/hyperlink" Target="http://www.sec.gov/Archives/edgar/data/1395937/000119312516496764/d119516dex31.htm" TargetMode="External"/><Relationship Id="rId104" Type="http://schemas.openxmlformats.org/officeDocument/2006/relationships/hyperlink" Target="http://www.sec.gov/Archives/edgar/data/1395937/000119312516496764/d119516dex32.htm" TargetMode="External"/><Relationship Id="rId105" Type="http://schemas.openxmlformats.org/officeDocument/2006/relationships/hyperlink" Target="http://www.sec.gov/Archives/edgar/data/1395937/000119312516457615/d117131dex41.htm" TargetMode="External"/><Relationship Id="rId106" Type="http://schemas.openxmlformats.org/officeDocument/2006/relationships/hyperlink" Target="http://www.sec.gov/Archives/edgar/data/1395937/000119312516420122/d39288dex42.htm" TargetMode="External"/><Relationship Id="rId107" Type="http://schemas.openxmlformats.org/officeDocument/2006/relationships/hyperlink" Target="http://www.sec.gov/Archives/edgar/data/1395937/000119312517113521/d370158dex45.htm" TargetMode="External"/><Relationship Id="rId108" Type="http://schemas.openxmlformats.org/officeDocument/2006/relationships/hyperlink" Target="http://www.sec.gov/Archives/edgar/data/1395937/000119312517113521/d370158dex47.htm" TargetMode="External"/><Relationship Id="rId109" Type="http://schemas.openxmlformats.org/officeDocument/2006/relationships/hyperlink" Target="http://www.sec.gov/Archives/edgar/data/1395937/000119312517113521/d370158dex49.htm" TargetMode="External"/><Relationship Id="rId110" Type="http://schemas.openxmlformats.org/officeDocument/2006/relationships/hyperlink" Target="http://www.sec.gov/Archives/edgar/data/1395937/000119312517113521/d370158dex48.htm" TargetMode="External"/><Relationship Id="rId111" Type="http://schemas.openxmlformats.org/officeDocument/2006/relationships/hyperlink" Target="http://www.sec.gov/Archives/edgar/data/1395937/000119312516420122/d39288dex102.htm" TargetMode="External"/><Relationship Id="rId112" Type="http://schemas.openxmlformats.org/officeDocument/2006/relationships/hyperlink" Target="http://www.sec.gov/Archives/edgar/data/1395937/000119312516420122/d39288dex103.htm" TargetMode="External"/><Relationship Id="rId113" Type="http://schemas.openxmlformats.org/officeDocument/2006/relationships/hyperlink" Target="http://www.sec.gov/Archives/edgar/data/1395937/000119312516420122/d39288dex104.htm" TargetMode="External"/><Relationship Id="rId116" Type="http://schemas.openxmlformats.org/officeDocument/2006/relationships/hyperlink" Target="http://www.sec.gov/Archives/edgar/data/1395937/000119312516420122/d39288dex105.htm" TargetMode="External"/><Relationship Id="rId117" Type="http://schemas.openxmlformats.org/officeDocument/2006/relationships/hyperlink" Target="http://www.sec.gov/Archives/edgar/data/1395937/000119312516420122/d39288dex106.htm" TargetMode="External"/><Relationship Id="rId118" Type="http://schemas.openxmlformats.org/officeDocument/2006/relationships/hyperlink" Target="http://www.sec.gov/Archives/edgar/data/1395937/000119312516420122/d39288dex107.htm" TargetMode="External"/><Relationship Id="rId119" Type="http://schemas.openxmlformats.org/officeDocument/2006/relationships/hyperlink" Target="http://www.sec.gov/Archives/edgar/data/1395937/000119312516420122/d39288dex108.htm" TargetMode="External"/><Relationship Id="rId120" Type="http://schemas.openxmlformats.org/officeDocument/2006/relationships/hyperlink" Target="http://www.sec.gov/Archives/edgar/data/1395937/000119312516420122/d39288dex109.htm" TargetMode="External"/><Relationship Id="rId121" Type="http://schemas.openxmlformats.org/officeDocument/2006/relationships/hyperlink" Target="http://www.sec.gov/Archives/edgar/data/1395937/000119312516420122/d39288dex1010.htm" TargetMode="External"/><Relationship Id="rId122" Type="http://schemas.openxmlformats.org/officeDocument/2006/relationships/hyperlink" Target="http://www.sec.gov/Archives/edgar/data/1395937/000119312516420122/d39288dex1011.htm" TargetMode="External"/><Relationship Id="rId123" Type="http://schemas.openxmlformats.org/officeDocument/2006/relationships/hyperlink" Target="http://www.sec.gov/Archives/edgar/data/1395937/000119312516420122/d39288dex1012.htm" TargetMode="External"/><Relationship Id="rId124" Type="http://schemas.openxmlformats.org/officeDocument/2006/relationships/hyperlink" Target="http://www.sec.gov/Archives/edgar/data/1395937/000119312516420122/d39288dex1013.htm" TargetMode="External"/><Relationship Id="rId125" Type="http://schemas.openxmlformats.org/officeDocument/2006/relationships/hyperlink" Target="http://www.sec.gov/Archives/edgar/data/1395937/000119312516420122/d39288dex1014.htm" TargetMode="External"/><Relationship Id="rId126" Type="http://schemas.openxmlformats.org/officeDocument/2006/relationships/hyperlink" Target="http://www.sec.gov/Archives/edgar/data/1395937/000119312516518181/d166957dex416.htm" TargetMode="External"/><Relationship Id="rId127" Type="http://schemas.openxmlformats.org/officeDocument/2006/relationships/hyperlink" Target="http://www.sec.gov/Archives/edgar/data/1395937/000119312516420122/d39288dex1016.htm" TargetMode="External"/><Relationship Id="rId128" Type="http://schemas.openxmlformats.org/officeDocument/2006/relationships/hyperlink" Target="http://www.sec.gov/Archives/edgar/data/1395937/000119312516420122/d39288dex1017.htm" TargetMode="External"/><Relationship Id="rId129" Type="http://schemas.openxmlformats.org/officeDocument/2006/relationships/hyperlink" Target="http://www.sec.gov/Archives/edgar/data/1395937/000119312516420122/d39288dex1018.htm" TargetMode="External"/><Relationship Id="rId130" Type="http://schemas.openxmlformats.org/officeDocument/2006/relationships/hyperlink" Target="http://www.sec.gov/Archives/edgar/data/0001395937/000119312517254597/d377935dex101.htm" TargetMode="External"/><Relationship Id="rId133" Type="http://schemas.openxmlformats.org/officeDocument/2006/relationships/hyperlink" Target="http://www.sec.gov/Archives/edgar/data/1395937/000119312516420122/d39288dex1021.htm" TargetMode="External"/><Relationship Id="rId134" Type="http://schemas.openxmlformats.org/officeDocument/2006/relationships/hyperlink" Target="http://www.sec.gov/Archives/edgar/data/1395937/000119312516420122/d39288dex1022.htm" TargetMode="External"/><Relationship Id="rId135" Type="http://schemas.openxmlformats.org/officeDocument/2006/relationships/hyperlink" Target="http://www.sec.gov/Archives/edgar/data/1395937/000119312516420122/d39288dex1023.htm" TargetMode="External"/><Relationship Id="rId136" Type="http://schemas.openxmlformats.org/officeDocument/2006/relationships/hyperlink" Target="http://www.sec.gov/Archives/edgar/data/1395937/000119312516420122/d39288dex1024.htm" TargetMode="External"/><Relationship Id="rId137" Type="http://schemas.openxmlformats.org/officeDocument/2006/relationships/hyperlink" Target="http://www.sec.gov/Archives/edgar/data/1395937/000119312516420122/d39288dex1025.htm" TargetMode="External"/><Relationship Id="rId138" Type="http://schemas.openxmlformats.org/officeDocument/2006/relationships/hyperlink" Target="http://www.sec.gov/Archives/edgar/data/1395937/000119312516420122/d39288dex1026.htm" TargetMode="External"/><Relationship Id="rId139" Type="http://schemas.openxmlformats.org/officeDocument/2006/relationships/hyperlink" Target="http://www.sec.gov/Archives/edgar/data/1395937/000119312516420122/d39288dex1027.htm" TargetMode="External"/><Relationship Id="rId140" Type="http://schemas.openxmlformats.org/officeDocument/2006/relationships/hyperlink" Target="http://www.sec.gov/Archives/edgar/data/1395937/000119312516420122/d39288dex1028.htm" TargetMode="External"/><Relationship Id="rId141" Type="http://schemas.openxmlformats.org/officeDocument/2006/relationships/hyperlink" Target="http://www.sec.gov/Archives/edgar/data/1395937/000119312516470686/d117131dex1037.htm" TargetMode="External"/><Relationship Id="rId142" Type="http://schemas.openxmlformats.org/officeDocument/2006/relationships/hyperlink" Target="http://www.sec.gov/Archives/edgar/data/1395937/000119312516681546/d225217dex101.htm" TargetMode="External"/><Relationship Id="rId143" Type="http://schemas.openxmlformats.org/officeDocument/2006/relationships/hyperlink" Target="http://www.sec.gov/Archives/edgar/data/1395937/000119312516681546/d225217dex102.htm" TargetMode="External"/><Relationship Id="rId144" Type="http://schemas.openxmlformats.org/officeDocument/2006/relationships/hyperlink" Target="http://www.sec.gov/Archives/edgar/data/1395937/000119312516681546/d225217dex103.htm" TargetMode="External"/><Relationship Id="rId145" Type="http://schemas.openxmlformats.org/officeDocument/2006/relationships/hyperlink" Target="http://www.sec.gov/Archives/edgar/data/1395937/000119312516681546/d225217dex104.htm" TargetMode="External"/><Relationship Id="rId148" Type="http://schemas.openxmlformats.org/officeDocument/2006/relationships/hyperlink" Target="http://www.sec.gov/Archives/edgar/data/0001395937/000119312517163872/d380147dex101.htm" TargetMode="External"/><Relationship Id="rId149" Type="http://schemas.openxmlformats.org/officeDocument/2006/relationships/hyperlink" Target="http://www.sec.gov/Archives/edgar/data/0001395937/000119312517163872/d380147dex103.htm" TargetMode="External"/><Relationship Id="rId150" Type="http://schemas.openxmlformats.org/officeDocument/2006/relationships/hyperlink" Target="http://www.sec.gov/Archives/edgar/data/1395937/000156459018004911/sndx-ex1034_508.htm" TargetMode="External"/><Relationship Id="rId151" Type="http://schemas.openxmlformats.org/officeDocument/2006/relationships/hyperlink" Target="http://www.sec.gov/Archives/edgar/data/1395937/000119312516420122/d39288dex1032.htm" TargetMode="External"/><Relationship Id="rId152" Type="http://schemas.openxmlformats.org/officeDocument/2006/relationships/hyperlink" Target="http://www.sec.gov/Archives/edgar/data/1395937/000119312516470686/d117131dex1038.htm" TargetMode="External"/><Relationship Id="rId153" Type="http://schemas.openxmlformats.org/officeDocument/2006/relationships/hyperlink" Target="http://www.sec.gov/Archives/edgar/data/0001395937/000119312517254597/d377935dex102.htm" TargetMode="External"/><Relationship Id="rId154" Type="http://schemas.openxmlformats.org/officeDocument/2006/relationships/hyperlink" Target="http://www.sec.gov/Archives/edgar/data/1395937/000119312516420122/d39288dex1033.htm" TargetMode="External"/><Relationship Id="rId155" Type="http://schemas.openxmlformats.org/officeDocument/2006/relationships/hyperlink" Target="http://www.sec.gov/Archives/edgar/data/1395937/000119312516420122/d39288dex1034.htm" TargetMode="External"/><Relationship Id="rId156" Type="http://schemas.openxmlformats.org/officeDocument/2006/relationships/hyperlink" Target="http://www.sec.gov/Archives/edgar/data/1395937/000119312516470686/d117131dex1039.htm" TargetMode="External"/><Relationship Id="rId157" Type="http://schemas.openxmlformats.org/officeDocument/2006/relationships/hyperlink" Target="http://www.sec.gov/Archives/edgar/data/0001395937/000119312517163872/d380147dex102.htm" TargetMode="External"/><Relationship Id="rId158" Type="http://schemas.openxmlformats.org/officeDocument/2006/relationships/hyperlink" Target="http://www.sec.gov/Archives/edgar/data/1395937/000119312516420122/d39288dex1035.htm" TargetMode="External"/><Relationship Id="rId159" Type="http://schemas.openxmlformats.org/officeDocument/2006/relationships/hyperlink" Target="http://www.sec.gov/Archives/edgar/data/1395937/000119312516426578/d39288dex1036.htm" TargetMode="External"/><Relationship Id="rId162" Type="http://schemas.openxmlformats.org/officeDocument/2006/relationships/hyperlink" Target="http://www.sec.gov/Archives/edgar/data/1395937/000119312516733845/d250701dex101.htm" TargetMode="External"/><Relationship Id="rId163" Type="http://schemas.openxmlformats.org/officeDocument/2006/relationships/hyperlink" Target="http://www.sec.gov/Archives/edgar/data/0001395937/000119312517163872/d380147dex104.htm" TargetMode="External"/><Relationship Id="rId164" Type="http://schemas.openxmlformats.org/officeDocument/2006/relationships/hyperlink" Target="http://www.sec.gov/Archives/edgar/data/1395937/000119312516420122/d39288dex101.htm" TargetMode="External"/><Relationship Id="rId165" Type="http://schemas.openxmlformats.org/officeDocument/2006/relationships/hyperlink" Target="http://www.sec.gov/Archives/edgar/data/1395937/000156459018004911/sndx-ex1047_509.htm" TargetMode="External"/><Relationship Id="rId166" Type="http://schemas.openxmlformats.org/officeDocument/2006/relationships/hyperlink" Target="http://www.sec.gov/Archives/edgar/data/0001395937/000119312517315523/d466476dex101.htm" TargetMode="External"/><Relationship Id="rId167" Type="http://schemas.openxmlformats.org/officeDocument/2006/relationships/hyperlink" Target="http://www.sec.gov/Archives/edgar/data/1395937/000119312516420122/d3928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2019-12-28T14:38:51Z</dcterms:created>
  <dcterms:modified xsi:type="dcterms:W3CDTF">2019-12-28T14:38:51Z</dcterms:modified>
</cp:coreProperties>
</file>