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112395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7" w:lineRule="exact"/>
        <w:rPr>
          <w:rFonts w:ascii="MS PGothic" w:cs="MS PGothic" w:eastAsia="MS PGothic" w:hAnsi="MS PGothic"/>
          <w:sz w:val="18"/>
          <w:szCs w:val="18"/>
          <w:color w:val="auto"/>
        </w:rPr>
      </w:pPr>
    </w:p>
    <w:p>
      <w:pPr>
        <w:ind w:left="40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quarterly period ended June 30, 2024</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0"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4" w:lineRule="exact"/>
        <w:rPr>
          <w:sz w:val="24"/>
          <w:szCs w:val="24"/>
          <w:color w:val="auto"/>
        </w:rPr>
      </w:pPr>
    </w:p>
    <w:p>
      <w:pPr>
        <w:ind w:left="360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3640455</wp:posOffset>
            </wp:positionH>
            <wp:positionV relativeFrom="paragraph">
              <wp:posOffset>-3175</wp:posOffset>
            </wp:positionV>
            <wp:extent cx="5397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001-37708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6"/>
          <w:szCs w:val="36"/>
          <w:b w:val="1"/>
          <w:bCs w:val="1"/>
          <w:color w:val="auto"/>
        </w:rPr>
        <w:t>Syndax Pharmaceuticals, Inc.</w:t>
      </w:r>
    </w:p>
    <w:p>
      <w:pPr>
        <w:spacing w:after="0" w:line="5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6"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6140" w:type="dxa"/>
            <w:vAlign w:val="bottom"/>
          </w:tcPr>
          <w:p>
            <w:pPr>
              <w:jc w:val="center"/>
              <w:ind w:right="3324"/>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42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32-0162505</w:t>
            </w:r>
          </w:p>
        </w:tc>
      </w:tr>
      <w:tr>
        <w:trPr>
          <w:trHeight w:val="157"/>
        </w:trPr>
        <w:tc>
          <w:tcPr>
            <w:tcW w:w="6140" w:type="dxa"/>
            <w:vAlign w:val="bottom"/>
          </w:tcPr>
          <w:p>
            <w:pPr>
              <w:jc w:val="center"/>
              <w:ind w:right="3324"/>
              <w:spacing w:after="0" w:line="15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20" w:type="dxa"/>
            <w:vAlign w:val="bottom"/>
          </w:tcPr>
          <w:p>
            <w:pPr>
              <w:jc w:val="center"/>
              <w:ind w:left="204"/>
              <w:spacing w:after="0" w:line="15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140" w:type="dxa"/>
            <w:vAlign w:val="bottom"/>
          </w:tcPr>
          <w:p>
            <w:pPr>
              <w:jc w:val="center"/>
              <w:ind w:right="33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2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6"/>
        </w:trPr>
        <w:tc>
          <w:tcPr>
            <w:tcW w:w="6140" w:type="dxa"/>
            <w:vAlign w:val="bottom"/>
          </w:tcPr>
          <w:p>
            <w:pPr>
              <w:jc w:val="center"/>
              <w:ind w:right="3304"/>
              <w:spacing w:after="0"/>
              <w:rPr>
                <w:sz w:val="20"/>
                <w:szCs w:val="20"/>
                <w:color w:val="auto"/>
              </w:rPr>
            </w:pPr>
            <w:r>
              <w:rPr>
                <w:rFonts w:ascii="Times New Roman" w:cs="Times New Roman" w:eastAsia="Times New Roman" w:hAnsi="Times New Roman"/>
                <w:sz w:val="16"/>
                <w:szCs w:val="16"/>
                <w:b w:val="1"/>
                <w:bCs w:val="1"/>
                <w:color w:val="auto"/>
              </w:rPr>
              <w:t>35 Gatehouse Drive, Building D, Floor 3</w:t>
            </w:r>
          </w:p>
        </w:tc>
        <w:tc>
          <w:tcPr>
            <w:tcW w:w="1420" w:type="dxa"/>
            <w:vAlign w:val="bottom"/>
          </w:tcPr>
          <w:p>
            <w:pPr>
              <w:spacing w:after="0"/>
              <w:rPr>
                <w:sz w:val="24"/>
                <w:szCs w:val="24"/>
                <w:color w:val="auto"/>
              </w:rPr>
            </w:pPr>
          </w:p>
        </w:tc>
      </w:tr>
      <w:tr>
        <w:trPr>
          <w:trHeight w:val="226"/>
        </w:trPr>
        <w:tc>
          <w:tcPr>
            <w:tcW w:w="6140" w:type="dxa"/>
            <w:vAlign w:val="bottom"/>
          </w:tcPr>
          <w:p>
            <w:pPr>
              <w:jc w:val="center"/>
              <w:ind w:right="3304"/>
              <w:spacing w:after="0"/>
              <w:rPr>
                <w:sz w:val="20"/>
                <w:szCs w:val="20"/>
                <w:color w:val="auto"/>
              </w:rPr>
            </w:pPr>
            <w:r>
              <w:rPr>
                <w:rFonts w:ascii="Times New Roman" w:cs="Times New Roman" w:eastAsia="Times New Roman" w:hAnsi="Times New Roman"/>
                <w:sz w:val="16"/>
                <w:szCs w:val="16"/>
                <w:b w:val="1"/>
                <w:bCs w:val="1"/>
                <w:color w:val="auto"/>
              </w:rPr>
              <w:t>Waltham, Massachusetts</w:t>
            </w:r>
          </w:p>
        </w:tc>
        <w:tc>
          <w:tcPr>
            <w:tcW w:w="142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02451</w:t>
            </w:r>
          </w:p>
        </w:tc>
      </w:tr>
      <w:tr>
        <w:trPr>
          <w:trHeight w:val="199"/>
        </w:trPr>
        <w:tc>
          <w:tcPr>
            <w:tcW w:w="6140" w:type="dxa"/>
            <w:vAlign w:val="bottom"/>
          </w:tcPr>
          <w:p>
            <w:pPr>
              <w:jc w:val="center"/>
              <w:ind w:right="332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2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2"/>
        </w:trPr>
        <w:tc>
          <w:tcPr>
            <w:tcW w:w="6140" w:type="dxa"/>
            <w:vAlign w:val="bottom"/>
          </w:tcPr>
          <w:p>
            <w:pPr>
              <w:jc w:val="right"/>
              <w:ind w:right="1404"/>
              <w:spacing w:after="0"/>
              <w:rPr>
                <w:sz w:val="20"/>
                <w:szCs w:val="20"/>
                <w:color w:val="auto"/>
              </w:rPr>
            </w:pPr>
            <w:r>
              <w:rPr>
                <w:rFonts w:ascii="Times New Roman" w:cs="Times New Roman" w:eastAsia="Times New Roman" w:hAnsi="Times New Roman"/>
                <w:sz w:val="16"/>
                <w:szCs w:val="16"/>
                <w:b w:val="1"/>
                <w:bCs w:val="1"/>
                <w:color w:val="auto"/>
              </w:rPr>
              <w:t>(781) 419-1400</w:t>
            </w:r>
          </w:p>
        </w:tc>
        <w:tc>
          <w:tcPr>
            <w:tcW w:w="1420" w:type="dxa"/>
            <w:vAlign w:val="bottom"/>
          </w:tcPr>
          <w:p>
            <w:pPr>
              <w:spacing w:after="0"/>
              <w:rPr>
                <w:sz w:val="24"/>
                <w:szCs w:val="24"/>
                <w:color w:val="auto"/>
              </w:rPr>
            </w:pPr>
          </w:p>
        </w:tc>
      </w:tr>
      <w:tr>
        <w:trPr>
          <w:trHeight w:val="190"/>
        </w:trPr>
        <w:tc>
          <w:tcPr>
            <w:tcW w:w="6140" w:type="dxa"/>
            <w:vAlign w:val="bottom"/>
          </w:tcPr>
          <w:p>
            <w:pPr>
              <w:jc w:val="center"/>
              <w:ind w:left="210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6"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590" w:type="dxa"/>
        <w:tblCellMar>
          <w:top w:w="0" w:type="dxa"/>
          <w:left w:w="0" w:type="dxa"/>
          <w:bottom w:w="0" w:type="dxa"/>
          <w:right w:w="0" w:type="dxa"/>
        </w:tblCellMar>
      </w:tblPr>
      <w:tr>
        <w:trPr>
          <w:trHeight w:val="243"/>
        </w:trPr>
        <w:tc>
          <w:tcPr>
            <w:tcW w:w="3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3"/>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SNDX</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94" w:lineRule="exact"/>
        <w:rPr>
          <w:sz w:val="24"/>
          <w:szCs w:val="24"/>
          <w:color w:val="auto"/>
        </w:rPr>
      </w:pPr>
    </w:p>
    <w:p>
      <w:pPr>
        <w:ind w:firstLine="382"/>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20" w:firstLine="382"/>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75" w:lineRule="exact"/>
        <w:rPr>
          <w:sz w:val="24"/>
          <w:szCs w:val="24"/>
          <w:color w:val="auto"/>
        </w:rPr>
      </w:pPr>
    </w:p>
    <w:p>
      <w:pPr>
        <w:ind w:right="300" w:firstLine="382"/>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60"/>
              <w:spacing w:after="0"/>
              <w:rPr>
                <w:sz w:val="20"/>
                <w:szCs w:val="20"/>
                <w:color w:val="auto"/>
              </w:rPr>
            </w:pPr>
            <w:r>
              <w:rPr>
                <w:rFonts w:ascii="Times New Roman" w:cs="Times New Roman" w:eastAsia="Times New Roman" w:hAnsi="Times New Roman"/>
                <w:sz w:val="16"/>
                <w:szCs w:val="16"/>
                <w:color w:val="auto"/>
              </w:rPr>
              <w:t>Accelerated filer</w:t>
            </w:r>
          </w:p>
        </w:tc>
        <w:tc>
          <w:tcPr>
            <w:tcW w:w="940" w:type="dxa"/>
            <w:vAlign w:val="bottom"/>
          </w:tcPr>
          <w:p>
            <w:pPr>
              <w:ind w:left="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40" w:type="dxa"/>
            <w:vAlign w:val="bottom"/>
          </w:tcPr>
          <w:p>
            <w:pPr>
              <w:ind w:left="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spacing w:after="0"/>
              <w:rPr>
                <w:sz w:val="23"/>
                <w:szCs w:val="23"/>
                <w:color w:val="auto"/>
              </w:rPr>
            </w:pPr>
          </w:p>
        </w:tc>
        <w:tc>
          <w:tcPr>
            <w:tcW w:w="940" w:type="dxa"/>
            <w:vAlign w:val="bottom"/>
          </w:tcPr>
          <w:p>
            <w:pPr>
              <w:spacing w:after="0"/>
              <w:rPr>
                <w:sz w:val="23"/>
                <w:szCs w:val="23"/>
                <w:color w:val="auto"/>
              </w:rPr>
            </w:pPr>
          </w:p>
        </w:tc>
      </w:tr>
    </w:tbl>
    <w:p>
      <w:pPr>
        <w:spacing w:after="0" w:line="101" w:lineRule="exact"/>
        <w:rPr>
          <w:sz w:val="24"/>
          <w:szCs w:val="24"/>
          <w:color w:val="auto"/>
        </w:rPr>
      </w:pPr>
    </w:p>
    <w:p>
      <w:pPr>
        <w:ind w:right="200" w:firstLine="382"/>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380" w:right="224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July 25, 2024, there were 85,096,358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891540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and information within the meaning of Section 27A of the Securities Act of 1933, as amended, and Section 21E of the Securities Exchange Act of 1934, as amended, which are subject to the "safe harbor" created by those sections. All statements other than statements of historical fact are “forward-looking statements” for purposes of this Quarterly Report on Form 10-Q. In some cases, you can identify forward-looking statements by terminology such as “anticipate,” “believe,” “could,” “estimate,” “expects,” “intend,” “may,” “plan,” “potential,” “predict,” “project,” “should,” “will,” “would” or the negative or plural of those terms, and similar expressions.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11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our expenses, future revenues, anticipated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cost, timing, progress and results of our research and development activities, clinical trials and preclinical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replicate results in future clinical trials;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safety, efficacy or clinical utility of our product candidates as well as the potential use of our product candidates to treat various cancer indications and fibrotic diseases;</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for our product candidates and the timing or likelihood of regulatory filings and approvals for such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licenses with UCB Biopharma Sprl, and Vitae Pharmaceuticals, LLC, a subsidiary of AbbVie Inc.;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 with Incyte Corporation, or Incyte, to further develop and commercialize axatilimab;</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milestone and royalty payments under certain of our license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development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establish and maintain for intellectual property rights covering our product candidates and our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adoption of our product candidates by physicians and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and</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actions, including war or the perception that hostilities may be imminent (such as the ongoing wars between Russia and Ukraine and the war in Gaza), adverse global economic conditions, terrorism, public health crises or natural disasters on our operations, research and development and clinical trials and potential disruption in the operations and business of third-party manufacturers, contract research organizations, or CROs, other service providers, and collaborators with whom we conduct business.</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report in greater detail in the section titled “Risk Factors” and elsewhere in this report. You should not rely upon forward-looking statements as predictions of future events.</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7"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7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31"/>
        </w:trPr>
        <w:tc>
          <w:tcPr>
            <w:tcW w:w="104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780" w:type="dxa"/>
            <w:vAlign w:val="bottom"/>
          </w:tcPr>
          <w:p>
            <w:pPr>
              <w:spacing w:after="0"/>
              <w:rPr>
                <w:sz w:val="24"/>
                <w:szCs w:val="24"/>
                <w:color w:val="auto"/>
              </w:rPr>
            </w:pPr>
          </w:p>
        </w:tc>
      </w:tr>
      <w:tr>
        <w:trPr>
          <w:trHeight w:val="20"/>
        </w:trPr>
        <w:tc>
          <w:tcPr>
            <w:tcW w:w="10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Unaudited Financial Statements:</w:t>
            </w:r>
          </w:p>
        </w:tc>
        <w:tc>
          <w:tcPr>
            <w:tcW w:w="78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9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2024 and December 31,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9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for the three and six months ended</w:t>
            </w:r>
          </w:p>
        </w:tc>
        <w:tc>
          <w:tcPr>
            <w:tcW w:w="78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6680" w:type="dxa"/>
            <w:vAlign w:val="bottom"/>
            <w:tcBorders>
              <w:top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June 30, 2024 and 2023</w:t>
            </w:r>
          </w:p>
        </w:tc>
        <w:tc>
          <w:tcPr>
            <w:tcW w:w="246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0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9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9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8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20" w:type="dxa"/>
            <w:vAlign w:val="bottom"/>
            <w:tcBorders>
              <w:left w:val="single" w:sz="8" w:color="0000FF"/>
            </w:tcBorders>
            <w:gridSpan w:val="5"/>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20" w:type="dxa"/>
            <w:vAlign w:val="bottom"/>
            <w:tcBorders>
              <w:left w:val="single" w:sz="8" w:color="0000FF"/>
            </w:tcBorders>
            <w:gridSpan w:val="5"/>
            <w:shd w:val="clear" w:color="auto" w:fill="0000FF"/>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80" w:type="dxa"/>
            <w:vAlign w:val="bottom"/>
            <w:tcBorders>
              <w:left w:val="single" w:sz="8" w:color="0000FF"/>
            </w:tcBorders>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780" w:type="dxa"/>
            <w:vAlign w:val="bottom"/>
          </w:tcPr>
          <w:p>
            <w:pPr>
              <w:spacing w:after="0"/>
              <w:rPr>
                <w:sz w:val="24"/>
                <w:szCs w:val="24"/>
                <w:color w:val="auto"/>
              </w:rPr>
            </w:pPr>
          </w:p>
        </w:tc>
      </w:tr>
      <w:tr>
        <w:trPr>
          <w:trHeight w:val="20"/>
        </w:trPr>
        <w:tc>
          <w:tcPr>
            <w:tcW w:w="10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8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8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8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808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105,396</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295,394</w:t>
            </w: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319,701</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275,304</w:t>
            </w:r>
          </w:p>
        </w:tc>
        <w:tc>
          <w:tcPr>
            <w:tcW w:w="100" w:type="dxa"/>
            <w:vAlign w:val="bottom"/>
          </w:tcPr>
          <w:p>
            <w:pPr>
              <w:spacing w:after="0"/>
              <w:rPr>
                <w:sz w:val="20"/>
                <w:szCs w:val="20"/>
                <w:color w:val="auto"/>
              </w:rPr>
            </w:pPr>
          </w:p>
        </w:tc>
      </w:tr>
      <w:tr>
        <w:trPr>
          <w:trHeight w:val="239"/>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deposits</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100" w:type="dxa"/>
            <w:vAlign w:val="bottom"/>
            <w:shd w:val="clear" w:color="auto" w:fill="CFF0FC"/>
          </w:tcPr>
          <w:p>
            <w:pPr>
              <w:spacing w:after="0"/>
              <w:rPr>
                <w:sz w:val="20"/>
                <w:szCs w:val="20"/>
                <w:color w:val="auto"/>
              </w:rPr>
            </w:pPr>
          </w:p>
        </w:tc>
      </w:tr>
      <w:tr>
        <w:trPr>
          <w:trHeight w:val="252"/>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receivable</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9,582</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tcPr>
          <w:p>
            <w:pPr>
              <w:spacing w:after="0"/>
              <w:rPr>
                <w:sz w:val="20"/>
                <w:szCs w:val="20"/>
                <w:color w:val="auto"/>
              </w:rPr>
            </w:pPr>
          </w:p>
        </w:tc>
      </w:tr>
      <w:tr>
        <w:trPr>
          <w:trHeight w:val="241"/>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446,056</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580,876</w:t>
            </w:r>
          </w:p>
        </w:tc>
        <w:tc>
          <w:tcPr>
            <w:tcW w:w="100" w:type="dxa"/>
            <w:vAlign w:val="bottom"/>
            <w:shd w:val="clear" w:color="auto" w:fill="CFF0FC"/>
          </w:tcPr>
          <w:p>
            <w:pPr>
              <w:spacing w:after="0"/>
              <w:rPr>
                <w:sz w:val="20"/>
                <w:szCs w:val="20"/>
                <w:color w:val="auto"/>
              </w:rPr>
            </w:pP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29,516</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29,829</w:t>
            </w:r>
          </w:p>
        </w:tc>
        <w:tc>
          <w:tcPr>
            <w:tcW w:w="100" w:type="dxa"/>
            <w:vAlign w:val="bottom"/>
          </w:tcPr>
          <w:p>
            <w:pPr>
              <w:spacing w:after="0"/>
              <w:rPr>
                <w:sz w:val="20"/>
                <w:szCs w:val="20"/>
                <w:color w:val="auto"/>
              </w:rPr>
            </w:pPr>
          </w:p>
        </w:tc>
      </w:tr>
      <w:tr>
        <w:trPr>
          <w:trHeight w:val="247"/>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 net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Pr>
          <w:p>
            <w:pPr>
              <w:spacing w:after="0"/>
              <w:rPr>
                <w:sz w:val="20"/>
                <w:szCs w:val="20"/>
                <w:color w:val="auto"/>
              </w:rPr>
            </w:pPr>
          </w:p>
        </w:tc>
      </w:tr>
      <w:tr>
        <w:trPr>
          <w:trHeight w:val="247"/>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20"/>
                <w:szCs w:val="20"/>
                <w:color w:val="auto"/>
              </w:rPr>
            </w:pPr>
          </w:p>
        </w:tc>
      </w:tr>
      <w:tr>
        <w:trPr>
          <w:trHeight w:val="277"/>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476,947</w:t>
            </w:r>
          </w:p>
        </w:tc>
        <w:tc>
          <w:tcPr>
            <w:tcW w:w="30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612,880</w:t>
            </w:r>
          </w:p>
        </w:tc>
        <w:tc>
          <w:tcPr>
            <w:tcW w:w="100" w:type="dxa"/>
            <w:vAlign w:val="bottom"/>
            <w:shd w:val="clear" w:color="auto" w:fill="CFF0FC"/>
          </w:tcPr>
          <w:p>
            <w:pPr>
              <w:spacing w:after="0"/>
              <w:rPr>
                <w:sz w:val="24"/>
                <w:szCs w:val="24"/>
                <w:color w:val="auto"/>
              </w:rPr>
            </w:pPr>
          </w:p>
        </w:tc>
      </w:tr>
      <w:tr>
        <w:trPr>
          <w:trHeight w:val="226"/>
        </w:trPr>
        <w:tc>
          <w:tcPr>
            <w:tcW w:w="7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5"/>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11,568</w:t>
            </w:r>
          </w:p>
        </w:tc>
        <w:tc>
          <w:tcPr>
            <w:tcW w:w="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9,961</w:t>
            </w:r>
          </w:p>
        </w:tc>
        <w:tc>
          <w:tcPr>
            <w:tcW w:w="100" w:type="dxa"/>
            <w:vAlign w:val="bottom"/>
          </w:tcPr>
          <w:p>
            <w:pPr>
              <w:spacing w:after="0"/>
              <w:rPr>
                <w:sz w:val="20"/>
                <w:szCs w:val="20"/>
                <w:color w:val="auto"/>
              </w:rPr>
            </w:pPr>
          </w:p>
        </w:tc>
      </w:tr>
      <w:tr>
        <w:trPr>
          <w:trHeight w:val="247"/>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Collaboration payable, net</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26,809</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39,856</w:t>
            </w:r>
          </w:p>
        </w:tc>
        <w:tc>
          <w:tcPr>
            <w:tcW w:w="100" w:type="dxa"/>
            <w:vAlign w:val="bottom"/>
          </w:tcPr>
          <w:p>
            <w:pPr>
              <w:spacing w:after="0"/>
              <w:rPr>
                <w:sz w:val="20"/>
                <w:szCs w:val="20"/>
                <w:color w:val="auto"/>
              </w:rPr>
            </w:pPr>
          </w:p>
        </w:tc>
      </w:tr>
      <w:tr>
        <w:trPr>
          <w:trHeight w:val="247"/>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right-of-use liability</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capital lease</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r>
      <w:tr>
        <w:trPr>
          <w:trHeight w:val="236"/>
        </w:trPr>
        <w:tc>
          <w:tcPr>
            <w:tcW w:w="7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42,472</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58,096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liability, less current portion</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lease, less current portion</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r>
      <w:tr>
        <w:trPr>
          <w:trHeight w:val="236"/>
        </w:trPr>
        <w:tc>
          <w:tcPr>
            <w:tcW w:w="7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42,609</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58,684</w:t>
            </w:r>
          </w:p>
        </w:tc>
        <w:tc>
          <w:tcPr>
            <w:tcW w:w="100" w:type="dxa"/>
            <w:vAlign w:val="bottom"/>
          </w:tcPr>
          <w:p>
            <w:pPr>
              <w:spacing w:after="0"/>
              <w:rPr>
                <w:sz w:val="20"/>
                <w:szCs w:val="20"/>
                <w:color w:val="auto"/>
              </w:rPr>
            </w:pPr>
          </w:p>
        </w:tc>
      </w:tr>
      <w:tr>
        <w:trPr>
          <w:trHeight w:val="241"/>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0 shares</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1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outstanding at June 30, 2024 and December 31, 2023</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200,000,000 shares authorized; 85,028,629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84,826,632 shares issued and outstanding at June 30, 2024 and</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r>
      <w:tr>
        <w:trPr>
          <w:trHeight w:val="250"/>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1,478,009</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1,456,370</w:t>
            </w: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 gain</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(817 )</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0"/>
                <w:szCs w:val="20"/>
                <w:color w:val="auto"/>
              </w:rPr>
            </w:pPr>
          </w:p>
        </w:tc>
      </w:tr>
      <w:tr>
        <w:trPr>
          <w:trHeight w:val="243"/>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(1,042,863 )</w:t>
            </w:r>
          </w:p>
        </w:tc>
        <w:tc>
          <w:tcPr>
            <w:tcW w:w="2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(902,400 )</w:t>
            </w:r>
          </w:p>
        </w:tc>
      </w:tr>
      <w:tr>
        <w:trPr>
          <w:trHeight w:val="236"/>
        </w:trPr>
        <w:tc>
          <w:tcPr>
            <w:tcW w:w="7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434,338</w:t>
            </w:r>
          </w:p>
        </w:tc>
        <w:tc>
          <w:tcPr>
            <w:tcW w:w="30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554,196</w:t>
            </w:r>
          </w:p>
        </w:tc>
        <w:tc>
          <w:tcPr>
            <w:tcW w:w="100" w:type="dxa"/>
            <w:vAlign w:val="bottom"/>
            <w:tcBorders>
              <w:top w:val="single" w:sz="8" w:color="CFF0FC"/>
            </w:tcBorders>
          </w:tcPr>
          <w:p>
            <w:pPr>
              <w:spacing w:after="0"/>
              <w:rPr>
                <w:sz w:val="20"/>
                <w:szCs w:val="20"/>
                <w:color w:val="auto"/>
              </w:rPr>
            </w:pPr>
          </w:p>
        </w:tc>
      </w:tr>
      <w:tr>
        <w:trPr>
          <w:trHeight w:val="276"/>
        </w:trPr>
        <w:tc>
          <w:tcPr>
            <w:tcW w:w="7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476,947</w:t>
            </w:r>
          </w:p>
        </w:tc>
        <w:tc>
          <w:tcPr>
            <w:tcW w:w="3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612,880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82"/>
        </w:trPr>
        <w:tc>
          <w:tcPr>
            <w:tcW w:w="9380" w:type="dxa"/>
            <w:vAlign w:val="bottom"/>
            <w:gridSpan w:val="5"/>
          </w:tcPr>
          <w:p>
            <w:pPr>
              <w:ind w:left="2060"/>
              <w:spacing w:after="0" w:line="182" w:lineRule="exact"/>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4"/>
        </w:trPr>
        <w:tc>
          <w:tcPr>
            <w:tcW w:w="71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763"/>
        </w:trPr>
        <w:tc>
          <w:tcPr>
            <w:tcW w:w="7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-4688205</wp:posOffset>
            </wp:positionV>
            <wp:extent cx="77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-4671060</wp:posOffset>
            </wp:positionV>
            <wp:extent cx="77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-4688205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-4671060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-3419475</wp:posOffset>
            </wp:positionV>
            <wp:extent cx="77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-3419475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-2785110</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-2785110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-1122045</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-796290</wp:posOffset>
            </wp:positionV>
            <wp:extent cx="77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-779780</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0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82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466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Milestone and license revenue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48,655</w:t>
            </w:r>
          </w:p>
        </w:tc>
        <w:tc>
          <w:tcPr>
            <w:tcW w:w="3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34,764</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105,147</w:t>
            </w:r>
          </w:p>
        </w:tc>
        <w:tc>
          <w:tcPr>
            <w:tcW w:w="3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29,061</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14,914</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52,083</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26,875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77,716</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49,678</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157,230</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(74,216 )</w:t>
            </w:r>
          </w:p>
        </w:tc>
        <w:tc>
          <w:tcPr>
            <w:tcW w:w="3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(49,678 )</w:t>
            </w:r>
          </w:p>
        </w:tc>
        <w:tc>
          <w:tcPr>
            <w:tcW w:w="3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(153,730 )</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(95,694 )</w:t>
            </w:r>
          </w:p>
        </w:tc>
        <w:tc>
          <w:tcPr>
            <w:tcW w:w="0" w:type="dxa"/>
            <w:vAlign w:val="bottom"/>
          </w:tcPr>
          <w:p>
            <w:pPr>
              <w:spacing w:after="0"/>
              <w:rPr>
                <w:sz w:val="1"/>
                <w:szCs w:val="1"/>
                <w:color w:val="auto"/>
              </w:rPr>
            </w:pP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(45 )</w:t>
            </w: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(35 )</w:t>
            </w: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39"/>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3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(86 )</w:t>
            </w: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(93 )</w:t>
            </w: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(173 )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(240 )</w:t>
            </w:r>
          </w:p>
        </w:tc>
        <w:tc>
          <w:tcPr>
            <w:tcW w:w="0" w:type="dxa"/>
            <w:vAlign w:val="bottom"/>
          </w:tcPr>
          <w:p>
            <w:pPr>
              <w:spacing w:after="0"/>
              <w:rPr>
                <w:sz w:val="1"/>
                <w:szCs w:val="1"/>
                <w:color w:val="auto"/>
              </w:rPr>
            </w:pPr>
          </w:p>
        </w:tc>
      </w:tr>
      <w:tr>
        <w:trPr>
          <w:trHeight w:val="237"/>
        </w:trPr>
        <w:tc>
          <w:tcPr>
            <w:tcW w:w="4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30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13,267</w:t>
            </w:r>
          </w:p>
        </w:tc>
        <w:tc>
          <w:tcPr>
            <w:tcW w:w="30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(68,063 )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(44,615 )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(140,463 )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(85,741 )</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gain on marketable securities</w:t>
            </w:r>
          </w:p>
        </w:tc>
        <w:tc>
          <w:tcPr>
            <w:tcW w:w="3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(61 )</w:t>
            </w: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(238 )</w:t>
            </w: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(817 )</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(68,124 )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(44,853 )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(141,280 )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(85,509 )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(68,063 )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(44,615 )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(140,463 )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(85,741 )</w:t>
            </w: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stockholders—basic</w:t>
            </w: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(0.80 )</w:t>
            </w: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(0.64 )</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(1.65 )</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07"/>
        </w:trPr>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diluted</w:t>
            </w:r>
          </w:p>
        </w:tc>
        <w:tc>
          <w:tcPr>
            <w:tcW w:w="340" w:type="dxa"/>
            <w:vAlign w:val="bottom"/>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60" w:type="dxa"/>
            <w:vAlign w:val="bottom"/>
            <w:shd w:val="clear" w:color="auto" w:fill="CFF0FC"/>
          </w:tcPr>
          <w:p>
            <w:pPr>
              <w:ind w:left="20"/>
              <w:spacing w:after="0" w:line="192" w:lineRule="exact"/>
              <w:rPr>
                <w:sz w:val="20"/>
                <w:szCs w:val="20"/>
                <w:color w:val="auto"/>
              </w:rPr>
            </w:pPr>
            <w:r>
              <w:rPr>
                <w:rFonts w:ascii="Times New Roman" w:cs="Times New Roman" w:eastAsia="Times New Roman" w:hAnsi="Times New Roman"/>
                <w:sz w:val="18"/>
                <w:szCs w:val="18"/>
                <w:color w:val="auto"/>
              </w:rPr>
              <w:t>Weighted-average number of common shares used to compute</w:t>
            </w: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34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85,274,829</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69,638,427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85,244,015</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69,539,209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6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vMerge w:val="continue"/>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vMerge w:val="continue"/>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-3325495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-3325495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-3325495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-3325495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-2691130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-2691130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-2691130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-1748155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-1748155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-1748155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-1422400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-1405255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-1422400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-1405255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-1422400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-1405255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-1088390</wp:posOffset>
            </wp:positionV>
            <wp:extent cx="768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-1088390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-1088390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-1088390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-744855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-727710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-744855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-727710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-744855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-727710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-24765</wp:posOffset>
            </wp:positionV>
            <wp:extent cx="768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-7620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2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798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(140,463 )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(85,741 )</w:t>
            </w:r>
          </w:p>
        </w:tc>
      </w:tr>
      <w:tr>
        <w:trPr>
          <w:trHeight w:val="247"/>
        </w:trPr>
        <w:tc>
          <w:tcPr>
            <w:tcW w:w="7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247"/>
        </w:trPr>
        <w:tc>
          <w:tcPr>
            <w:tcW w:w="7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Accretion of investments</w:t>
            </w: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(7,470 )</w:t>
            </w:r>
          </w:p>
        </w:tc>
        <w:tc>
          <w:tcPr>
            <w:tcW w:w="3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(7,685 )</w:t>
            </w:r>
          </w:p>
        </w:tc>
      </w:tr>
      <w:tr>
        <w:trPr>
          <w:trHeight w:val="239"/>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0"/>
                <w:szCs w:val="20"/>
                <w:color w:val="auto"/>
              </w:rPr>
            </w:pPr>
          </w:p>
        </w:tc>
      </w:tr>
      <w:tr>
        <w:trPr>
          <w:trHeight w:val="247"/>
        </w:trPr>
        <w:tc>
          <w:tcPr>
            <w:tcW w:w="7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18,795</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14,303</w:t>
            </w:r>
          </w:p>
        </w:tc>
        <w:tc>
          <w:tcPr>
            <w:tcW w:w="100" w:type="dxa"/>
            <w:vAlign w:val="bottom"/>
            <w:shd w:val="clear" w:color="auto" w:fill="CFF0FC"/>
          </w:tcPr>
          <w:p>
            <w:pPr>
              <w:spacing w:after="0"/>
              <w:rPr>
                <w:sz w:val="21"/>
                <w:szCs w:val="21"/>
                <w:color w:val="auto"/>
              </w:rPr>
            </w:pPr>
          </w:p>
        </w:tc>
      </w:tr>
      <w:tr>
        <w:trPr>
          <w:trHeight w:val="239"/>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9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(890 )</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FF0FC"/>
          </w:tcPr>
          <w:p>
            <w:pPr>
              <w:spacing w:after="0"/>
              <w:rPr>
                <w:sz w:val="21"/>
                <w:szCs w:val="21"/>
                <w:color w:val="auto"/>
              </w:rPr>
            </w:pPr>
          </w:p>
        </w:tc>
      </w:tr>
      <w:tr>
        <w:trPr>
          <w:trHeight w:val="239"/>
        </w:trPr>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Collaboration (payable) receivable, net</w:t>
            </w:r>
          </w:p>
        </w:tc>
        <w:tc>
          <w:tcPr>
            <w:tcW w:w="34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(4,129 )</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00" w:type="dxa"/>
            <w:vAlign w:val="bottom"/>
          </w:tcPr>
          <w:p>
            <w:pPr>
              <w:spacing w:after="0"/>
              <w:rPr>
                <w:sz w:val="20"/>
                <w:szCs w:val="20"/>
                <w:color w:val="auto"/>
              </w:rPr>
            </w:pPr>
          </w:p>
        </w:tc>
      </w:tr>
      <w:tr>
        <w:trPr>
          <w:trHeight w:val="247"/>
        </w:trPr>
        <w:tc>
          <w:tcPr>
            <w:tcW w:w="79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Other receivable</w:t>
            </w: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(9,582 )</w:t>
            </w:r>
          </w:p>
        </w:tc>
        <w:tc>
          <w:tcPr>
            <w:tcW w:w="3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00" w:type="dxa"/>
            <w:vAlign w:val="bottom"/>
          </w:tcPr>
          <w:p>
            <w:pPr>
              <w:spacing w:after="0"/>
              <w:rPr>
                <w:sz w:val="20"/>
                <w:szCs w:val="20"/>
                <w:color w:val="auto"/>
              </w:rPr>
            </w:pPr>
          </w:p>
        </w:tc>
      </w:tr>
      <w:tr>
        <w:trPr>
          <w:trHeight w:val="243"/>
        </w:trPr>
        <w:tc>
          <w:tcPr>
            <w:tcW w:w="79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(13,553 )</w:t>
            </w:r>
          </w:p>
        </w:tc>
        <w:tc>
          <w:tcPr>
            <w:tcW w:w="3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(6,796 )</w:t>
            </w:r>
          </w:p>
        </w:tc>
      </w:tr>
      <w:tr>
        <w:trPr>
          <w:trHeight w:val="20"/>
        </w:trPr>
        <w:tc>
          <w:tcPr>
            <w:tcW w:w="79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(155,193 )</w:t>
            </w:r>
          </w:p>
        </w:tc>
        <w:tc>
          <w:tcPr>
            <w:tcW w:w="3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(74,599 )</w:t>
            </w:r>
          </w:p>
        </w:tc>
      </w:tr>
      <w:tr>
        <w:trPr>
          <w:trHeight w:val="241"/>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short and long-term investments</w:t>
            </w:r>
          </w:p>
        </w:tc>
        <w:tc>
          <w:tcPr>
            <w:tcW w:w="34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(167,385 )</w:t>
            </w:r>
          </w:p>
        </w:tc>
        <w:tc>
          <w:tcPr>
            <w:tcW w:w="3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(142,593 )</w:t>
            </w:r>
          </w:p>
        </w:tc>
      </w:tr>
      <w:tr>
        <w:trPr>
          <w:trHeight w:val="243"/>
        </w:trPr>
        <w:tc>
          <w:tcPr>
            <w:tcW w:w="7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sales and maturities of short-term investments</w:t>
            </w: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129,736</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4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(37,649 )</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93,822</w:t>
            </w:r>
          </w:p>
        </w:tc>
        <w:tc>
          <w:tcPr>
            <w:tcW w:w="100" w:type="dxa"/>
            <w:vAlign w:val="bottom"/>
          </w:tcPr>
          <w:p>
            <w:pPr>
              <w:spacing w:after="0"/>
              <w:rPr>
                <w:sz w:val="20"/>
                <w:szCs w:val="20"/>
                <w:color w:val="auto"/>
              </w:rPr>
            </w:pPr>
          </w:p>
        </w:tc>
      </w:tr>
      <w:tr>
        <w:trPr>
          <w:trHeight w:val="241"/>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20"/>
                <w:szCs w:val="20"/>
                <w:color w:val="auto"/>
              </w:rPr>
            </w:pPr>
          </w:p>
        </w:tc>
      </w:tr>
      <w:tr>
        <w:trPr>
          <w:trHeight w:val="243"/>
        </w:trPr>
        <w:tc>
          <w:tcPr>
            <w:tcW w:w="7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tcPr>
          <w:p>
            <w:pPr>
              <w:spacing w:after="0"/>
              <w:rPr>
                <w:sz w:val="20"/>
                <w:szCs w:val="20"/>
                <w:color w:val="auto"/>
              </w:rPr>
            </w:pPr>
          </w:p>
        </w:tc>
      </w:tr>
      <w:tr>
        <w:trPr>
          <w:trHeight w:val="241"/>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INCREASE CASH, CASH EQUIVALENTS AND RESTRICTED CASH</w:t>
            </w: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(189,998 )</w:t>
            </w: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23,021</w:t>
            </w:r>
          </w:p>
        </w:tc>
        <w:tc>
          <w:tcPr>
            <w:tcW w:w="100" w:type="dxa"/>
            <w:vAlign w:val="bottom"/>
            <w:shd w:val="clear" w:color="auto" w:fill="CFF0FC"/>
          </w:tcPr>
          <w:p>
            <w:pPr>
              <w:spacing w:after="0"/>
              <w:rPr>
                <w:sz w:val="20"/>
                <w:szCs w:val="20"/>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CASH—beginning of period</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295,611</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74,471</w:t>
            </w:r>
          </w:p>
        </w:tc>
        <w:tc>
          <w:tcPr>
            <w:tcW w:w="100" w:type="dxa"/>
            <w:vAlign w:val="bottom"/>
          </w:tcPr>
          <w:p>
            <w:pPr>
              <w:spacing w:after="0"/>
              <w:rPr>
                <w:sz w:val="21"/>
                <w:szCs w:val="21"/>
                <w:color w:val="auto"/>
              </w:rPr>
            </w:pPr>
          </w:p>
        </w:tc>
      </w:tr>
      <w:tr>
        <w:trPr>
          <w:trHeight w:val="272"/>
        </w:trPr>
        <w:tc>
          <w:tcPr>
            <w:tcW w:w="7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105,613</w:t>
            </w:r>
          </w:p>
        </w:tc>
        <w:tc>
          <w:tcPr>
            <w:tcW w:w="2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97,492</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-1936750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-1302385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-668020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Syndax Pharmaceuticals, Inc., is a clinical stage biopharmaceutical company developing an innovative pipeline of cancer therapies. We were incorporated in Delaware in 2005. We have operations in New York, New York and Waltham, Massachusetts and we operate in one segment. References in these notes to condensed consolidated financial statements to “Syndax,” “the Company,” “we,” “us” or “our” refer to Syndax Pharmaceuticals, Inc. and its wholly owned subsidiaries.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Company has prepared the accompanying condensed consolidated financial statements in conformity with accounting principles generally accepted in the United States of America, or U.S. GAAP. Certain information and footnote disclosures normally included in the Company’s annual financial statements have been condensed or omitted. The interim unaudited condensed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June 30, 2024, and the results of operations and comprehensive loss for the three and six months ended June 30, 2024 and 2023, and cash flows for the six months ended June 30, 2024 and 2023. The results for the three and six months ended June 30, 2024 are not necessarily indicative of the results to be expected for the year ending December 31, 2024, any other interim periods, or any future year or period. These interim financial statements should be read in conjunction with the audited financial statements as of and for the year ended December 31, 2023, and the notes thereto, which are included in the Company’s Annual Report on Form 10-K as filed with the Securities and Exchange Commission, or the SEC, on February 27, 2024.</w:t>
      </w:r>
    </w:p>
    <w:p>
      <w:pPr>
        <w:spacing w:after="0" w:line="19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2011, the Company established a wholly owned subsidiary in the United Kingdom, which the Company dissolved in June 2024. In 2014, the Company established a wholly owned U.S. subsidiary, and in 2021, the Company established a wholly owned subsidiary in the Netherlands. To date, there have been no material activities for these entities. All intercompany balances and transactions have been eliminated in consolidation.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which are disclosed in the audited consolidated financial statements for the year ended December 31, 2023, and the notes thereto are included in the Company’s Annual Report on Form 10-K that was filed with the SEC on February 27, 2024. Since the date of filing, there have been no material changes to the Company’s significant accounting policies except as noted below.</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46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of assets and liabilities and the disclosure of contingent assets and liabilities at the date of the condensed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condensed consolidated financial statements.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Significant Risks and Uncertainties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are subject to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our late-stage product candidate; delays or problems in the supply of our products, loss of single source suppliers or failure to comply with manufacturing regulations; identifying, acquiring or in-licensing additional products or product candidates; pharmaceutical product development and the inherent uncertainty of clinical success; the challenges of protecting and enhancing our intellectual property rights; and complying with applicable regulatory requirements.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ind w:left="520"/>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or other accounting standard setting bodies that we adopt as of the specified effective date. Unless otherwise discussed below, we do not believe that the adoption of recently issued standards have or may have a material impact on our consolidated statements or disclosures.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17"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all public entities, including public entities with a single reportable segment, to provide in interim and annual periods one or more measures of segment profit or loss used by the chief operating decision maker to allocate resources and assess performance. Additionally, the standard requires disclosures of significant segment expenses and other segment items as well as incremental qualitative disclosures. The guidance in this update is effective for fiscal years beginning after December 15, 2023, and interim periods after December 15, 2024. The Company is currently in the process of evaluating the effects of this pronouncement on our related disclosures.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Significant Collaborative Research and License Agreements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Incyte Collaboration</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September 2021, the Company entered into the Incyte License and Collaboration Agreement, or the Incyte License, with Incyte covering the worldwide development and commercialization of axatilimab. Also in September 2021, the Company entered into a share purchase agreement with Incyte, or the Incyte Share Purchase Agreement. These agreements are collectively referred to as the Incyte Agreements. Under the terms of the Incyte Agreements, Incyte received exclusive commercialization rights outside of the United States, subject to certain royalty payment obligations set forth below. In the United States, Incyte and the Company will co-commercialize axatilimab, with the Company having the right to co-promote axatilimab with Incyte, subject to the Company’s exercise of its co-promotion option. Incyte will be responsible for leading all aspects of the commercialization of axatilimab in the United States. The Company and Incyte will share equally the profits and losses from co-commercialization efforts in the United States. The Company and Incyte have agreed to co-develop axatilimab and to share development costs associated with global and U.S. – specific clinical trials, with Incyte responsible for 55% of such costs and the Company responsible for 45% of such costs. Each company will be responsible for funding any of its own independent development activities. Incyte is responsible for 100% of future development costs for trials that are specific to ex-U.S. countries. All development costs related to the collaboration will be subject to a joint development plan.</w:t>
      </w:r>
    </w:p>
    <w:p>
      <w:pPr>
        <w:spacing w:after="0" w:line="84"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Under the terms of the Incyte Agreements, in December 2021, Incyte paid the Company a non-refundable cash payment of $117.0 million and the Company issued 1,421,523 shares of common stock with an aggregate purchase price of $35.0 million, or $24.62 per share. Additionally, under the terms of the Incyte Agreements, the Company is eligible to receive up to $220.0 million in future contingent development and regulatory milestones and up to $230.0 million in commercialization milestones as well as tiered royalties ranging in the mid-teens percentage on net sales of the licensed product comprising axatilimab in Europe and Japan and low double digit percentage in the rest of the world outside of the United States. The Company’s right to receive royalties in any particular country will expire upon the last to occur of (a) the expiration of licensed patent rights covering the licensed product in that particular country, (b) a specified period of time after the first post - marketing authorization sale of a licensed product in that country, and (c) the expiration of any regulatory exclusivity for that licensed product in that country.</w:t>
      </w:r>
    </w:p>
    <w:p>
      <w:pPr>
        <w:spacing w:after="0" w:line="8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of June 30, 2024, the Company has recorded approximately $2.0 million as a collaboration receivable due from Incyte related to the Company’s development and pre-commercialization costs under the Incyte Agreements and has recorded approximately $5.1 million as a collaboration payable due to Incyte for development and pre-commercialization costs incurred by Incyte as of June 30, 2024. Both expense and cost offset are recorded as part of research and development expense and general and administrative expense.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Vitae Pharmaceuticals, Inc.</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October 2017, the Company entered into a license agreement, or the Vitae License Agreement, with Vitae Pharmaceuticals, LLC, or Vitae, a subsidiary of AbbVie, Inc., under which the Company was granted an exclusive, sublicensable, worldwide license to a portfolio of preclinical, orally available, small molecule inhibitors of the Menin–KMT2A binding interaction, or the Menin Assets. Subject to the achievement of certain milestone events, the Company may be required to pay Allergan up to $99.0 million in one-time development and regulatory milestone payments over the term of the Vitae License Agreement. In the event that the Company or any of its affiliates or sublicensees commercializes the Menin Assets, the Company will also be obligated to pay Vitae low single to low double-digit royalties on sales, subject to reduction in certain circumstances, as well as up to an aggregate of $70.0 million in potential one-time, sales-based milestone payments based on achievement of certain annual sales thresholds. The Company is solely responsible for the development and commercialization of the Menin Assets. Each party may terminate the Vitae License Agreement for the other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8" w:name="page9"/>
    <w:bookmarkEnd w:id="8"/>
    <w:p>
      <w:pPr>
        <w:ind w:right="220"/>
        <w:spacing w:after="0" w:line="256" w:lineRule="auto"/>
        <w:rPr>
          <w:sz w:val="20"/>
          <w:szCs w:val="20"/>
          <w:color w:val="auto"/>
        </w:rPr>
      </w:pPr>
      <w:r>
        <w:rPr>
          <w:rFonts w:ascii="Times New Roman" w:cs="Times New Roman" w:eastAsia="Times New Roman" w:hAnsi="Times New Roman"/>
          <w:sz w:val="18"/>
          <w:szCs w:val="18"/>
          <w:color w:val="auto"/>
        </w:rPr>
        <w:t>party’s uncured material breach or insolvency, and the Company may terminate the Vitae License Agreement at any time upon advance written notice to Vitae. Vitae may terminate the Vitae License Agreement if the Company or any of its affiliates or sublicensees institutes a legal challenge to the validity, enforceability, or patentability of the licensed patent rights. Unless terminated earlier in accordance with its terms, the Vitae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of the date of the Vitae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Since the effective date of the Vitae License Agreement, the Company achieved certain development and regulatory milestones, resulting in $18.0 million in expense, which includes $8.0 million paid in the three months ended June 30, 2024.</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UCB Biopharma Sprl</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2016, the Company entered into a license agreement, or the UCB License Agreement, as amended from time to time, with UCB Biopharma Sprl, or UCB, under which UCB granted to the Company a worldwide, sublicensable, exclusive license to UCB6352, which the Company refers to as axatilimab, an anti-CSF-1R monoclonal antibody. Subject to the achievement of certain milestone events, the Company may be required to pay UCB up to $119.5 million in one-time development and regulatory milestone payments over the term of the UCB License Agreement. In the event that the Company or any of its affiliates or sublicensees commercializes axatilimab,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is solely responsible for the development and commercialization of axatilimab, except that UCB was responsible for performing a limited set of transitional chemistry, manufacturing and control tasks related to axatilimab. Each party may terminate the UCB License Agreement for the other party’s uncured material breach or insolvency, and the Company may terminate the UCB License Agreement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8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2016, the upfront payment of $5.0 million was recorded as research and development expense in the consolidated statements of operations. Additionally, in connection with its most recent amendment of the UCB License Agreement, in the second quarter of 2022 the Company paid UCB $5.8 million, which was recognized as a milestone expense. Since the effective date of the license agreement, the Company achieved certain development and regulatory milestones and has recorded $16.0 million as research and development expense, which includes $10.0 million paid in the three months ended March 31, 2024.</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Bayer Pharma AG (formerly known as Bayer Schering Pharma AG)</w:t>
      </w:r>
    </w:p>
    <w:p>
      <w:pPr>
        <w:spacing w:after="0" w:line="121"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auto"/>
        </w:rPr>
        <w:t>In March 2007, the Company entered into a license agreement with Bayer Schering Pharma AG, or Bayer, for a worldwide, exclusive license to develop and commercialize entinostat and any other products containing the same active ingredient. The Company will pay Bayer royalties on a sliding scale based on net sales, if any, and make future milestone payments to Bayer of up to $150.0 million in the event that certain specified development and regulatory goals and sales levels are achieved.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Eddingpharm Investment Company Limited</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August 2016, the Company entered into a license agreement with Eddingpharm Investment Company, or Eddingpharm, to develop and commercialize entinostat. Eddingpharm will pay the Company royalties on a sliding scale based on net sales, if any, and make future milestone payments up to $10.0 million in the event that certain specified development and regulatory goals are achieved. In April 2024, certain milestones were achieved and the Company recognized $3.5 million of milestone and license revenue in the three months ended June 30, 2024.</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5. Net Loss per Share Attributable to Common Stockholders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the net loss attributable to common stockholders by the weighted-average number of common shares outstanding for the period. Because the Company has reported a net loss for all periods presented, diluted net loss per common share is the same as basic net loss per common share for those periods. The following table summarizes the computation of basic and diluted net loss per share attributable to common stockholders of the Company:</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0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270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49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73"/>
              </w:rPr>
              <w:t>except</w:t>
            </w:r>
          </w:p>
        </w:tc>
        <w:tc>
          <w:tcPr>
            <w:tcW w:w="1440" w:type="dxa"/>
            <w:vAlign w:val="bottom"/>
            <w:gridSpan w:val="2"/>
          </w:tcPr>
          <w:p>
            <w:pPr>
              <w:jc w:val="right"/>
              <w:ind w:right="394"/>
              <w:spacing w:after="0" w:line="131" w:lineRule="exact"/>
              <w:rPr>
                <w:sz w:val="20"/>
                <w:szCs w:val="20"/>
                <w:color w:val="auto"/>
              </w:rPr>
            </w:pPr>
            <w:r>
              <w:rPr>
                <w:rFonts w:ascii="Times New Roman" w:cs="Times New Roman" w:eastAsia="Times New Roman" w:hAnsi="Times New Roman"/>
                <w:sz w:val="14"/>
                <w:szCs w:val="14"/>
                <w:b w:val="1"/>
                <w:bCs w:val="1"/>
                <w:color w:val="auto"/>
              </w:rPr>
              <w:t>share and per</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gridSpan w:val="3"/>
          </w:tcPr>
          <w:p>
            <w:pPr>
              <w:jc w:val="right"/>
              <w:ind w:right="234"/>
              <w:spacing w:after="0" w:line="131" w:lineRule="exact"/>
              <w:rPr>
                <w:sz w:val="20"/>
                <w:szCs w:val="20"/>
                <w:color w:val="auto"/>
              </w:rPr>
            </w:pPr>
            <w:r>
              <w:rPr>
                <w:rFonts w:ascii="Times New Roman" w:cs="Times New Roman" w:eastAsia="Times New Roman" w:hAnsi="Times New Roman"/>
                <w:sz w:val="14"/>
                <w:szCs w:val="14"/>
                <w:b w:val="1"/>
                <w:bCs w:val="1"/>
                <w:color w:val="auto"/>
                <w:w w:val="99"/>
              </w:rPr>
              <w:t>except share and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3"/>
          </w:tcPr>
          <w:p>
            <w:pPr>
              <w:jc w:val="center"/>
              <w:ind w:left="679"/>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Numerator—basic and diluted:</w:t>
            </w: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(68,063 )</w:t>
            </w:r>
          </w:p>
        </w:tc>
        <w:tc>
          <w:tcPr>
            <w:tcW w:w="4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(44,615 )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(140,463 )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(85,741 )</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w:t>
            </w:r>
          </w:p>
        </w:tc>
        <w:tc>
          <w:tcPr>
            <w:tcW w:w="30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vMerge w:val="restart"/>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(68,063 )</w:t>
            </w:r>
          </w:p>
        </w:tc>
        <w:tc>
          <w:tcPr>
            <w:tcW w:w="400" w:type="dxa"/>
            <w:vAlign w:val="bottom"/>
            <w:vMerge w:val="restart"/>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(44,615 )</w:t>
            </w: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vMerge w:val="restart"/>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(140,463 )</w:t>
            </w:r>
          </w:p>
        </w:tc>
        <w:tc>
          <w:tcPr>
            <w:tcW w:w="380" w:type="dxa"/>
            <w:vAlign w:val="bottom"/>
            <w:vMerge w:val="restart"/>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(85,741 )</w:t>
            </w:r>
          </w:p>
        </w:tc>
        <w:tc>
          <w:tcPr>
            <w:tcW w:w="0" w:type="dxa"/>
            <w:vAlign w:val="bottom"/>
          </w:tcPr>
          <w:p>
            <w:pPr>
              <w:spacing w:after="0"/>
              <w:rPr>
                <w:sz w:val="1"/>
                <w:szCs w:val="1"/>
                <w:color w:val="auto"/>
              </w:rPr>
            </w:pPr>
          </w:p>
        </w:tc>
      </w:tr>
      <w:tr>
        <w:trPr>
          <w:trHeight w:val="227"/>
        </w:trPr>
        <w:tc>
          <w:tcPr>
            <w:tcW w:w="4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stockholders—basic and diluted</w:t>
            </w:r>
          </w:p>
        </w:tc>
        <w:tc>
          <w:tcPr>
            <w:tcW w:w="300" w:type="dxa"/>
            <w:vAlign w:val="bottom"/>
            <w:vMerge w:val="continue"/>
            <w:shd w:val="clear" w:color="auto" w:fill="CFF0FC"/>
          </w:tcPr>
          <w:p>
            <w:pPr>
              <w:spacing w:after="0"/>
              <w:rPr>
                <w:sz w:val="19"/>
                <w:szCs w:val="19"/>
                <w:color w:val="auto"/>
              </w:rPr>
            </w:pPr>
          </w:p>
        </w:tc>
        <w:tc>
          <w:tcPr>
            <w:tcW w:w="1400" w:type="dxa"/>
            <w:vAlign w:val="bottom"/>
            <w:gridSpan w:val="2"/>
            <w:vMerge w:val="continue"/>
            <w:shd w:val="clear" w:color="auto" w:fill="CFF0FC"/>
          </w:tcPr>
          <w:p>
            <w:pPr>
              <w:spacing w:after="0"/>
              <w:rPr>
                <w:sz w:val="19"/>
                <w:szCs w:val="19"/>
                <w:color w:val="auto"/>
              </w:rPr>
            </w:pPr>
          </w:p>
        </w:tc>
        <w:tc>
          <w:tcPr>
            <w:tcW w:w="400" w:type="dxa"/>
            <w:vAlign w:val="bottom"/>
            <w:vMerge w:val="continue"/>
            <w:shd w:val="clear" w:color="auto" w:fill="CFF0FC"/>
          </w:tcPr>
          <w:p>
            <w:pPr>
              <w:spacing w:after="0"/>
              <w:rPr>
                <w:sz w:val="19"/>
                <w:szCs w:val="19"/>
                <w:color w:val="auto"/>
              </w:rPr>
            </w:pPr>
          </w:p>
        </w:tc>
        <w:tc>
          <w:tcPr>
            <w:tcW w:w="1300" w:type="dxa"/>
            <w:vAlign w:val="bottom"/>
            <w:gridSpan w:val="2"/>
            <w:vMerge w:val="continue"/>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1280" w:type="dxa"/>
            <w:vAlign w:val="bottom"/>
            <w:gridSpan w:val="2"/>
            <w:vMerge w:val="continue"/>
            <w:shd w:val="clear" w:color="auto" w:fill="CFF0FC"/>
          </w:tcPr>
          <w:p>
            <w:pPr>
              <w:spacing w:after="0"/>
              <w:rPr>
                <w:sz w:val="19"/>
                <w:szCs w:val="19"/>
                <w:color w:val="auto"/>
              </w:rPr>
            </w:pPr>
          </w:p>
        </w:tc>
        <w:tc>
          <w:tcPr>
            <w:tcW w:w="380" w:type="dxa"/>
            <w:vAlign w:val="bottom"/>
            <w:vMerge w:val="continue"/>
            <w:shd w:val="clear" w:color="auto" w:fill="CFF0FC"/>
          </w:tcPr>
          <w:p>
            <w:pPr>
              <w:spacing w:after="0"/>
              <w:rPr>
                <w:sz w:val="19"/>
                <w:szCs w:val="19"/>
                <w:color w:val="auto"/>
              </w:rPr>
            </w:pPr>
          </w:p>
        </w:tc>
        <w:tc>
          <w:tcPr>
            <w:tcW w:w="10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94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vMerge w:val="restart"/>
          </w:tcPr>
          <w:p>
            <w:pPr>
              <w:jc w:val="right"/>
              <w:ind w:right="113"/>
              <w:spacing w:after="0"/>
              <w:rPr>
                <w:sz w:val="20"/>
                <w:szCs w:val="20"/>
                <w:color w:val="auto"/>
              </w:rPr>
            </w:pPr>
            <w:r>
              <w:rPr>
                <w:rFonts w:ascii="Times New Roman" w:cs="Times New Roman" w:eastAsia="Times New Roman" w:hAnsi="Times New Roman"/>
                <w:sz w:val="18"/>
                <w:szCs w:val="18"/>
                <w:color w:val="auto"/>
              </w:rPr>
              <w:t>(0.80 )</w:t>
            </w:r>
          </w:p>
        </w:tc>
        <w:tc>
          <w:tcPr>
            <w:tcW w:w="400" w:type="dxa"/>
            <w:vAlign w:val="bottom"/>
            <w:vMerge w:val="restart"/>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(0.64 )</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8"/>
                <w:szCs w:val="18"/>
                <w:color w:val="auto"/>
              </w:rPr>
              <w:t>(1.65 )</w:t>
            </w: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07"/>
        </w:trPr>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stockholders—basic and diluted</w:t>
            </w:r>
          </w:p>
        </w:tc>
        <w:tc>
          <w:tcPr>
            <w:tcW w:w="300" w:type="dxa"/>
            <w:vAlign w:val="bottom"/>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Denominator—basic and diluted:</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used to compute net loss per share attributable</w:t>
            </w:r>
          </w:p>
        </w:tc>
        <w:tc>
          <w:tcPr>
            <w:tcW w:w="3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85,274,829</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69,638,427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85,244,015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69,539,209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common stockholders—basic and diluted</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-899160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-882015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-899160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-882015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-899160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-882015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ind w:left="83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00" w:type="dxa"/>
            <w:vAlign w:val="bottom"/>
          </w:tcPr>
          <w:p>
            <w:pPr>
              <w:spacing w:after="0"/>
              <w:rPr>
                <w:sz w:val="14"/>
                <w:szCs w:val="14"/>
                <w:color w:val="auto"/>
              </w:rPr>
            </w:pPr>
          </w:p>
        </w:tc>
        <w:tc>
          <w:tcPr>
            <w:tcW w:w="15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20" w:type="dxa"/>
            <w:vAlign w:val="bottom"/>
            <w:tcBorders>
              <w:top w:val="single" w:sz="8" w:color="auto"/>
              <w:bottom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12,226,274</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10,429,475</w:t>
            </w:r>
          </w:p>
        </w:tc>
        <w:tc>
          <w:tcPr>
            <w:tcW w:w="100" w:type="dxa"/>
            <w:vAlign w:val="bottom"/>
            <w:shd w:val="clear" w:color="auto" w:fill="CFF0FC"/>
          </w:tcPr>
          <w:p>
            <w:pPr>
              <w:spacing w:after="0"/>
              <w:rPr>
                <w:sz w:val="20"/>
                <w:szCs w:val="20"/>
                <w:color w:val="auto"/>
              </w:rPr>
            </w:pPr>
          </w:p>
        </w:tc>
      </w:tr>
      <w:tr>
        <w:trPr>
          <w:trHeight w:val="239"/>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29,426</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15,331</w:t>
            </w:r>
          </w:p>
        </w:tc>
        <w:tc>
          <w:tcPr>
            <w:tcW w:w="100" w:type="dxa"/>
            <w:vAlign w:val="bottom"/>
          </w:tcPr>
          <w:p>
            <w:pPr>
              <w:spacing w:after="0"/>
              <w:rPr>
                <w:sz w:val="20"/>
                <w:szCs w:val="20"/>
                <w:color w:val="auto"/>
              </w:rPr>
            </w:pPr>
          </w:p>
        </w:tc>
      </w:tr>
      <w:tr>
        <w:trPr>
          <w:trHeight w:val="247"/>
        </w:trPr>
        <w:tc>
          <w:tcPr>
            <w:tcW w:w="7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 (RSUs)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1,486,146</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526,736</w:t>
            </w:r>
          </w:p>
        </w:tc>
        <w:tc>
          <w:tcPr>
            <w:tcW w:w="100" w:type="dxa"/>
            <w:vAlign w:val="bottom"/>
            <w:shd w:val="clear" w:color="auto" w:fill="CFF0FC"/>
          </w:tcPr>
          <w:p>
            <w:pPr>
              <w:spacing w:after="0"/>
              <w:rPr>
                <w:sz w:val="21"/>
                <w:szCs w:val="21"/>
                <w:color w:val="auto"/>
              </w:rPr>
            </w:pPr>
          </w:p>
        </w:tc>
      </w:tr>
    </w:tbl>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additional information related to the Company’s common stock see Note 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Other Receivables</w:t>
      </w:r>
    </w:p>
    <w:p>
      <w:pPr>
        <w:spacing w:after="0" w:line="121"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Contemporaneous with the Company’s New Drug Application, or NDA, submission to the U.S. Food and Drug Administration for revumenib, it was required to pay a $6.1 million refundable fee under the Prescription Drug User Fee Act, or PDUFA. The $6.1 million payment was made in January 2024.</w:t>
      </w:r>
    </w:p>
    <w:p>
      <w:pPr>
        <w:spacing w:after="0" w:line="6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April 2024, entinostat received marketing approval in China. As of June 30, 2024, the Company has recorded a $3.5 million milestone receivable related to achieved milestones under the license agreement with Eddingpharm.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(unadjusted) in active markets that are accessible at the market date for identical unrestricted assets or liabilities.</w:t>
      </w:r>
    </w:p>
    <w:p>
      <w:pPr>
        <w:spacing w:after="0" w:line="117" w:lineRule="exact"/>
        <w:rPr>
          <w:sz w:val="20"/>
          <w:szCs w:val="20"/>
          <w:color w:val="auto"/>
        </w:rPr>
      </w:pPr>
    </w:p>
    <w:p>
      <w:pPr>
        <w:jc w:val="both"/>
        <w:ind w:left="1020" w:right="380" w:hanging="48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other than Level 1 that are observable, either directly or indirectly, such as quoted prices for similar assets or liabilities;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in markets that are not active; or other inputs for which all significant inputs are observable or can be corroborated by observable market data for substantially the full term of the assets or liabilities.</w:t>
      </w:r>
    </w:p>
    <w:p>
      <w:pPr>
        <w:spacing w:after="0" w:line="65" w:lineRule="exact"/>
        <w:rPr>
          <w:sz w:val="20"/>
          <w:szCs w:val="20"/>
          <w:color w:val="auto"/>
        </w:rPr>
      </w:pPr>
    </w:p>
    <w:p>
      <w:pPr>
        <w:jc w:val="center"/>
        <w:ind w:left="600" w:right="2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0" w:name="page11"/>
    <w:bookmarkEnd w:id="10"/>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table below presents information about the Company’s assets and liabilities that are regularly measured and carried at fair value and indicate the level within the fair value hierarchy of valuation techniques the Company utilized to determine such fair values (in thousands):</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8"/>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4"/>
                <w:szCs w:val="14"/>
                <w:b w:val="1"/>
                <w:bCs w:val="1"/>
                <w:color w:val="auto"/>
              </w:rPr>
              <w:t>Quoted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(unadjusted)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75"/>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76"/>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87"/>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3"/>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20" w:type="dxa"/>
            <w:vAlign w:val="bottom"/>
            <w:shd w:val="clear" w:color="auto" w:fill="CFF0FC"/>
          </w:tcPr>
          <w:p>
            <w:pPr>
              <w:spacing w:after="0"/>
              <w:rPr>
                <w:sz w:val="19"/>
                <w:szCs w:val="19"/>
                <w:color w:val="auto"/>
              </w:rPr>
            </w:pPr>
          </w:p>
        </w:tc>
        <w:tc>
          <w:tcPr>
            <w:tcW w:w="5760" w:type="dxa"/>
            <w:vAlign w:val="bottom"/>
            <w:gridSpan w:val="3"/>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20" w:type="dxa"/>
            <w:vAlign w:val="bottom"/>
            <w:tcBorders>
              <w:top w:val="single" w:sz="8" w:color="CFF0FC"/>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Assets:</w:t>
            </w:r>
          </w:p>
        </w:tc>
        <w:tc>
          <w:tcPr>
            <w:tcW w:w="4720" w:type="dxa"/>
            <w:vAlign w:val="bottom"/>
            <w:tcBorders>
              <w:top w:val="single" w:sz="8" w:color="CFF0FC"/>
            </w:tcBorders>
            <w:gridSpan w:val="2"/>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96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02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98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02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57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105,396</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105,396</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0" w:type="dxa"/>
            <w:vAlign w:val="bottom"/>
          </w:tcPr>
          <w:p>
            <w:pPr>
              <w:spacing w:after="0"/>
              <w:rPr>
                <w:sz w:val="20"/>
                <w:szCs w:val="20"/>
                <w:color w:val="auto"/>
              </w:rPr>
            </w:pP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319,701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319,701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576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29,516</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29,516</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7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454,613</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105,396</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349,217</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gridSpan w:val="2"/>
            <w:shd w:val="clear" w:color="auto" w:fill="CFF0FC"/>
          </w:tcPr>
          <w:p>
            <w:pPr>
              <w:spacing w:after="0" w:line="174" w:lineRule="exact"/>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4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39"/>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57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295,394</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295,394</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0" w:type="dxa"/>
            <w:vAlign w:val="bottom"/>
          </w:tcPr>
          <w:p>
            <w:pPr>
              <w:spacing w:after="0"/>
              <w:rPr>
                <w:sz w:val="20"/>
                <w:szCs w:val="20"/>
                <w:color w:val="auto"/>
              </w:rPr>
            </w:pP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275,304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275,304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576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29,829</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29,829</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7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600,527</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295,394</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305,133</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-1148080</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-1148080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-1148080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There have been no material impairments of our assets measured and carried at fair value during the period ended June 30, 2024 and 2023. In addition, there have been no changes in valuation techniques during the periods ended June 30, 2024 and 2023. The fair value of Level 1 instruments classified as cash equivalents are valued using quoted market prices in active markets. The fair value of Level 2 instruments classified as cash equivalents and short and long-term investments are determined based on quoted prices in active markets, which are either directly or indirectly observable as of the reporting date with fair value being determined using models or other valuation methodologies.</w:t>
      </w:r>
    </w:p>
    <w:p>
      <w:pPr>
        <w:spacing w:after="0" w:line="18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Company’s short and long-term investments are classified as available-for-sale securities. As of June 30, 2024, the remaining contractual maturities of the available-for-sale securities were 1 to 16 months, and the balance in the Company’s accumulated other comprehensive loss was comprised solely of activity related to the Company’s available-for-sale securities. There were no realized gains or losses recognized on the sale or maturity of available-for-sale securities, during the three and six months ended June 30, 2024 and 2023. As a result, the Company did not reclassify any amounts out of accumulated other comprehensive loss for the same periods. The Company has a limited number of available-for-sale securities that are not in significant loss positions as of June 30, 2024, which the Company does not intend to sell, and it has concluded it will not be required to sell before recovery of the amortized cost for the investment at maturity.</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available-for-sale securities: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4"/>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3540" w:type="dxa"/>
            <w:vAlign w:val="bottom"/>
            <w:gridSpan w:val="3"/>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June 30, 2024</w:t>
            </w:r>
          </w:p>
        </w:tc>
        <w:tc>
          <w:tcPr>
            <w:tcW w:w="2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auto"/>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2080" w:type="dxa"/>
            <w:vAlign w:val="bottom"/>
            <w:tcBorders>
              <w:top w:val="single" w:sz="8" w:color="CFF0FC"/>
            </w:tcBorders>
            <w:shd w:val="clear" w:color="auto" w:fill="CFF0FC"/>
          </w:tcPr>
          <w:p>
            <w:pPr>
              <w:spacing w:after="0"/>
              <w:rPr>
                <w:sz w:val="2"/>
                <w:szCs w:val="2"/>
                <w:color w:val="auto"/>
              </w:rPr>
            </w:pPr>
          </w:p>
        </w:tc>
        <w:tc>
          <w:tcPr>
            <w:tcW w:w="222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9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9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9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125,696</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(73 )</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35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40,037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2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(669 )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35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 bonds</w:t>
            </w:r>
          </w:p>
        </w:tc>
        <w:tc>
          <w:tcPr>
            <w:tcW w:w="2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080" w:type="dxa"/>
            <w:vAlign w:val="bottom"/>
            <w:shd w:val="clear" w:color="auto" w:fill="CFF0FC"/>
          </w:tcPr>
          <w:p>
            <w:pPr>
              <w:spacing w:after="0" w:line="20" w:lineRule="exact"/>
              <w:rPr>
                <w:sz w:val="1"/>
                <w:szCs w:val="1"/>
                <w:color w:val="auto"/>
              </w:rPr>
            </w:pPr>
          </w:p>
        </w:tc>
        <w:tc>
          <w:tcPr>
            <w:tcW w:w="2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350,034</w:t>
            </w:r>
          </w:p>
        </w:tc>
        <w:tc>
          <w:tcPr>
            <w:tcW w:w="280" w:type="dxa"/>
            <w:vAlign w:val="bottom"/>
            <w:gridSpan w:val="2"/>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(817 )</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gridSpan w:val="2"/>
            <w:shd w:val="clear" w:color="auto" w:fill="CFF0FC"/>
          </w:tcPr>
          <w:p>
            <w:pPr>
              <w:spacing w:after="0" w:line="174" w:lineRule="exact"/>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2080" w:type="dxa"/>
            <w:vAlign w:val="bottom"/>
            <w:tcBorders>
              <w:bottom w:val="single" w:sz="8" w:color="CFF0FC"/>
            </w:tcBorders>
            <w:shd w:val="clear" w:color="auto" w:fill="CFF0FC"/>
          </w:tcPr>
          <w:p>
            <w:pPr>
              <w:spacing w:after="0"/>
              <w:rPr>
                <w:sz w:val="18"/>
                <w:szCs w:val="18"/>
                <w:color w:val="auto"/>
              </w:rPr>
            </w:pPr>
          </w:p>
        </w:tc>
        <w:tc>
          <w:tcPr>
            <w:tcW w:w="2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160,657</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35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47,150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2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35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 bonds</w:t>
            </w:r>
          </w:p>
        </w:tc>
        <w:tc>
          <w:tcPr>
            <w:tcW w:w="2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28,998</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080" w:type="dxa"/>
            <w:vAlign w:val="bottom"/>
            <w:shd w:val="clear" w:color="auto" w:fill="CFF0FC"/>
          </w:tcPr>
          <w:p>
            <w:pPr>
              <w:spacing w:after="0" w:line="20" w:lineRule="exact"/>
              <w:rPr>
                <w:sz w:val="1"/>
                <w:szCs w:val="1"/>
                <w:color w:val="auto"/>
              </w:rPr>
            </w:pPr>
          </w:p>
        </w:tc>
        <w:tc>
          <w:tcPr>
            <w:tcW w:w="2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304,916</w:t>
            </w:r>
          </w:p>
        </w:tc>
        <w:tc>
          <w:tcPr>
            <w:tcW w:w="280" w:type="dxa"/>
            <w:vAlign w:val="bottom"/>
            <w:gridSpan w:val="2"/>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gridSpan w:val="2"/>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-1919605</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-1919605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-1919605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-959485</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-959485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-959485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Prepaid Expenses and Other Current Assets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9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202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gridSpan w:val="4"/>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receivable on investments</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subscription</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state and local taxes</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rent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 Current Liabilities</w:t>
            </w: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4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2020" w:type="dxa"/>
            <w:vAlign w:val="bottom"/>
            <w:gridSpan w:val="4"/>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gridSpan w:val="4"/>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clinical study and trial costs</w:t>
            </w:r>
          </w:p>
        </w:tc>
        <w:tc>
          <w:tcPr>
            <w:tcW w:w="2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17,516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costs</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7,779</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1,294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milestone costs</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2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26,809</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39,856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-1877060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-1877060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-25400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 January 2024, the number of shares of common stock available for issuance under the Company’s 2015 Omnibus Incentive Plan, or the 2015 Plan, was increased by 3,393,065 shares of common stock due to the automatic annual provision to increase shares of common stock available under the 2015 Plan. Additionally in December 2023, the Company’s board of directors approved an increase of 1,100,000 shares of common stock available for issuance under the Company’s 2023 Inducement Plan, or Inducement Plan.</w:t>
      </w:r>
    </w:p>
    <w:p>
      <w:pPr>
        <w:spacing w:after="0" w:line="7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there were 3,798,637 shares of common stock available for issuance under the 2015 Plan and 323,150 shares of common stock available for issuance under the Inducement Plan.</w:t>
      </w:r>
    </w:p>
    <w:p>
      <w:pPr>
        <w:spacing w:after="0" w:line="5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the issuance of stock option awards and restricted stock units to employees and non-employees and related to the Company’s 2015 Employee Stock Purchase Plan, or ESPP, in the condensed consolidated statements of comprehensive loss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60" w:type="dxa"/>
            <w:vAlign w:val="bottom"/>
          </w:tcPr>
          <w:p>
            <w:pPr>
              <w:spacing w:after="0"/>
              <w:rPr>
                <w:sz w:val="16"/>
                <w:szCs w:val="16"/>
                <w:color w:val="auto"/>
              </w:rPr>
            </w:pPr>
          </w:p>
        </w:tc>
        <w:tc>
          <w:tcPr>
            <w:tcW w:w="2700" w:type="dxa"/>
            <w:vAlign w:val="bottom"/>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460" w:type="dxa"/>
            <w:vAlign w:val="bottom"/>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446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126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6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8,461</w:t>
            </w:r>
          </w:p>
        </w:tc>
        <w:tc>
          <w:tcPr>
            <w:tcW w:w="7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100" w:type="dxa"/>
            <w:vAlign w:val="bottom"/>
            <w:shd w:val="clear" w:color="auto" w:fill="CFF0FC"/>
          </w:tcPr>
          <w:p>
            <w:pPr>
              <w:spacing w:after="0"/>
              <w:rPr>
                <w:sz w:val="21"/>
                <w:szCs w:val="2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3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10,334</w:t>
            </w:r>
          </w:p>
        </w:tc>
        <w:tc>
          <w:tcPr>
            <w:tcW w:w="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7,827</w:t>
            </w:r>
          </w:p>
        </w:tc>
        <w:tc>
          <w:tcPr>
            <w:tcW w:w="100" w:type="dxa"/>
            <w:vAlign w:val="bottom"/>
          </w:tcPr>
          <w:p>
            <w:pPr>
              <w:spacing w:after="0"/>
              <w:rPr>
                <w:sz w:val="20"/>
                <w:szCs w:val="20"/>
                <w:color w:val="auto"/>
              </w:rPr>
            </w:pPr>
          </w:p>
        </w:tc>
      </w:tr>
      <w:tr>
        <w:trPr>
          <w:trHeight w:val="277"/>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3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18,795</w:t>
            </w:r>
          </w:p>
        </w:tc>
        <w:tc>
          <w:tcPr>
            <w:tcW w:w="4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-24765</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-8255</wp:posOffset>
            </wp:positionV>
            <wp:extent cx="768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-8255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Compensation expense by type of award in the three and six months ended June 30, 2024 and 2023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80" w:type="dxa"/>
            <w:vAlign w:val="bottom"/>
          </w:tcPr>
          <w:p>
            <w:pPr>
              <w:spacing w:after="0"/>
              <w:rPr>
                <w:sz w:val="16"/>
                <w:szCs w:val="16"/>
                <w:color w:val="auto"/>
              </w:rPr>
            </w:pPr>
          </w:p>
        </w:tc>
        <w:tc>
          <w:tcPr>
            <w:tcW w:w="306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08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top w:val="single" w:sz="8" w:color="auto"/>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4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10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140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14,985</w:t>
            </w: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12,411</w:t>
            </w:r>
          </w:p>
        </w:tc>
        <w:tc>
          <w:tcPr>
            <w:tcW w:w="100" w:type="dxa"/>
            <w:vAlign w:val="bottom"/>
            <w:shd w:val="clear" w:color="auto" w:fill="CFF0FC"/>
          </w:tcPr>
          <w:p>
            <w:pPr>
              <w:spacing w:after="0"/>
              <w:rPr>
                <w:sz w:val="21"/>
                <w:szCs w:val="21"/>
                <w:color w:val="auto"/>
              </w:rPr>
            </w:pP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tcPr>
          <w:p>
            <w:pPr>
              <w:spacing w:after="0"/>
              <w:rPr>
                <w:sz w:val="20"/>
                <w:szCs w:val="20"/>
                <w:color w:val="auto"/>
              </w:rPr>
            </w:pPr>
          </w:p>
        </w:tc>
      </w:tr>
      <w:tr>
        <w:trPr>
          <w:trHeight w:val="243"/>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10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3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140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18,795</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14,303</w:t>
            </w:r>
          </w:p>
        </w:tc>
        <w:tc>
          <w:tcPr>
            <w:tcW w:w="100" w:type="dxa"/>
            <w:vAlign w:val="bottom"/>
          </w:tcPr>
          <w:p>
            <w:pPr>
              <w:spacing w:after="0"/>
              <w:rPr>
                <w:sz w:val="20"/>
                <w:szCs w:val="20"/>
                <w:color w:val="auto"/>
              </w:rPr>
            </w:pPr>
          </w:p>
        </w:tc>
      </w:tr>
      <w:tr>
        <w:trPr>
          <w:trHeight w:val="20"/>
        </w:trPr>
        <w:tc>
          <w:tcPr>
            <w:tcW w:w="40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3627120</wp:posOffset>
            </wp:positionH>
            <wp:positionV relativeFrom="paragraph">
              <wp:posOffset>-903605</wp:posOffset>
            </wp:positionV>
            <wp:extent cx="102235" cy="1536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235" cy="153670"/>
                    </a:xfrm>
                    <a:prstGeom prst="rect">
                      <a:avLst/>
                    </a:prstGeom>
                    <a:noFill/>
                  </pic:spPr>
                </pic:pic>
              </a:graphicData>
            </a:graphic>
          </wp:anchor>
        </w:drawing>
        <w:drawing>
          <wp:anchor simplePos="0" relativeHeight="251657728" behindDoc="1" locked="0" layoutInCell="0" allowOverlap="1">
            <wp:simplePos x="0" y="0"/>
            <wp:positionH relativeFrom="column">
              <wp:posOffset>4869815</wp:posOffset>
            </wp:positionH>
            <wp:positionV relativeFrom="paragraph">
              <wp:posOffset>-903605</wp:posOffset>
            </wp:positionV>
            <wp:extent cx="93980" cy="1536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3980" cy="153670"/>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-903605</wp:posOffset>
            </wp:positionV>
            <wp:extent cx="93980" cy="1536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3980" cy="15367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-903605</wp:posOffset>
            </wp:positionV>
            <wp:extent cx="93980" cy="1536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1536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-187960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-187960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jc w:val="both"/>
        <w:ind w:right="100" w:firstLine="509"/>
        <w:spacing w:after="0" w:line="257" w:lineRule="auto"/>
        <w:rPr>
          <w:sz w:val="20"/>
          <w:szCs w:val="20"/>
          <w:color w:val="auto"/>
        </w:rPr>
      </w:pPr>
      <w:r>
        <w:rPr>
          <w:rFonts w:ascii="Times New Roman" w:cs="Times New Roman" w:eastAsia="Times New Roman" w:hAnsi="Times New Roman"/>
          <w:sz w:val="18"/>
          <w:szCs w:val="18"/>
          <w:color w:val="auto"/>
        </w:rPr>
        <w:t>As of June 30, 2024, there were $101.3 million of unrecognized compensation costs related to employee and non-employee unvested stock options and RSUs granted under the 2023 Inducement Plan, 2015 Plan and the Company’s 2007 Stock Plan, which are expected to be recognized over a weighted-average remaining service period of 2.8 years.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changes in stockholders’ equity for the three and six months ended June 30,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3"/>
            <w:vMerge w:val="restart"/>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1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2140" w:type="dxa"/>
            <w:vAlign w:val="bottom"/>
            <w:gridSpan w:val="4"/>
          </w:tcPr>
          <w:p>
            <w:pPr>
              <w:jc w:val="center"/>
              <w:ind w:left="233"/>
              <w:spacing w:after="0" w:line="149" w:lineRule="exact"/>
              <w:rPr>
                <w:sz w:val="20"/>
                <w:szCs w:val="20"/>
                <w:color w:val="auto"/>
              </w:rPr>
            </w:pPr>
            <w:r>
              <w:rPr>
                <w:rFonts w:ascii="Times New Roman" w:cs="Times New Roman" w:eastAsia="Times New Roman" w:hAnsi="Times New Roman"/>
                <w:sz w:val="14"/>
                <w:szCs w:val="14"/>
                <w:b w:val="1"/>
                <w:bCs w:val="1"/>
                <w:color w:val="auto"/>
              </w:rPr>
              <w:t>$0.0001</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33"/>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w:t>
            </w:r>
          </w:p>
        </w:tc>
        <w:tc>
          <w:tcPr>
            <w:tcW w:w="1160" w:type="dxa"/>
            <w:vAlign w:val="bottom"/>
            <w:gridSpan w:val="3"/>
            <w:vMerge w:val="continue"/>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120" w:type="dxa"/>
            <w:vAlign w:val="bottom"/>
          </w:tcPr>
          <w:p>
            <w:pPr>
              <w:spacing w:after="0"/>
              <w:rPr>
                <w:sz w:val="16"/>
                <w:szCs w:val="16"/>
                <w:color w:val="auto"/>
              </w:rPr>
            </w:pPr>
          </w:p>
        </w:tc>
        <w:tc>
          <w:tcPr>
            <w:tcW w:w="2020" w:type="dxa"/>
            <w:vAlign w:val="bottom"/>
            <w:gridSpan w:val="3"/>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6"/>
                <w:szCs w:val="16"/>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(Loss)/Income</w:t>
            </w:r>
          </w:p>
        </w:tc>
        <w:tc>
          <w:tcPr>
            <w:tcW w:w="120" w:type="dxa"/>
            <w:vAlign w:val="bottom"/>
          </w:tcPr>
          <w:p>
            <w:pPr>
              <w:spacing w:after="0"/>
              <w:rPr>
                <w:sz w:val="16"/>
                <w:szCs w:val="16"/>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Borders>
              <w:top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84,826,632</w:t>
            </w:r>
          </w:p>
        </w:tc>
        <w:tc>
          <w:tcPr>
            <w:tcW w:w="1020" w:type="dxa"/>
            <w:vAlign w:val="bottom"/>
            <w:gridSpan w:val="2"/>
            <w:shd w:val="clear" w:color="auto" w:fill="CFF0FC"/>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1,456,370</w:t>
            </w:r>
          </w:p>
        </w:tc>
        <w:tc>
          <w:tcPr>
            <w:tcW w:w="4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(902,400 )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554,196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purchase under ESPP</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35,463</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(974 )</w:t>
            </w: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(974 )</w:t>
            </w:r>
          </w:p>
        </w:tc>
        <w:tc>
          <w:tcPr>
            <w:tcW w:w="0" w:type="dxa"/>
            <w:vAlign w:val="bottom"/>
          </w:tcPr>
          <w:p>
            <w:pPr>
              <w:spacing w:after="0"/>
              <w:rPr>
                <w:sz w:val="1"/>
                <w:szCs w:val="1"/>
                <w:color w:val="auto"/>
              </w:rPr>
            </w:pPr>
          </w:p>
        </w:tc>
      </w:tr>
      <w:tr>
        <w:trPr>
          <w:trHeight w:val="247"/>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Vesting of RSUs</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withholdings ESPP</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113,841</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(72,400 )</w:t>
            </w:r>
          </w:p>
        </w:tc>
        <w:tc>
          <w:tcPr>
            <w:tcW w:w="1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(72,400 )</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20" w:type="dxa"/>
            <w:vAlign w:val="bottom"/>
            <w:shd w:val="clear" w:color="auto" w:fill="CFF0FC"/>
          </w:tcPr>
          <w:p>
            <w:pPr>
              <w:spacing w:after="0"/>
              <w:rPr>
                <w:sz w:val="24"/>
                <w:szCs w:val="2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84,979,686</w:t>
            </w:r>
          </w:p>
        </w:tc>
        <w:tc>
          <w:tcPr>
            <w:tcW w:w="260" w:type="dxa"/>
            <w:vAlign w:val="bottom"/>
            <w:shd w:val="clear" w:color="auto" w:fill="CFF0FC"/>
          </w:tcPr>
          <w:p>
            <w:pPr>
              <w:spacing w:after="0"/>
              <w:rPr>
                <w:sz w:val="24"/>
                <w:szCs w:val="24"/>
                <w:color w:val="auto"/>
              </w:rPr>
            </w:pPr>
          </w:p>
        </w:tc>
        <w:tc>
          <w:tcPr>
            <w:tcW w:w="760" w:type="dxa"/>
            <w:vAlign w:val="bottom"/>
            <w:shd w:val="clear" w:color="auto" w:fill="CFF0FC"/>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1,467,437</w:t>
            </w:r>
          </w:p>
        </w:tc>
        <w:tc>
          <w:tcPr>
            <w:tcW w:w="240" w:type="dxa"/>
            <w:vAlign w:val="bottom"/>
            <w:shd w:val="clear" w:color="auto" w:fill="CFF0FC"/>
          </w:tcPr>
          <w:p>
            <w:pPr>
              <w:spacing w:after="0"/>
              <w:rPr>
                <w:sz w:val="24"/>
                <w:szCs w:val="24"/>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(756 )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(974,800 )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491,889</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Borders>
              <w:top w:val="single" w:sz="8" w:color="CFF0FC"/>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2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3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RSUs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withholdings ESPP</w:t>
            </w: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47,340</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 value adjustment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(68,063 )</w:t>
            </w: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(68,063 )</w:t>
            </w:r>
          </w:p>
        </w:tc>
        <w:tc>
          <w:tcPr>
            <w:tcW w:w="0" w:type="dxa"/>
            <w:vAlign w:val="bottom"/>
          </w:tcPr>
          <w:p>
            <w:pPr>
              <w:spacing w:after="0"/>
              <w:rPr>
                <w:sz w:val="1"/>
                <w:szCs w:val="1"/>
                <w:color w:val="auto"/>
              </w:rPr>
            </w:pPr>
          </w:p>
        </w:tc>
      </w:tr>
      <w:tr>
        <w:trPr>
          <w:trHeight w:val="20"/>
        </w:trPr>
        <w:tc>
          <w:tcPr>
            <w:tcW w:w="4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85,028,629</w:t>
            </w:r>
          </w:p>
        </w:tc>
        <w:tc>
          <w:tcPr>
            <w:tcW w:w="260" w:type="dxa"/>
            <w:vAlign w:val="bottom"/>
          </w:tcPr>
          <w:p>
            <w:pPr>
              <w:spacing w:after="0"/>
              <w:rPr>
                <w:sz w:val="20"/>
                <w:szCs w:val="20"/>
                <w:color w:val="auto"/>
              </w:rPr>
            </w:pPr>
          </w:p>
        </w:tc>
        <w:tc>
          <w:tcPr>
            <w:tcW w:w="76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1,478,009</w:t>
            </w:r>
          </w:p>
        </w:tc>
        <w:tc>
          <w:tcPr>
            <w:tcW w:w="24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(817 )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(1,042,863 )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-1294130</wp:posOffset>
            </wp:positionV>
            <wp:extent cx="77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-1276350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-1294130</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-1276350</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-1294130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-1276350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-1294130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-1276350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-1294130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-1276350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-1294130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-187960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-187960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-187960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-187960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-187960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changes in stockholders’ equity for the three and six months ended June 30, 2023: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20" w:type="dxa"/>
            <w:vAlign w:val="bottom"/>
            <w:gridSpan w:val="3"/>
            <w:vMerge w:val="restart"/>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1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2020" w:type="dxa"/>
            <w:vAlign w:val="bottom"/>
            <w:gridSpan w:val="3"/>
          </w:tcPr>
          <w:p>
            <w:pPr>
              <w:jc w:val="center"/>
              <w:ind w:left="113"/>
              <w:spacing w:after="0" w:line="149" w:lineRule="exact"/>
              <w:rPr>
                <w:sz w:val="20"/>
                <w:szCs w:val="20"/>
                <w:color w:val="auto"/>
              </w:rPr>
            </w:pPr>
            <w:r>
              <w:rPr>
                <w:rFonts w:ascii="Times New Roman" w:cs="Times New Roman" w:eastAsia="Times New Roman" w:hAnsi="Times New Roman"/>
                <w:sz w:val="14"/>
                <w:szCs w:val="14"/>
                <w:b w:val="1"/>
                <w:bCs w:val="1"/>
                <w:color w:val="auto"/>
              </w:rPr>
              <w:t>$0.0001</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w:t>
            </w:r>
          </w:p>
        </w:tc>
        <w:tc>
          <w:tcPr>
            <w:tcW w:w="1160" w:type="dxa"/>
            <w:vAlign w:val="bottom"/>
            <w:gridSpan w:val="3"/>
            <w:vMerge w:val="continue"/>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2020" w:type="dxa"/>
            <w:vAlign w:val="bottom"/>
            <w:gridSpan w:val="3"/>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(Loss)/Income</w:t>
            </w:r>
          </w:p>
        </w:tc>
        <w:tc>
          <w:tcPr>
            <w:tcW w:w="180" w:type="dxa"/>
            <w:vAlign w:val="bottom"/>
          </w:tcPr>
          <w:p>
            <w:pPr>
              <w:spacing w:after="0"/>
              <w:rPr>
                <w:sz w:val="16"/>
                <w:szCs w:val="16"/>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Borders>
              <w:top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68,111,385</w:t>
            </w:r>
          </w:p>
        </w:tc>
        <w:tc>
          <w:tcPr>
            <w:tcW w:w="1020" w:type="dxa"/>
            <w:vAlign w:val="bottom"/>
            <w:gridSpan w:val="2"/>
            <w:shd w:val="clear" w:color="auto" w:fill="CFF0FC"/>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1,161,288</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(806 )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(693,040 )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467,449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purchase under ESPP</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16,537</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short-term investments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Vesting of RSUs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withholdings ESPP</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Prefunded warrants, exercise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85,998</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276,506</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(41,126 )</w:t>
            </w: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(41,126 )</w:t>
            </w: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68,495,426</w:t>
            </w:r>
          </w:p>
        </w:tc>
        <w:tc>
          <w:tcPr>
            <w:tcW w:w="260" w:type="dxa"/>
            <w:vAlign w:val="bottom"/>
          </w:tcPr>
          <w:p>
            <w:pPr>
              <w:spacing w:after="0"/>
              <w:rPr>
                <w:sz w:val="20"/>
                <w:szCs w:val="20"/>
                <w:color w:val="auto"/>
              </w:rPr>
            </w:pPr>
          </w:p>
        </w:tc>
        <w:tc>
          <w:tcPr>
            <w:tcW w:w="76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1,170,000</w:t>
            </w:r>
          </w:p>
        </w:tc>
        <w:tc>
          <w:tcPr>
            <w:tcW w:w="24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(734,166 )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short-term investments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(238 )</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(238 )</w:t>
            </w:r>
          </w:p>
        </w:tc>
        <w:tc>
          <w:tcPr>
            <w:tcW w:w="0" w:type="dxa"/>
            <w:vAlign w:val="bottom"/>
          </w:tcPr>
          <w:p>
            <w:pPr>
              <w:spacing w:after="0"/>
              <w:rPr>
                <w:sz w:val="1"/>
                <w:szCs w:val="1"/>
                <w:color w:val="auto"/>
              </w:rPr>
            </w:pPr>
          </w:p>
        </w:tc>
      </w:tr>
      <w:tr>
        <w:trPr>
          <w:trHeight w:val="24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Vesting of RSUs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withholdings ESPP</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Prefunded warrants, exercise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771,133</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163,037</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(44,615 )</w:t>
            </w: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(44,615 )</w:t>
            </w: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69,431,198</w:t>
            </w:r>
          </w:p>
        </w:tc>
        <w:tc>
          <w:tcPr>
            <w:tcW w:w="260" w:type="dxa"/>
            <w:vAlign w:val="bottom"/>
          </w:tcPr>
          <w:p>
            <w:pPr>
              <w:spacing w:after="0"/>
              <w:rPr>
                <w:sz w:val="20"/>
                <w:szCs w:val="20"/>
                <w:color w:val="auto"/>
              </w:rPr>
            </w:pPr>
          </w:p>
        </w:tc>
        <w:tc>
          <w:tcPr>
            <w:tcW w:w="76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1,179,389</w:t>
            </w:r>
          </w:p>
        </w:tc>
        <w:tc>
          <w:tcPr>
            <w:tcW w:w="24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(574 )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(778,781 )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-1456690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-1456690</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-1456690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-1456690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-1456690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-187960</wp:posOffset>
            </wp:positionV>
            <wp:extent cx="774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-187960</wp:posOffset>
            </wp:positionV>
            <wp:extent cx="77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-187960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-187960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-187960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At-the Market Program</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May 2023, the Company entered into a sales agreement with Cowen and Company, or TD Cowen, under which the Company could, from time to time, issue and sell shares of its common stock having aggregate sales proceeds of up to $200.0 million, in a series of one or more ATM equity offerings, or the 2023 ATM Program. TD Cowen is not required to sell any specific share amounts but acts as the Company’s sales agent, using commercially reasonable efforts consistent with its normal trading and sales practices. Pursuant to the sales agreement, shares will be sold pursuant to the previous shelf registration statement on Form S-3ASR (Registration No. 333-277424), which became automatically effective upon the filing on February 27,2024. The Company’s common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131" w:gutter="0" w:footer="0" w:header="0"/>
        </w:sectPr>
      </w:pPr>
    </w:p>
    <w:bookmarkStart w:id="13" w:name="page14"/>
    <w:bookmarkEnd w:id="13"/>
    <w:p>
      <w:pPr>
        <w:ind w:right="20"/>
        <w:spacing w:after="0" w:line="282" w:lineRule="auto"/>
        <w:rPr>
          <w:sz w:val="20"/>
          <w:szCs w:val="20"/>
          <w:color w:val="auto"/>
        </w:rPr>
      </w:pPr>
      <w:r>
        <w:rPr>
          <w:rFonts w:ascii="Times New Roman" w:cs="Times New Roman" w:eastAsia="Times New Roman" w:hAnsi="Times New Roman"/>
          <w:sz w:val="18"/>
          <w:szCs w:val="18"/>
          <w:color w:val="auto"/>
        </w:rPr>
        <w:t>stock will be sold at prevailing market prices at the time of the sale, and as a result, prices may vary. For the period ended June 30, 2024, the Company sold no shares of common stock under the 2023 ATM Program.</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December 2021, the Company sold pre-funded warrants to purchase 1,142,856 shares of common stock. As of June 30, 2024, 285,714 pre-funded warrants were considered issued and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9"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color w:val="auto"/>
        </w:rPr>
        <w:t>From time to time, the Company may be subject to various claims and proceedings in the ordinary course of business. If the potential loss from any claim, asserted or unasserted, or proceeding is considered probable and the amount is reasonably estimable, the Company will accrue a liability for the estimated loss. There were no contingent liabilities recorded as of June 30,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information should be read in conjunction with the unaudited financial information and the notes thereto included in this Quarterly Report on Form 10-Q and the audited financial information and the notes thereto included in our Annual Report on Form 10-K that was filed with the Securities and Exchange Commission, or SEC, on February 27, 2024.</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an innovative pipeline of cancer therapies. Our two lead product candidates are revumenib and axatilimab. We are developing revumenib, a potent, selective, small molecule inhibitor of the menin-MLL binding interaction for the treatment of KMT2A rearranged, or KMT2Ar, also known as mixed lineage leukemia rearranged or MLLr, acute leukemias including acute lymphoblastic leukemia, or ALL, and acute myeloid leukemia, or AML, and nucleophosmin1, also known as NPM1, mutant AML. We are also exploring the use of revumenib as a treatment in solid tumors, specifically its activity in metastatic microsatellite stable, or MSS, colorectal cancer, or CRC. We are developing axatilimab, a monoclonal antibody that blocks the colony stimulating factor 1 receptor, or CSF-1R, in chronic graft-versus-host disease, or cGVHD, as well as idiopathic pulmonary fibrosis, or IPF. We plan to continue to leverage the technical and business expertise of our management team and scientific collaborators to license, acquire and develop additional therapeutics to expand our pipeline.</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have no products approved for commercial sale and have not generated any product revenues from product sales to date. We continue to incur significant research and development and other expenses related to our ongoing operations. Except for 2021, we have not been profitable and have incurred losses in each period since our inception in 2005. For the six months ended June 30, 2024 and 2023, we reported a net loss of $140.5 million and $85.7 million, respectively. As of June 30, 2024, we had an accumulated deficit of $1.0 billion. As of June 30, 2024, we had cash, cash equivalents and short- and long-term investments of $454.6 million.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Revumenib</w:t>
      </w:r>
    </w:p>
    <w:p>
      <w:pPr>
        <w:spacing w:after="0" w:line="121" w:lineRule="exact"/>
        <w:rPr>
          <w:sz w:val="20"/>
          <w:szCs w:val="20"/>
          <w:color w:val="auto"/>
        </w:rPr>
      </w:pPr>
    </w:p>
    <w:p>
      <w:pPr>
        <w:ind w:left="760" w:right="100" w:hanging="378"/>
        <w:spacing w:after="0" w:line="25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New Drug Application, or NDA, for revumenib, a highly selective menin inhibitor, for the treatment of adult and pediatric relapsed or refractory, or R/R, KMT2A-rearranged, or KMT2Ar, acute leukemia was granted Priority Review and is being reviewed by the United States Food and Drug Administration, or FDA, and is being reviewed under the FDA’s Real-Time Oncology Review, or RTOR, Program. On July 29, 2024, we announced that the FDA extended the Prescription Drug User Fee Act, or PDUFA, target action date for the revumenib NDA from September 26, 2024 to December 26, 2024 to provide FDA additional time to conduct a full review of supplemental information provided by us in response to the FDA’s requests.</w:t>
      </w:r>
    </w:p>
    <w:p>
      <w:pPr>
        <w:spacing w:after="0" w:line="79" w:lineRule="exact"/>
        <w:rPr>
          <w:rFonts w:ascii="Times New Roman" w:cs="Times New Roman" w:eastAsia="Times New Roman" w:hAnsi="Times New Roman"/>
          <w:sz w:val="18"/>
          <w:szCs w:val="18"/>
          <w:color w:val="auto"/>
        </w:rPr>
      </w:pPr>
    </w:p>
    <w:p>
      <w:pPr>
        <w:jc w:val="both"/>
        <w:ind w:left="760" w:right="2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report topline data from the AUGMENT-101 pivotal trial cohort of patients with R/R mutant nucleophosmin, or mNPM1, acute myeloid leukemia, or AML, in the fourth quarter of 2024. Positive data could support a supplemental NDA, or sNDA, filing for revumenib in R/R mNPM1 AML in the first half of 2025.</w:t>
      </w:r>
    </w:p>
    <w:p>
      <w:pPr>
        <w:spacing w:after="0" w:line="67"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Phase 1 combination trials of revumenib in mNPM1 and KMT2Ar acute leukemias are ongoing across the treatment landscape. These trials include:</w:t>
      </w:r>
    </w:p>
    <w:p>
      <w:pPr>
        <w:spacing w:after="0" w:line="54" w:lineRule="exact"/>
        <w:rPr>
          <w:sz w:val="20"/>
          <w:szCs w:val="20"/>
          <w:color w:val="auto"/>
        </w:rPr>
      </w:pPr>
    </w:p>
    <w:p>
      <w:pPr>
        <w:ind w:left="1500" w:right="20" w:hanging="369"/>
        <w:spacing w:after="0" w:line="258" w:lineRule="auto"/>
        <w:tabs>
          <w:tab w:leader="none" w:pos="15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BEAT AML: Evaluating the combination of revumenib with venetoclax and azacitidine in front-line AML patients. This trial is being conducted as part of the Leukemia &amp; Lymphoma Society’s Beat AML® Master Clinical Trial. We presented updated positive data from the trial at the European Hematology Association, or EHA, 2024 Congress, showing a 96% (23 of 24 pts) composite complete remission, or CRc, rate in patients with newly diagnosed mNPM1 or KMT2Ar AML. The BEAT AML trial is expanding to validate the recommended Phase 2 dose of the combination of revumenib with venetoclax and azacitidine.</w:t>
      </w:r>
    </w:p>
    <w:p>
      <w:pPr>
        <w:spacing w:after="0" w:line="75"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Evaluating the all-oral combination of revumenib with venetoclax and decitabine/cedazuridine in R/R AML or mixed phenotype acute leukemias. The trial is being conducted by investigators from MD Anderson Cancer Center. The trial is expanding to validate the recommended Phase 2 doses, with additional data expected in the second half of 2024.</w:t>
      </w:r>
    </w:p>
    <w:p>
      <w:pPr>
        <w:spacing w:after="0" w:line="67" w:lineRule="exact"/>
        <w:rPr>
          <w:rFonts w:ascii="Times New Roman" w:cs="Times New Roman" w:eastAsia="Times New Roman" w:hAnsi="Times New Roman"/>
          <w:sz w:val="18"/>
          <w:szCs w:val="18"/>
          <w:color w:val="auto"/>
        </w:rPr>
      </w:pPr>
    </w:p>
    <w:p>
      <w:pPr>
        <w:jc w:val="both"/>
        <w:ind w:left="1500" w:right="540" w:hanging="369"/>
        <w:spacing w:after="0" w:line="266" w:lineRule="auto"/>
        <w:tabs>
          <w:tab w:leader="none" w:pos="15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Intensive chemotherapy: Evaluating the combination of revumenib with intensive chemotherapy (7+3) followed by revumenib maintenance treatment in newly diagnosed patients with mNPM1 or KMT2Ar acute leukemias. The Phase 1 trial is designed to identify the recommended Phase 2 dose for this combination to support further development.</w:t>
      </w:r>
    </w:p>
    <w:p>
      <w:pPr>
        <w:spacing w:after="0" w:line="67" w:lineRule="exact"/>
        <w:rPr>
          <w:rFonts w:ascii="Times New Roman" w:cs="Times New Roman" w:eastAsia="Times New Roman" w:hAnsi="Times New Roman"/>
          <w:sz w:val="18"/>
          <w:szCs w:val="18"/>
          <w:color w:val="auto"/>
        </w:rPr>
      </w:pPr>
    </w:p>
    <w:p>
      <w:pPr>
        <w:ind w:left="760" w:right="220" w:hanging="378"/>
        <w:spacing w:after="0" w:line="26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initiate a pivotal trial of revumenib in combination with venetoclax and azacitidine in newly diagnosed mNPM1 or KMT2Ar acute leukemia patients unfit to receive intensive chemotherapy by year-end 2024.</w:t>
      </w: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5" w:name="page16"/>
    <w:bookmarkEnd w:id="15"/>
    <w:p>
      <w:pPr>
        <w:ind w:left="760" w:right="18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presented updated data from the AUGMENT-102 trial evaluating the combination of revumenib with fludarabine and cytarabine in patients with R/R acute leukemias at the EHA 2024 Congress. Treatment with the combination in R/R mNPM1, NUP98-rearranged, or NUP98r, or KMT2Ar acute leukemia patients resulted in a 52% (14 of 27 pts) CRc rate.</w:t>
      </w:r>
    </w:p>
    <w:p>
      <w:pPr>
        <w:spacing w:after="0" w:line="67"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announced that we advanced into the Phase 1b portion of its Phase 1/2 proof-of-concept trial of revumenib in patients with R/R metastatic microsatellite stable, or MSS, colorectal cancer, or CRC, based on initial data from the Phase 1a portion of the trial.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Axatilimab</w:t>
      </w:r>
    </w:p>
    <w:p>
      <w:pPr>
        <w:spacing w:after="0" w:line="121" w:lineRule="exact"/>
        <w:rPr>
          <w:sz w:val="20"/>
          <w:szCs w:val="20"/>
          <w:color w:val="auto"/>
        </w:rPr>
      </w:pPr>
    </w:p>
    <w:p>
      <w:pPr>
        <w:ind w:left="760" w:right="8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Biologics License Application, or BLA, for axatilimab, an anti-CSF-1R antibody, for patients with cGVHD after failure of at least two prior lines of systemic therapy, is under FDA Priority Review with a PDUFA action date of August 28, 2024.</w:t>
      </w:r>
    </w:p>
    <w:p>
      <w:pPr>
        <w:spacing w:after="0" w:line="53" w:lineRule="exact"/>
        <w:rPr>
          <w:rFonts w:ascii="Times New Roman" w:cs="Times New Roman" w:eastAsia="Times New Roman" w:hAnsi="Times New Roman"/>
          <w:sz w:val="18"/>
          <w:szCs w:val="18"/>
          <w:color w:val="auto"/>
        </w:rPr>
      </w:pPr>
    </w:p>
    <w:p>
      <w:pPr>
        <w:ind w:left="760" w:right="38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is ongoing in a 26-week randomized, double-blinded, placebo-controlled Phase 2 trial of axatilimab on top of standard of care in patients with idiopathic pulmonary fibrosis, or IPF.</w:t>
      </w:r>
    </w:p>
    <w:p>
      <w:pPr>
        <w:spacing w:after="0" w:line="53"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 Incyte, plans to initiate two combination trials with axatilimab in earlier lines of treatment for chronic GVHD in the second half of 2024, including a Phase 2 combination trial with ruxolitinib and a Phase 3 combination trial with steroids.</w:t>
      </w:r>
    </w:p>
    <w:p>
      <w:pPr>
        <w:spacing w:after="0" w:line="53" w:lineRule="exact"/>
        <w:rPr>
          <w:rFonts w:ascii="Times New Roman" w:cs="Times New Roman" w:eastAsia="Times New Roman" w:hAnsi="Times New Roman"/>
          <w:sz w:val="18"/>
          <w:szCs w:val="18"/>
          <w:color w:val="auto"/>
        </w:rPr>
      </w:pPr>
    </w:p>
    <w:p>
      <w:pPr>
        <w:ind w:left="760" w:right="40" w:hanging="378"/>
        <w:spacing w:after="0" w:line="26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presented additional positive data from the AGAVE-201 pivotal trial evaluating axatilimab monotherapy in patients with refractory chronic GVHD at the EHA 2024 Congress. Responses were noted in all fibrosis-dominant organs and the clinical activity was supported by clinician-reported and patient-reported changes in organ-specific symptoms, such as improvements in swallowing, shortness of breath, skin and joints, and sclerotic skin.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Updates</w:t>
      </w:r>
    </w:p>
    <w:p>
      <w:pPr>
        <w:spacing w:after="0" w:line="121" w:lineRule="exact"/>
        <w:rPr>
          <w:sz w:val="20"/>
          <w:szCs w:val="20"/>
          <w:color w:val="auto"/>
        </w:rPr>
      </w:pPr>
    </w:p>
    <w:p>
      <w:pPr>
        <w:ind w:left="760" w:right="70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2024, we announced the appointment of Aleksandra Rizo, M.D., Ph.D to our Board of Directors. Dr. Rizo has extensive clinical development experience and a track record of successfully leading the development of several oncology drugs from discovery through commercialization.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Risks and Uncertainties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current inflationary environment may materially affect our business and operating results by increasing our overhead costs, including the costs of our clinical trial materials and supplies. High interest rates could make it more difficult for us to obtain traditional financing on acceptable terms, if at all. Additionally, the ongoing recession risk together with the foregoing, could result in further economic uncertainty and volatility in the capital markets in the near term and, as a result could negatively affect our operations. Furthermore, such economic conditions have produced downward pressure on share prices. Although we do not believe that inflation has had a material impact on our financial position or results of operations to date, additional high inflation could increase our operating costs, including our labor costs and research and development costs. These costs may also be negatively impacted due to supply chain constraints, global geopolitical tensions as a result of the ongoing wars between Russia and Ukraine and the war in Gaza, worsening macroeconomic conditions and employee availability and wage increases, which may result in additional stress on our working capital.</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Additionally, we are subject to other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our late-stage product candidate; identifying, acquiring or in-licensing additional products or product candidates; pharmaceutical product development and the inherent uncertainty of clinical success; the challenges of protecting and enhancing our intellectual property rights; and complying with applicable regulatory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product revenues. Our ability to generate revenue depends upon our ability to obtain marketing approval of, and successfully commercialize our product candidates. Our revenue for the three and six months ended June 30, 2024 was solely derived from the achievement of milestones in connection with our license agreement with Eddingpharm Investment Company Limited, or Eddingpharm. We generated no revenue during the three and six months ended June 30, 2023.</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September 2021, we granted Incyte an exclusive worldwide license to develop and commercialize axatilimab. For the three and six months ended June 30, 2024, no revenue has been recognized under the Incyte Agreements.</w:t>
      </w: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Since our inception, we have primarily focused on our clinical development programs. Research and development expenses consist primarily of costs incurred for the development of our product candidates and include:</w:t>
      </w:r>
    </w:p>
    <w:p>
      <w:pPr>
        <w:spacing w:after="0" w:line="54" w:lineRule="exact"/>
        <w:rPr>
          <w:sz w:val="20"/>
          <w:szCs w:val="20"/>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related to our clinical trials, including the costs for investigative sites and contract research organizations that conduct our clinical trials;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associated with our research and development activities, including salaries, benefits, travel and non-cash stock-based compensation expenses;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process-development, clinical supplies and technology-transfer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and milestone payments under our license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fees paid to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 and overhead expenses;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regulatory operations and regulatory compliance requirements.</w:t>
      </w:r>
    </w:p>
    <w:p>
      <w:pPr>
        <w:spacing w:after="0" w:line="22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7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Drug candidates in late stages of clinical development generally have higher development costs than those in earlier stages of clinical development, primarily due to the increased size and duration of late-stage clinical trials. We plan to continue to spend a significant amount of our resources on research and development activities for the foreseeable future as we continue to advance the development of our drug candidates. The amount of research and development expenses allocated to external spending will continue to grow, while we expect our internal spending to grow at a slower and more controlled pace.</w:t>
      </w:r>
    </w:p>
    <w:p>
      <w:pPr>
        <w:spacing w:after="0" w:line="75"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It is difficult to determine, with certainty, the duration and completion costs of our current or future preclinical programs, research studies and clinical trials of our product candidates. The duration, costs and timing of research studies and clinical trials of our product candidates will depend on a variety of factors that include, but are not limited to, the following:</w:t>
      </w:r>
    </w:p>
    <w:p>
      <w:pPr>
        <w:spacing w:after="0" w:line="68"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clinical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safety monitoring or other studies requested by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monitoring;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receipt of any regulatory approvals.</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the probability of success for each drug candidate will depend on numerous factors, including competition, manufacturing capability and commercial viability. The successful development of our drug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drug candidates may commence. Clinical development timelines, the probability of success and development costs can differ materially from expectations.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pre-commercialization costs as well as employee-related expenses, including salaries, benefits, non-cash stock-based compensation and travel expenses, for our employees in executive, finance, human resources, business development and support functions. Other selling, general and administrative expenses include facility-related costs not otherwise allocated to research and development expenses and accounting, tax, legal, information technology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7" w:name="page18"/>
    <w:bookmarkEnd w:id="17"/>
    <w:p>
      <w:pPr>
        <w:ind w:right="80"/>
        <w:spacing w:after="0" w:line="261" w:lineRule="auto"/>
        <w:rPr>
          <w:sz w:val="20"/>
          <w:szCs w:val="20"/>
          <w:color w:val="auto"/>
        </w:rPr>
      </w:pPr>
      <w:r>
        <w:rPr>
          <w:rFonts w:ascii="Times New Roman" w:cs="Times New Roman" w:eastAsia="Times New Roman" w:hAnsi="Times New Roman"/>
          <w:sz w:val="18"/>
          <w:szCs w:val="18"/>
          <w:color w:val="auto"/>
        </w:rPr>
        <w:t>and consulting services. We anticipate that our selling, general and administrative expenses will further increase in the future as we continue to increase our headcount to support our continued research and development. Additionally, in anticipation of expected regulatory approvals of revumenib and axatilimab, we have begun preparation for commercial launches of both drug candidates and, as result, expect an increase in employee-related as well as sales and marketing expenses and other commercial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consists primarily of interest expense on our operational and capital 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of income earned on our cash, cash equivalents and short- and long-term investment balances.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(expense) net includes income (expense), consisting of revaluation of foreign currency related to trade payables.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right="1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new accounting pronouncements please read </w:t>
      </w:r>
      <w:r>
        <w:rPr>
          <w:rFonts w:ascii="Times New Roman" w:cs="Times New Roman" w:eastAsia="Times New Roman" w:hAnsi="Times New Roman"/>
          <w:sz w:val="18"/>
          <w:szCs w:val="18"/>
          <w:i w:val="1"/>
          <w:iCs w:val="1"/>
          <w:color w:val="auto"/>
        </w:rPr>
        <w:t>Note 3 “Summary of Significant Accounting Policies,”</w:t>
      </w:r>
      <w:r>
        <w:rPr>
          <w:rFonts w:ascii="Times New Roman" w:cs="Times New Roman" w:eastAsia="Times New Roman" w:hAnsi="Times New Roman"/>
          <w:sz w:val="18"/>
          <w:szCs w:val="18"/>
          <w:color w:val="auto"/>
        </w:rPr>
        <w:t xml:space="preserve"> to our unaudited condensed consolidated financial statements included in this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are based on our financial statements, which have been prepared in accordance with accounting principles generally accepted in the United States, or U.S. GAAP. The preparation of these financial statements requires us to make estimates, judgments and assumptions that may affect the reported amounts of assets, liabilities, equity, revenue and expenses and related disclosures of contingent assets and liabilities.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8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described in the “Management’s Discussion and Analysis of Financial Condition and Results of Operations” contained in our Annual Report on Form 10-K for the fiscal year ended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June 30, 2024 and 2023:</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20" w:type="dxa"/>
            <w:vAlign w:val="bottom"/>
          </w:tcPr>
          <w:p>
            <w:pPr>
              <w:spacing w:after="0"/>
              <w:rPr>
                <w:sz w:val="16"/>
                <w:szCs w:val="16"/>
                <w:color w:val="auto"/>
              </w:rPr>
            </w:pPr>
          </w:p>
        </w:tc>
        <w:tc>
          <w:tcPr>
            <w:tcW w:w="222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4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6"/>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60" w:type="dxa"/>
            <w:vAlign w:val="bottom"/>
          </w:tcPr>
          <w:p>
            <w:pPr>
              <w:spacing w:after="0"/>
              <w:rPr>
                <w:sz w:val="16"/>
                <w:szCs w:val="16"/>
                <w:color w:val="auto"/>
              </w:rPr>
            </w:pPr>
          </w:p>
        </w:tc>
        <w:tc>
          <w:tcPr>
            <w:tcW w:w="102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32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3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(In</w:t>
            </w:r>
          </w:p>
        </w:tc>
        <w:tc>
          <w:tcPr>
            <w:tcW w:w="940" w:type="dxa"/>
            <w:vAlign w:val="bottom"/>
            <w:gridSpan w:val="3"/>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3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Milestone and license revenue</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3,500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7"/>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3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48,655</w:t>
            </w:r>
          </w:p>
        </w:tc>
        <w:tc>
          <w:tcPr>
            <w:tcW w:w="2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34,764</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$ 13,891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105,147</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68,819</w:t>
            </w:r>
          </w:p>
        </w:tc>
        <w:tc>
          <w:tcPr>
            <w:tcW w:w="22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36,328</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50"/>
        </w:trPr>
        <w:tc>
          <w:tcPr>
            <w:tcW w:w="3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29,061</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14,914</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95 %</w:t>
            </w: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25,208</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36"/>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77,716</w:t>
            </w: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49,678</w:t>
            </w:r>
          </w:p>
        </w:tc>
        <w:tc>
          <w:tcPr>
            <w:tcW w:w="2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28,038</w:t>
            </w: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157,230</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95,694</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61,536</w:t>
            </w:r>
          </w:p>
        </w:tc>
        <w:tc>
          <w:tcPr>
            <w:tcW w:w="2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(74,216 )</w:t>
            </w: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(49,678 )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-49 %</w:t>
            </w: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(153,730 )</w:t>
            </w:r>
          </w:p>
        </w:tc>
        <w:tc>
          <w:tcPr>
            <w:tcW w:w="160" w:type="dxa"/>
            <w:vAlign w:val="bottom"/>
          </w:tcPr>
          <w:p>
            <w:pPr>
              <w:spacing w:after="0"/>
              <w:rPr>
                <w:sz w:val="20"/>
                <w:szCs w:val="20"/>
                <w:color w:val="auto"/>
              </w:rPr>
            </w:pPr>
          </w:p>
        </w:tc>
        <w:tc>
          <w:tcPr>
            <w:tcW w:w="8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(95,694 )</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47"/>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3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(45 )</w:t>
            </w: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(35 )</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(10 )</w:t>
            </w:r>
          </w:p>
        </w:tc>
        <w:tc>
          <w:tcPr>
            <w:tcW w:w="220" w:type="dxa"/>
            <w:vAlign w:val="bottom"/>
          </w:tcPr>
          <w:p>
            <w:pPr>
              <w:spacing w:after="0"/>
              <w:rPr>
                <w:sz w:val="20"/>
                <w:szCs w:val="20"/>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29 %</w:t>
            </w: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Pr>
          <w:p>
            <w:pPr>
              <w:spacing w:after="0"/>
              <w:rPr>
                <w:sz w:val="20"/>
                <w:szCs w:val="20"/>
                <w:color w:val="auto"/>
              </w:rPr>
            </w:pPr>
          </w:p>
        </w:tc>
        <w:tc>
          <w:tcPr>
            <w:tcW w:w="8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(75 )</w:t>
            </w:r>
          </w:p>
        </w:tc>
        <w:tc>
          <w:tcPr>
            <w:tcW w:w="16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(25 )</w:t>
            </w:r>
          </w:p>
        </w:tc>
        <w:tc>
          <w:tcPr>
            <w:tcW w:w="26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8"/>
        </w:trPr>
        <w:tc>
          <w:tcPr>
            <w:tcW w:w="3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21 %</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50"/>
        </w:trPr>
        <w:tc>
          <w:tcPr>
            <w:tcW w:w="3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(86 )</w:t>
            </w:r>
          </w:p>
        </w:tc>
        <w:tc>
          <w:tcPr>
            <w:tcW w:w="20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(173 )</w:t>
            </w:r>
          </w:p>
        </w:tc>
        <w:tc>
          <w:tcPr>
            <w:tcW w:w="160" w:type="dxa"/>
            <w:vAlign w:val="bottom"/>
          </w:tcPr>
          <w:p>
            <w:pPr>
              <w:spacing w:after="0"/>
              <w:rPr>
                <w:sz w:val="21"/>
                <w:szCs w:val="21"/>
                <w:color w:val="auto"/>
              </w:rPr>
            </w:pPr>
          </w:p>
        </w:tc>
        <w:tc>
          <w:tcPr>
            <w:tcW w:w="8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(240 )</w:t>
            </w: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36"/>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2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13,267</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2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(68,063 )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(44,615 )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$ 23,448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-53 % $</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(140,463 )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(85,741 )</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0"/>
        </w:trPr>
        <w:tc>
          <w:tcPr>
            <w:tcW w:w="3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7"/>
        </w:trPr>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3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-2691130</wp:posOffset>
            </wp:positionV>
            <wp:extent cx="7132320" cy="1631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-2373630</wp:posOffset>
            </wp:positionV>
            <wp:extent cx="713232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-2056765</wp:posOffset>
            </wp:positionV>
            <wp:extent cx="7132320" cy="1625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-1430655</wp:posOffset>
            </wp:positionV>
            <wp:extent cx="713232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1625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120" w:right="2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300" w:firstLine="509"/>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revenue increased $3.5 million, or 100%, from the comparable quarter in the prior period. The increase is solely due to achievement of certain milestones under our license agreement with Eddingpharm related to the approval of entinostat in China.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research and development expenses for the three months ended June 30, 2024 and 2023:</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20" w:type="dxa"/>
            <w:vAlign w:val="bottom"/>
          </w:tcPr>
          <w:p>
            <w:pPr>
              <w:spacing w:after="0"/>
              <w:rPr>
                <w:sz w:val="16"/>
                <w:szCs w:val="16"/>
                <w:color w:val="auto"/>
              </w:rPr>
            </w:pPr>
          </w:p>
        </w:tc>
        <w:tc>
          <w:tcPr>
            <w:tcW w:w="19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(In</w:t>
            </w:r>
          </w:p>
        </w:tc>
        <w:tc>
          <w:tcPr>
            <w:tcW w:w="940" w:type="dxa"/>
            <w:vAlign w:val="bottom"/>
            <w:gridSpan w:val="4"/>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Revumenib-related costs</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14,082</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6,357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29,069</w:t>
            </w:r>
          </w:p>
        </w:tc>
        <w:tc>
          <w:tcPr>
            <w:tcW w:w="380" w:type="dxa"/>
            <w:vAlign w:val="bottom"/>
            <w:gridSpan w:val="3"/>
          </w:tcPr>
          <w:p>
            <w:pPr>
              <w:jc w:val="center"/>
              <w:ind w:left="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38"/>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Axatilimab-related costs</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54 %</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5"/>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programs</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172 %</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(391 )</w:t>
            </w:r>
          </w:p>
        </w:tc>
        <w:tc>
          <w:tcPr>
            <w:tcW w:w="2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43"/>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Personnel cost and other expenses</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14,861</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11,159</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33 %</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43"/>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240" w:type="dxa"/>
            <w:vAlign w:val="bottom"/>
            <w:gridSpan w:val="2"/>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14 %</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7"/>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3220" w:type="dxa"/>
            <w:vAlign w:val="bottom"/>
            <w:vMerge w:val="continue"/>
          </w:tcPr>
          <w:p>
            <w:pPr>
              <w:spacing w:after="0"/>
              <w:rPr>
                <w:sz w:val="20"/>
                <w:szCs w:val="20"/>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48,655</w:t>
            </w:r>
          </w:p>
        </w:tc>
        <w:tc>
          <w:tcPr>
            <w:tcW w:w="2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34,764</w:t>
            </w:r>
          </w:p>
        </w:tc>
        <w:tc>
          <w:tcPr>
            <w:tcW w:w="240" w:type="dxa"/>
            <w:vAlign w:val="bottom"/>
            <w:gridSpan w:val="2"/>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$ 13,891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105,147</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68,819</w:t>
            </w:r>
          </w:p>
        </w:tc>
        <w:tc>
          <w:tcPr>
            <w:tcW w:w="380" w:type="dxa"/>
            <w:vAlign w:val="bottom"/>
            <w:gridSpan w:val="3"/>
          </w:tcPr>
          <w:p>
            <w:pPr>
              <w:jc w:val="center"/>
              <w:ind w:left="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291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62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our total research and development expenses increased $13.9 million, or 40% and $36.3 million, or 53%, respectively, from the comparable quarter in the prior period. The increase is primarily due to:</w:t>
      </w:r>
    </w:p>
    <w:p>
      <w:pPr>
        <w:spacing w:after="0" w:line="54" w:lineRule="exact"/>
        <w:rPr>
          <w:sz w:val="20"/>
          <w:szCs w:val="20"/>
          <w:color w:val="auto"/>
        </w:rPr>
      </w:pPr>
    </w:p>
    <w:p>
      <w:pPr>
        <w:ind w:left="1020" w:right="40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$6.4 million and $22.8 million, for the three and six months ended June 30, 2024, respectively, in revumenib-related costs was primarily driven by continuation of the registrational trials, preparation for 1L/combo trials, costs related to the development of a companion diagnostic, pre-commercial manufacturing activities and medical affairs activities to prepare for commercialization.</w:t>
      </w:r>
    </w:p>
    <w:p>
      <w:pPr>
        <w:spacing w:after="0" w:line="6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$3.0 million and $3.5 million, for the three and six months ended June 30, 2024, respectively, in axatilimab-related costs due to continuation of the IPF trial and pre-commercial manufacturing activities offset by lower registrational trial costs.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$4.2 million and $10.4 million, for the three and six months ended June 30, 2024, respectively, in personnel costs, including non-cash stock-based compensation, and other expenses related to increases in headcount to support on-going clinical trials, NDA and sNDA, activities, and includes salaries and related expenses and overhead expenses (e.g. information technology and facilities).</w:t>
      </w:r>
    </w:p>
    <w:p>
      <w:pPr>
        <w:spacing w:after="0" w:line="200" w:lineRule="exact"/>
        <w:rPr>
          <w:sz w:val="20"/>
          <w:szCs w:val="20"/>
          <w:color w:val="auto"/>
        </w:rPr>
      </w:pPr>
    </w:p>
    <w:p>
      <w:pPr>
        <w:spacing w:after="0" w:line="3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internal and external research and development expenses for the three and six months ended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Pr>
          <w:p>
            <w:pPr>
              <w:spacing w:after="0"/>
              <w:rPr>
                <w:sz w:val="16"/>
                <w:szCs w:val="16"/>
                <w:color w:val="auto"/>
              </w:rPr>
            </w:pPr>
          </w:p>
        </w:tc>
        <w:tc>
          <w:tcPr>
            <w:tcW w:w="10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6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30,813</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9,499</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70,028</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$ 45,314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25"/>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research and development</w:t>
            </w:r>
          </w:p>
        </w:tc>
        <w:tc>
          <w:tcPr>
            <w:tcW w:w="16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17,842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13,450</w:t>
            </w:r>
          </w:p>
        </w:tc>
        <w:tc>
          <w:tcPr>
            <w:tcW w:w="240" w:type="dxa"/>
            <w:vAlign w:val="bottom"/>
            <w:vMerge w:val="restart"/>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35,119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44,105</w:t>
            </w:r>
          </w:p>
        </w:tc>
        <w:tc>
          <w:tcPr>
            <w:tcW w:w="11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(8,986 )</w:t>
            </w:r>
          </w:p>
        </w:tc>
        <w:tc>
          <w:tcPr>
            <w:tcW w:w="200" w:type="dxa"/>
            <w:vAlign w:val="bottom"/>
          </w:tcPr>
          <w:p>
            <w:pPr>
              <w:spacing w:after="0"/>
              <w:rPr>
                <w:sz w:val="19"/>
                <w:szCs w:val="19"/>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4"/>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110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860" w:type="dxa"/>
            <w:vAlign w:val="bottom"/>
            <w:vMerge w:val="continue"/>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48,655</w:t>
            </w:r>
          </w:p>
        </w:tc>
        <w:tc>
          <w:tcPr>
            <w:tcW w:w="240" w:type="dxa"/>
            <w:vAlign w:val="bottom"/>
            <w:vMerge w:val="restart"/>
          </w:tcPr>
          <w:p>
            <w:pPr>
              <w:spacing w:after="0"/>
              <w:rPr>
                <w:sz w:val="17"/>
                <w:szCs w:val="17"/>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34,764</w:t>
            </w:r>
          </w:p>
        </w:tc>
        <w:tc>
          <w:tcPr>
            <w:tcW w:w="240" w:type="dxa"/>
            <w:vAlign w:val="bottom"/>
            <w:vMerge w:val="restart"/>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$ 13,891</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105,147</w:t>
            </w: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68,819</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$ 36,328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07"/>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-873760</wp:posOffset>
            </wp:positionV>
            <wp:extent cx="7132320" cy="291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291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78"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We expect research and development expenses to fluctuate from quarter-to-quarter depending on the timing of clinical trial activities, clinical manufacturing, and other development activities.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summarizes the selling, general and administrative expenses for the three and six months ended June 30, 2024 and 2023:</w:t>
      </w:r>
    </w:p>
    <w:p>
      <w:pPr>
        <w:spacing w:after="0" w:line="3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24" w:right="27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7"/>
        </w:trPr>
        <w:tc>
          <w:tcPr>
            <w:tcW w:w="3220" w:type="dxa"/>
            <w:vAlign w:val="bottom"/>
          </w:tcPr>
          <w:p>
            <w:pPr>
              <w:spacing w:after="0"/>
              <w:rPr>
                <w:sz w:val="16"/>
                <w:szCs w:val="16"/>
                <w:color w:val="auto"/>
              </w:rPr>
            </w:pPr>
          </w:p>
        </w:tc>
        <w:tc>
          <w:tcPr>
            <w:tcW w:w="19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(In</w:t>
            </w:r>
          </w:p>
        </w:tc>
        <w:tc>
          <w:tcPr>
            <w:tcW w:w="940" w:type="dxa"/>
            <w:vAlign w:val="bottom"/>
            <w:gridSpan w:val="4"/>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related expenses</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5,816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333 %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380" w:type="dxa"/>
            <w:vAlign w:val="bottom"/>
            <w:gridSpan w:val="3"/>
          </w:tcPr>
          <w:p>
            <w:pPr>
              <w:jc w:val="center"/>
              <w:ind w:left="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0" w:type="dxa"/>
            <w:vAlign w:val="bottom"/>
          </w:tcPr>
          <w:p>
            <w:pPr>
              <w:spacing w:after="0"/>
              <w:rPr>
                <w:sz w:val="1"/>
                <w:szCs w:val="1"/>
                <w:color w:val="auto"/>
              </w:rPr>
            </w:pPr>
          </w:p>
        </w:tc>
      </w:tr>
      <w:tr>
        <w:trPr>
          <w:trHeight w:val="220"/>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selling, general and</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14 %</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43"/>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Personnel cost and other expenses</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6,602</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128 %</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10,546</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43"/>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240" w:type="dxa"/>
            <w:vAlign w:val="bottom"/>
            <w:gridSpan w:val="2"/>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28 %</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7"/>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w:t>
            </w: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220" w:type="dxa"/>
            <w:vAlign w:val="bottom"/>
            <w:vMerge w:val="continue"/>
          </w:tcPr>
          <w:p>
            <w:pPr>
              <w:spacing w:after="0"/>
              <w:rPr>
                <w:sz w:val="18"/>
                <w:szCs w:val="18"/>
                <w:color w:val="auto"/>
              </w:rPr>
            </w:pPr>
          </w:p>
        </w:tc>
        <w:tc>
          <w:tcPr>
            <w:tcW w:w="200" w:type="dxa"/>
            <w:vAlign w:val="bottom"/>
            <w:vMerge w:val="restart"/>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29,061</w:t>
            </w:r>
          </w:p>
        </w:tc>
        <w:tc>
          <w:tcPr>
            <w:tcW w:w="240" w:type="dxa"/>
            <w:vAlign w:val="bottom"/>
            <w:vMerge w:val="restart"/>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14,914</w:t>
            </w:r>
          </w:p>
        </w:tc>
        <w:tc>
          <w:tcPr>
            <w:tcW w:w="240" w:type="dxa"/>
            <w:vAlign w:val="bottom"/>
            <w:gridSpan w:val="2"/>
            <w:vMerge w:val="restart"/>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$ 14,147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95 %</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52,083</w:t>
            </w:r>
          </w:p>
        </w:tc>
        <w:tc>
          <w:tcPr>
            <w:tcW w:w="4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26,875</w:t>
            </w:r>
          </w:p>
        </w:tc>
        <w:tc>
          <w:tcPr>
            <w:tcW w:w="380" w:type="dxa"/>
            <w:vAlign w:val="bottom"/>
            <w:gridSpan w:val="3"/>
            <w:vMerge w:val="restart"/>
          </w:tcPr>
          <w:p>
            <w:pPr>
              <w:jc w:val="center"/>
              <w:ind w:left="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25,208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34"/>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400" w:type="dxa"/>
            <w:vAlign w:val="bottom"/>
            <w:gridSpan w:val="2"/>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380" w:type="dxa"/>
            <w:vAlign w:val="bottom"/>
            <w:gridSpan w:val="3"/>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-1053465</wp:posOffset>
            </wp:positionV>
            <wp:extent cx="7132320"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291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7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our total selling, general and administrative expenses increased $14.1 million, or 95% and $25.2 million, or 94%, respectively, from the comparable quarter in the prior period. The increase primarily is due to:</w:t>
      </w:r>
    </w:p>
    <w:p>
      <w:pPr>
        <w:spacing w:after="0" w:line="54" w:lineRule="exact"/>
        <w:rPr>
          <w:sz w:val="20"/>
          <w:szCs w:val="20"/>
          <w:color w:val="auto"/>
        </w:rPr>
      </w:pPr>
    </w:p>
    <w:p>
      <w:pPr>
        <w:jc w:val="both"/>
        <w:ind w:left="1020" w:right="1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$5.8 million and $10.1 million, for the three and six months ended June 30, 2024, respectively, in commercialization-related expenses is due to commercial readiness activities in anticipation of expected regulatory marketing approvals for revumenib and axatilimab.</w:t>
      </w:r>
    </w:p>
    <w:p>
      <w:pPr>
        <w:spacing w:after="0" w:line="53"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$0.5 million and $2.0 million, for the three and six months ended June 30, 2024, respectively, related to increases in information technology, human resource and legal expenses.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$7.8 million and $13.1 million, for the three and six months ended June 30, 2024, respectively, in personnel costs, including non-cash stock-based compensation, and related costs related to increases in headcount to support a growing research and development organization and preparation of commercial launches.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Interest Expense</w:t>
      </w:r>
    </w:p>
    <w:p>
      <w:pPr>
        <w:spacing w:after="0" w:line="121"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2024, interest income increased by $1.1 million, or 21%, and $3.3 million, or 32%, respectively, from the comparable period in the prior year. The increase is primarily due to higher interest rates and increased average balance on cash equivalents and short and long-term investments.</w:t>
      </w:r>
    </w:p>
    <w:p>
      <w:pPr>
        <w:spacing w:after="0" w:line="68"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interest expense increased by $10 thousand, or 29%, and $25 thousand, or 33%, respectively, from the comparable period in the prior year. The increase is primarily due to our operational and capital leases.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 net</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total other income (expense) , net decreased from the comparable prior period primarily due to a decrease in foreign currency losses on short and long-term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and cash equivalents for each period set forth below:</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169"/>
        </w:trPr>
        <w:tc>
          <w:tcPr>
            <w:tcW w:w="7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(In</w:t>
            </w:r>
          </w:p>
        </w:tc>
        <w:tc>
          <w:tcPr>
            <w:tcW w:w="98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(155,193 )</w:t>
            </w: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(74,599 )</w:t>
            </w:r>
          </w:p>
        </w:tc>
      </w:tr>
      <w:tr>
        <w:trPr>
          <w:trHeight w:val="23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400" w:type="dxa"/>
            <w:vAlign w:val="bottom"/>
          </w:tcPr>
          <w:p>
            <w:pPr>
              <w:spacing w:after="0"/>
              <w:rPr>
                <w:sz w:val="20"/>
                <w:szCs w:val="20"/>
                <w:color w:val="auto"/>
              </w:rPr>
            </w:pPr>
          </w:p>
        </w:tc>
        <w:tc>
          <w:tcPr>
            <w:tcW w:w="15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(37,649 )</w:t>
            </w:r>
          </w:p>
        </w:tc>
        <w:tc>
          <w:tcPr>
            <w:tcW w:w="6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93,822</w:t>
            </w:r>
          </w:p>
        </w:tc>
        <w:tc>
          <w:tcPr>
            <w:tcW w:w="100" w:type="dxa"/>
            <w:vAlign w:val="bottom"/>
          </w:tcPr>
          <w:p>
            <w:pPr>
              <w:spacing w:after="0"/>
              <w:rPr>
                <w:sz w:val="20"/>
                <w:szCs w:val="20"/>
                <w:color w:val="auto"/>
              </w:rPr>
            </w:pPr>
          </w:p>
        </w:tc>
      </w:tr>
      <w:tr>
        <w:trPr>
          <w:trHeight w:val="243"/>
        </w:trPr>
        <w:tc>
          <w:tcPr>
            <w:tcW w:w="7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3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cash, cash equivalents and restricted cash</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(189,998 )</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23,021</w:t>
            </w:r>
          </w:p>
        </w:tc>
        <w:tc>
          <w:tcPr>
            <w:tcW w:w="100" w:type="dxa"/>
            <w:vAlign w:val="bottom"/>
          </w:tcPr>
          <w:p>
            <w:pPr>
              <w:spacing w:after="0"/>
              <w:rPr>
                <w:sz w:val="20"/>
                <w:szCs w:val="20"/>
                <w:color w:val="auto"/>
              </w:rPr>
            </w:pPr>
          </w:p>
        </w:tc>
      </w:tr>
      <w:tr>
        <w:trPr>
          <w:trHeight w:val="20"/>
        </w:trPr>
        <w:tc>
          <w:tcPr>
            <w:tcW w:w="7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-187960</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2024, was $155.2 million and consisted of our net loss of $140.5 million adjusted for non-cash items, which include stock-based compensation of $18.8 million, an investment accretion of $7.5 million, a net decrease in operating assets and liabilities of $26.5 million and an increase in operating lease and depreciation expenses of $0.5 million. The increase in net loss was primarily due to increased clinical trial activities and manufacturing expenses. The net decrease in operating assets and liabilities primarily consisted of decreased accrued expenses and other liabilities of $13.6 million, other receivables of $9.6 million, collaboration payable of $4.1 million, prepayments and deposits of $0.9 million, partially offset by accounts payable of $1.6 million.</w:t>
      </w:r>
    </w:p>
    <w:p>
      <w:pPr>
        <w:spacing w:after="0" w:line="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19" w:right="279" w:bottom="1440" w:gutter="0" w:footer="0" w:header="0"/>
        </w:sectPr>
      </w:pPr>
    </w:p>
    <w:bookmarkStart w:id="20" w:name="page21"/>
    <w:bookmarkEnd w:id="20"/>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2023, was $74.6 million and consisted of our net loss of $85.7 million adjusted for non-cash items, which include stock-based compensation of $14.3 million, an investment accretion of $7.7 million, a net increase in operating assets and liabilities of $4.3 million, and an increase in operating lease and depreciation expenses of $0.2 million. The increase in net loss was primarily due to increased clinical trial activities and manufacturing expenses. The net increase in operating assets and liabilities primarily consisted of accounts payable of $6.6 million, increased other payables of $4.0 million and increased prepaids and deposits of $0.5 million, partially offset by decreased accrued expenses and other liabilities of $6.8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Investing Activities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2024 was $37.6 million and was due to the purchase of $167.4 million of available for sale securities, partially offset by $129.7 million in proceeds from the maturities of available-for-sale securities.</w:t>
      </w:r>
    </w:p>
    <w:p>
      <w:pPr>
        <w:spacing w:after="0" w:line="54"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six months ended June 30, 2023 was $93.8 million and was due to $236.4 million from the maturities of available-for-sale securities, partially offset by the purchase of $142.6 million of available-for-sale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2024, was $2.8 million and was primarily due to proceeds from the exercise of stock options of $2.3 million and employee participation in our 2015 Employee Stock Purchase Plan, or ESPP, of $0.5 million.</w:t>
      </w:r>
    </w:p>
    <w:p>
      <w:pPr>
        <w:spacing w:after="0" w:line="54"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2023, was $3.8 million and was primarily due to proceeds from the exercise of stock options of $3.4 million and employee participation in our ESPP of $0.4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Since our inception, our operations have been primarily financed by net proceeds from our public stock offerings, and revenue from our license agreements. We believe that our cash, cash equivalents and short- and long-term investments, totaling $454.6 million. as of June 30, 2024, will fund our projected operating expenses and capital expenditure requirements for at least the next 12 months. In addition to our existing cash, cash equivalents, short and long-term investments, we are eligible to receive research and development funding and to earn milestone and other contingent payments for the achievement of defined collaboration objectives and certain development, regulatory and commercial milestones,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w:t>
      </w:r>
    </w:p>
    <w:p>
      <w:pPr>
        <w:spacing w:after="0" w:line="8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Additionally, the process of testing drug candidates in clinical trials is costly, and the timing of progress in these trials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68" w:lineRule="exact"/>
        <w:rPr>
          <w:sz w:val="20"/>
          <w:szCs w:val="20"/>
          <w:color w:val="auto"/>
        </w:rPr>
      </w:pPr>
    </w:p>
    <w:p>
      <w:pPr>
        <w:ind w:left="1020" w:right="16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if either candidate receives regulatory approval and we determine, in the case of revumenib to commercialize it ourselves, or in the case of axatilimab to co-commercialize it with Incyte;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U.S. Food and Drug Administration, or FDA, and comparable foreign regulatory authorities, including the potential for such authorities to require that we perform more trials than we currently expect;</w:t>
      </w:r>
    </w:p>
    <w:p>
      <w:pPr>
        <w:spacing w:after="0" w:line="67" w:lineRule="exact"/>
        <w:rPr>
          <w:rFonts w:ascii="Times New Roman" w:cs="Times New Roman" w:eastAsia="Times New Roman" w:hAnsi="Times New Roman"/>
          <w:sz w:val="18"/>
          <w:szCs w:val="18"/>
          <w:color w:val="auto"/>
        </w:rPr>
      </w:pPr>
    </w:p>
    <w:p>
      <w:pPr>
        <w:jc w:val="both"/>
        <w:ind w:left="1020" w:right="26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 candidates;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developing manufacturing capabilities, and potentially validating manufacturing sites for commercial-scale manufacturing;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for obtaining pricing and reimbursement, which may require additional trials to address pharmacoeconomic benefit;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1" w:name="page22"/>
    <w:bookmarkEnd w:id="21"/>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key clinical trial activities, such as clinical trial site monitoring;</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disruptions to our supply chain and operations, and associated delays in the manufacturing and supply of our products, which would adversely impact our ability to continue our clinical trial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 as we grow our company.</w:t>
      </w:r>
    </w:p>
    <w:p>
      <w:pPr>
        <w:spacing w:after="0" w:line="225"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have no products approved for commercial sale and have not generated any product revenues from product sales to date. 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or royalty payments under our agreements with them, we will not have any committed external source of liquidity. Our material contractual obligations and commitments as of June 30, 2024, primarily relate to our maturities of operating leases for office space and equipment and capital leases for office equipment. As of June 30, 2024, we have $1.1 million payable within 12 months.</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Except as disclosed above, we have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These payments are not determinable.</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have incurred losses and cumulative negative cash flows from operations since our inception, excluding the year ended December 31, 2021. As of June 30, 2024, we had an accumulated deficit of $1.0 billion. We anticipate that we will likely continue to incur significant losses for at least the next couple of years. We expect that our research and development and selling, general and administrative expenses will continue to increase. As a result, we will need additional capital to fund our operations, which we may raise through a combination of the sale of equity, debt financings, or other sources, including potential collaborations.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May 2023, we entered into a sales agreement with Cowen and Company, LLC, or TD Cowen, under which we could, from time to time, issue and sell shares of our common stock having aggregate sales proceeds of up to $200.0 million, in a series of one or more at-the-market equity offerings, or the 2023 ATM Program. TD Cowen is not required to sell any specific share amounts but acts as the Company’s sales agent, using commercially reasonable efforts consistent with its normal trading and sales practices. Pursuant to the sales agreement, shares will be sold under the shelf registration statement on Form S-3ASR (Registration No. 333-277424), which became automatically effective upon filing on February 27, 2024. Our common stock will be sold at prevailing market prices at the time of the sale, and as a result, prices may vary. For the three and six months ended June 30, 2024, we did not sell any shares of common stock under the 2023 ATM Program. As of July 25, 2024, we had $157.9 million available under the 2023 ATM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position represents the potential loss arising from adverse changes in interest rates. As of June 30, 2024, we had cash and cash equivalents of $105.4 million, consisting of overnight investments, interest-bearing money market funds and commercial paper, and short and long-term investments of $349.2 million, consisting of commercial paper, highly rated corporate bonds and treasuries.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interest income, we receive from our marketable securities without significantly increasing risk. We have established guidelines regarding approved investments and maturities of investments, which are designed to maintain safety and liquidity. Due to the relative short-term maturities of our cash equivalents and the low risk profile of our short and long-term investments, an immediate 100 basis point change in interest rates would not have a material effect on the fair market value of our cash equivalents and short and long-term investments. We have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2" w:name="page23"/>
    <w:bookmarkEnd w:id="22"/>
    <w:p>
      <w:pPr>
        <w:ind w:right="20"/>
        <w:spacing w:after="0" w:line="282" w:lineRule="auto"/>
        <w:rPr>
          <w:sz w:val="20"/>
          <w:szCs w:val="20"/>
          <w:color w:val="auto"/>
        </w:rPr>
      </w:pPr>
      <w:r>
        <w:rPr>
          <w:rFonts w:ascii="Times New Roman" w:cs="Times New Roman" w:eastAsia="Times New Roman" w:hAnsi="Times New Roman"/>
          <w:sz w:val="18"/>
          <w:szCs w:val="18"/>
          <w:color w:val="auto"/>
        </w:rPr>
        <w:t>ability to hold our investments until maturity, and therefore, we would not expect our operating results or cash flows to be affected to any significant degree by the effect of a change in market interest rates on our investment portfolio.</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believe that inflation and changing prices had a significant impact on our results of operations for any periods presented herein.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 and 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Controls and Procedures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w:t>
      </w:r>
    </w:p>
    <w:p>
      <w:pPr>
        <w:ind w:right="20"/>
        <w:spacing w:after="0" w:line="255" w:lineRule="auto"/>
        <w:rPr>
          <w:sz w:val="20"/>
          <w:szCs w:val="20"/>
          <w:color w:val="auto"/>
        </w:rPr>
      </w:pPr>
      <w:r>
        <w:rPr>
          <w:rFonts w:ascii="Times New Roman" w:cs="Times New Roman" w:eastAsia="Times New Roman" w:hAnsi="Times New Roman"/>
          <w:sz w:val="18"/>
          <w:szCs w:val="18"/>
          <w:color w:val="auto"/>
        </w:rPr>
        <w:t>15d-15(e) under the Securities Exchange Act of 1934, as amended, or the Exchange Act), as of June 30, 2024. Based upon that evaluation, our principal executive officer and principal financial officer concluded that, as of the end of the period covered by this report, our disclosure controls and procedures are effective in ensuring that:</w:t>
      </w:r>
    </w:p>
    <w:p>
      <w:pPr>
        <w:spacing w:after="0" w:line="78" w:lineRule="exact"/>
        <w:rPr>
          <w:sz w:val="20"/>
          <w:szCs w:val="20"/>
          <w:color w:val="auto"/>
        </w:rPr>
      </w:pPr>
    </w:p>
    <w:p>
      <w:pPr>
        <w:ind w:left="900" w:right="10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to be disclosed by us in the reports we file or submit under the Exchange Act is recorded, processed, summarized and reported within the time periods specified in the SEC’s rules and forms; and</w:t>
      </w:r>
    </w:p>
    <w:p>
      <w:pPr>
        <w:spacing w:after="0" w:line="53"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is accumulated and communicated to our management, including our principal executive officer and principal financial officer as appropriate to allow timely decisions regarding required disclosure.</w:t>
      </w:r>
    </w:p>
    <w:p>
      <w:pPr>
        <w:spacing w:after="0" w:line="54"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540" w:firstLine="509"/>
        <w:spacing w:after="0" w:line="261"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the quarter ended June 30, 2024, that has materially affected, or is reasonably likely to materially affect, our internal control over financial reporting.</w:t>
      </w: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3" w:name="page24"/>
    <w:bookmarkEnd w:id="2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June 30, 2024, we were not party to any material legal or arbitration proceedings. No governmental proceedings are pending or, to our knowledge, contemplated against 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shares of our common stock involves a high degree of risk. You should carefully consider the following information about these risks, together with the other information appearing elsewhere in this Quarterly Report on Form 10-Q, including our unaudited condensed consolidated financial statements and related notes hereto, before deciding to invest in our common stock.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will not occur.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Selected Risks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of which you should be aware before making a decision to invest in our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and uncertainties include, among others, the following:</w:t>
      </w:r>
    </w:p>
    <w:p>
      <w:pPr>
        <w:spacing w:after="0" w:line="99" w:lineRule="exact"/>
        <w:rPr>
          <w:sz w:val="20"/>
          <w:szCs w:val="20"/>
          <w:color w:val="auto"/>
        </w:rPr>
      </w:pPr>
    </w:p>
    <w:p>
      <w:pPr>
        <w:ind w:left="1020" w:right="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Revumenib and axatilimab have undergone limited clinical testing and we may fail to show that each is well tolerated and provides sufficient clinical benefit for patients.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to the final data.</w:t>
      </w:r>
    </w:p>
    <w:p>
      <w:pPr>
        <w:spacing w:after="0" w:line="53" w:lineRule="exact"/>
        <w:rPr>
          <w:rFonts w:ascii="Times New Roman" w:cs="Times New Roman" w:eastAsia="Times New Roman" w:hAnsi="Times New Roman"/>
          <w:sz w:val="18"/>
          <w:szCs w:val="18"/>
          <w:color w:val="auto"/>
        </w:rPr>
      </w:pPr>
    </w:p>
    <w:p>
      <w:pPr>
        <w:ind w:left="1020" w:right="12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additional costs or experience delays in completing, or ultimately be unable to complete, the development and commercialization of any of our product candidates.</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Incyte may fail to perform its obligations as expected under the collaboration or may deprioritize its investment to further develop and commercialize axatilimab.</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collaborators are unable to enroll patients in clinical trials, these clinical trials may not be completed on a timely basis or at all.</w:t>
      </w:r>
    </w:p>
    <w:p>
      <w:pPr>
        <w:spacing w:after="0" w:line="117" w:lineRule="exact"/>
        <w:rPr>
          <w:rFonts w:ascii="Times New Roman" w:cs="Times New Roman" w:eastAsia="Times New Roman" w:hAnsi="Times New Roman"/>
          <w:sz w:val="18"/>
          <w:szCs w:val="18"/>
          <w:color w:val="auto"/>
        </w:rPr>
      </w:pPr>
    </w:p>
    <w:p>
      <w:pPr>
        <w:ind w:left="1020" w:right="200" w:hanging="503"/>
        <w:spacing w:after="0" w:line="312" w:lineRule="auto"/>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regulatory approval processes of the U.S. Food and Drug Administration, or FDA, and foreign regulatory authorities are lengthy, time-consuming and inherently unpredictable. Our inability to obtain regulatory approval for our product candidates would harm our business.</w:t>
      </w:r>
    </w:p>
    <w:p>
      <w:pPr>
        <w:spacing w:after="0" w:line="31" w:lineRule="exact"/>
        <w:rPr>
          <w:rFonts w:ascii="Times New Roman" w:cs="Times New Roman" w:eastAsia="Times New Roman" w:hAnsi="Times New Roman"/>
          <w:sz w:val="17"/>
          <w:szCs w:val="17"/>
          <w:color w:val="auto"/>
        </w:rPr>
      </w:pPr>
    </w:p>
    <w:p>
      <w:pPr>
        <w:ind w:left="1020" w:right="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achieve adequate market acceptance among physicians, patients, healthcare payors and others in the medical community to be commercially successful.</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suppliers as well as Incyte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face future development and regulatory difficulties.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in each period since our inception, except in 2021, and anticipate that we will continue to incur net losses for the</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foreseeable future.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4" w:name="page25"/>
    <w:bookmarkEnd w:id="24"/>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no source of product revenue and may never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likely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or protect intellectual property rights, we may not be able to compete effectively in our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throughout the world.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stock may be volatile and you could lose all or part of your investment.</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sell additional equity or debt securities or enter into other arrangements to fund our operations, which may result in dilution to our stockholders and impose restrictions or limitations on our business.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51" w:lineRule="exact"/>
        <w:rPr>
          <w:sz w:val="20"/>
          <w:szCs w:val="20"/>
          <w:color w:val="auto"/>
        </w:rPr>
      </w:pPr>
    </w:p>
    <w:p>
      <w:pPr>
        <w:ind w:right="520" w:firstLine="578"/>
        <w:spacing w:after="0" w:line="266" w:lineRule="auto"/>
        <w:rPr>
          <w:sz w:val="20"/>
          <w:szCs w:val="20"/>
          <w:color w:val="auto"/>
        </w:rPr>
      </w:pPr>
      <w:r>
        <w:rPr>
          <w:rFonts w:ascii="Times New Roman" w:cs="Times New Roman" w:eastAsia="Times New Roman" w:hAnsi="Times New Roman"/>
          <w:sz w:val="18"/>
          <w:szCs w:val="18"/>
          <w:color w:val="auto"/>
        </w:rPr>
        <w:t>Our financial success will depend substantially on our ability to effectively and profitably commercialize our product candidates. In order to commercialize our product candidates, we will be required to obtain regulatory approvals by establishing that each of them is sufficiently safe and effective. The clinical and commercial success of our product candidates will depend on a number of factors, including the following:</w:t>
      </w:r>
    </w:p>
    <w:p>
      <w:pPr>
        <w:spacing w:after="0" w:line="68"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cost, timing, progress and results of our research and development activities, clinical trials and preclinical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of any future clinical trials of revumenib and axatilimab;</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in connection with public health threats or any future geopolitical tensions, such as the ongoing wars between Russia and Ukraine and the war in Gaza;</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foreign regulatory authorities to conduct additional clinical trials prior to receiving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drug reactions in any of our clinical trials;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demonstrate safety and efficacy of our product candidates for their proposed indications and the timely receipt of necessary marketing approvals from the FDA and foreign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meeting the endpoints in the clinical trials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maintaining compliance with all applicable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use of our product candidates to treat various cancer indications and fibrotic diseases;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relative cost, relative safety and relative efficacy of alternative and competing treatments;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own or our potential strategic collaborators’ marketing, sales and distribution strategy and operations in the United States and abroad;</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collaboration partner and of third-party contract manufacturers to produce trial supplies and to develop, validate and maintain a commercially viable manufacturing process that is compliant with current Good Manufacturing Practices, or cGMP;</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 in the United States and abroad, whether alone or in collaboration with others;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any significant disruptions of our information technology systems and protect the security of our data;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our intellectual property rights in and to our product candidates.</w:t>
      </w:r>
    </w:p>
    <w:p>
      <w:pPr>
        <w:spacing w:after="0" w:line="117" w:lineRule="exact"/>
        <w:rPr>
          <w:sz w:val="20"/>
          <w:szCs w:val="20"/>
          <w:color w:val="auto"/>
        </w:rPr>
      </w:pPr>
    </w:p>
    <w:p>
      <w:pPr>
        <w:ind w:firstLine="578"/>
        <w:spacing w:after="0" w:line="261" w:lineRule="auto"/>
        <w:rPr>
          <w:sz w:val="20"/>
          <w:szCs w:val="20"/>
          <w:color w:val="auto"/>
        </w:rPr>
      </w:pPr>
      <w:r>
        <w:rPr>
          <w:rFonts w:ascii="Times New Roman" w:cs="Times New Roman" w:eastAsia="Times New Roman" w:hAnsi="Times New Roman"/>
          <w:sz w:val="18"/>
          <w:szCs w:val="18"/>
          <w:color w:val="auto"/>
        </w:rPr>
        <w:t>If we fail to obtain regulatory approval for our product candidates, we will not be able to generate product sales, which will have a material adverse effect on our business and our prospects.</w:t>
      </w: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Revumenib has undergone limited clinical testing and we may fail to show that it is well tolerated and provides sufficient clinical benefit for patients</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ind w:firstLine="584"/>
        <w:spacing w:after="0" w:line="252" w:lineRule="auto"/>
        <w:rPr>
          <w:sz w:val="20"/>
          <w:szCs w:val="20"/>
          <w:color w:val="auto"/>
        </w:rPr>
      </w:pPr>
      <w:r>
        <w:rPr>
          <w:rFonts w:ascii="Times New Roman" w:cs="Times New Roman" w:eastAsia="Times New Roman" w:hAnsi="Times New Roman"/>
          <w:sz w:val="18"/>
          <w:szCs w:val="18"/>
          <w:color w:val="auto"/>
        </w:rPr>
        <w:t>Research suggests that certain acute leukemias, such as lysine methyltransferase 2A rearranged, or KMT2Ar, acute myeloid or lymphoid leukemia, AML or ALL, and nucleophosmin 1, or NPM1, mutant AML, are driven by the interaction of menin, a nuclear protein involved in transcription, with the N-terminus of KMT2A protein. In NPM1 mutant AML the interaction with menin occurs via the wild type KMT2A protein, and in KMT2Ar acute leukemia, the interaction occurs via a mutant form of KMT2A, a fusion protein known as KMT2Ar. KMT2Ar results from a rare, spontaneous fusion between the N-terminus of the KMT2A gene and a host of signaling molecules and nuclear transcription factors. This fusion produces an aberrant transcription program that drives leukemic transformation. In pre-clinical animal models, small molecule inhibitors of the menin-KMT2Ar interaction, such as revumenib, which bind to, and block the interaction of menin with either KMT2A rearranged or wildtype, have demonstrated deep and durable single agent treatment effects in multiple leukemic xenograft models harboring KMT2A fusions or NPM1 mutations. Our strategy for developing revumenib is to conduct a Phase 1/2 clinical trial in r/r patients with KMT2Ar and NPM1 mutant acute leukemias and determine if the observed clinical efficacy supports further development. The Phase 1 portion of the trial is assessing the safety, tolerability and pharmacokinetics of revumenib, and seeks to establish a recommended Phase 2 dose. It is open label, and we have released and may in the future release results from time to time that reflect small numbers of patients which may not be accurately predictive of safety or efficacy results later in the trial or in subsequent trials. The Phase 2 portion is evaluating the efficacy of revumenib across three expansion cohorts enrolling pediatric and adult R/R patients with KMT2Ar ALL, KMT2Ar AML, and NPM1 mutant AML. In October 2023, we announced positive topline data in patients with R/R KMT2Ar acute leukemia and in March 2024, we announced that the NDA had a Priority Review PDUFA date of September 26, 2024, which the FDA subsequently extended to December 26, 2024. Neither breakthrough therapy designation nor RTOR review change the standards for approval and may not ultimately expedite the approval process or lead to approval. While we believe that we have established sufficient efficacy to warrant NDA submission and continued development in these indications, we may not yet have sufficiently demonstrated a favorable risk-benefit of revumenib in patients.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Axatilimab has undergone limited clinical testing and we may fail to show that it is well tolerated and provides a clinical benefit for patients.</w:t>
      </w:r>
    </w:p>
    <w:p>
      <w:pPr>
        <w:spacing w:after="0" w:line="121" w:lineRule="exact"/>
        <w:rPr>
          <w:sz w:val="20"/>
          <w:szCs w:val="20"/>
          <w:color w:val="auto"/>
        </w:rPr>
      </w:pPr>
    </w:p>
    <w:p>
      <w:pPr>
        <w:ind w:right="60" w:firstLine="584"/>
        <w:spacing w:after="0" w:line="253" w:lineRule="auto"/>
        <w:rPr>
          <w:sz w:val="20"/>
          <w:szCs w:val="20"/>
          <w:color w:val="auto"/>
        </w:rPr>
      </w:pPr>
      <w:r>
        <w:rPr>
          <w:rFonts w:ascii="Times New Roman" w:cs="Times New Roman" w:eastAsia="Times New Roman" w:hAnsi="Times New Roman"/>
          <w:sz w:val="18"/>
          <w:szCs w:val="18"/>
          <w:color w:val="auto"/>
        </w:rPr>
        <w:t>Preclinical studies suggest that CSF-1/CSF-1R signaling may be the key regulatory pathway involved in the expansion and infiltration of donor derived macrophages that mediate the disease processes involved in cGVHD and other fibrotic or inflammatory diseases. Nonclinical studies and analysis of patient samples indicates that the cGVHD inflammatory disease process is a result of a complex interaction between host and donor immune cells including B cells, and regulatory T cells with M2 differentiated macrophages in target tissue appearing to represent the common distal mediator of fibrosis. Therefore, we hypothesize that a CSF-1R signal inhibitor such as axatilimab may play a meaningful role as a monotherapy agent in the treatment of cGVHD. In 2018, we commenced a Phase 1/2 clinical trial with axatilimab in subjects with active cGVHD who had failed at least two prior lines of therapy. Following our end of Phase 1 meeting with the FDA, we aligned on a regulatory path for axatilimab for the treatment of cGVHD and commenced a pivotal Phase 2 clinical trial, AGAVE-201, to assess the safety and efficacy of different doses and schedules of axatilimab for the treatment of patients with cGVHD. In July 2023, we announced that AGAVE-201 met its primary endpoint across all three doses in the trial. In February 2024, the BLA for this indication was granted Priority Review by the FDA with a PDUFA date of August 28, 2024. While we believe that we have established sufficient efficacy to warrant BLA approval and continued development in this indication, we may not yet have sufficiently demonstrated a favorable risk-benefit of axatilimab in patients.</w:t>
      </w:r>
    </w:p>
    <w:p>
      <w:pPr>
        <w:spacing w:after="0" w:line="18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jc w:val="both"/>
        <w:ind w:right="80" w:firstLine="578"/>
        <w:spacing w:after="0" w:line="269" w:lineRule="auto"/>
        <w:rPr>
          <w:sz w:val="20"/>
          <w:szCs w:val="20"/>
          <w:color w:val="auto"/>
        </w:rPr>
      </w:pPr>
      <w:r>
        <w:rPr>
          <w:rFonts w:ascii="Times New Roman" w:cs="Times New Roman" w:eastAsia="Times New Roman" w:hAnsi="Times New Roman"/>
          <w:sz w:val="17"/>
          <w:szCs w:val="17"/>
          <w:color w:val="auto"/>
        </w:rPr>
        <w:t>From time to time, we may publish interim top-line or preliminary data from our clinical trials. For example, in each of November 2022 and 2023, we announced interim data from our Phase 1/2 clinical trial of revumenib. While we have presented final data from our pivotal AGAVE-201 trial and from two of three cohorts in our AUGMENT-101 trial, interim data from other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Preliminary or top-line data may include, for example, data regarding a small percentage of the patients enrolled in a clinical trial, and such preliminary data should not be viewed as an indication, belief or guarantee that other patients enrolled in such clinical trial will achieve similar results or that the preliminary results from such patients will be maintained.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83"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experience delays in completing, or ultimately be unable to complete, the development and commercialization of any of our product candidates.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6" w:name="page27"/>
    <w:bookmarkEnd w:id="26"/>
    <w:p>
      <w:pPr>
        <w:ind w:firstLine="578"/>
        <w:spacing w:after="0" w:line="258"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of our product candidates, we or our collaborators must conduct extensive trials to demonstrate the safety and efficacy of the product candidates in humans. 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w:t>
      </w:r>
    </w:p>
    <w:p>
      <w:pPr>
        <w:spacing w:after="0" w:line="7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our collaboration with Incyte to further develop and commercialize axatilimab. If we or Incyte fail to perform as expected the potential for us to generate future revenues under the collaboration could be significantly reduced, the development and/or commercialization of axatilimab may be terminated or substantially delayed, and our business could be adversely affected.</w:t>
      </w:r>
    </w:p>
    <w:p>
      <w:pPr>
        <w:spacing w:after="0" w:line="67" w:lineRule="exact"/>
        <w:rPr>
          <w:sz w:val="20"/>
          <w:szCs w:val="20"/>
          <w:color w:val="auto"/>
        </w:rPr>
      </w:pPr>
    </w:p>
    <w:p>
      <w:pPr>
        <w:ind w:right="520" w:firstLine="578"/>
        <w:spacing w:after="0" w:line="282" w:lineRule="auto"/>
        <w:rPr>
          <w:sz w:val="20"/>
          <w:szCs w:val="20"/>
          <w:color w:val="auto"/>
        </w:rPr>
      </w:pPr>
      <w:r>
        <w:rPr>
          <w:rFonts w:ascii="Times New Roman" w:cs="Times New Roman" w:eastAsia="Times New Roman" w:hAnsi="Times New Roman"/>
          <w:sz w:val="18"/>
          <w:szCs w:val="18"/>
          <w:color w:val="auto"/>
        </w:rPr>
        <w:t>We are subject to numerous risks related to the Incyte Collaboration Agreement to collaborate on the development and commercialization of axatilimab.</w:t>
      </w:r>
    </w:p>
    <w:p>
      <w:pPr>
        <w:spacing w:after="0" w:line="54" w:lineRule="exact"/>
        <w:rPr>
          <w:sz w:val="20"/>
          <w:szCs w:val="20"/>
          <w:color w:val="auto"/>
        </w:rPr>
      </w:pPr>
    </w:p>
    <w:p>
      <w:pPr>
        <w:ind w:right="320" w:firstLine="578"/>
        <w:spacing w:after="0" w:line="258" w:lineRule="auto"/>
        <w:rPr>
          <w:sz w:val="20"/>
          <w:szCs w:val="20"/>
          <w:color w:val="auto"/>
        </w:rPr>
      </w:pPr>
      <w:r>
        <w:rPr>
          <w:rFonts w:ascii="Times New Roman" w:cs="Times New Roman" w:eastAsia="Times New Roman" w:hAnsi="Times New Roman"/>
          <w:sz w:val="18"/>
          <w:szCs w:val="18"/>
          <w:color w:val="auto"/>
        </w:rPr>
        <w:t>For example, there is no assurance that the parties will achieve any of the regulatory development or sales milestones, that we will receive any future milestone or royalty payments under the collaboration agreement. Incyte’s activities may be influenced by, among other things, the efforts and allocation of resources by Incyte, which we cannot control. If Incyte does not perform in the manner we expect or fulfill its responsibilities in a timely manner, or at all, the clinical development, manufacturing, regulatory approval, and commercialization efforts related to axatilimab could be delayed or terminated. In addition, our license with Incyte may be unsuccessful due to other factors, including, without limitation, the following:</w:t>
      </w:r>
    </w:p>
    <w:p>
      <w:pPr>
        <w:spacing w:after="0" w:line="75" w:lineRule="exact"/>
        <w:rPr>
          <w:sz w:val="20"/>
          <w:szCs w:val="20"/>
          <w:color w:val="auto"/>
        </w:rPr>
      </w:pPr>
    </w:p>
    <w:p>
      <w:pPr>
        <w:ind w:left="1040" w:right="1040" w:hanging="377"/>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Incyte may terminate the agreement for convenience upon 90 or 180 days’ notice depending on whether or not the parties have commercialized axatilimab in an indication in the respective territory;</w:t>
      </w:r>
    </w:p>
    <w:p>
      <w:pPr>
        <w:spacing w:after="0" w:line="53" w:lineRule="exact"/>
        <w:rPr>
          <w:rFonts w:ascii="Times New Roman" w:cs="Times New Roman" w:eastAsia="Times New Roman" w:hAnsi="Times New Roman"/>
          <w:sz w:val="18"/>
          <w:szCs w:val="18"/>
          <w:color w:val="auto"/>
        </w:rPr>
      </w:pPr>
    </w:p>
    <w:p>
      <w:pPr>
        <w:ind w:left="1040" w:right="300" w:hanging="377"/>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Incyte may change the focus of its development and commercialization efforts or prioritize other programs more highly and, accordingly, reduce the efforts and resources allocated to axatilimab</w:t>
      </w:r>
    </w:p>
    <w:p>
      <w:pPr>
        <w:spacing w:after="0" w:line="53" w:lineRule="exact"/>
        <w:rPr>
          <w:rFonts w:ascii="Times New Roman" w:cs="Times New Roman" w:eastAsia="Times New Roman" w:hAnsi="Times New Roman"/>
          <w:sz w:val="18"/>
          <w:szCs w:val="18"/>
          <w:color w:val="auto"/>
        </w:rPr>
      </w:pPr>
    </w:p>
    <w:p>
      <w:pPr>
        <w:ind w:left="1040" w:right="40" w:hanging="377"/>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Incyte may, within its commercially reasonable discretion, choose not to develop and commercialize axatilimab in all relevant markets or for one or more indications, if at all; and</w:t>
      </w:r>
    </w:p>
    <w:p>
      <w:pPr>
        <w:spacing w:after="0" w:line="53" w:lineRule="exact"/>
        <w:rPr>
          <w:rFonts w:ascii="Times New Roman" w:cs="Times New Roman" w:eastAsia="Times New Roman" w:hAnsi="Times New Roman"/>
          <w:sz w:val="18"/>
          <w:szCs w:val="18"/>
          <w:color w:val="auto"/>
        </w:rPr>
      </w:pPr>
    </w:p>
    <w:p>
      <w:pPr>
        <w:ind w:left="1040" w:right="380" w:hanging="377"/>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Incyte is acquired during the term of our collaboration, the acquirer may have competing programs or different strategic priorities that could cause it to reduce its commitment to our collaboration or to terminate the collaboration.</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cannot ensure that the potential strategic benefits and opportunities expected from this collaboration with be realized on our anticipated timeline or at all.</w:t>
      </w:r>
    </w:p>
    <w:p>
      <w:pPr>
        <w:spacing w:after="0" w:line="158" w:lineRule="exact"/>
        <w:rPr>
          <w:sz w:val="20"/>
          <w:szCs w:val="20"/>
          <w:color w:val="auto"/>
        </w:rPr>
      </w:pPr>
    </w:p>
    <w:p>
      <w:pPr>
        <w:jc w:val="center"/>
        <w:ind w:right="86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we or our collaborators are unable to enroll patients in clinical trials, these clinical trials may not be completed on a timely basis or at all. </w:t>
      </w:r>
      <w:r>
        <w:rPr>
          <w:rFonts w:ascii="Times New Roman" w:cs="Times New Roman" w:eastAsia="Times New Roman" w:hAnsi="Times New Roman"/>
          <w:sz w:val="18"/>
          <w:szCs w:val="18"/>
          <w:color w:val="auto"/>
        </w:rPr>
        <w:t>The timely completion of clinical trials largely depends on patient enrollment. Many factors affect patient enrollment, including:</w:t>
      </w: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crises, or geopolitical tensions, such as the ongoing wars between Russia and Ukraine and the war in Gaza;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about the relative efficacy of our product candidates versus other compounds in clinical development or commercially available;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standard of care in treating cancer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especially in the case of an orphan indication, we are pursuing;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clinical trial sites enrolled;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organizations or our own clinical trials for clinical trial sites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consent;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subjects will drop out before completion.</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a result of the above factors, there is a risk that our or our collaborators’ clinical trials may not be completed on a timely basis or at all.</w:t>
      </w:r>
    </w:p>
    <w:p>
      <w:pPr>
        <w:spacing w:after="0" w:line="22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relinquish important rights to and control over the development and commercialization of our product candidates to our current or future collaborators.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7" w:name="page28"/>
    <w:bookmarkEnd w:id="27"/>
    <w:p>
      <w:pPr>
        <w:ind w:left="580"/>
        <w:spacing w:after="0"/>
        <w:rPr>
          <w:sz w:val="20"/>
          <w:szCs w:val="20"/>
          <w:color w:val="auto"/>
        </w:rPr>
      </w:pPr>
      <w:r>
        <w:rPr>
          <w:rFonts w:ascii="Times New Roman" w:cs="Times New Roman" w:eastAsia="Times New Roman" w:hAnsi="Times New Roman"/>
          <w:sz w:val="18"/>
          <w:szCs w:val="18"/>
          <w:color w:val="auto"/>
        </w:rPr>
        <w:t>Our collaborations, including any future strategic collaborations we enter into, could subject us to a number of risks, including:</w:t>
      </w:r>
    </w:p>
    <w:p>
      <w:pPr>
        <w:spacing w:after="0" w:line="117"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undertake the expenditure of substantial operational, financial and management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issue equity securities that would dilute our existing stockholders’ percentage of ownership;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assume substantial actual or contingent liabilities;</w:t>
      </w:r>
    </w:p>
    <w:p>
      <w:pPr>
        <w:spacing w:after="0" w:line="117" w:lineRule="exact"/>
        <w:rPr>
          <w:rFonts w:ascii="Times New Roman" w:cs="Times New Roman" w:eastAsia="Times New Roman" w:hAnsi="Times New Roman"/>
          <w:sz w:val="18"/>
          <w:szCs w:val="18"/>
          <w:color w:val="auto"/>
        </w:rPr>
      </w:pPr>
    </w:p>
    <w:p>
      <w:pPr>
        <w:ind w:left="1020" w:right="11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strategic collaborators devote to the development or commercialization of our product candidates;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commit adequate resources to the marketing, sales and distribution of our product candidates, limiting our potential revenues from these products;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experience financial difficulties;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53" w:lineRule="exact"/>
        <w:rPr>
          <w:rFonts w:ascii="Times New Roman" w:cs="Times New Roman" w:eastAsia="Times New Roman" w:hAnsi="Times New Roman"/>
          <w:sz w:val="18"/>
          <w:szCs w:val="18"/>
          <w:color w:val="auto"/>
        </w:rPr>
      </w:pPr>
    </w:p>
    <w:p>
      <w:pPr>
        <w:ind w:left="1020" w:right="10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strategic collaborator’s business strategy may also adversely affect a strategic collaborator’s willingness or ability to complete its obligations under any arrangement;</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could decide to move forward with a competing product candidate developed either independently or in collaboration with others, including our competitors;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could terminate the arrangement or allow it to expire, which would delay the development and may increase the cost of developing,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explore strategic collaborations that may never materialize or may fail.</w:t>
      </w:r>
    </w:p>
    <w:p>
      <w:pPr>
        <w:spacing w:after="0" w:line="121" w:lineRule="exact"/>
        <w:rPr>
          <w:sz w:val="20"/>
          <w:szCs w:val="20"/>
          <w:color w:val="auto"/>
        </w:rPr>
      </w:pPr>
    </w:p>
    <w:p>
      <w:pPr>
        <w:ind w:right="20" w:firstLine="578"/>
        <w:spacing w:after="0" w:line="256" w:lineRule="auto"/>
        <w:rPr>
          <w:sz w:val="20"/>
          <w:szCs w:val="20"/>
          <w:color w:val="auto"/>
        </w:rPr>
      </w:pPr>
      <w:r>
        <w:rPr>
          <w:rFonts w:ascii="Times New Roman" w:cs="Times New Roman" w:eastAsia="Times New Roman" w:hAnsi="Times New Roman"/>
          <w:sz w:val="18"/>
          <w:szCs w:val="18"/>
          <w:color w:val="auto"/>
        </w:rPr>
        <w:t>We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enter into strategic collaborations that we subsequently no longer wish to pursue, and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18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foreign regulatory authorities are lengthy, time-consuming and inherently unpredictable. Our inability to obtain regulatory approval for our product candidates would harm our business.</w:t>
      </w:r>
    </w:p>
    <w:p>
      <w:pPr>
        <w:spacing w:after="0" w:line="51" w:lineRule="exact"/>
        <w:rPr>
          <w:sz w:val="20"/>
          <w:szCs w:val="20"/>
          <w:color w:val="auto"/>
        </w:rPr>
      </w:pPr>
    </w:p>
    <w:p>
      <w:pPr>
        <w:ind w:firstLine="578"/>
        <w:spacing w:after="0" w:line="253" w:lineRule="auto"/>
        <w:rPr>
          <w:sz w:val="20"/>
          <w:szCs w:val="20"/>
          <w:color w:val="auto"/>
        </w:rPr>
      </w:pPr>
      <w:r>
        <w:rPr>
          <w:rFonts w:ascii="Times New Roman" w:cs="Times New Roman" w:eastAsia="Times New Roman" w:hAnsi="Times New Roman"/>
          <w:sz w:val="18"/>
          <w:szCs w:val="18"/>
          <w:color w:val="auto"/>
        </w:rPr>
        <w:t>The FDA and comparable foreign regulatory authorities extensively and rigorously regulate and evaluate the manufacture, testing, distribution, advertising and marketing of drug products prior to granting marketing approvals with respect to such products. This approval process generally requires, at minimum, testing of any product candidate in preclinical studies and clinical trials to establish its safety and effectiveness, and confirmation by the FDA and comparable foreign regulatory authorities that any such product candidate, and any parties involved in its manufacturing, testing and development, complied with cGMP, current Good Laboratory Practices and current Good Clinical Practices, regulations, standards and guidelines during such manufacturing, testing and development. 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Other than the recent approval for marketing of entinostat tablets by the National Medical Products Administration, we have not obtained regulatory approval for any of our product candidates and it is possible that we will never obtain regulatory approval for any additional product candidates or any future product candidates.</w:t>
      </w:r>
    </w:p>
    <w:p>
      <w:pPr>
        <w:spacing w:after="0" w:line="84" w:lineRule="exact"/>
        <w:rPr>
          <w:sz w:val="20"/>
          <w:szCs w:val="20"/>
          <w:color w:val="auto"/>
        </w:rPr>
      </w:pPr>
    </w:p>
    <w:p>
      <w:pPr>
        <w:ind w:right="500" w:firstLine="578"/>
        <w:spacing w:after="0" w:line="261" w:lineRule="auto"/>
        <w:rPr>
          <w:sz w:val="20"/>
          <w:szCs w:val="20"/>
          <w:color w:val="auto"/>
        </w:rPr>
      </w:pPr>
      <w:r>
        <w:rPr>
          <w:rFonts w:ascii="Times New Roman" w:cs="Times New Roman" w:eastAsia="Times New Roman" w:hAnsi="Times New Roman"/>
          <w:sz w:val="18"/>
          <w:szCs w:val="18"/>
          <w:color w:val="auto"/>
        </w:rPr>
        <w:t>In addition, our product candidates could fail to receive regulatory approval from the FDA or foreign regulatory authorities for other reasons, including but not limited to:</w:t>
      </w: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8" w:name="page29"/>
    <w:bookmarkEnd w:id="28"/>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our product candidates are effective for their proposed indication and have an acceptable safety profile;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trials to meet the primary endpoints or level of statistical significance required for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the clinical and other benefits of a product candidate outweigh any of its safety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the design, size, conduct or implementation of our or our collaborators’ trials;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data collected from trials of our product candidates to support the submission and filing of an NDA, BLA or other submission or to obtain regulatory approval;</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approval of the manufacturing and testing processes or facilities of third-party manufacturers with whom we contract for clinical and commercial product supplies or preclinical or clinical testing;</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 negative opinion from an advisory committee due to a change in the standard of care regardless of the outcome of the clinical trials;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approval policies or regulations that render our preclinical and clinical data insufficient for approval.</w:t>
      </w:r>
    </w:p>
    <w:p>
      <w:pPr>
        <w:spacing w:after="0" w:line="117" w:lineRule="exact"/>
        <w:rPr>
          <w:sz w:val="20"/>
          <w:szCs w:val="20"/>
          <w:color w:val="auto"/>
        </w:rPr>
      </w:pPr>
    </w:p>
    <w:p>
      <w:pPr>
        <w:ind w:firstLine="578"/>
        <w:spacing w:after="0" w:line="253" w:lineRule="auto"/>
        <w:rPr>
          <w:sz w:val="20"/>
          <w:szCs w:val="20"/>
          <w:color w:val="auto"/>
        </w:rPr>
      </w:pPr>
      <w:r>
        <w:rPr>
          <w:rFonts w:ascii="Times New Roman" w:cs="Times New Roman" w:eastAsia="Times New Roman" w:hAnsi="Times New Roman"/>
          <w:sz w:val="18"/>
          <w:szCs w:val="18"/>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one or more of our product candidates for a more limited patient population than we request, may grant approval contingent on the performance of costly post-marketing trials, may impose a risk evaluation and mitigation strategy, or REMS, or foreign regulatory authorities may require the establishment or modification of a similar strategy that may, for instance, restrict distribution of one or more of our product candidates and impose burdensome implementation requirements on us, or may approve it with a label that does not include the labeling claims necessary or desirable for the successful commercialization of one or more of our product candidates, all of which could limit our ability to successfully commercialize our product candidates. Moreover, if adopted in the form proposed, the recent European Commission proposals to revise the existing European Union, or EU, laws governing authorization of medicinal products may result in a decrease in data and market exclusivity for our product candidates in the EU.</w:t>
      </w:r>
    </w:p>
    <w:p>
      <w:pPr>
        <w:spacing w:after="0" w:line="190"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not achieve adequate market acceptance among physicians, patients, healthcare payors and others in the medical community to be commercially successful</w:t>
      </w:r>
      <w:r>
        <w:rPr>
          <w:rFonts w:ascii="Times New Roman" w:cs="Times New Roman" w:eastAsia="Times New Roman" w:hAnsi="Times New Roman"/>
          <w:sz w:val="18"/>
          <w:szCs w:val="18"/>
          <w:i w:val="1"/>
          <w:iCs w:val="1"/>
          <w:color w:val="auto"/>
        </w:rPr>
        <w:t>.</w:t>
      </w:r>
    </w:p>
    <w:p>
      <w:pPr>
        <w:spacing w:after="0" w:line="51" w:lineRule="exact"/>
        <w:rPr>
          <w:sz w:val="20"/>
          <w:szCs w:val="20"/>
          <w:color w:val="auto"/>
        </w:rPr>
      </w:pPr>
    </w:p>
    <w:p>
      <w:pPr>
        <w:ind w:right="120" w:firstLine="578"/>
        <w:spacing w:after="0" w:line="261"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p>
    <w:p>
      <w:pPr>
        <w:spacing w:after="0" w:line="72"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as demonstrated in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as well as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 as a safe and effective treatment by physicians, clinics and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the availability of coverage and adequate reimbursement by third-party payors, including government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our product candidates.</w:t>
      </w:r>
    </w:p>
    <w:p>
      <w:pPr>
        <w:spacing w:after="0" w:line="117" w:lineRule="exact"/>
        <w:rPr>
          <w:sz w:val="20"/>
          <w:szCs w:val="20"/>
          <w:color w:val="auto"/>
        </w:rPr>
      </w:pPr>
    </w:p>
    <w:p>
      <w:pPr>
        <w:ind w:right="120" w:firstLine="578"/>
        <w:spacing w:after="0" w:line="261" w:lineRule="auto"/>
        <w:rPr>
          <w:sz w:val="20"/>
          <w:szCs w:val="20"/>
          <w:color w:val="auto"/>
        </w:rPr>
      </w:pPr>
      <w:r>
        <w:rPr>
          <w:rFonts w:ascii="Times New Roman" w:cs="Times New Roman" w:eastAsia="Times New Roman" w:hAnsi="Times New Roman"/>
          <w:sz w:val="18"/>
          <w:szCs w:val="18"/>
          <w:color w:val="auto"/>
        </w:rPr>
        <w:t>If our product candidates are approved but do not achieve an adequate level of acceptance by physicians, hospitals, healthcare payors and patients, we may not generate sufficient revenue to become or remain profitable.</w:t>
      </w: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9" w:name="page30"/>
    <w:bookmarkEnd w:id="29"/>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suppliers as well as Incyte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67" w:lineRule="exact"/>
        <w:rPr>
          <w:sz w:val="20"/>
          <w:szCs w:val="20"/>
          <w:color w:val="auto"/>
        </w:rPr>
      </w:pPr>
    </w:p>
    <w:p>
      <w:pPr>
        <w:ind w:right="80" w:firstLine="578"/>
        <w:spacing w:after="0" w:line="258"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to manufacture or distribute preclinical, clinical or commercial quantities of drug substance or drug product, including our existing product candidates. While we expect to continue to depend on third-party manufacturers and Incyte for the foreseeable future, we do not have direct control over the ability of these parties to maintain adequate manufacturing capacity and capabilities to serve our needs, including quality control, quality assurance and qualified personnel. In addition, public health crises, may impact the ability of our existing or future manufacturers to perform their obligations to us.</w:t>
      </w:r>
    </w:p>
    <w:p>
      <w:pPr>
        <w:spacing w:after="0" w:line="75" w:lineRule="exact"/>
        <w:rPr>
          <w:sz w:val="20"/>
          <w:szCs w:val="20"/>
          <w:color w:val="auto"/>
        </w:rPr>
      </w:pPr>
    </w:p>
    <w:p>
      <w:pPr>
        <w:ind w:right="40" w:firstLine="578"/>
        <w:spacing w:after="0" w:line="253" w:lineRule="auto"/>
        <w:rPr>
          <w:sz w:val="20"/>
          <w:szCs w:val="20"/>
          <w:color w:val="auto"/>
        </w:rPr>
      </w:pPr>
      <w:r>
        <w:rPr>
          <w:rFonts w:ascii="Times New Roman" w:cs="Times New Roman" w:eastAsia="Times New Roman" w:hAnsi="Times New Roman"/>
          <w:sz w:val="18"/>
          <w:szCs w:val="18"/>
          <w:color w:val="auto"/>
        </w:rPr>
        <w:t>We are dependent on our third-party manufacturers and Incyte for compliance with cGMPs and for manufacture of both active drug substances and finished drug products. Facilities used by our third-party manufacturers and Incyte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or Incyte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may face future development and regulatory difficulties.</w:t>
      </w:r>
    </w:p>
    <w:p>
      <w:pPr>
        <w:spacing w:after="0" w:line="121" w:lineRule="exact"/>
        <w:rPr>
          <w:sz w:val="20"/>
          <w:szCs w:val="20"/>
          <w:color w:val="auto"/>
        </w:rPr>
      </w:pPr>
    </w:p>
    <w:p>
      <w:pPr>
        <w:ind w:right="40" w:firstLine="578"/>
        <w:spacing w:after="0" w:line="256" w:lineRule="auto"/>
        <w:rPr>
          <w:sz w:val="20"/>
          <w:szCs w:val="20"/>
          <w:color w:val="auto"/>
        </w:rPr>
      </w:pPr>
      <w:r>
        <w:rPr>
          <w:rFonts w:ascii="Times New Roman" w:cs="Times New Roman" w:eastAsia="Times New Roman" w:hAnsi="Times New Roman"/>
          <w:sz w:val="18"/>
          <w:szCs w:val="18"/>
          <w:color w:val="auto"/>
        </w:rPr>
        <w:t>Our product candidates are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monitor closely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79" w:lineRule="exact"/>
        <w:rPr>
          <w:sz w:val="20"/>
          <w:szCs w:val="20"/>
          <w:color w:val="auto"/>
        </w:rPr>
      </w:pPr>
    </w:p>
    <w:p>
      <w:pPr>
        <w:ind w:firstLine="578"/>
        <w:spacing w:after="0" w:line="256" w:lineRule="auto"/>
        <w:rPr>
          <w:sz w:val="20"/>
          <w:szCs w:val="20"/>
          <w:color w:val="auto"/>
        </w:rPr>
      </w:pPr>
      <w:r>
        <w:rPr>
          <w:rFonts w:ascii="Times New Roman" w:cs="Times New Roman" w:eastAsia="Times New Roman" w:hAnsi="Times New Roman"/>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manufacturers, fail to comply with applicable regulatory requirements, a regulatory agency may:</w:t>
      </w:r>
    </w:p>
    <w:p>
      <w:pPr>
        <w:spacing w:after="0" w:line="79"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modifications to promotional materials or require us to provide corrective information to healthcare practitioners;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filed by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or refuse to permit the import or export of products.</w:t>
      </w:r>
    </w:p>
    <w:p>
      <w:pPr>
        <w:spacing w:after="0" w:line="117" w:lineRule="exact"/>
        <w:rPr>
          <w:sz w:val="20"/>
          <w:szCs w:val="20"/>
          <w:color w:val="auto"/>
        </w:rPr>
      </w:pPr>
    </w:p>
    <w:p>
      <w:pPr>
        <w:ind w:right="40" w:firstLine="578"/>
        <w:spacing w:after="0" w:line="261"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and generate revenue from the sale of our product candidates.</w:t>
      </w: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0" w:name="page31"/>
    <w:bookmarkEnd w:id="30"/>
    <w:p>
      <w:pPr>
        <w:ind w:right="40" w:firstLine="578"/>
        <w:spacing w:after="0" w:line="254"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is heavily scrutinized by the FDA’s Office of Prescription Drug Promotion, the Department of Justice, the Department of Health and Human Services’ Office of Inspector General, state attorneys general, members of Congress, other government agencies and the public. While physicians may prescribe products for off-label uses as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Companies may only share truthful and not misleading information that is otherwise consistent with a product’s FDA approved labeling.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80" w:lineRule="exact"/>
        <w:rPr>
          <w:sz w:val="20"/>
          <w:szCs w:val="20"/>
          <w:color w:val="auto"/>
        </w:rPr>
      </w:pPr>
    </w:p>
    <w:p>
      <w:pPr>
        <w:ind w:right="60" w:firstLine="578"/>
        <w:spacing w:after="0" w:line="253"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or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or any partner that we may engage, do not lawfully promote our approved products, we may become subject to such litigation, which may have a material adverse effect on our business, financial condition and results of operations.</w:t>
      </w:r>
    </w:p>
    <w:p>
      <w:pPr>
        <w:spacing w:after="0" w:line="18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51" w:lineRule="exact"/>
        <w:rPr>
          <w:sz w:val="20"/>
          <w:szCs w:val="20"/>
          <w:color w:val="auto"/>
        </w:rPr>
      </w:pPr>
    </w:p>
    <w:p>
      <w:pPr>
        <w:ind w:firstLine="578"/>
        <w:spacing w:after="0" w:line="256"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the interruption, delay or halting of the trials and could result in a more restrictive label or the delay or denial of regulatory approval by the FDA or other foreign regulatory authorities.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79" w:lineRule="exact"/>
        <w:rPr>
          <w:sz w:val="20"/>
          <w:szCs w:val="20"/>
          <w:color w:val="auto"/>
        </w:rPr>
      </w:pPr>
    </w:p>
    <w:p>
      <w:pPr>
        <w:ind w:right="100" w:firstLine="578"/>
        <w:spacing w:after="0" w:line="282" w:lineRule="auto"/>
        <w:rPr>
          <w:sz w:val="20"/>
          <w:szCs w:val="20"/>
          <w:color w:val="auto"/>
        </w:rPr>
      </w:pPr>
      <w:r>
        <w:rPr>
          <w:rFonts w:ascii="Times New Roman" w:cs="Times New Roman" w:eastAsia="Times New Roman" w:hAnsi="Times New Roman"/>
          <w:sz w:val="18"/>
          <w:szCs w:val="18"/>
          <w:color w:val="auto"/>
        </w:rPr>
        <w:t>Additionally, if our product candidates receive marketing approval, and we or others later identify undesirable side effects, a number of potentially significant negative consequences could result, including:</w:t>
      </w:r>
    </w:p>
    <w:p>
      <w:pPr>
        <w:spacing w:after="0" w:line="54"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suspend marketing of, or withdraw or recall,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product labels;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issue safety alerts, Dear Healthcare Provider letters, press releases or other communications containing warnings about the product;</w:t>
      </w:r>
    </w:p>
    <w:p>
      <w:pPr>
        <w:spacing w:after="0" w:line="53" w:lineRule="exact"/>
        <w:rPr>
          <w:rFonts w:ascii="Times New Roman" w:cs="Times New Roman" w:eastAsia="Times New Roman" w:hAnsi="Times New Roman"/>
          <w:sz w:val="18"/>
          <w:szCs w:val="18"/>
          <w:color w:val="auto"/>
        </w:rPr>
      </w:pPr>
    </w:p>
    <w:p>
      <w:pPr>
        <w:ind w:left="1020" w:right="6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that we conduct post-marketing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subjects or patients;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120" w:firstLine="578"/>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1" w:name="page32"/>
    <w:bookmarkEnd w:id="31"/>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51" w:lineRule="exact"/>
        <w:rPr>
          <w:sz w:val="20"/>
          <w:szCs w:val="20"/>
          <w:color w:val="auto"/>
        </w:rPr>
      </w:pPr>
    </w:p>
    <w:p>
      <w:pPr>
        <w:ind w:firstLine="578"/>
        <w:spacing w:after="0" w:line="252" w:lineRule="auto"/>
        <w:rPr>
          <w:sz w:val="20"/>
          <w:szCs w:val="20"/>
          <w:color w:val="auto"/>
        </w:rPr>
      </w:pPr>
      <w:r>
        <w:rPr>
          <w:rFonts w:ascii="Times New Roman" w:cs="Times New Roman" w:eastAsia="Times New Roman" w:hAnsi="Times New Roman"/>
          <w:sz w:val="18"/>
          <w:szCs w:val="18"/>
          <w:color w:val="auto"/>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19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51" w:lineRule="exact"/>
        <w:rPr>
          <w:sz w:val="20"/>
          <w:szCs w:val="20"/>
          <w:color w:val="auto"/>
        </w:rPr>
      </w:pPr>
    </w:p>
    <w:p>
      <w:pPr>
        <w:ind w:right="140" w:firstLine="578"/>
        <w:spacing w:after="0" w:line="239" w:lineRule="auto"/>
        <w:rPr>
          <w:sz w:val="20"/>
          <w:szCs w:val="20"/>
          <w:color w:val="auto"/>
        </w:rPr>
      </w:pPr>
      <w:r>
        <w:rPr>
          <w:rFonts w:ascii="Times New Roman" w:cs="Times New Roman" w:eastAsia="Times New Roman" w:hAnsi="Times New Roman"/>
          <w:sz w:val="18"/>
          <w:szCs w:val="18"/>
          <w:color w:val="auto"/>
        </w:rPr>
        <w:t>Even if any of our product candidates received regulatory approval, such product candidates would face competition from other therapies in the relevant indication. For example, chronic graft versus host disease has historically been managed by off-label treatments. However, in the past several years, the FDA has approved three drugs, ibrutinib (</w:t>
      </w:r>
      <w:r>
        <w:rPr>
          <w:rFonts w:ascii="Times New Roman" w:cs="Times New Roman" w:eastAsia="Times New Roman" w:hAnsi="Times New Roman"/>
          <w:sz w:val="18"/>
          <w:szCs w:val="18"/>
          <w:i w:val="1"/>
          <w:iCs w:val="1"/>
          <w:color w:val="auto"/>
        </w:rPr>
        <w:t>Imbruvica</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color w:val="auto"/>
        </w:rPr>
        <w:t>), belomosidil (</w:t>
      </w:r>
      <w:r>
        <w:rPr>
          <w:rFonts w:ascii="Times New Roman" w:cs="Times New Roman" w:eastAsia="Times New Roman" w:hAnsi="Times New Roman"/>
          <w:sz w:val="18"/>
          <w:szCs w:val="18"/>
          <w:i w:val="1"/>
          <w:iCs w:val="1"/>
          <w:color w:val="auto"/>
        </w:rPr>
        <w:t>Rezurock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ruxolitinib (</w:t>
      </w:r>
      <w:r>
        <w:rPr>
          <w:rFonts w:ascii="Times New Roman" w:cs="Times New Roman" w:eastAsia="Times New Roman" w:hAnsi="Times New Roman"/>
          <w:sz w:val="18"/>
          <w:szCs w:val="18"/>
          <w:i w:val="1"/>
          <w:iCs w:val="1"/>
          <w:color w:val="auto"/>
        </w:rPr>
        <w:t>Jakafi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for use in patients with cGVHD after failure of one or more lines of systemic therapy. All three of these drugs may compete with axatilimab in patients diagnosed with cGVHD.</w:t>
      </w:r>
    </w:p>
    <w:p>
      <w:pPr>
        <w:spacing w:after="0" w:line="92" w:lineRule="exact"/>
        <w:rPr>
          <w:sz w:val="20"/>
          <w:szCs w:val="20"/>
          <w:color w:val="auto"/>
        </w:rPr>
      </w:pPr>
    </w:p>
    <w:p>
      <w:pPr>
        <w:ind w:right="80" w:firstLine="578"/>
        <w:spacing w:after="0" w:line="261" w:lineRule="auto"/>
        <w:rPr>
          <w:sz w:val="20"/>
          <w:szCs w:val="20"/>
          <w:color w:val="auto"/>
        </w:rPr>
      </w:pPr>
      <w:r>
        <w:rPr>
          <w:rFonts w:ascii="Times New Roman" w:cs="Times New Roman" w:eastAsia="Times New Roman" w:hAnsi="Times New Roman"/>
          <w:sz w:val="18"/>
          <w:szCs w:val="18"/>
          <w:color w:val="auto"/>
        </w:rPr>
        <w:t>Revumenib is being developed for the treatment of R/R adult and pediatric patients with KMT2Ar ALL, KMT2Ar AML and NPM1 mutant AML. At this time, there are no drugs approved for these defined populations and patients are managed using the standard of care treatment regimens developed for general AML and ALL populations. While there are other agents in early development for similar populations, revumenib has the potential to be the first defined therapy for patients with KMT2Ar ALL, KMT2Ar AML and/or NPM1 mutant AML.</w:t>
      </w:r>
    </w:p>
    <w:p>
      <w:pPr>
        <w:spacing w:after="0" w:line="72" w:lineRule="exact"/>
        <w:rPr>
          <w:sz w:val="20"/>
          <w:szCs w:val="20"/>
          <w:color w:val="auto"/>
        </w:rPr>
      </w:pPr>
    </w:p>
    <w:p>
      <w:pPr>
        <w:ind w:right="20" w:firstLine="578"/>
        <w:spacing w:after="0" w:line="255" w:lineRule="auto"/>
        <w:rPr>
          <w:sz w:val="20"/>
          <w:szCs w:val="20"/>
          <w:color w:val="auto"/>
        </w:rPr>
      </w:pPr>
      <w:r>
        <w:rPr>
          <w:rFonts w:ascii="Times New Roman" w:cs="Times New Roman" w:eastAsia="Times New Roman" w:hAnsi="Times New Roman"/>
          <w:sz w:val="18"/>
          <w:szCs w:val="18"/>
          <w:color w:val="auto"/>
        </w:rPr>
        <w:t>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that our ability to successfully compete will depend on, among other things:</w:t>
      </w:r>
    </w:p>
    <w:p>
      <w:pPr>
        <w:spacing w:after="0" w:line="117" w:lineRule="exact"/>
        <w:rPr>
          <w:sz w:val="20"/>
          <w:szCs w:val="20"/>
          <w:color w:val="auto"/>
        </w:rPr>
      </w:pPr>
    </w:p>
    <w:p>
      <w:pPr>
        <w:ind w:left="1020" w:right="5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 relative to marketed products and product candidates in development by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it takes for our product candidates to complete clinical development and receive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 candidates if they receive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product candidates, including in comparison to branded or generic competitors;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coverage and adequate levels of reimbursement are available under private and governmental health insurance plans, including Medicare;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commercial quantities of our product candidates if they receive regulatory approval;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preferential formulary status for our product candidates.</w:t>
      </w:r>
    </w:p>
    <w:p>
      <w:pPr>
        <w:spacing w:after="0" w:line="117" w:lineRule="exact"/>
        <w:rPr>
          <w:sz w:val="20"/>
          <w:szCs w:val="20"/>
          <w:color w:val="auto"/>
        </w:rPr>
      </w:pPr>
    </w:p>
    <w:p>
      <w:pPr>
        <w:jc w:val="both"/>
        <w:ind w:right="200" w:firstLine="578"/>
        <w:spacing w:after="0" w:line="257" w:lineRule="auto"/>
        <w:rPr>
          <w:sz w:val="20"/>
          <w:szCs w:val="20"/>
          <w:color w:val="auto"/>
        </w:rPr>
      </w:pPr>
      <w:r>
        <w:rPr>
          <w:rFonts w:ascii="Times New Roman" w:cs="Times New Roman" w:eastAsia="Times New Roman" w:hAnsi="Times New Roman"/>
          <w:sz w:val="18"/>
          <w:szCs w:val="18"/>
          <w:color w:val="auto"/>
        </w:rPr>
        <w:t>Even if we obtain regulatory approval of our product candidates, the availability, commercial formulary placement, and price of our competitors’ products could limit the demand and the price we are able to charge. We may not be able to implement our business plan if the acceptance of our product candidates is inhibited by price competition or the reluctance of physicians to switch from</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32" w:name="page33"/>
    <w:bookmarkEnd w:id="32"/>
    <w:p>
      <w:pPr>
        <w:ind w:right="1040"/>
        <w:spacing w:after="0" w:line="282" w:lineRule="auto"/>
        <w:rPr>
          <w:sz w:val="20"/>
          <w:szCs w:val="20"/>
          <w:color w:val="auto"/>
        </w:rPr>
      </w:pPr>
      <w:r>
        <w:rPr>
          <w:rFonts w:ascii="Times New Roman" w:cs="Times New Roman" w:eastAsia="Times New Roman" w:hAnsi="Times New Roman"/>
          <w:sz w:val="18"/>
          <w:szCs w:val="18"/>
          <w:color w:val="auto"/>
        </w:rPr>
        <w:t>existing methods of treatment, or if physicians switch to other new drug or biologic products or choose to reserve our drugs for use in limited circumstances.</w:t>
      </w:r>
    </w:p>
    <w:p>
      <w:pPr>
        <w:spacing w:after="0" w:line="15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our investigational products may require companion diagnostics in certain indications. Failure to successfully develop, validate and obtain regulatory clearance or approval for such tests could harm our product development strategy or prevent us from realizing the full commercial potential of our investigational products.</w:t>
      </w:r>
    </w:p>
    <w:p>
      <w:pPr>
        <w:spacing w:after="0" w:line="67" w:lineRule="exact"/>
        <w:rPr>
          <w:sz w:val="20"/>
          <w:szCs w:val="20"/>
          <w:color w:val="auto"/>
        </w:rPr>
      </w:pPr>
    </w:p>
    <w:p>
      <w:pPr>
        <w:ind w:firstLine="578"/>
        <w:spacing w:after="0" w:line="253" w:lineRule="auto"/>
        <w:rPr>
          <w:sz w:val="20"/>
          <w:szCs w:val="20"/>
          <w:color w:val="auto"/>
        </w:rPr>
      </w:pPr>
      <w:r>
        <w:rPr>
          <w:rFonts w:ascii="Times New Roman" w:cs="Times New Roman" w:eastAsia="Times New Roman" w:hAnsi="Times New Roman"/>
          <w:sz w:val="18"/>
          <w:szCs w:val="18"/>
          <w:color w:val="auto"/>
        </w:rPr>
        <w:t>Companion diagnostics are subject to regulation by the FDA and comparable foreign regulatory authorities as a medical device and may require separate regulatory authorization prior to commercialization. Certain of our revumenib clinical trials include the use of an investigational or laboratory developed diagnostic test to help identify eligible patients. We currently do not have any plans to develop diagnostic tests internally. We are therefore dependent on the sustained cooperation and effort of third-party collaborators in developing and, if our investigational products are approved for use only with an approved companion diagnostic test, obtaining approval and commercializing these tests. If these parties are unable to successfully develop companion diagnostics for our investigational products, or experience delays in doing so, the development of our investigational products may be adversely affected and we may not be able to obtain marketing authorization for these investigational products. Furthermore, our ability to market and sell, as well as the commercial success, of any of our investigational products that require a companion diagnostic will be tied to, and dependent upon, the receipt of required regulatory authorization and the continued ability of such third parties to make the companion diagnostic commercially available on reasonable terms in the relevant geographies. Any failure to develop, validate, obtain and maintain marketing authorization and supply for a companion diagnostic we need may harm our business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UCB Biopharma Sprl, or UCB, to comply with the terms of our license agreement for axatilimab.</w:t>
      </w:r>
    </w:p>
    <w:p>
      <w:pPr>
        <w:spacing w:after="0" w:line="121" w:lineRule="exact"/>
        <w:rPr>
          <w:sz w:val="20"/>
          <w:szCs w:val="20"/>
          <w:color w:val="auto"/>
        </w:rPr>
      </w:pPr>
    </w:p>
    <w:p>
      <w:pPr>
        <w:ind w:right="180" w:firstLine="578"/>
        <w:spacing w:after="0" w:line="256" w:lineRule="auto"/>
        <w:rPr>
          <w:sz w:val="20"/>
          <w:szCs w:val="20"/>
          <w:color w:val="auto"/>
        </w:rPr>
      </w:pPr>
      <w:r>
        <w:rPr>
          <w:rFonts w:ascii="Times New Roman" w:cs="Times New Roman" w:eastAsia="Times New Roman" w:hAnsi="Times New Roman"/>
          <w:sz w:val="18"/>
          <w:szCs w:val="18"/>
          <w:color w:val="auto"/>
        </w:rPr>
        <w:t>Our commercial success also depends upon our ability to develop, manufacture, market and sell axatilimab. We have a worldwide, sublicensable, exclusive license to axatilimab pursuant to a license agreement with UCB.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terminate, certain of our rights to develop, manufacture, commercialize or sell axatilimab may be terminated as well. The occurrence of any of these events could adversely affect the development and commercialization of axatilimab, and materially harm our business.</w:t>
      </w:r>
    </w:p>
    <w:p>
      <w:pPr>
        <w:spacing w:after="0" w:line="18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consultants and collaborators may engage in misconduct or other improper activities, including insider trading and non-compliance with regulatory standards and requirements.</w:t>
      </w:r>
    </w:p>
    <w:p>
      <w:pPr>
        <w:spacing w:after="0" w:line="51" w:lineRule="exact"/>
        <w:rPr>
          <w:sz w:val="20"/>
          <w:szCs w:val="20"/>
          <w:color w:val="auto"/>
        </w:rPr>
      </w:pPr>
    </w:p>
    <w:p>
      <w:pPr>
        <w:ind w:firstLine="578"/>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consultants, distributors, and collaborators may engage in fraudulent or illegal activity. Misconduct by these parties could include intentional, reckless or negligent conduct or disclosure of unauthorized activities to us that violates the regulations of the FDA and non-U.S. regulators, including those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pharmaceuticals,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We have adopted a code of conduct applicable to all of our employees, officers, directors, agents and representatives, including consultants, but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possible exclusion from participation in Medicare, Medicaid and other federal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curtailment of operations, any of which could adversely affect our ability to operate our business and our results of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attract and retain additional highly skilled employees in order to succeed.</w:t>
      </w:r>
    </w:p>
    <w:p>
      <w:pPr>
        <w:spacing w:after="0" w:line="121" w:lineRule="exact"/>
        <w:rPr>
          <w:sz w:val="20"/>
          <w:szCs w:val="20"/>
          <w:color w:val="auto"/>
        </w:rPr>
      </w:pPr>
    </w:p>
    <w:p>
      <w:pPr>
        <w:ind w:right="20" w:firstLine="578"/>
        <w:spacing w:after="0" w:line="254" w:lineRule="auto"/>
        <w:rPr>
          <w:sz w:val="20"/>
          <w:szCs w:val="20"/>
          <w:color w:val="auto"/>
        </w:rPr>
      </w:pPr>
      <w:r>
        <w:rPr>
          <w:rFonts w:ascii="Times New Roman" w:cs="Times New Roman" w:eastAsia="Times New Roman" w:hAnsi="Times New Roman"/>
          <w:sz w:val="18"/>
          <w:szCs w:val="18"/>
          <w:color w:val="auto"/>
        </w:rPr>
        <w:t>We must recruit, retain, manage and motivate qualified clinical, scientific, technical, commercial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and biopharmaceutical industries is intense and as a</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3" w:name="page34"/>
    <w:bookmarkEnd w:id="33"/>
    <w:p>
      <w:pPr>
        <w:ind w:right="800"/>
        <w:spacing w:after="0" w:line="282" w:lineRule="auto"/>
        <w:rPr>
          <w:sz w:val="20"/>
          <w:szCs w:val="20"/>
          <w:color w:val="auto"/>
        </w:rPr>
      </w:pPr>
      <w:r>
        <w:rPr>
          <w:rFonts w:ascii="Times New Roman" w:cs="Times New Roman" w:eastAsia="Times New Roman" w:hAnsi="Times New Roman"/>
          <w:sz w:val="18"/>
          <w:szCs w:val="18"/>
          <w:color w:val="auto"/>
        </w:rPr>
        <w:t>result, we may be unable to continue to attract and retain qualified personnel necessary for the development of our business or to recruit suitable replacement personnel.</w:t>
      </w:r>
    </w:p>
    <w:p>
      <w:pPr>
        <w:spacing w:after="0" w:line="54" w:lineRule="exact"/>
        <w:rPr>
          <w:sz w:val="20"/>
          <w:szCs w:val="20"/>
          <w:color w:val="auto"/>
        </w:rPr>
      </w:pPr>
    </w:p>
    <w:p>
      <w:pPr>
        <w:ind w:right="60" w:firstLine="578"/>
        <w:spacing w:after="0" w:line="261" w:lineRule="auto"/>
        <w:rPr>
          <w:sz w:val="20"/>
          <w:szCs w:val="20"/>
          <w:color w:val="auto"/>
        </w:rPr>
      </w:pPr>
      <w:r>
        <w:rPr>
          <w:rFonts w:ascii="Times New Roman" w:cs="Times New Roman" w:eastAsia="Times New Roman" w:hAnsi="Times New Roman"/>
          <w:sz w:val="18"/>
          <w:szCs w:val="18"/>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commercialize our product candidates, they or any other product candidates that we develop, may become subject to unfavorable pricing regulations or third-party coverage or reimbursement practices, which could harm our business.</w:t>
      </w:r>
    </w:p>
    <w:p>
      <w:pPr>
        <w:spacing w:after="0" w:line="51" w:lineRule="exact"/>
        <w:rPr>
          <w:sz w:val="20"/>
          <w:szCs w:val="20"/>
          <w:color w:val="auto"/>
        </w:rPr>
      </w:pPr>
    </w:p>
    <w:p>
      <w:pPr>
        <w:ind w:right="100" w:firstLine="578"/>
        <w:spacing w:after="0" w:line="256" w:lineRule="auto"/>
        <w:rPr>
          <w:sz w:val="20"/>
          <w:szCs w:val="20"/>
          <w:color w:val="auto"/>
        </w:rPr>
      </w:pPr>
      <w:r>
        <w:rPr>
          <w:rFonts w:ascii="Times New Roman" w:cs="Times New Roman" w:eastAsia="Times New Roman" w:hAnsi="Times New Roman"/>
          <w:sz w:val="18"/>
          <w:szCs w:val="18"/>
          <w:color w:val="auto"/>
        </w:rPr>
        <w:t>Our ability to successfully commercialize our existing product candidates, or any other product candidates that we develop, will depend in part on the extent to which coverage and adequate reimbursement for these products and related treatments will be available from third-party payors, including government healthcare programs, private health insurers, pharmacy benefit managers, managed care plans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rebates and discounts from list prices and are challenging the prices charged for medical products.</w:t>
      </w:r>
    </w:p>
    <w:p>
      <w:pPr>
        <w:spacing w:after="0" w:line="79" w:lineRule="exact"/>
        <w:rPr>
          <w:sz w:val="20"/>
          <w:szCs w:val="20"/>
          <w:color w:val="auto"/>
        </w:rPr>
      </w:pPr>
    </w:p>
    <w:p>
      <w:pPr>
        <w:ind w:right="260" w:firstLine="578"/>
        <w:spacing w:after="0" w:line="266" w:lineRule="auto"/>
        <w:rPr>
          <w:sz w:val="20"/>
          <w:szCs w:val="20"/>
          <w:color w:val="auto"/>
        </w:rPr>
      </w:pPr>
      <w:r>
        <w:rPr>
          <w:rFonts w:ascii="Times New Roman" w:cs="Times New Roman" w:eastAsia="Times New Roman" w:hAnsi="Times New Roman"/>
          <w:sz w:val="18"/>
          <w:szCs w:val="18"/>
          <w:color w:val="auto"/>
        </w:rPr>
        <w:t>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any product candidates that we develop.</w:t>
      </w:r>
    </w:p>
    <w:p>
      <w:pPr>
        <w:spacing w:after="0" w:line="68" w:lineRule="exact"/>
        <w:rPr>
          <w:sz w:val="20"/>
          <w:szCs w:val="20"/>
          <w:color w:val="auto"/>
        </w:rPr>
      </w:pPr>
    </w:p>
    <w:p>
      <w:pPr>
        <w:ind w:right="40" w:firstLine="578"/>
        <w:spacing w:after="0" w:line="254" w:lineRule="auto"/>
        <w:rPr>
          <w:sz w:val="20"/>
          <w:szCs w:val="20"/>
          <w:color w:val="auto"/>
        </w:rPr>
      </w:pPr>
      <w:r>
        <w:rPr>
          <w:rFonts w:ascii="Times New Roman" w:cs="Times New Roman" w:eastAsia="Times New Roman" w:hAnsi="Times New Roman"/>
          <w:sz w:val="18"/>
          <w:szCs w:val="18"/>
          <w:color w:val="auto"/>
        </w:rPr>
        <w:t>There may be significant delays in obtaining adequate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marketing,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84" w:lineRule="exact"/>
        <w:rPr>
          <w:sz w:val="20"/>
          <w:szCs w:val="20"/>
          <w:color w:val="auto"/>
        </w:rPr>
      </w:pPr>
    </w:p>
    <w:p>
      <w:pPr>
        <w:ind w:right="20" w:firstLine="578"/>
        <w:spacing w:after="0" w:line="255" w:lineRule="auto"/>
        <w:rPr>
          <w:sz w:val="20"/>
          <w:szCs w:val="20"/>
          <w:color w:val="auto"/>
        </w:rPr>
      </w:pPr>
      <w:r>
        <w:rPr>
          <w:rFonts w:ascii="Times New Roman" w:cs="Times New Roman" w:eastAsia="Times New Roman" w:hAnsi="Times New Roman"/>
          <w:sz w:val="18"/>
          <w:szCs w:val="18"/>
          <w:color w:val="auto"/>
        </w:rPr>
        <w:t>Private payors often follow decisions by Center for Medicare &amp; Medicaid Services, or CMS,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81" w:lineRule="exact"/>
        <w:rPr>
          <w:sz w:val="20"/>
          <w:szCs w:val="20"/>
          <w:color w:val="auto"/>
        </w:rPr>
      </w:pPr>
    </w:p>
    <w:p>
      <w:pPr>
        <w:ind w:firstLine="578"/>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our product candidates in a particular country, but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even if our product candidates obtain marketing approval.</w:t>
      </w:r>
    </w:p>
    <w:p>
      <w:pPr>
        <w:spacing w:after="0" w:line="84" w:lineRule="exact"/>
        <w:rPr>
          <w:sz w:val="20"/>
          <w:szCs w:val="20"/>
          <w:color w:val="auto"/>
        </w:rPr>
      </w:pPr>
    </w:p>
    <w:p>
      <w:pPr>
        <w:ind w:right="20" w:firstLine="578"/>
        <w:spacing w:after="0" w:line="254" w:lineRule="auto"/>
        <w:rPr>
          <w:sz w:val="20"/>
          <w:szCs w:val="20"/>
          <w:color w:val="auto"/>
        </w:rPr>
      </w:pPr>
      <w:r>
        <w:rPr>
          <w:rFonts w:ascii="Times New Roman" w:cs="Times New Roman" w:eastAsia="Times New Roman" w:hAnsi="Times New Roman"/>
          <w:sz w:val="18"/>
          <w:szCs w:val="18"/>
          <w:color w:val="auto"/>
        </w:rPr>
        <w:t>There can be no assurance that our product candidates, if they are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our product candidates profitably. Even if favorable coverage status and adequate reimbursement rates are attained, less favorable coverage policies and reimbursement rates may be implemented in the future.</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to commercialize our product candidates and affect the prices we may obtain.</w:t>
      </w:r>
    </w:p>
    <w:p>
      <w:pPr>
        <w:spacing w:after="0" w:line="121" w:lineRule="exact"/>
        <w:rPr>
          <w:sz w:val="20"/>
          <w:szCs w:val="20"/>
          <w:color w:val="auto"/>
        </w:rPr>
      </w:pPr>
    </w:p>
    <w:p>
      <w:pPr>
        <w:jc w:val="both"/>
        <w:ind w:right="40" w:firstLine="578"/>
        <w:spacing w:after="0" w:line="266"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w:t>
      </w:r>
    </w:p>
    <w:p>
      <w:pPr>
        <w:spacing w:after="0" w:line="68" w:lineRule="exact"/>
        <w:rPr>
          <w:sz w:val="20"/>
          <w:szCs w:val="20"/>
          <w:color w:val="auto"/>
        </w:rPr>
      </w:pPr>
    </w:p>
    <w:p>
      <w:pPr>
        <w:ind w:right="260" w:firstLine="578"/>
        <w:spacing w:after="0" w:line="266" w:lineRule="auto"/>
        <w:rPr>
          <w:sz w:val="20"/>
          <w:szCs w:val="20"/>
          <w:color w:val="auto"/>
        </w:rPr>
      </w:pPr>
      <w:r>
        <w:rPr>
          <w:rFonts w:ascii="Times New Roman" w:cs="Times New Roman" w:eastAsia="Times New Roman" w:hAnsi="Times New Roman"/>
          <w:sz w:val="18"/>
          <w:szCs w:val="18"/>
          <w:color w:val="auto"/>
        </w:rPr>
        <w:t>For example, then President Obama signed into law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There have been executive, judicial and Congressional challenges to certain aspects of the Affordable Care Act.</w:t>
      </w:r>
    </w:p>
    <w:p>
      <w:pPr>
        <w:spacing w:after="0" w:line="117" w:lineRule="exact"/>
        <w:rPr>
          <w:sz w:val="20"/>
          <w:szCs w:val="20"/>
          <w:color w:val="auto"/>
        </w:rPr>
      </w:pPr>
    </w:p>
    <w:p>
      <w:pPr>
        <w:ind w:right="40" w:firstLine="578"/>
        <w:spacing w:after="0" w:line="253" w:lineRule="auto"/>
        <w:rPr>
          <w:sz w:val="20"/>
          <w:szCs w:val="20"/>
          <w:color w:val="auto"/>
        </w:rPr>
      </w:pPr>
      <w:r>
        <w:rPr>
          <w:rFonts w:ascii="Times New Roman" w:cs="Times New Roman" w:eastAsia="Times New Roman" w:hAnsi="Times New Roman"/>
          <w:sz w:val="18"/>
          <w:szCs w:val="18"/>
          <w:color w:val="auto"/>
        </w:rPr>
        <w:t>While Congress has not passed comprehensive repeal legislation, several bills affecting the implementation of certain taxes under the Affordable Care Act have been signed into law. The Tax Cuts and Jobs Act of 2017 includes a provision that repealed, effective January 1, 2019, the tax-based shared responsibility payment imposed by the Affordable Care Act on certain individuals who fail to maintain qualifying health coverage for all or part of a year that is commonly referred to as the “individual mandate.” On June 17, 2021, the U.S. Supreme Court dismissed a challenge on procedural grounds that argued the Affordable Care Act is unconstitutional in its entirety because the “individual mandate” was repealed by Congress. On August 16, 2022, President Biden signed the Inflation Reduction Act of 2022 or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costs through a newly established manufacturer discount program. It is possible that the Affordable Care Act will be subject to judicial or Congressional challenges in the future. It is unclear how any such challenges and the healthcare reform measures of the Biden administration will impact the Affordable Care Act and our business.</w:t>
      </w:r>
    </w:p>
    <w:p>
      <w:pPr>
        <w:spacing w:after="0" w:line="86" w:lineRule="exact"/>
        <w:rPr>
          <w:sz w:val="20"/>
          <w:szCs w:val="20"/>
          <w:color w:val="auto"/>
        </w:rPr>
      </w:pPr>
    </w:p>
    <w:p>
      <w:pPr>
        <w:ind w:right="40" w:firstLine="578"/>
        <w:spacing w:after="0" w:line="266"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Affordable Care Act was enacted. These changes include aggregate reductions to Medicare payments to providers of up to 2% per fiscal year, which began in 2013, and due to subsequent legislative amendments to the statute, will remain in effect through 2032 unless additional Congressional action is taken.</w:t>
      </w:r>
    </w:p>
    <w:p>
      <w:pPr>
        <w:spacing w:after="0" w:line="68" w:lineRule="exact"/>
        <w:rPr>
          <w:sz w:val="20"/>
          <w:szCs w:val="20"/>
          <w:color w:val="auto"/>
        </w:rPr>
      </w:pPr>
    </w:p>
    <w:p>
      <w:pPr>
        <w:ind w:firstLine="578"/>
        <w:spacing w:after="0" w:line="256" w:lineRule="auto"/>
        <w:rPr>
          <w:sz w:val="20"/>
          <w:szCs w:val="20"/>
          <w:color w:val="auto"/>
        </w:rPr>
      </w:pPr>
      <w:r>
        <w:rPr>
          <w:rFonts w:ascii="Times New Roman" w:cs="Times New Roman" w:eastAsia="Times New Roman" w:hAnsi="Times New Roman"/>
          <w:sz w:val="18"/>
          <w:szCs w:val="18"/>
          <w:color w:val="auto"/>
        </w:rPr>
        <w:t>Additional changes that may affect our business include the expansion of new programs such as Medicare payment for performance initiatives for physicians under the Medicare Access and CHIP Reauthorization Act of 2015, or MACRA, which ended the use of the statutory formula and established a quality payment program, also referred to as the Quality Payment Program. The Quality Payment Program consists of two payment tracks that eligible clinicians can participate in: Advanced Alternative Payment Models, APMs, and the Merit-Based Incentive Payment System, MIPS. Under both APMs and MIPS the Advanced Alternative Payment Models and the Merit-Based Incentive Payment System, performance data collected each performance year will affect Medicare payments in later years, including potentially reducing payments.</w:t>
      </w:r>
    </w:p>
    <w:p>
      <w:pPr>
        <w:spacing w:after="0" w:line="79" w:lineRule="exact"/>
        <w:rPr>
          <w:sz w:val="20"/>
          <w:szCs w:val="20"/>
          <w:color w:val="auto"/>
        </w:rPr>
      </w:pPr>
    </w:p>
    <w:p>
      <w:pPr>
        <w:ind w:firstLine="578"/>
        <w:spacing w:after="0" w:line="251" w:lineRule="auto"/>
        <w:rPr>
          <w:sz w:val="20"/>
          <w:szCs w:val="20"/>
          <w:color w:val="auto"/>
        </w:rPr>
      </w:pPr>
      <w:r>
        <w:rPr>
          <w:rFonts w:ascii="Times New Roman" w:cs="Times New Roman" w:eastAsia="Times New Roman" w:hAnsi="Times New Roman"/>
          <w:sz w:val="18"/>
          <w:szCs w:val="18"/>
          <w:color w:val="auto"/>
        </w:rPr>
        <w:t>Also, there has been heightened governmental scrutiny recently over the manner in which drug manufacturers set prices for their marketed products, which have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in July 2021, the Biden administration released an executive order, “Promoting Competition in the American Economy,” with multiple provisions aimed at prescription drugs. In response to President Biden’s executive order, on September 9, 2021, the U.S.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the Secretary of HHS to negotiate the price of certain high-expenditure, single-source drugs and biologics covered under Medicare Part B and Medicare Part D, and subjects drug manufacturers to civil monetary penalties and a potential excise tax by offering a price that is not equal to or less than the negotiated “maximum fair price” under the law, and (ii) imposes rebates under Medicare Part B and Medicare Part D to penalize price increases that outpace inflation. These provisions take effect progressively starting in fiscal year 2023. On August 29, 2023, HHS announced the list of the first ten drugs that will be subject to price negotiations, although the Medicare drug price negotiation program is currently subject to legal challenges.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March-in rights allow a federal agency to grant a compulsory license on a privately owned patent to third parties, if the invention was developed with federal funding and the agency finds that certain statutory criteria apply.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35" w:name="page36"/>
    <w:bookmarkEnd w:id="35"/>
    <w:p>
      <w:pPr>
        <w:ind w:right="20"/>
        <w:spacing w:after="0" w:line="255" w:lineRule="auto"/>
        <w:rPr>
          <w:sz w:val="20"/>
          <w:szCs w:val="20"/>
          <w:color w:val="auto"/>
        </w:rPr>
      </w:pPr>
      <w:r>
        <w:rPr>
          <w:rFonts w:ascii="Times New Roman" w:cs="Times New Roman" w:eastAsia="Times New Roman" w:hAnsi="Times New Roman"/>
          <w:sz w:val="18"/>
          <w:szCs w:val="18"/>
          <w:color w:val="auto"/>
        </w:rPr>
        <w:t>continue under the new framework. At the state level, legislatures have increasingly passed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or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w:t>
      </w:r>
    </w:p>
    <w:p>
      <w:pPr>
        <w:spacing w:after="0" w:line="81" w:lineRule="exact"/>
        <w:rPr>
          <w:sz w:val="20"/>
          <w:szCs w:val="20"/>
          <w:color w:val="auto"/>
        </w:rPr>
      </w:pPr>
    </w:p>
    <w:p>
      <w:pPr>
        <w:ind w:firstLine="578"/>
        <w:spacing w:after="0" w:line="258" w:lineRule="auto"/>
        <w:rPr>
          <w:sz w:val="20"/>
          <w:szCs w:val="20"/>
          <w:color w:val="auto"/>
        </w:rPr>
      </w:pPr>
      <w:r>
        <w:rPr>
          <w:rFonts w:ascii="Times New Roman" w:cs="Times New Roman" w:eastAsia="Times New Roman" w:hAnsi="Times New Roman"/>
          <w:sz w:val="18"/>
          <w:szCs w:val="18"/>
          <w:color w:val="auto"/>
        </w:rPr>
        <w:t>These and other healthcare reform measures that may be adopted in the future, may result in more rigorous coverage criteria and in additional downward pressure on the price that we receive for any approved drug. For example, based on a recent executive order, the Biden administration expressed its intent to pursue certain policy initiatives to reduce drug prices.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 the process of building our sales, marketing and distribution infrastructure.</w:t>
      </w:r>
    </w:p>
    <w:p>
      <w:pPr>
        <w:spacing w:after="0" w:line="121" w:lineRule="exact"/>
        <w:rPr>
          <w:sz w:val="20"/>
          <w:szCs w:val="20"/>
          <w:color w:val="auto"/>
        </w:rPr>
      </w:pPr>
    </w:p>
    <w:p>
      <w:pPr>
        <w:ind w:right="280" w:firstLine="578"/>
        <w:spacing w:after="0" w:line="281" w:lineRule="auto"/>
        <w:rPr>
          <w:sz w:val="20"/>
          <w:szCs w:val="20"/>
          <w:color w:val="auto"/>
        </w:rPr>
      </w:pPr>
      <w:r>
        <w:rPr>
          <w:rFonts w:ascii="Times New Roman" w:cs="Times New Roman" w:eastAsia="Times New Roman" w:hAnsi="Times New Roman"/>
          <w:sz w:val="17"/>
          <w:szCs w:val="17"/>
          <w:color w:val="auto"/>
        </w:rPr>
        <w:t>In order to market any approved product candidate in the future, we must build our sales, marketing, distribution, managerial and other non-technical capabilities or make arrangements with third parties to perform these services, as we do not presently have all of these capabilities. To develop our internal sales, distribution and marketing capabilities, we must invest significant amounts of financial and management resources in the future. For drugs where we decide to perform sales, marketing and distribution functions ourselves, we could face a number of challenges, including that:</w:t>
      </w:r>
    </w:p>
    <w:p>
      <w:pPr>
        <w:spacing w:after="0" w:line="56"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attract and build an effective marketing or sales organization;</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training and providing regulatory oversight for a marketing or sales force may not be justifiable in light of the revenues generated by any particular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or indirect sales and marketing efforts may not be successful; and</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liabilities.</w:t>
      </w:r>
    </w:p>
    <w:p>
      <w:pPr>
        <w:spacing w:after="0" w:line="68" w:lineRule="exact"/>
        <w:rPr>
          <w:sz w:val="20"/>
          <w:szCs w:val="20"/>
          <w:color w:val="auto"/>
        </w:rPr>
      </w:pPr>
    </w:p>
    <w:p>
      <w:pPr>
        <w:ind w:right="220" w:firstLine="578"/>
        <w:spacing w:after="0" w:line="261" w:lineRule="auto"/>
        <w:rPr>
          <w:sz w:val="20"/>
          <w:szCs w:val="20"/>
          <w:color w:val="auto"/>
        </w:rPr>
      </w:pPr>
      <w:r>
        <w:rPr>
          <w:rFonts w:ascii="Times New Roman" w:cs="Times New Roman" w:eastAsia="Times New Roman" w:hAnsi="Times New Roman"/>
          <w:sz w:val="18"/>
          <w:szCs w:val="18"/>
          <w:color w:val="auto"/>
        </w:rPr>
        <w:t>Alternatively, we may rely on third parties to launch and market our product candidates, if approved. We may have limited or no control over the sales, marketing and distribution activities of these third parties and our future revenue may depend on the success of these third parties. Additionally, if these third parties fail to comply with all applicable legal or regulatory requirements, the FDA or another governmental agency could take enforcement action that could jeopardize their ability and our ability to market our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our product candidates.</w:t>
      </w:r>
    </w:p>
    <w:p>
      <w:pPr>
        <w:spacing w:after="0" w:line="121" w:lineRule="exact"/>
        <w:rPr>
          <w:sz w:val="20"/>
          <w:szCs w:val="20"/>
          <w:color w:val="auto"/>
        </w:rPr>
      </w:pPr>
    </w:p>
    <w:p>
      <w:pPr>
        <w:ind w:right="200" w:firstLine="578"/>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our product candidates or other products that we may develop caused injuries, we could incur substantial liabilities. Regardless of merit or eventual outcome, liability claims may result in:</w:t>
      </w:r>
    </w:p>
    <w:p>
      <w:pPr>
        <w:spacing w:after="0" w:line="75"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subjects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6" w:name="page37"/>
    <w:bookmarkEnd w:id="36"/>
    <w:p>
      <w:pPr>
        <w:ind w:right="160" w:firstLine="578"/>
        <w:spacing w:after="0" w:line="258" w:lineRule="auto"/>
        <w:rPr>
          <w:sz w:val="20"/>
          <w:szCs w:val="20"/>
          <w:color w:val="auto"/>
        </w:rPr>
      </w:pPr>
      <w:r>
        <w:rPr>
          <w:rFonts w:ascii="Times New Roman" w:cs="Times New Roman" w:eastAsia="Times New Roman" w:hAnsi="Times New Roman"/>
          <w:sz w:val="18"/>
          <w:szCs w:val="18"/>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Our current insurance coverage includes commercial sales upon marketing approval for our product candidates. A successful product liability claim or series of claims brought against us, particularly if judgments exceed our insurance coverage, could decrease our cash and adversely affect our business and financial condition.</w:t>
      </w:r>
    </w:p>
    <w:p>
      <w:pPr>
        <w:spacing w:after="0" w:line="17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72" w:lineRule="exact"/>
        <w:rPr>
          <w:sz w:val="20"/>
          <w:szCs w:val="20"/>
          <w:color w:val="auto"/>
        </w:rPr>
      </w:pPr>
    </w:p>
    <w:p>
      <w:pPr>
        <w:ind w:right="20" w:firstLine="578"/>
        <w:spacing w:after="0" w:line="258"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spacing w:after="0" w:line="75" w:lineRule="exact"/>
        <w:rPr>
          <w:sz w:val="20"/>
          <w:szCs w:val="20"/>
          <w:color w:val="auto"/>
        </w:rPr>
      </w:pPr>
    </w:p>
    <w:p>
      <w:pPr>
        <w:ind w:left="1020" w:right="100" w:hanging="503"/>
        <w:spacing w:after="0" w:line="26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has been interpreted to apply to arrangements between pharmaceutical manufacturers on the one hand, and prescribers, purchasers and formulary managers on the other;</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Affordable Care Act amended the intent requirement of the federal Anti-Kickback Statute so that a person or entity no longer needs to have actual knowledge of this statute or specific intent to violate it in order to have committed a violation;</w:t>
      </w:r>
    </w:p>
    <w:p>
      <w:pPr>
        <w:spacing w:after="0" w:line="53"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including the federal civil False Claims Act, impose criminal and civil penalties, including through civil whistleblower or qui tam actions, and civil monetary penalties laws, which prohibit knowingly presenting, or causing to be presented, to the federal government, claims for payment that are false or fraudulent or making a false statement to avoid, decrease or conceal an obligation to pay money to the federal government;</w:t>
      </w:r>
    </w:p>
    <w:p>
      <w:pPr>
        <w:spacing w:after="0" w:line="71"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willfully obstructing a criminal investigation of a healthcare offense,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80"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also imposes obligations on covered entities, including certain health care providers, health plans and health care clearinghouses as well as their business associates that perform certain services involving the use or disclosure of individually identifiable health information for or on behalf of such covered entities, and their covered subcontractors, with respect to safeguarding the privacy, security and transmission of individually identifiable health information;</w:t>
      </w:r>
    </w:p>
    <w:p>
      <w:pPr>
        <w:spacing w:after="0" w:line="75"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certain manufacturers of drugs, devices, biologics and medical supplies for which payment is available under Medicare, Medicaid or the Children’s Health Insurance Program to report annually to CMS information related to “payments or other transfers of value” made to physicians (defined to include doctors, dentists, optometrists, podiatrists and chiropractors), other healthcare professionals (such as physician assistants and nurse practitioners), and teaching hospitals and applicable manufacturers and applicable group purchasing organizations to report annually to CMS ownership and investment interests held by physicians (as defined above) and their immediate family members; and</w:t>
      </w:r>
    </w:p>
    <w:p>
      <w:pPr>
        <w:spacing w:after="0" w:line="7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w:t>
      </w:r>
    </w:p>
    <w:p>
      <w:pPr>
        <w:spacing w:after="0" w:line="27" w:lineRule="exact"/>
        <w:rPr>
          <w:sz w:val="20"/>
          <w:szCs w:val="20"/>
          <w:color w:val="auto"/>
        </w:rPr>
      </w:pPr>
    </w:p>
    <w:p>
      <w:pPr>
        <w:ind w:left="1020" w:right="40"/>
        <w:spacing w:after="0" w:line="250" w:lineRule="auto"/>
        <w:rPr>
          <w:sz w:val="20"/>
          <w:szCs w:val="20"/>
          <w:color w:val="auto"/>
        </w:rPr>
      </w:pPr>
      <w:r>
        <w:rPr>
          <w:rFonts w:ascii="Times New Roman" w:cs="Times New Roman" w:eastAsia="Times New Roman" w:hAnsi="Times New Roman"/>
          <w:sz w:val="18"/>
          <w:szCs w:val="18"/>
          <w:color w:val="auto"/>
        </w:rPr>
        <w:t>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37" w:name="page38"/>
    <w:bookmarkEnd w:id="37"/>
    <w:p>
      <w:pPr>
        <w:ind w:left="1020" w:right="20"/>
        <w:spacing w:after="0" w:line="254" w:lineRule="auto"/>
        <w:rPr>
          <w:sz w:val="20"/>
          <w:szCs w:val="20"/>
          <w:color w:val="auto"/>
        </w:rPr>
      </w:pPr>
      <w:r>
        <w:rPr>
          <w:rFonts w:ascii="Times New Roman" w:cs="Times New Roman" w:eastAsia="Times New Roman" w:hAnsi="Times New Roman"/>
          <w:sz w:val="18"/>
          <w:szCs w:val="18"/>
          <w:color w:val="auto"/>
        </w:rPr>
        <w:t>require drug manufacturers to report information related to payments and other transfers of value to physicians and other healthcare providers or marketing expenditures; state laws that require manufacturers to report pricing information regarding certain drugs; state and local laws that require the registration of pharmaceutical sales representatives;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84" w:lineRule="exact"/>
        <w:rPr>
          <w:sz w:val="20"/>
          <w:szCs w:val="20"/>
          <w:color w:val="auto"/>
        </w:rPr>
      </w:pPr>
    </w:p>
    <w:p>
      <w:pPr>
        <w:ind w:right="60" w:firstLine="578"/>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reputational harm, additional reporting requirements and oversight if we become subject to a corporate integrity agreement or similar agreement to resolve allegations of non-compliance with these laws,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29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72" w:lineRule="exact"/>
        <w:rPr>
          <w:sz w:val="20"/>
          <w:szCs w:val="20"/>
          <w:color w:val="auto"/>
        </w:rPr>
      </w:pPr>
    </w:p>
    <w:p>
      <w:pPr>
        <w:ind w:right="120" w:firstLine="57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or collectively, process, personal data and other sensitive information, including proprietary and confidential business data, trade secrets, intellectual property, sensitive third-party data, business plans, transactions, clinical trial data and financial information or collectively, sensitive data.</w:t>
      </w:r>
    </w:p>
    <w:p>
      <w:pPr>
        <w:spacing w:after="0" w:line="72" w:lineRule="exact"/>
        <w:rPr>
          <w:sz w:val="20"/>
          <w:szCs w:val="20"/>
          <w:color w:val="auto"/>
        </w:rPr>
      </w:pPr>
    </w:p>
    <w:p>
      <w:pPr>
        <w:ind w:right="260" w:firstLine="578"/>
        <w:spacing w:after="0" w:line="312" w:lineRule="auto"/>
        <w:rPr>
          <w:sz w:val="20"/>
          <w:szCs w:val="20"/>
          <w:color w:val="auto"/>
        </w:rPr>
      </w:pPr>
      <w:r>
        <w:rPr>
          <w:rFonts w:ascii="Times New Roman" w:cs="Times New Roman" w:eastAsia="Times New Roman" w:hAnsi="Times New Roman"/>
          <w:sz w:val="17"/>
          <w:szCs w:val="17"/>
          <w:color w:val="auto"/>
        </w:rPr>
        <w:t>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32" w:lineRule="exact"/>
        <w:rPr>
          <w:sz w:val="20"/>
          <w:szCs w:val="20"/>
          <w:color w:val="auto"/>
        </w:rPr>
      </w:pPr>
    </w:p>
    <w:p>
      <w:pPr>
        <w:ind w:firstLine="578"/>
        <w:spacing w:after="0" w:line="256"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federal Health Insurance Portability and Accountability Act of 1996, or HIPAA, as amended by the Health Information Technology for Economic and Clinical Health Act, or HITECH, imposes specific requirements relating to the privacy, security, and transmission of individually identifiable protected health information. For more information regarding risks associated with HIPAA, please refer to the section above that discusses risks associated with healthcare laws and regulations.</w:t>
      </w:r>
    </w:p>
    <w:p>
      <w:pPr>
        <w:spacing w:after="0" w:line="79" w:lineRule="exact"/>
        <w:rPr>
          <w:sz w:val="20"/>
          <w:szCs w:val="20"/>
          <w:color w:val="auto"/>
        </w:rPr>
      </w:pPr>
    </w:p>
    <w:p>
      <w:pPr>
        <w:ind w:firstLine="578"/>
        <w:spacing w:after="0" w:line="252" w:lineRule="auto"/>
        <w:rPr>
          <w:sz w:val="20"/>
          <w:szCs w:val="20"/>
          <w:color w:val="auto"/>
        </w:rPr>
      </w:pPr>
      <w:r>
        <w:rPr>
          <w:rFonts w:ascii="Times New Roman" w:cs="Times New Roman" w:eastAsia="Times New Roman" w:hAnsi="Times New Roman"/>
          <w:sz w:val="18"/>
          <w:szCs w:val="18"/>
          <w:color w:val="auto"/>
        </w:rPr>
        <w:t>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or CPRA and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Although there are limited exemptions for clinical trial data under the CCPA, the CCPA and other similar laws may impact (possibly significantly) our business activities depending on how it is interpreted, should we become subject to the CCPA in the future. Similar laws are being considered in several other states, as well as at the federal and local levels,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8" w:name="page39"/>
    <w:bookmarkEnd w:id="38"/>
    <w:p>
      <w:pPr>
        <w:ind w:right="320"/>
        <w:spacing w:after="0" w:line="282" w:lineRule="auto"/>
        <w:rPr>
          <w:sz w:val="20"/>
          <w:szCs w:val="20"/>
          <w:color w:val="auto"/>
        </w:rPr>
      </w:pPr>
      <w:r>
        <w:rPr>
          <w:rFonts w:ascii="Times New Roman" w:cs="Times New Roman" w:eastAsia="Times New Roman" w:hAnsi="Times New Roman"/>
          <w:sz w:val="18"/>
          <w:szCs w:val="18"/>
          <w:color w:val="auto"/>
        </w:rPr>
        <w:t>and we expect more states to pass similar laws in the future. These developments may further complicate compliance efforts and increase legal risk and compliance costs for us and the third parties upon whom we rely.</w:t>
      </w:r>
    </w:p>
    <w:p>
      <w:pPr>
        <w:spacing w:after="0" w:line="54" w:lineRule="exact"/>
        <w:rPr>
          <w:sz w:val="20"/>
          <w:szCs w:val="20"/>
          <w:color w:val="auto"/>
        </w:rPr>
      </w:pPr>
    </w:p>
    <w:p>
      <w:pPr>
        <w:ind w:right="140" w:firstLine="578"/>
        <w:spacing w:after="0" w:line="256"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may govern data privacy and security. For example, the European Union’s General Data Protection Regulation, or EU GDPR, and the United Kingdom’s GDPR, or UK GDPR, impose strict requirements for processing personal data. For example, under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79" w:lineRule="exact"/>
        <w:rPr>
          <w:sz w:val="20"/>
          <w:szCs w:val="20"/>
          <w:color w:val="auto"/>
        </w:rPr>
      </w:pPr>
    </w:p>
    <w:p>
      <w:pPr>
        <w:ind w:right="280" w:firstLine="578"/>
        <w:spacing w:after="0" w:line="281" w:lineRule="auto"/>
        <w:rPr>
          <w:sz w:val="20"/>
          <w:szCs w:val="20"/>
          <w:color w:val="auto"/>
        </w:rPr>
      </w:pPr>
      <w:r>
        <w:rPr>
          <w:rFonts w:ascii="Times New Roman" w:cs="Times New Roman" w:eastAsia="Times New Roman" w:hAnsi="Times New Roman"/>
          <w:sz w:val="17"/>
          <w:szCs w:val="17"/>
          <w:color w:val="auto"/>
        </w:rPr>
        <w:t>We may be subject to new laws governing the privacy of consumer health data, including reproductive, sexual orientation, and gender identity privacy rights. For example, Washington’s My Health My Data Act, or MHMD,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w:t>
      </w:r>
    </w:p>
    <w:p>
      <w:pPr>
        <w:spacing w:after="0" w:line="56" w:lineRule="exact"/>
        <w:rPr>
          <w:sz w:val="20"/>
          <w:szCs w:val="20"/>
          <w:color w:val="auto"/>
        </w:rPr>
      </w:pPr>
    </w:p>
    <w:p>
      <w:pPr>
        <w:ind w:right="20" w:firstLine="578"/>
        <w:spacing w:after="0" w:line="261" w:lineRule="auto"/>
        <w:rPr>
          <w:sz w:val="20"/>
          <w:szCs w:val="20"/>
          <w:color w:val="auto"/>
        </w:rPr>
      </w:pPr>
      <w:r>
        <w:rPr>
          <w:rFonts w:ascii="Times New Roman" w:cs="Times New Roman" w:eastAsia="Times New Roman" w:hAnsi="Times New Roman"/>
          <w:sz w:val="18"/>
          <w:szCs w:val="18"/>
          <w:color w:val="auto"/>
        </w:rPr>
        <w:t>Our employees and personnel may occasionally use generative artificial intelligence, or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72" w:lineRule="exact"/>
        <w:rPr>
          <w:sz w:val="20"/>
          <w:szCs w:val="20"/>
          <w:color w:val="auto"/>
        </w:rPr>
      </w:pPr>
    </w:p>
    <w:p>
      <w:pPr>
        <w:ind w:firstLine="578"/>
        <w:spacing w:after="0" w:line="252"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or EEA, and the United Kingdom, or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groups. Some European regulators have ordered certain companies to suspend or permanently cease certain transfers of personal data out of Europe for allegedly violating the GDPR’s cross-border data transfer limitations.</w:t>
      </w:r>
    </w:p>
    <w:p>
      <w:pPr>
        <w:spacing w:after="0" w:line="85" w:lineRule="exact"/>
        <w:rPr>
          <w:sz w:val="20"/>
          <w:szCs w:val="20"/>
          <w:color w:val="auto"/>
        </w:rPr>
      </w:pPr>
    </w:p>
    <w:p>
      <w:pPr>
        <w:ind w:right="160" w:firstLine="578"/>
        <w:spacing w:after="0" w:line="261" w:lineRule="auto"/>
        <w:rPr>
          <w:sz w:val="20"/>
          <w:szCs w:val="20"/>
          <w:color w:val="auto"/>
        </w:rPr>
      </w:pPr>
      <w:r>
        <w:rPr>
          <w:rFonts w:ascii="Times New Roman" w:cs="Times New Roman" w:eastAsia="Times New Roman" w:hAnsi="Times New Roman"/>
          <w:sz w:val="18"/>
          <w:szCs w:val="18"/>
          <w:color w:val="auto"/>
        </w:rPr>
        <w:t>In addition to data privacy and security laws, we are bound by other contractual obligations related to data privacy and security, and our efforts to comply with such obligations may not be successful. We also publish privacy policies, marketing materials, and other statements regarding data privacy and security and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72" w:lineRule="exact"/>
        <w:rPr>
          <w:sz w:val="20"/>
          <w:szCs w:val="20"/>
          <w:color w:val="auto"/>
        </w:rPr>
      </w:pPr>
    </w:p>
    <w:p>
      <w:pPr>
        <w:ind w:right="60" w:firstLine="578"/>
        <w:spacing w:after="0" w:line="261"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72" w:lineRule="exact"/>
        <w:rPr>
          <w:sz w:val="20"/>
          <w:szCs w:val="20"/>
          <w:color w:val="auto"/>
        </w:rPr>
      </w:pPr>
    </w:p>
    <w:p>
      <w:pPr>
        <w:ind w:right="20" w:firstLine="578"/>
        <w:spacing w:after="0" w:line="253"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(including clinical trial data); and orders to destroy or not use personal data. In particular, plaintiffs have become increasingly</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9" w:name="page40"/>
    <w:bookmarkEnd w:id="39"/>
    <w:p>
      <w:pPr>
        <w:spacing w:after="0" w:line="258" w:lineRule="auto"/>
        <w:rPr>
          <w:sz w:val="20"/>
          <w:szCs w:val="20"/>
          <w:color w:val="auto"/>
        </w:rPr>
      </w:pPr>
      <w:r>
        <w:rPr>
          <w:rFonts w:ascii="Times New Roman" w:cs="Times New Roman" w:eastAsia="Times New Roman" w:hAnsi="Times New Roman"/>
          <w:sz w:val="18"/>
          <w:szCs w:val="18"/>
          <w:color w:val="auto"/>
        </w:rPr>
        <w:t>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87"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our data are or were compromised, we could experience adverse consequences resulting from such compromise, including but not limited to regulatory investigations or actions; fines and penalties; disruptions of our business operations; reputational harm; loss of revenue or profits; and other adverse consequences.</w:t>
      </w:r>
    </w:p>
    <w:p>
      <w:pPr>
        <w:spacing w:after="0" w:line="67" w:lineRule="exact"/>
        <w:rPr>
          <w:sz w:val="20"/>
          <w:szCs w:val="20"/>
          <w:color w:val="auto"/>
        </w:rPr>
      </w:pPr>
    </w:p>
    <w:p>
      <w:pPr>
        <w:ind w:right="20" w:firstLine="578"/>
        <w:spacing w:after="0" w:line="253"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and infrastructure, including mobile technologies, to operate our business. In the ordinary course of our business, we collect, store, process and transmit large amounts of sensitive data, and, as a result, we and the third parties upon which we rely face a variety of evolving threats that could cause security incidents. We have also outsourced elements of our operations (including elements of our information technology infrastructure) to third parties, and as a result, we manage a number of third-party vendors who may or could have access to our computer networks and our sensitive data. In addition, those third-party vendors may in turn subcontract or outsource some of their responsibilities to other parties. While all information technology operations are inherently vulnerable to inadvertent or intentional security breaches, incidents, attacks and exposures, the accessibility and distributed nature of our information technology systems, and the sensitive data stored on those systems, make such systems vulnerable to unintentional or malicious, internal and external attacks on our technology environment. Furthermore, our ability to monitor the aforementioned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79" w:lineRule="exact"/>
        <w:rPr>
          <w:sz w:val="20"/>
          <w:szCs w:val="20"/>
          <w:color w:val="auto"/>
        </w:rPr>
      </w:pPr>
    </w:p>
    <w:p>
      <w:pPr>
        <w:ind w:right="80" w:firstLine="578"/>
        <w:spacing w:after="0" w:line="256" w:lineRule="auto"/>
        <w:rPr>
          <w:sz w:val="20"/>
          <w:szCs w:val="20"/>
          <w:color w:val="auto"/>
        </w:rPr>
      </w:pPr>
      <w:r>
        <w:rPr>
          <w:rFonts w:ascii="Times New Roman" w:cs="Times New Roman" w:eastAsia="Times New Roman" w:hAnsi="Times New Roman"/>
          <w:sz w:val="18"/>
          <w:szCs w:val="18"/>
          <w:color w:val="auto"/>
        </w:rPr>
        <w:t>In addition, we currently offer a hybrid-work environment, which may make us more vulnerable to cyberattacks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79" w:lineRule="exact"/>
        <w:rPr>
          <w:sz w:val="20"/>
          <w:szCs w:val="20"/>
          <w:color w:val="auto"/>
        </w:rPr>
      </w:pPr>
    </w:p>
    <w:p>
      <w:pPr>
        <w:ind w:right="20" w:firstLine="578"/>
        <w:spacing w:after="0" w:line="258" w:lineRule="auto"/>
        <w:rPr>
          <w:sz w:val="20"/>
          <w:szCs w:val="20"/>
          <w:color w:val="auto"/>
        </w:rPr>
      </w:pPr>
      <w:r>
        <w:rPr>
          <w:rFonts w:ascii="Times New Roman" w:cs="Times New Roman" w:eastAsia="Times New Roman" w:hAnsi="Times New Roman"/>
          <w:sz w:val="18"/>
          <w:szCs w:val="18"/>
          <w:color w:val="auto"/>
        </w:rPr>
        <w:t>Potential vulnerabilities can be exploited from inadvertent or intentional actions of our employees, third-party vendors, business partners, or by malicious third parties. We take steps designed to detect, mitigate, and remediate vulnerabilities in our information systems (such as our hardware and/or software, including that of third parties upon which we rely); however, we may not detect and remediate all such vulnerabilities including on a timely basis. Further, we may experience delays in deploying remedial measures and patches designed to address identified vulnerabilities. Vulnerabilities could be exploited and result in a security incident.</w:t>
      </w:r>
    </w:p>
    <w:p>
      <w:pPr>
        <w:spacing w:after="0" w:line="75" w:lineRule="exact"/>
        <w:rPr>
          <w:sz w:val="20"/>
          <w:szCs w:val="20"/>
          <w:color w:val="auto"/>
        </w:rPr>
      </w:pPr>
    </w:p>
    <w:p>
      <w:pPr>
        <w:ind w:right="80" w:firstLine="578"/>
        <w:spacing w:after="0" w:line="253"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are increasing in their frequency, levels of persistence, sophistication and intensity, and are also being conducted by sophisticated and organized groups and individuals with a wide range of motives (including, but not limited to, industrial espionage) and expertise, including organized criminal groups, “hacktivists,” nation states and others. Such attacks could include the deployment of harmful malware (including as a result of advanced persistent threat intrusions), ransomware attacks, denial-of-service attacks, credential stuffing and/or harvesting, social engineering (including through deep fakes, which may be increasingly more difficult to identify as fake, and phishing attacks), supply-chain attacks, software bugs, server malfunctions, software or hardware failures, loss of sensitive data or other information technology assets, adware, attacks enhanced or facilitated by AI, telecommunications failures, earthquakes, fires, floods and other means to affect service reliability and threaten the confidentiality, integrity and availability of our information systems and sensitive data. 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82" w:lineRule="exact"/>
        <w:rPr>
          <w:sz w:val="20"/>
          <w:szCs w:val="20"/>
          <w:color w:val="auto"/>
        </w:rPr>
      </w:pPr>
    </w:p>
    <w:p>
      <w:pPr>
        <w:ind w:right="80" w:firstLine="578"/>
        <w:spacing w:after="0" w:line="253" w:lineRule="auto"/>
        <w:rPr>
          <w:sz w:val="20"/>
          <w:szCs w:val="20"/>
          <w:color w:val="auto"/>
        </w:rPr>
      </w:pPr>
      <w:r>
        <w:rPr>
          <w:rFonts w:ascii="Times New Roman" w:cs="Times New Roman" w:eastAsia="Times New Roman" w:hAnsi="Times New Roman"/>
          <w:sz w:val="18"/>
          <w:szCs w:val="18"/>
          <w:color w:val="auto"/>
        </w:rPr>
        <w:t>Significant disruptions of our, our third-party vendors’ and/or business partners’ information technology systems or other similar data security incidents could adversely affect our business operations and/or result in the loss, misappropriation and/or unauthorized access, use or disclosure of, or the prevention of access to, sensitive data, which could result in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0" w:name="page41"/>
    <w:bookmarkEnd w:id="40"/>
    <w:p>
      <w:pPr>
        <w:ind w:right="540"/>
        <w:spacing w:after="0" w:line="282" w:lineRule="auto"/>
        <w:rPr>
          <w:sz w:val="20"/>
          <w:szCs w:val="20"/>
          <w:color w:val="auto"/>
        </w:rPr>
      </w:pPr>
      <w:r>
        <w:rPr>
          <w:rFonts w:ascii="Times New Roman" w:cs="Times New Roman" w:eastAsia="Times New Roman" w:hAnsi="Times New Roman"/>
          <w:sz w:val="18"/>
          <w:szCs w:val="18"/>
          <w:color w:val="auto"/>
        </w:rPr>
        <w:t>data from completed or future clinical trials could result in delays in our regulatory approval efforts and significantly increase our costs to recover or reproduce the data.</w:t>
      </w:r>
    </w:p>
    <w:p>
      <w:pPr>
        <w:spacing w:after="0" w:line="54" w:lineRule="exact"/>
        <w:rPr>
          <w:sz w:val="20"/>
          <w:szCs w:val="20"/>
          <w:color w:val="auto"/>
        </w:rPr>
      </w:pPr>
    </w:p>
    <w:p>
      <w:pPr>
        <w:ind w:right="60" w:firstLine="578"/>
        <w:spacing w:after="0" w:line="266"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spacing w:after="0" w:line="68" w:lineRule="exact"/>
        <w:rPr>
          <w:sz w:val="20"/>
          <w:szCs w:val="20"/>
          <w:color w:val="auto"/>
        </w:rPr>
      </w:pPr>
    </w:p>
    <w:p>
      <w:pPr>
        <w:ind w:right="60" w:firstLine="578"/>
        <w:spacing w:after="0" w:line="266"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w:t>
      </w:r>
    </w:p>
    <w:p>
      <w:pPr>
        <w:spacing w:after="0" w:line="68" w:lineRule="exact"/>
        <w:rPr>
          <w:sz w:val="20"/>
          <w:szCs w:val="20"/>
          <w:color w:val="auto"/>
        </w:rPr>
      </w:pPr>
    </w:p>
    <w:p>
      <w:pPr>
        <w:ind w:firstLine="578"/>
        <w:spacing w:after="0" w:line="253" w:lineRule="auto"/>
        <w:rPr>
          <w:sz w:val="20"/>
          <w:szCs w:val="20"/>
          <w:color w:val="auto"/>
        </w:rPr>
      </w:pPr>
      <w:r>
        <w:rPr>
          <w:rFonts w:ascii="Times New Roman" w:cs="Times New Roman" w:eastAsia="Times New Roman" w:hAnsi="Times New Roman"/>
          <w:sz w:val="18"/>
          <w:szCs w:val="18"/>
          <w:color w:val="auto"/>
        </w:rPr>
        <w:t>If we (or a third party upon whom we rely) experience a security incident or are perceived to have experienced a security incident, including but not limited to a security incident involving personal information regarding employees or clinical trial patients, we may experience adverse consequences, such as disruptions to our business, harm to our reputation, government enforcement actions (for example, investigations, fines, penalties, audits, and inspections), additional reporting requirements and/or oversight, or we may otherwise be subject to liability under laws, regulations, and contractual obligations, including those that protect the privacy and security of personal information. This could result in increased costs to us and result in significant legal and financial exposure and/or reputational harm. Any failure or perceived failure by us or our vendors or business partners to comply with our privacy, confidentiality or data security-related legal or other obligations to third parties, or any further security incidents or other inappropriate access events resulting in the unauthorized access, release or transfer of sensitive data,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which could materially and adversely affect our business and prospects. Moreover, data security incidents and other inappropriate access can be difficult to detect and any delay in identifying them may lead to increased harm of the type described above.</w:t>
      </w:r>
    </w:p>
    <w:p>
      <w:pPr>
        <w:spacing w:after="0" w:line="82" w:lineRule="exact"/>
        <w:rPr>
          <w:sz w:val="20"/>
          <w:szCs w:val="20"/>
          <w:color w:val="auto"/>
        </w:rPr>
      </w:pPr>
    </w:p>
    <w:p>
      <w:pPr>
        <w:ind w:right="60" w:firstLine="578"/>
        <w:spacing w:after="0" w:line="258" w:lineRule="auto"/>
        <w:rPr>
          <w:sz w:val="20"/>
          <w:szCs w:val="20"/>
          <w:color w:val="auto"/>
        </w:rPr>
      </w:pPr>
      <w:r>
        <w:rPr>
          <w:rFonts w:ascii="Times New Roman" w:cs="Times New Roman" w:eastAsia="Times New Roman" w:hAnsi="Times New Roman"/>
          <w:sz w:val="18"/>
          <w:szCs w:val="18"/>
          <w:color w:val="auto"/>
        </w:rPr>
        <w:t>While we have implemented security measures to protect our information technology systems and infrastructure, there can be no assurance that such measures will be effective.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75" w:lineRule="exact"/>
        <w:rPr>
          <w:sz w:val="20"/>
          <w:szCs w:val="20"/>
          <w:color w:val="auto"/>
        </w:rPr>
      </w:pPr>
    </w:p>
    <w:p>
      <w:pPr>
        <w:ind w:right="200" w:firstLine="578"/>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 Additionally, sensitive data of the Company or our customers could be leaked, disclosed, or revealed as a result of or in connection with our employees’, personnel’s, or vendors’ potential use of generative AI technologies.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media platforms and AI-based platforms present new risks and challenges to our business.</w:t>
      </w:r>
    </w:p>
    <w:p>
      <w:pPr>
        <w:spacing w:after="0" w:line="121"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As social media continues to expand, it also presents us with new risks and challenges. Social media is increasingly being used to communicate information about us, our programs and the diseases our product candidates are being developed to treat. Social media practices in the biopharmaceutical industry are evolving, creating uncertainty and risk of noncompliance with regulations applicable to our business. For example, patients may use social media platforms to comment on the effectiveness of, or adverse experiences with, a product or a product candidate, which could result in reporting obligations or other consequences. Further, the accidental or intentional disclosure of non-public information by our workforce or others through media channels could lead to information loss. In addition, there is a risk of inappropriate disclosure of sensitive information or negative or inaccurate posts or comments about us, our products, or our product candidates on any social media platform. The nature of social media prevents us from having real-time control over postings about us on social media. We may not be able to reverse damage to our reputation from negative publicity or adverse information posted on social media platforms or similar mediums. If any of these events were to occur or we otherwise fail to comply with application regulations, we could incur liability, face restrictive regulatory actions or incur other harm to our business including quick and irreversible damage to our reputation, brand image and goodwill. Additionally, AI-based platforms are increasingly being used in the biopharmaceutical industry. The use of AI platforms by people, including our vendors, suppliers and contractors, with access to our proprietary and confidential information, including trade secrets, may continue to increase and may lead to the release of such information, which may negatively impact our company, including our ability to realize the benefit of our intellectual property.</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net losses since our inception, except 2021, and anticipate that we will continue to incur net losses for the foreseeable future.</w:t>
      </w:r>
    </w:p>
    <w:p>
      <w:pPr>
        <w:spacing w:after="0" w:line="121" w:lineRule="exact"/>
        <w:rPr>
          <w:sz w:val="20"/>
          <w:szCs w:val="20"/>
          <w:color w:val="auto"/>
        </w:rPr>
      </w:pPr>
    </w:p>
    <w:p>
      <w:pPr>
        <w:ind w:right="740" w:firstLine="578"/>
        <w:spacing w:after="0" w:line="261" w:lineRule="auto"/>
        <w:rPr>
          <w:sz w:val="20"/>
          <w:szCs w:val="20"/>
          <w:color w:val="auto"/>
        </w:rPr>
      </w:pPr>
      <w:r>
        <w:rPr>
          <w:rFonts w:ascii="Times New Roman" w:cs="Times New Roman" w:eastAsia="Times New Roman" w:hAnsi="Times New Roman"/>
          <w:sz w:val="18"/>
          <w:szCs w:val="18"/>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w:t>
      </w: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1" w:name="page42"/>
    <w:bookmarkEnd w:id="41"/>
    <w:p>
      <w:pPr>
        <w:spacing w:after="0" w:line="261" w:lineRule="auto"/>
        <w:rPr>
          <w:sz w:val="20"/>
          <w:szCs w:val="20"/>
          <w:color w:val="auto"/>
        </w:rPr>
      </w:pPr>
      <w:r>
        <w:rPr>
          <w:rFonts w:ascii="Times New Roman" w:cs="Times New Roman" w:eastAsia="Times New Roman" w:hAnsi="Times New Roman"/>
          <w:sz w:val="18"/>
          <w:szCs w:val="18"/>
          <w:color w:val="auto"/>
        </w:rPr>
        <w:t>profile, gain regulatory approval or be commercially viable. We are a clinical-stage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our product candidates. As a result, we are not and have never been profitable and have incurred losses in each period since our inception in 2005, except in 2021.</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the quarter ended June 30, 2024, we reported a net loss attributable to stockholders of $68.1 million. As of June 30, 2024, we had an accumulated deficit of $1.0 billion, which included non-cash charges for stock-based compensation, preferred stock accretion and historical extinguishment charges. We expect to continue to incur significant losses for the foreseeable future, and we expect these losses to increase as we continue our pre-commercialization activities for, and our research and development of, and seek regulatory approvals for, our product candidates. We may also encounter unforeseen expenses, difficulties, complications, delays and other unknown factors that may adversely affect our business. The size of our future net losses will depend, in part, on the rate of growth of our expenses and our ability to generate revenues, if any. Our prior losses and expected future losses have had and will continue to have an adverse effect on our stockholders’ equity and working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have no source of product revenue and may never achieve or maintain profitability.</w:t>
      </w:r>
    </w:p>
    <w:p>
      <w:pPr>
        <w:spacing w:after="0" w:line="121" w:lineRule="exact"/>
        <w:rPr>
          <w:sz w:val="20"/>
          <w:szCs w:val="20"/>
          <w:color w:val="auto"/>
        </w:rPr>
      </w:pPr>
    </w:p>
    <w:p>
      <w:pPr>
        <w:jc w:val="both"/>
        <w:ind w:right="120" w:firstLine="578"/>
        <w:spacing w:after="0" w:line="266" w:lineRule="auto"/>
        <w:rPr>
          <w:sz w:val="20"/>
          <w:szCs w:val="20"/>
          <w:color w:val="auto"/>
        </w:rPr>
      </w:pPr>
      <w:r>
        <w:rPr>
          <w:rFonts w:ascii="Times New Roman" w:cs="Times New Roman" w:eastAsia="Times New Roman" w:hAnsi="Times New Roman"/>
          <w:sz w:val="18"/>
          <w:szCs w:val="18"/>
          <w:color w:val="auto"/>
        </w:rPr>
        <w:t>Our ability to generate product revenue and become profitable depends upon our ability to successfully commercialize our product candidates. We do not anticipate generating revenue from the sale of our product candidates for the foreseeable future. Our ability to generate future product revenue also depends on a number of additional factors, including, but not limited to, our ability to:</w:t>
      </w:r>
    </w:p>
    <w:p>
      <w:pPr>
        <w:spacing w:after="0" w:line="68"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the research and clinical development of, and receive regulatory approval for, our product candidates;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commercialize and achieve market acceptance of our product candidates, and if launched independently, successfully establish a sales, marketing and distribution infrastructure;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build a portfolio of product candidates through the acquisition or in-license of products, product candidates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and clinical trials for any additional product candidates that we may pursue in the future;</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supplier and manufacturing relationships with third parties, and ensure adequate and legally compliant manufacturing of bulk drug substances and drug products to maintain that supply;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product reimbursement from third-party payors, including government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maintain, expand and protect our intellectual property rights;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qualified personnel.</w:t>
      </w:r>
    </w:p>
    <w:p>
      <w:pPr>
        <w:spacing w:after="0" w:line="117" w:lineRule="exact"/>
        <w:rPr>
          <w:sz w:val="20"/>
          <w:szCs w:val="20"/>
          <w:color w:val="auto"/>
        </w:rPr>
      </w:pPr>
    </w:p>
    <w:p>
      <w:pPr>
        <w:ind w:right="180" w:firstLine="578"/>
        <w:spacing w:after="0" w:line="258" w:lineRule="auto"/>
        <w:rPr>
          <w:sz w:val="20"/>
          <w:szCs w:val="20"/>
          <w:color w:val="auto"/>
        </w:rPr>
      </w:pPr>
      <w:r>
        <w:rPr>
          <w:rFonts w:ascii="Times New Roman" w:cs="Times New Roman" w:eastAsia="Times New Roman" w:hAnsi="Times New Roman"/>
          <w:sz w:val="18"/>
          <w:szCs w:val="18"/>
          <w:color w:val="auto"/>
        </w:rPr>
        <w:t>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our current product candidates and any other product candidates we may develop.</w:t>
      </w:r>
    </w:p>
    <w:p>
      <w:pPr>
        <w:spacing w:after="0" w:line="75" w:lineRule="exact"/>
        <w:rPr>
          <w:sz w:val="20"/>
          <w:szCs w:val="20"/>
          <w:color w:val="auto"/>
        </w:rPr>
      </w:pPr>
    </w:p>
    <w:p>
      <w:pPr>
        <w:ind w:right="120" w:firstLine="584"/>
        <w:spacing w:after="0" w:line="261" w:lineRule="auto"/>
        <w:rPr>
          <w:sz w:val="20"/>
          <w:szCs w:val="20"/>
          <w:color w:val="auto"/>
        </w:rPr>
      </w:pPr>
      <w:r>
        <w:rPr>
          <w:rFonts w:ascii="Times New Roman" w:cs="Times New Roman" w:eastAsia="Times New Roman" w:hAnsi="Times New Roman"/>
          <w:sz w:val="18"/>
          <w:szCs w:val="18"/>
          <w:color w:val="auto"/>
        </w:rPr>
        <w:t>Even if we generate revenues from the sale of our product candidates,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176"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likely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67" w:lineRule="exact"/>
        <w:rPr>
          <w:sz w:val="20"/>
          <w:szCs w:val="20"/>
          <w:color w:val="auto"/>
        </w:rPr>
      </w:pPr>
    </w:p>
    <w:p>
      <w:pPr>
        <w:ind w:right="40" w:firstLine="578"/>
        <w:spacing w:after="0" w:line="253"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months. Unexpected circumstances may cause us to consume capital more rapidly than we currently anticipate, including as a result of the global economic slowdown, including any recessions that have occurred or may occur in the future. In addition, we may discover that we need to conduct additional activities that exceed our current budget to achieve appropriate rates of patient enrollment, which would increase our development costs.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2" w:name="page43"/>
    <w:bookmarkEnd w:id="42"/>
    <w:p>
      <w:pPr>
        <w:ind w:right="40" w:firstLine="578"/>
        <w:spacing w:after="0" w:line="266" w:lineRule="auto"/>
        <w:rPr>
          <w:sz w:val="20"/>
          <w:szCs w:val="20"/>
          <w:color w:val="auto"/>
        </w:rPr>
      </w:pPr>
      <w:r>
        <w:rPr>
          <w:rFonts w:ascii="Times New Roman" w:cs="Times New Roman" w:eastAsia="Times New Roman" w:hAnsi="Times New Roman"/>
          <w:sz w:val="18"/>
          <w:szCs w:val="18"/>
          <w:color w:val="auto"/>
        </w:rPr>
        <w:t>In any event, we will likely require additional capital to continue the development of, obtain regulatory approval for, and to commercialize our existing product candidates and any future product candidates. Any efforts to secure additional financing may divert our management from our day-to-day activities, which may adversely affect our ability to develop and commercialize our product candidates.</w:t>
      </w:r>
    </w:p>
    <w:p>
      <w:pPr>
        <w:spacing w:after="0" w:line="68" w:lineRule="exact"/>
        <w:rPr>
          <w:sz w:val="20"/>
          <w:szCs w:val="20"/>
          <w:color w:val="auto"/>
        </w:rPr>
      </w:pPr>
    </w:p>
    <w:p>
      <w:pPr>
        <w:ind w:right="40" w:firstLine="578"/>
        <w:spacing w:after="0" w:line="254" w:lineRule="auto"/>
        <w:rPr>
          <w:sz w:val="20"/>
          <w:szCs w:val="20"/>
          <w:color w:val="auto"/>
        </w:rPr>
      </w:pPr>
      <w:r>
        <w:rPr>
          <w:rFonts w:ascii="Times New Roman" w:cs="Times New Roman" w:eastAsia="Times New Roman" w:hAnsi="Times New Roman"/>
          <w:sz w:val="18"/>
          <w:szCs w:val="18"/>
          <w:color w:val="auto"/>
        </w:rPr>
        <w:t>While the long-term economic impacts associated with public health crises and global geopolitical tensions, like the ongoing wars between Russia and Ukraine and the war in Gaza, are difficult to assess or predict, each of these events has caused significant disruptions to the global financial markets and contributed to a general global economic slowdown. Furthermore, inflation rates have increased recently to levels not seen in decades. Increased inflation may result in increased operating costs (including labor costs) and may affect our operating budgets. In addition, the U.S. Federal Reserve has raised and is expected to further raise, interest rates in response to concerns about inflation. Increases in interest rates, especially if coupled with reduced government spending and volatility in financial markets, may further increase economic uncertainty and heighten these risks. If the disruptions and slowdown deepen or persist, we may not be able to access additional capital on favorable terms, or at all, which could in the future negatively affect our financial condition and our ability to pursue our business strategy. We cannot guarantee that future financing will be available in sufficient amounts or on terms acceptable to us, if at all. If we do not raise additional capital when required or on acceptable terms, we may need to:</w:t>
      </w:r>
    </w:p>
    <w:p>
      <w:pPr>
        <w:spacing w:after="0" w:line="80"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scale back or discontinue the development or commercialization of our product candidates or cease operations altogether;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strategic alliances for our existing product candidates on terms less favorable than might otherwise be available; or</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 or license on unfavorable terms, our rights to technologies or any future product candidates that we otherwise would seek to develop or commercialize ourselves.</w:t>
      </w:r>
    </w:p>
    <w:p>
      <w:pPr>
        <w:spacing w:after="0" w:line="54" w:lineRule="exact"/>
        <w:rPr>
          <w:sz w:val="20"/>
          <w:szCs w:val="20"/>
          <w:color w:val="auto"/>
        </w:rPr>
      </w:pPr>
    </w:p>
    <w:p>
      <w:pPr>
        <w:ind w:right="40" w:firstLine="578"/>
        <w:spacing w:after="0" w:line="282" w:lineRule="auto"/>
        <w:rPr>
          <w:sz w:val="20"/>
          <w:szCs w:val="20"/>
          <w:color w:val="auto"/>
        </w:rPr>
      </w:pPr>
      <w:r>
        <w:rPr>
          <w:rFonts w:ascii="Times New Roman" w:cs="Times New Roman" w:eastAsia="Times New Roman" w:hAnsi="Times New Roman"/>
          <w:sz w:val="18"/>
          <w:szCs w:val="18"/>
          <w:color w:val="auto"/>
        </w:rPr>
        <w:t>If we need to conduct additional fundraising activities and we do not raise additional capital in sufficient amounts or on terms acceptable to us, we may be unable to pursue development and commercialization efforts, which will harm our business, operating results and prospects.</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Our future funding requirements, both short- and long-term,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of our product candidates;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53" w:lineRule="exact"/>
        <w:rPr>
          <w:rFonts w:ascii="Times New Roman" w:cs="Times New Roman" w:eastAsia="Times New Roman" w:hAnsi="Times New Roman"/>
          <w:sz w:val="18"/>
          <w:szCs w:val="18"/>
          <w:color w:val="auto"/>
        </w:rPr>
      </w:pPr>
    </w:p>
    <w:p>
      <w:pPr>
        <w:jc w:val="both"/>
        <w:ind w:left="1020" w:right="20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 candidates;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developing manufacturing capabilities, and potentially validating manufacturing sites for commercial-scale manufacturing;</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for obtaining pricing, and coverage and reimbursement by third-party payors, which may require additional trials to address pharmacoeconomic benefit;</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if any candidate receives regulatory approval and we determine to commercialize it ourselves;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acquire and implement additional internal systems and infrastructure, including compliance and financial and reporting systems, as we grow our company; and</w:t>
      </w:r>
    </w:p>
    <w:p>
      <w:pPr>
        <w:spacing w:after="0" w:line="53"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or the perception that hostilities may be imminent (such as the ongoing wars between Russia and Ukraine and the war in Gaza), terrorism, natural disasters, including earthquakes, typhoons, floods and fires, or public health crises.</w:t>
      </w:r>
    </w:p>
    <w:p>
      <w:pPr>
        <w:spacing w:after="0" w:line="68" w:lineRule="exact"/>
        <w:rPr>
          <w:sz w:val="20"/>
          <w:szCs w:val="20"/>
          <w:color w:val="auto"/>
        </w:rPr>
      </w:pPr>
    </w:p>
    <w:p>
      <w:pPr>
        <w:ind w:right="20" w:firstLine="578"/>
        <w:spacing w:after="0" w:line="282" w:lineRule="auto"/>
        <w:rPr>
          <w:sz w:val="20"/>
          <w:szCs w:val="20"/>
          <w:color w:val="auto"/>
        </w:rPr>
      </w:pPr>
      <w:r>
        <w:rPr>
          <w:rFonts w:ascii="Times New Roman" w:cs="Times New Roman" w:eastAsia="Times New Roman" w:hAnsi="Times New Roman"/>
          <w:sz w:val="18"/>
          <w:szCs w:val="18"/>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could materially adversely affect our company.</w:t>
      </w:r>
    </w:p>
    <w:p>
      <w:pPr>
        <w:spacing w:after="0" w:line="3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0" w:right="419" w:bottom="1440" w:gutter="0" w:footer="0" w:header="0"/>
        </w:sectPr>
      </w:pPr>
    </w:p>
    <w:bookmarkStart w:id="43" w:name="page44"/>
    <w:bookmarkEnd w:id="43"/>
    <w:p>
      <w:pPr>
        <w:ind w:firstLine="578"/>
        <w:spacing w:after="0" w:line="252" w:lineRule="auto"/>
        <w:rPr>
          <w:sz w:val="20"/>
          <w:szCs w:val="20"/>
          <w:color w:val="auto"/>
        </w:rPr>
      </w:pPr>
      <w:r>
        <w:rPr>
          <w:rFonts w:ascii="Times New Roman" w:cs="Times New Roman" w:eastAsia="Times New Roman" w:hAnsi="Times New Roman"/>
          <w:sz w:val="18"/>
          <w:szCs w:val="18"/>
          <w:color w:val="auto"/>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Cuts and Jobs Act, or the Tax Act, enacted many significant changes to the U.S. tax laws, including changes in corporate tax rates, which collectively may impact the utilization of our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or the CARES Act, modified certain provisions of the Tax Act. In addition, it is uncertain if and to what extent various states will conform to the Tax Act, the CARES Act, or any newly enacted federal tax legislation. Most recently, the IRA included a number of significant drug pricing reforms, including the establishment of a drug price negotiation program within the U.S. Department of Health and Human Services that would require pharmaceutical manufacturers to charge a negotiated “maximum fair price” for certain selected drugs or pay an excise tax for noncompliance, the establishment of rebate payment requirements on manufacturers under Medicare Parts B and D to penalize price increases that outpace inflation, and a redesign of the Part D benefit, as part of which manufacturers are required to provide discounts on Part D drugs and Part D beneficiaries’ annual out-of-pocket spending will be capped at $2,000 beginning in 2025. The impact of changes under the Tax Act, the CARES Act, the IRA, or future reform legislation could increase our future U.S. tax expense and could have a material adverse impact on our business and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incurred substantial losses during our history. We do not expect to become profitable in the near future, and we may never achieve profitability. Unused losses generally are available to be carried forward to offset future taxable income, if any. Under Sections 382 and 383 of the Code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last completed an analysis from January 1, 2021 through December 31, 2023 and determined that no ownership changes had occurred in that period. Prior analyses determined that on March 30, 2007, August 21, 2015, and May 4, 2020, ownership changes had occurred.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or protect intellectual property rights, we may not be able to compete effectively in our market.</w:t>
      </w:r>
    </w:p>
    <w:p>
      <w:pPr>
        <w:spacing w:after="0" w:line="121" w:lineRule="exact"/>
        <w:rPr>
          <w:sz w:val="20"/>
          <w:szCs w:val="20"/>
          <w:color w:val="auto"/>
        </w:rPr>
      </w:pPr>
    </w:p>
    <w:p>
      <w:pPr>
        <w:ind w:right="20" w:firstLine="578"/>
        <w:spacing w:after="0" w:line="258" w:lineRule="auto"/>
        <w:rPr>
          <w:sz w:val="20"/>
          <w:szCs w:val="20"/>
          <w:color w:val="auto"/>
        </w:rPr>
      </w:pPr>
      <w:r>
        <w:rPr>
          <w:rFonts w:ascii="Times New Roman" w:cs="Times New Roman" w:eastAsia="Times New Roman" w:hAnsi="Times New Roman"/>
          <w:sz w:val="18"/>
          <w:szCs w:val="18"/>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75" w:lineRule="exact"/>
        <w:rPr>
          <w:sz w:val="20"/>
          <w:szCs w:val="20"/>
          <w:color w:val="auto"/>
        </w:rPr>
      </w:pPr>
    </w:p>
    <w:p>
      <w:pPr>
        <w:ind w:firstLine="578"/>
        <w:spacing w:after="0" w:line="254"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80" w:lineRule="exact"/>
        <w:rPr>
          <w:sz w:val="20"/>
          <w:szCs w:val="20"/>
          <w:color w:val="auto"/>
        </w:rPr>
      </w:pPr>
    </w:p>
    <w:p>
      <w:pPr>
        <w:ind w:firstLine="578"/>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4" w:name="page45"/>
    <w:bookmarkEnd w:id="44"/>
    <w:p>
      <w:pPr>
        <w:ind w:right="80"/>
        <w:spacing w:after="0" w:line="253" w:lineRule="auto"/>
        <w:rPr>
          <w:sz w:val="20"/>
          <w:szCs w:val="20"/>
          <w:color w:val="auto"/>
        </w:rPr>
      </w:pPr>
      <w:r>
        <w:rPr>
          <w:rFonts w:ascii="Times New Roman" w:cs="Times New Roman" w:eastAsia="Times New Roman" w:hAnsi="Times New Roman"/>
          <w:sz w:val="18"/>
          <w:szCs w:val="18"/>
          <w:color w:val="auto"/>
        </w:rPr>
        <w:t>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of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79" w:lineRule="exact"/>
        <w:rPr>
          <w:sz w:val="20"/>
          <w:szCs w:val="20"/>
          <w:color w:val="auto"/>
        </w:rPr>
      </w:pPr>
    </w:p>
    <w:p>
      <w:pPr>
        <w:ind w:right="220" w:firstLine="578"/>
        <w:spacing w:after="0" w:line="266" w:lineRule="auto"/>
        <w:rPr>
          <w:sz w:val="20"/>
          <w:szCs w:val="20"/>
          <w:color w:val="auto"/>
        </w:rPr>
      </w:pPr>
      <w:r>
        <w:rPr>
          <w:rFonts w:ascii="Times New Roman" w:cs="Times New Roman" w:eastAsia="Times New Roman" w:hAnsi="Times New Roman"/>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68" w:lineRule="exact"/>
        <w:rPr>
          <w:sz w:val="20"/>
          <w:szCs w:val="20"/>
          <w:color w:val="auto"/>
        </w:rPr>
      </w:pPr>
    </w:p>
    <w:p>
      <w:pPr>
        <w:ind w:right="60" w:firstLine="578"/>
        <w:spacing w:after="0" w:line="255" w:lineRule="auto"/>
        <w:rPr>
          <w:sz w:val="20"/>
          <w:szCs w:val="20"/>
          <w:color w:val="auto"/>
        </w:rPr>
      </w:pPr>
      <w:r>
        <w:rPr>
          <w:rFonts w:ascii="Times New Roman" w:cs="Times New Roman" w:eastAsia="Times New Roman" w:hAnsi="Times New Roman"/>
          <w:sz w:val="18"/>
          <w:szCs w:val="18"/>
          <w:color w:val="auto"/>
        </w:rPr>
        <w:t>The portfolio that we licensed from UCB includes granted patents and patent applications with pending claims directed to the composition of matter of axatilimab (a humanized, full-length IgG4 (kappa light chain) antibody with high affinity for the CSF-1R) as well as claims directed to methods of use of axatilimab. There is no guarantee that any further patents will be granted based on the pending applications we licensed from UCB or even if one or more patents are granted that the claims issued in those patents would cover axatilimab, methods of using axatilimab, or formulations of axatilimab. Based on the priority date and filing date of the applications in the portfolio we licensed from UCB, we expect that additional patents, if any, granted based on the currently pending applications would expire in 2036 or later should patent term extension be granted. The actual term of any patents granted based on the pending applications we licensed from UCB can only be determined after such patents are granted.</w:t>
      </w:r>
    </w:p>
    <w:p>
      <w:pPr>
        <w:spacing w:after="0" w:line="81" w:lineRule="exact"/>
        <w:rPr>
          <w:sz w:val="20"/>
          <w:szCs w:val="20"/>
          <w:color w:val="auto"/>
        </w:rPr>
      </w:pPr>
    </w:p>
    <w:p>
      <w:pPr>
        <w:ind w:firstLine="578"/>
        <w:spacing w:after="0" w:line="254" w:lineRule="auto"/>
        <w:rPr>
          <w:sz w:val="20"/>
          <w:szCs w:val="20"/>
          <w:color w:val="auto"/>
        </w:rPr>
      </w:pPr>
      <w:r>
        <w:rPr>
          <w:rFonts w:ascii="Times New Roman" w:cs="Times New Roman" w:eastAsia="Times New Roman" w:hAnsi="Times New Roman"/>
          <w:sz w:val="18"/>
          <w:szCs w:val="18"/>
          <w:color w:val="auto"/>
        </w:rPr>
        <w:t>The portfolio that we licensed from Vitae Pharmaceuticals, or Vitae, which is now a subsidiary of AbbVie Inc., or AbbVie, includes granted patents and applications with pending claims directed to inhibitors of the interaction of menin with MLL and MLL fusion proteins, pharmaceutical compositions containing the same, and their use in the treatment of cancer and other diseases mediated by the menin-MLL interaction. There is no guarantee that any additional patents will be granted based on the pending applications that we licensed from Vitae or even if one or more patents are granted that the claims issued in those patents would cover the desired lead compounds, compositions, and methods of use thereof. Based on the priority date and filing date of the applications in the portfolio that we licensed from Vitae, we expect that a patent, if any, granted based on the currently pending applications would expire in 2037 or later should patent term extension be granted. The actual term of any patents granted based on the pending applications that we licensed from Vitae can only be determined after such patents are granted.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40" w:firstLine="578"/>
        <w:spacing w:after="0" w:line="254" w:lineRule="auto"/>
        <w:rPr>
          <w:sz w:val="20"/>
          <w:szCs w:val="20"/>
          <w:color w:val="auto"/>
        </w:rPr>
      </w:pPr>
      <w:r>
        <w:rPr>
          <w:rFonts w:ascii="Times New Roman" w:cs="Times New Roman" w:eastAsia="Times New Roman" w:hAnsi="Times New Roman"/>
          <w:sz w:val="18"/>
          <w:szCs w:val="18"/>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p>
    <w:p>
      <w:pPr>
        <w:spacing w:after="0" w:line="80" w:lineRule="exact"/>
        <w:rPr>
          <w:sz w:val="20"/>
          <w:szCs w:val="20"/>
          <w:color w:val="auto"/>
        </w:rPr>
      </w:pPr>
    </w:p>
    <w:p>
      <w:pPr>
        <w:ind w:right="40" w:firstLine="578"/>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5" w:name="page46"/>
    <w:bookmarkEnd w:id="45"/>
    <w:p>
      <w:pPr>
        <w:ind w:right="20" w:firstLine="578"/>
        <w:spacing w:after="0" w:line="253" w:lineRule="auto"/>
        <w:rPr>
          <w:sz w:val="20"/>
          <w:szCs w:val="20"/>
          <w:color w:val="auto"/>
        </w:rPr>
      </w:pPr>
      <w:r>
        <w:rPr>
          <w:rFonts w:ascii="Times New Roman" w:cs="Times New Roman" w:eastAsia="Times New Roman" w:hAnsi="Times New Roman"/>
          <w:sz w:val="18"/>
          <w:szCs w:val="18"/>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29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breach the UCB license agreement related to axatilimab or if the UCB license agreement is otherwise terminated, we could lose the ability to continue the development and commercialization of axatilimab.</w:t>
      </w:r>
    </w:p>
    <w:p>
      <w:pPr>
        <w:spacing w:after="0" w:line="51" w:lineRule="exact"/>
        <w:rPr>
          <w:sz w:val="20"/>
          <w:szCs w:val="20"/>
          <w:color w:val="auto"/>
        </w:rPr>
      </w:pPr>
    </w:p>
    <w:p>
      <w:pPr>
        <w:ind w:right="60" w:firstLine="578"/>
        <w:spacing w:after="0" w:line="256"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axatilimab. Subject to the achievement of certain milestone events, we may be required to pay UCB up to $119.5 million in one-time development and regulatory milestone payments over the term of the UCB license agreement. If we or any of our affiliates or sublicensees commercializes axatilimab, we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we may be required to share a percentage of non-royalty income from sublicensees, subject to certain deductions, with UCB.</w:t>
      </w:r>
    </w:p>
    <w:p>
      <w:pPr>
        <w:spacing w:after="0" w:line="79" w:lineRule="exact"/>
        <w:rPr>
          <w:sz w:val="20"/>
          <w:szCs w:val="20"/>
          <w:color w:val="auto"/>
        </w:rPr>
      </w:pPr>
    </w:p>
    <w:p>
      <w:pPr>
        <w:ind w:right="80" w:firstLine="578"/>
        <w:spacing w:after="0" w:line="258" w:lineRule="auto"/>
        <w:rPr>
          <w:sz w:val="20"/>
          <w:szCs w:val="20"/>
          <w:color w:val="auto"/>
        </w:rPr>
      </w:pPr>
      <w:r>
        <w:rPr>
          <w:rFonts w:ascii="Times New Roman" w:cs="Times New Roman" w:eastAsia="Times New Roman" w:hAnsi="Times New Roman"/>
          <w:sz w:val="18"/>
          <w:szCs w:val="18"/>
          <w:color w:val="auto"/>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p>
    <w:p>
      <w:pPr>
        <w:spacing w:after="0" w:line="75" w:lineRule="exact"/>
        <w:rPr>
          <w:sz w:val="20"/>
          <w:szCs w:val="20"/>
          <w:color w:val="auto"/>
        </w:rPr>
      </w:pPr>
    </w:p>
    <w:p>
      <w:pPr>
        <w:ind w:right="40" w:firstLine="578"/>
        <w:spacing w:after="0" w:line="258" w:lineRule="auto"/>
        <w:rPr>
          <w:sz w:val="20"/>
          <w:szCs w:val="20"/>
          <w:color w:val="auto"/>
        </w:rPr>
      </w:pPr>
      <w:r>
        <w:rPr>
          <w:rFonts w:ascii="Times New Roman" w:cs="Times New Roman" w:eastAsia="Times New Roman" w:hAnsi="Times New Roman"/>
          <w:sz w:val="18"/>
          <w:szCs w:val="18"/>
          <w:color w:val="auto"/>
        </w:rPr>
        <w:t>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UCB would expire because no commercial sales of axatilimab have occurred and the last-to-expire relevant patent covering axatilimab in a given country may change in the future.</w:t>
      </w:r>
    </w:p>
    <w:p>
      <w:pPr>
        <w:spacing w:after="0" w:line="75" w:lineRule="exact"/>
        <w:rPr>
          <w:sz w:val="20"/>
          <w:szCs w:val="20"/>
          <w:color w:val="auto"/>
        </w:rPr>
      </w:pPr>
    </w:p>
    <w:p>
      <w:pPr>
        <w:ind w:right="20" w:firstLine="578"/>
        <w:spacing w:after="0" w:line="261" w:lineRule="auto"/>
        <w:rPr>
          <w:sz w:val="20"/>
          <w:szCs w:val="20"/>
          <w:color w:val="auto"/>
        </w:rPr>
      </w:pPr>
      <w:r>
        <w:rPr>
          <w:rFonts w:ascii="Times New Roman" w:cs="Times New Roman" w:eastAsia="Times New Roman" w:hAnsi="Times New Roman"/>
          <w:sz w:val="18"/>
          <w:szCs w:val="18"/>
          <w:color w:val="auto"/>
        </w:rPr>
        <w:t>If the UCB license agreement is terminated, we would not be able to develop, manufacture, market or sell axatilimab and would need to negotiate a new or reinstated agreement, which may not be available to us on equally favorable terms, or at all. In addition, our collaboration with Incyte to further develop and commercialize axatilimab is dependent upon the effectiveness of the UCB license agreement. If the UCB license agreement is terminated, Incyte may terminate our collaboration and our business could be adversely affected.</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breach the license agreement related to revumenib or if the license agreement is otherwise terminated, we could lose the ability to continue the development and commercialization of revumenib.</w:t>
      </w:r>
    </w:p>
    <w:p>
      <w:pPr>
        <w:spacing w:after="0" w:line="51" w:lineRule="exact"/>
        <w:rPr>
          <w:sz w:val="20"/>
          <w:szCs w:val="20"/>
          <w:color w:val="auto"/>
        </w:rPr>
      </w:pPr>
    </w:p>
    <w:p>
      <w:pPr>
        <w:ind w:right="220" w:firstLine="578"/>
        <w:spacing w:after="0" w:line="274" w:lineRule="auto"/>
        <w:rPr>
          <w:sz w:val="20"/>
          <w:szCs w:val="20"/>
          <w:color w:val="auto"/>
        </w:rPr>
      </w:pPr>
      <w:r>
        <w:rPr>
          <w:rFonts w:ascii="Times New Roman" w:cs="Times New Roman" w:eastAsia="Times New Roman" w:hAnsi="Times New Roman"/>
          <w:sz w:val="17"/>
          <w:szCs w:val="17"/>
          <w:color w:val="auto"/>
        </w:rPr>
        <w:t>Our commercial success depends upon our ability to develop, manufacture, market and sell revumenib. Subject to the achievement of certain milestone events, we may be required to pay Vitae, which is now a subsidiary of AbbVie, up to $99.0 million in one-time development and regulatory milestone payments over the term of the Vitae license agreement. In the event that we or any of our affiliates or sublicensees commercializes revumenib, we will also be obligated to pay Vitae low single to low double-digit royalties on sales, subject to reduction in certain circumstances, as well as up to an aggregate of $70.0 million in potential one-time sales-based milestone payments based on achievement of certain annual sales thresholds. Under certain circumstances, we may be required to share a percentage of non-royalty income from sublicensees, subject to certain deductions, with Vitae.</w:t>
      </w:r>
    </w:p>
    <w:p>
      <w:pPr>
        <w:spacing w:after="0" w:line="65" w:lineRule="exact"/>
        <w:rPr>
          <w:sz w:val="20"/>
          <w:szCs w:val="20"/>
          <w:color w:val="auto"/>
        </w:rPr>
      </w:pPr>
    </w:p>
    <w:p>
      <w:pPr>
        <w:ind w:firstLine="578"/>
        <w:spacing w:after="0" w:line="258" w:lineRule="auto"/>
        <w:rPr>
          <w:sz w:val="20"/>
          <w:szCs w:val="20"/>
          <w:color w:val="auto"/>
        </w:rPr>
      </w:pPr>
      <w:r>
        <w:rPr>
          <w:rFonts w:ascii="Times New Roman" w:cs="Times New Roman" w:eastAsia="Times New Roman" w:hAnsi="Times New Roman"/>
          <w:sz w:val="18"/>
          <w:szCs w:val="18"/>
          <w:color w:val="auto"/>
        </w:rPr>
        <w:t>Either party may terminate the license agreement in its entirety or with respect to certain countries in the event of an uncured material breach by the other party. Either party may terminate the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Vitae may terminate the license agreement if we seek to revoke or challenge the validity of any patent licensed to us by Vitae under the license agreement or if we procure or assist a third party to take any such action.</w:t>
      </w:r>
    </w:p>
    <w:p>
      <w:pPr>
        <w:spacing w:after="0" w:line="75" w:lineRule="exact"/>
        <w:rPr>
          <w:sz w:val="20"/>
          <w:szCs w:val="20"/>
          <w:color w:val="auto"/>
        </w:rPr>
      </w:pPr>
    </w:p>
    <w:p>
      <w:pPr>
        <w:ind w:right="180" w:firstLine="578"/>
        <w:spacing w:after="0" w:line="261" w:lineRule="auto"/>
        <w:rPr>
          <w:sz w:val="20"/>
          <w:szCs w:val="20"/>
          <w:color w:val="auto"/>
        </w:rPr>
      </w:pPr>
      <w:r>
        <w:rPr>
          <w:rFonts w:ascii="Times New Roman" w:cs="Times New Roman" w:eastAsia="Times New Roman" w:hAnsi="Times New Roman"/>
          <w:sz w:val="18"/>
          <w:szCs w:val="18"/>
          <w:color w:val="auto"/>
        </w:rPr>
        <w:t>Unless terminated earlier in accordance with its terms, the license agreement will continue on a country-by-country and product-by-product basis until the later of: (i) the expiration of all of the licensed patent rights in such country; (ii) the expiration of all</w:t>
      </w: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6" w:name="page47"/>
    <w:bookmarkEnd w:id="46"/>
    <w:p>
      <w:pPr>
        <w:ind w:right="100"/>
        <w:spacing w:after="0" w:line="266" w:lineRule="auto"/>
        <w:rPr>
          <w:sz w:val="20"/>
          <w:szCs w:val="20"/>
          <w:color w:val="auto"/>
        </w:rPr>
      </w:pPr>
      <w:r>
        <w:rPr>
          <w:rFonts w:ascii="Times New Roman" w:cs="Times New Roman" w:eastAsia="Times New Roman" w:hAnsi="Times New Roman"/>
          <w:sz w:val="18"/>
          <w:szCs w:val="18"/>
          <w:color w:val="auto"/>
        </w:rPr>
        <w:t>regulatory exclusivity applicable to the product in such country; and (iii) 10 years from the date of the first commercial sale of the product in such country. We cannot determine the date on which our royalty payment obligations to Vitae would expire because no commercial sales of revumenib have occurred and the last-to-expire relevant patent covering revumenib in a given country may change in the future.</w:t>
      </w:r>
    </w:p>
    <w:p>
      <w:pPr>
        <w:spacing w:after="0" w:line="68" w:lineRule="exact"/>
        <w:rPr>
          <w:sz w:val="20"/>
          <w:szCs w:val="20"/>
          <w:color w:val="auto"/>
        </w:rPr>
      </w:pPr>
    </w:p>
    <w:p>
      <w:pPr>
        <w:ind w:right="100" w:firstLine="578"/>
        <w:spacing w:after="0" w:line="282" w:lineRule="auto"/>
        <w:rPr>
          <w:sz w:val="20"/>
          <w:szCs w:val="20"/>
          <w:color w:val="auto"/>
        </w:rPr>
      </w:pPr>
      <w:r>
        <w:rPr>
          <w:rFonts w:ascii="Times New Roman" w:cs="Times New Roman" w:eastAsia="Times New Roman" w:hAnsi="Times New Roman"/>
          <w:sz w:val="18"/>
          <w:szCs w:val="18"/>
          <w:color w:val="auto"/>
        </w:rPr>
        <w:t>If the license agreement is terminated, we would not be able to develop, manufacture, market or sell revumenib and would need to negotiate a new or reinstated agreement, which may not be available to us on equally favorable terms, or at 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product candidates.</w:t>
      </w:r>
    </w:p>
    <w:p>
      <w:pPr>
        <w:spacing w:after="0" w:line="121" w:lineRule="exact"/>
        <w:rPr>
          <w:sz w:val="20"/>
          <w:szCs w:val="20"/>
          <w:color w:val="auto"/>
        </w:rPr>
      </w:pPr>
    </w:p>
    <w:p>
      <w:pPr>
        <w:ind w:firstLine="578"/>
        <w:spacing w:after="0" w:line="253"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United States Patent and Trademark Office, or the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p>
    <w:p>
      <w:pPr>
        <w:spacing w:after="0" w:line="84" w:lineRule="exact"/>
        <w:rPr>
          <w:sz w:val="20"/>
          <w:szCs w:val="20"/>
          <w:color w:val="auto"/>
        </w:rPr>
      </w:pPr>
    </w:p>
    <w:p>
      <w:pPr>
        <w:ind w:right="20" w:firstLine="578"/>
        <w:spacing w:after="0" w:line="254"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America Invents Act, was signed into law. The America Invents Act includes a number of significant changes to U.S. patent law. These include provisions that affect the way patent applications are prosecuted and may also affect patent litigation. The USPTO recently developed new regulations and procedures to govern administration of the America Invents Act, and many of the substantive changes to patent law associated with the America Invents Act and in particular, the first to file provisions, only became effective on March 16, 2013. Accordingly, it is not clear what, if any, impact the America Invents Act will have on the operation of our business. However, the America Invents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184"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40" w:firstLine="578"/>
        <w:spacing w:after="0" w:line="254"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w:t>
      </w:r>
    </w:p>
    <w:p>
      <w:pPr>
        <w:spacing w:after="0" w:line="18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51" w:lineRule="exact"/>
        <w:rPr>
          <w:sz w:val="20"/>
          <w:szCs w:val="20"/>
          <w:color w:val="auto"/>
        </w:rPr>
      </w:pPr>
    </w:p>
    <w:p>
      <w:pPr>
        <w:ind w:right="140" w:firstLine="578"/>
        <w:spacing w:after="0" w:line="253" w:lineRule="auto"/>
        <w:rPr>
          <w:sz w:val="20"/>
          <w:szCs w:val="20"/>
          <w:color w:val="auto"/>
        </w:rPr>
      </w:pPr>
      <w:r>
        <w:rPr>
          <w:rFonts w:ascii="Times New Roman" w:cs="Times New Roman" w:eastAsia="Times New Roman" w:hAnsi="Times New Roman"/>
          <w:sz w:val="18"/>
          <w:szCs w:val="18"/>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7" w:name="page48"/>
    <w:bookmarkEnd w:id="47"/>
    <w:p>
      <w:pPr>
        <w:ind w:right="40"/>
        <w:spacing w:after="0" w:line="261" w:lineRule="auto"/>
        <w:rPr>
          <w:sz w:val="20"/>
          <w:szCs w:val="20"/>
          <w:color w:val="auto"/>
        </w:rPr>
      </w:pPr>
      <w:r>
        <w:rPr>
          <w:rFonts w:ascii="Times New Roman" w:cs="Times New Roman" w:eastAsia="Times New Roman" w:hAnsi="Times New Roman"/>
          <w:sz w:val="18"/>
          <w:szCs w:val="18"/>
          <w:color w:val="auto"/>
        </w:rPr>
        <w:t>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72" w:lineRule="exact"/>
        <w:rPr>
          <w:sz w:val="20"/>
          <w:szCs w:val="20"/>
          <w:color w:val="auto"/>
        </w:rPr>
      </w:pPr>
    </w:p>
    <w:p>
      <w:pPr>
        <w:ind w:right="80" w:firstLine="578"/>
        <w:spacing w:after="0" w:line="253" w:lineRule="auto"/>
        <w:rPr>
          <w:sz w:val="20"/>
          <w:szCs w:val="20"/>
          <w:color w:val="auto"/>
        </w:rPr>
      </w:pPr>
      <w:r>
        <w:rPr>
          <w:rFonts w:ascii="Times New Roman" w:cs="Times New Roman" w:eastAsia="Times New Roman" w:hAnsi="Times New Roman"/>
          <w:sz w:val="18"/>
          <w:szCs w:val="18"/>
          <w:color w:val="auto"/>
        </w:rPr>
        <w:t>Third-party pre-issuance submission of prior art to the USPTO, or opposition, derivation, reexamination, inter partes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84" w:lineRule="exact"/>
        <w:rPr>
          <w:sz w:val="20"/>
          <w:szCs w:val="20"/>
          <w:color w:val="auto"/>
        </w:rPr>
      </w:pPr>
    </w:p>
    <w:p>
      <w:pPr>
        <w:ind w:right="60" w:firstLine="578"/>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17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67" w:lineRule="exact"/>
        <w:rPr>
          <w:sz w:val="20"/>
          <w:szCs w:val="20"/>
          <w:color w:val="auto"/>
        </w:rPr>
      </w:pPr>
    </w:p>
    <w:p>
      <w:pPr>
        <w:ind w:right="40" w:firstLine="578"/>
        <w:spacing w:after="0" w:line="256" w:lineRule="auto"/>
        <w:rPr>
          <w:sz w:val="20"/>
          <w:szCs w:val="20"/>
          <w:color w:val="auto"/>
        </w:rPr>
      </w:pPr>
      <w:r>
        <w:rPr>
          <w:rFonts w:ascii="Times New Roman" w:cs="Times New Roman" w:eastAsia="Times New Roman" w:hAnsi="Times New Roman"/>
          <w:sz w:val="18"/>
          <w:szCs w:val="18"/>
          <w:color w:val="auto"/>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79" w:lineRule="exact"/>
        <w:rPr>
          <w:sz w:val="20"/>
          <w:szCs w:val="20"/>
          <w:color w:val="auto"/>
        </w:rPr>
      </w:pPr>
    </w:p>
    <w:p>
      <w:pPr>
        <w:ind w:firstLine="578"/>
        <w:spacing w:after="0" w:line="255" w:lineRule="auto"/>
        <w:rPr>
          <w:sz w:val="20"/>
          <w:szCs w:val="20"/>
          <w:color w:val="auto"/>
        </w:rPr>
      </w:pPr>
      <w:r>
        <w:rPr>
          <w:rFonts w:ascii="Times New Roman" w:cs="Times New Roman" w:eastAsia="Times New Roman" w:hAnsi="Times New Roman"/>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51" w:lineRule="exact"/>
        <w:rPr>
          <w:sz w:val="20"/>
          <w:szCs w:val="20"/>
          <w:color w:val="auto"/>
        </w:rPr>
      </w:pPr>
    </w:p>
    <w:p>
      <w:pPr>
        <w:jc w:val="both"/>
        <w:ind w:right="140" w:firstLine="578"/>
        <w:spacing w:after="0" w:line="256" w:lineRule="auto"/>
        <w:rPr>
          <w:sz w:val="20"/>
          <w:szCs w:val="20"/>
          <w:color w:val="auto"/>
        </w:rPr>
      </w:pPr>
      <w:r>
        <w:rPr>
          <w:rFonts w:ascii="Times New Roman" w:cs="Times New Roman" w:eastAsia="Times New Roman" w:hAnsi="Times New Roman"/>
          <w:sz w:val="18"/>
          <w:szCs w:val="18"/>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79" w:lineRule="exact"/>
        <w:rPr>
          <w:sz w:val="20"/>
          <w:szCs w:val="20"/>
          <w:color w:val="auto"/>
        </w:rPr>
      </w:pPr>
    </w:p>
    <w:p>
      <w:pPr>
        <w:ind w:right="160" w:firstLine="578"/>
        <w:spacing w:after="0" w:line="266" w:lineRule="auto"/>
        <w:rPr>
          <w:sz w:val="20"/>
          <w:szCs w:val="20"/>
          <w:color w:val="auto"/>
        </w:rPr>
      </w:pPr>
      <w:r>
        <w:rPr>
          <w:rFonts w:ascii="Times New Roman" w:cs="Times New Roman" w:eastAsia="Times New Roman" w:hAnsi="Times New Roman"/>
          <w:sz w:val="18"/>
          <w:szCs w:val="18"/>
          <w:color w:val="auto"/>
        </w:rPr>
        <w:t>In addition, for some of our in-licensed patents and patent applications, we do not have access to every patent assignment or employee agreement demonstrating that all inventors have assigned their rights to the inventions or related patents. As a result, we may be subject to claims of ownership by such inventors.</w:t>
      </w:r>
    </w:p>
    <w:p>
      <w:pPr>
        <w:spacing w:after="0" w:line="68" w:lineRule="exact"/>
        <w:rPr>
          <w:sz w:val="20"/>
          <w:szCs w:val="20"/>
          <w:color w:val="auto"/>
        </w:rPr>
      </w:pPr>
    </w:p>
    <w:p>
      <w:pPr>
        <w:ind w:right="60" w:firstLine="578"/>
        <w:spacing w:after="0" w:line="255"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protect our confidential information and trade secrets would harm our business and competitive position.</w:t>
      </w:r>
    </w:p>
    <w:p>
      <w:pPr>
        <w:spacing w:after="0" w:line="121"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16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Other General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stock may be volatile and you could lose all or part of your investment.</w:t>
      </w:r>
    </w:p>
    <w:p>
      <w:pPr>
        <w:spacing w:after="0" w:line="121" w:lineRule="exact"/>
        <w:rPr>
          <w:sz w:val="20"/>
          <w:szCs w:val="20"/>
          <w:color w:val="auto"/>
        </w:rPr>
      </w:pPr>
    </w:p>
    <w:p>
      <w:pPr>
        <w:ind w:right="160" w:firstLine="578"/>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is highly volatile and subject to wide fluctuations in response to various factors, some of which we cannot control. In addition to the factors discussed in this “Risk Factors” section and elsewhere in this Quarterly Report on Form 10-Q report, these factors include:</w:t>
      </w:r>
    </w:p>
    <w:p>
      <w:pPr>
        <w:spacing w:after="0" w:line="68"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trials of our product candidates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 and</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political and market conditions, including, but not limited to new or ongoing public health crises and the wars between Russia and Ukraine and the war in Gaza.</w:t>
      </w:r>
    </w:p>
    <w:p>
      <w:pPr>
        <w:spacing w:after="0" w:line="54" w:lineRule="exact"/>
        <w:rPr>
          <w:sz w:val="20"/>
          <w:szCs w:val="20"/>
          <w:color w:val="auto"/>
        </w:rPr>
      </w:pPr>
    </w:p>
    <w:p>
      <w:pPr>
        <w:ind w:right="80" w:firstLine="562"/>
        <w:spacing w:after="0" w:line="253" w:lineRule="auto"/>
        <w:rPr>
          <w:sz w:val="20"/>
          <w:szCs w:val="20"/>
          <w:color w:val="auto"/>
        </w:rPr>
      </w:pPr>
      <w:r>
        <w:rPr>
          <w:rFonts w:ascii="Times New Roman" w:cs="Times New Roman" w:eastAsia="Times New Roman" w:hAnsi="Times New Roman"/>
          <w:sz w:val="18"/>
          <w:szCs w:val="18"/>
          <w:color w:val="auto"/>
        </w:rPr>
        <w:t>In addition, the stock market in general, and the Nasdaq Global Select Market, or Nasdaq, and biopharmaceutical companies in particular, frequently experiences extreme price and volume fluctuations that have often been unrelated or disproportionate to the operating performance of such companies. Broad market and industry factors, including potentially worsening economic conditions and other adverse effects or developments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share price.</w:t>
      </w:r>
    </w:p>
    <w:p>
      <w:pPr>
        <w:spacing w:after="0" w:line="121" w:lineRule="exact"/>
        <w:rPr>
          <w:sz w:val="20"/>
          <w:szCs w:val="20"/>
          <w:color w:val="auto"/>
        </w:rPr>
      </w:pPr>
    </w:p>
    <w:p>
      <w:pPr>
        <w:ind w:right="20" w:firstLine="562"/>
        <w:spacing w:after="0" w:line="254"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bank failures, declines in consumer confidence, declines in economic growth, increases in unemployment rates, increases in inflation rates and uncertainty about economic stability. For example, the COVID-19 pandemic resulted in widespread unemployment, economic slowdown and extreme volatility in the global capital markets. Similarly, the current Russia-Ukraine war exacerbated volatility in the global capital markets and continues to disrupt the global supply chain and energy markets. Any such volatility and disruptions may have adverse consequences for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Inflation can adversely affect us by increasing our costs, including personnel costs (wages). Any significant increases in inflation and related increases in interest rates could have a material adverse effect on our business, results of operations and financial condition.</w:t>
      </w:r>
    </w:p>
    <w:p>
      <w:pPr>
        <w:spacing w:after="0" w:line="184"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51" w:lineRule="exact"/>
        <w:rPr>
          <w:sz w:val="20"/>
          <w:szCs w:val="20"/>
          <w:color w:val="auto"/>
        </w:rPr>
      </w:pPr>
    </w:p>
    <w:p>
      <w:pPr>
        <w:ind w:right="180" w:firstLine="578"/>
        <w:spacing w:after="0" w:line="258" w:lineRule="auto"/>
        <w:rPr>
          <w:sz w:val="20"/>
          <w:szCs w:val="20"/>
          <w:color w:val="auto"/>
        </w:rPr>
      </w:pPr>
      <w:r>
        <w:rPr>
          <w:rFonts w:ascii="Times New Roman" w:cs="Times New Roman" w:eastAsia="Times New Roman" w:hAnsi="Times New Roman"/>
          <w:sz w:val="18"/>
          <w:szCs w:val="18"/>
          <w:color w:val="auto"/>
        </w:rPr>
        <w:t>Until we can generate a sufficient amount of profit from our products, if ever, we expect to finance future cash needs through public or private equity or debt offerings. If we raise additional funds through the issuance of additional equity or debt securities, it may result in dilution to our existing stockholders and/or increased fixed payment obligations. For example, in December 2023, we sold a total of 12,432,431 shares of our common stock in a public offering. The issuance of these shares of our common stock resulted, and any future issuance pursuant to any future public or private equity financing or future sales under the 2023 ATM Program will result, in dilution to our stockholders.</w:t>
      </w:r>
    </w:p>
    <w:p>
      <w:pPr>
        <w:spacing w:after="0" w:line="75" w:lineRule="exact"/>
        <w:rPr>
          <w:sz w:val="20"/>
          <w:szCs w:val="20"/>
          <w:color w:val="auto"/>
        </w:rPr>
      </w:pPr>
    </w:p>
    <w:p>
      <w:pPr>
        <w:ind w:right="480" w:firstLine="578"/>
        <w:spacing w:after="0" w:line="282" w:lineRule="auto"/>
        <w:rPr>
          <w:sz w:val="20"/>
          <w:szCs w:val="20"/>
          <w:color w:val="auto"/>
        </w:rPr>
      </w:pPr>
      <w:r>
        <w:rPr>
          <w:rFonts w:ascii="Times New Roman" w:cs="Times New Roman" w:eastAsia="Times New Roman" w:hAnsi="Times New Roman"/>
          <w:sz w:val="18"/>
          <w:szCs w:val="18"/>
          <w:color w:val="auto"/>
        </w:rPr>
        <w:t>In addition, we have a significant number of stock options and pre-funded warrants outstanding. To the extent that these have been or may be exercised, stockholders may experience further dilution.</w:t>
      </w:r>
    </w:p>
    <w:p>
      <w:pPr>
        <w:spacing w:after="0" w:line="54" w:lineRule="exact"/>
        <w:rPr>
          <w:sz w:val="20"/>
          <w:szCs w:val="20"/>
          <w:color w:val="auto"/>
        </w:rPr>
      </w:pPr>
    </w:p>
    <w:p>
      <w:pPr>
        <w:ind w:right="120" w:firstLine="578"/>
        <w:spacing w:after="0" w:line="256" w:lineRule="auto"/>
        <w:rPr>
          <w:sz w:val="20"/>
          <w:szCs w:val="20"/>
          <w:color w:val="auto"/>
        </w:rPr>
      </w:pPr>
      <w:r>
        <w:rPr>
          <w:rFonts w:ascii="Times New Roman" w:cs="Times New Roman" w:eastAsia="Times New Roman" w:hAnsi="Times New Roman"/>
          <w:sz w:val="18"/>
          <w:szCs w:val="18"/>
          <w:color w:val="auto"/>
        </w:rPr>
        <w:t>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w:t>
      </w:r>
    </w:p>
    <w:p>
      <w:pPr>
        <w:spacing w:after="0" w:line="79" w:lineRule="exact"/>
        <w:rPr>
          <w:sz w:val="20"/>
          <w:szCs w:val="20"/>
          <w:color w:val="auto"/>
        </w:rPr>
      </w:pPr>
    </w:p>
    <w:p>
      <w:pPr>
        <w:jc w:val="both"/>
        <w:ind w:right="100" w:firstLine="578"/>
        <w:spacing w:after="0" w:line="266" w:lineRule="auto"/>
        <w:rPr>
          <w:sz w:val="20"/>
          <w:szCs w:val="20"/>
          <w:color w:val="auto"/>
        </w:rPr>
      </w:pPr>
      <w:r>
        <w:rPr>
          <w:rFonts w:ascii="Times New Roman" w:cs="Times New Roman" w:eastAsia="Times New Roman" w:hAnsi="Times New Roman"/>
          <w:sz w:val="18"/>
          <w:szCs w:val="18"/>
          <w:color w:val="auto"/>
        </w:rPr>
        <w:t>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172" w:lineRule="exact"/>
        <w:rPr>
          <w:sz w:val="20"/>
          <w:szCs w:val="20"/>
          <w:color w:val="auto"/>
        </w:rPr>
      </w:pPr>
    </w:p>
    <w:p>
      <w:pPr>
        <w:ind w:right="580" w:firstLine="57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51"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The trading market for our common stock is influenced by the research and reports that industry or securities analysts publish about us or our business. If no or few securities or industry analysts continue coverage of us, the trading price for our stock could be negatively impacted. If any of the analysts who cover us issue an adverse or misleading opinion regarding us, our business model, our intellectual property or our stock performance, or if our trials or operating results fail to meet the expectations of analysts, our stock price could decline. If one or more of these analysts cease coverage of us or fail to publish reports on us regularly, we could lose visibility in the financial markets, which in turn could cause our stock price or trading volume to decline.</w:t>
      </w:r>
    </w:p>
    <w:p>
      <w:pPr>
        <w:spacing w:after="0" w:line="16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influence control over matters subject to stockholder approval.</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of June 30, 2024, our executive officers, directors, and holders of 5% or more of our capital stock and their respective affiliates beneficially owned approximately 38% of our outstanding voting stock and options. As a result, these stockholders will continue to have a significant influence over all matters requiring stockholder approval. For example, these stockholders may be able to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controls for financial reporting and disclosure controls and procedures. We are required, under Section 404 of the Sarbanes-Oxley Act, to furnish a report by management on, among other things, the effectiveness of our internal control over financial reporting. This assessment needs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w:t>
      </w:r>
    </w:p>
    <w:p>
      <w:pPr>
        <w:spacing w:after="0" w:line="81" w:lineRule="exact"/>
        <w:rPr>
          <w:sz w:val="20"/>
          <w:szCs w:val="20"/>
          <w:color w:val="auto"/>
        </w:rPr>
      </w:pPr>
    </w:p>
    <w:p>
      <w:pPr>
        <w:ind w:right="180" w:firstLine="509"/>
        <w:spacing w:after="0" w:line="270" w:lineRule="auto"/>
        <w:rPr>
          <w:sz w:val="20"/>
          <w:szCs w:val="20"/>
          <w:color w:val="auto"/>
        </w:rPr>
      </w:pPr>
      <w:r>
        <w:rPr>
          <w:rFonts w:ascii="Times New Roman" w:cs="Times New Roman" w:eastAsia="Times New Roman" w:hAnsi="Times New Roman"/>
          <w:sz w:val="17"/>
          <w:szCs w:val="17"/>
          <w:color w:val="auto"/>
        </w:rPr>
        <w:t>We are required to get an attestation from our independent registered public accounting firm on the effectiveness of our internal control over financial reporting. Our compliance with Section 404 requires that we incur substantial expense and expend significant management efforts. We currently do not have an internal audit group, and we may need to hire additional accounting and financial staff with appropriate public company experience and technical accounting knowledge and compile the system and process documentation necessary to perform the evaluation needed to comply with Section</w:t>
      </w:r>
    </w:p>
    <w:p>
      <w:pPr>
        <w:spacing w:after="0" w:line="3" w:lineRule="exact"/>
        <w:rPr>
          <w:sz w:val="20"/>
          <w:szCs w:val="20"/>
          <w:color w:val="auto"/>
        </w:rPr>
      </w:pPr>
    </w:p>
    <w:p>
      <w:pPr>
        <w:ind w:right="40" w:firstLine="8"/>
        <w:spacing w:after="0" w:line="251" w:lineRule="auto"/>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 a classified board of directors, a prohibition on actions by written consent of our stockholders and the ability of our board of directors to issue preferred stock without stockholder approval. 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Trading Arrangements</w:t>
      </w:r>
    </w:p>
    <w:p>
      <w:pPr>
        <w:spacing w:after="0" w:line="119" w:lineRule="exact"/>
        <w:rPr>
          <w:sz w:val="20"/>
          <w:szCs w:val="20"/>
          <w:color w:val="auto"/>
        </w:rPr>
      </w:pPr>
    </w:p>
    <w:p>
      <w:pPr>
        <w:ind w:right="680" w:firstLine="509"/>
        <w:spacing w:after="0" w:line="261" w:lineRule="auto"/>
        <w:rPr>
          <w:sz w:val="20"/>
          <w:szCs w:val="20"/>
          <w:color w:val="auto"/>
        </w:rPr>
      </w:pPr>
      <w:r>
        <w:rPr>
          <w:rFonts w:ascii="Times New Roman" w:cs="Times New Roman" w:eastAsia="Times New Roman" w:hAnsi="Times New Roman"/>
          <w:sz w:val="18"/>
          <w:szCs w:val="18"/>
          <w:color w:val="auto"/>
        </w:rPr>
        <w:t>During the quarter ended June 30, 2024, none of our directors and officers (as defined in Rule 16a-1(f) under the Exchange Act) adopted or terminated contracts, instructions or written plans for the purchase or sale of our securities.</w:t>
      </w: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200" w:type="dxa"/>
            <w:vAlign w:val="bottom"/>
            <w:gridSpan w:val="10"/>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No.</w:t>
            </w:r>
          </w:p>
        </w:tc>
        <w:tc>
          <w:tcPr>
            <w:tcW w:w="1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720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97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Amended and Restated Certificate of Incorporation of the Company (incorporated herein by reference to Exhibit 3.1 to the Company’s</w:t>
              </w:r>
            </w:hyperlink>
          </w:p>
        </w:tc>
        <w:tc>
          <w:tcPr>
            <w:tcW w:w="3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Current Report on Form 8-K (File No. 001-37708), as filed with the SEC on March 8, 2016).</w:t>
              </w:r>
            </w:hyperlink>
          </w:p>
        </w:tc>
        <w:tc>
          <w:tcPr>
            <w:tcW w:w="20" w:type="dxa"/>
            <w:vAlign w:val="bottom"/>
            <w:tcBorders>
              <w:bottom w:val="single" w:sz="8" w:color="0000EE"/>
            </w:tcBorders>
          </w:tcPr>
          <w:p>
            <w:pPr>
              <w:spacing w:after="0"/>
              <w:rPr>
                <w:sz w:val="17"/>
                <w:szCs w:val="17"/>
                <w:color w:val="auto"/>
              </w:rPr>
            </w:pPr>
          </w:p>
        </w:tc>
        <w:tc>
          <w:tcPr>
            <w:tcW w:w="33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99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Certificate of Amendment to the Amended and Restated Certificate of Incorporation of the Company (incorporated herein by reference to</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13"/>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Exhibit 3.1 to the Company’s Current Report on Form 8-K (File No. 001-37708), as filed with the SEC on May 18,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3900" w:type="dxa"/>
            <w:vAlign w:val="bottom"/>
            <w:tcBorders>
              <w:right w:val="single" w:sz="8" w:color="0000EE"/>
            </w:tcBorders>
            <w:gridSpan w:val="3"/>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4"/>
                <w:szCs w:val="24"/>
                <w:color w:val="auto"/>
              </w:rPr>
            </w:pPr>
          </w:p>
        </w:tc>
        <w:tc>
          <w:tcPr>
            <w:tcW w:w="100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26">
              <w:r>
                <w:rPr>
                  <w:rFonts w:ascii="Times New Roman" w:cs="Times New Roman" w:eastAsia="Times New Roman" w:hAnsi="Times New Roman"/>
                  <w:sz w:val="18"/>
                  <w:szCs w:val="18"/>
                  <w:color w:val="0000FF"/>
                  <w:w w:val="99"/>
                </w:rPr>
                <w:t>Amended and Restated Bylaws of the Company (incorporated herein by reference to Exhibit 3.2 to the Company’s Current Report on Form</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13"/>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8-K (File No. 001-37708), as filed with the SEC on March 8, 2016).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tcBorders>
              <w:right w:val="single" w:sz="8" w:color="0000EE"/>
            </w:tcBorders>
            <w:shd w:val="clear" w:color="auto" w:fill="0000FF"/>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99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promulgated under the Securities Exchange Act of</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1934, as amended.</w:t>
            </w:r>
          </w:p>
        </w:tc>
        <w:tc>
          <w:tcPr>
            <w:tcW w:w="20" w:type="dxa"/>
            <w:vAlign w:val="bottom"/>
            <w:tcBorders>
              <w:bottom w:val="single" w:sz="8" w:color="0000EE"/>
            </w:tcBorders>
          </w:tcPr>
          <w:p>
            <w:pPr>
              <w:spacing w:after="0"/>
              <w:rPr>
                <w:sz w:val="17"/>
                <w:szCs w:val="17"/>
                <w:color w:val="auto"/>
              </w:rPr>
            </w:pPr>
          </w:p>
        </w:tc>
        <w:tc>
          <w:tcPr>
            <w:tcW w:w="87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99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promulgated under the Securities Exchange Act of</w:t>
            </w:r>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1934, as amended.</w:t>
            </w:r>
          </w:p>
        </w:tc>
        <w:tc>
          <w:tcPr>
            <w:tcW w:w="20" w:type="dxa"/>
            <w:vAlign w:val="bottom"/>
            <w:tcBorders>
              <w:bottom w:val="single" w:sz="8" w:color="0000EE"/>
            </w:tcBorders>
          </w:tcPr>
          <w:p>
            <w:pPr>
              <w:spacing w:after="0"/>
              <w:rPr>
                <w:sz w:val="17"/>
                <w:szCs w:val="17"/>
                <w:color w:val="auto"/>
              </w:rPr>
            </w:pPr>
          </w:p>
        </w:tc>
        <w:tc>
          <w:tcPr>
            <w:tcW w:w="87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99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Certifications of Chief Executive Officer and Chief Financial Officer pursuant to 18 U.S.C. Section 1350, as adopted pursuant to Section</w:t>
            </w:r>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EE"/>
            </w:tcBorders>
            <w:gridSpan w:val="3"/>
            <w:shd w:val="clear" w:color="auto" w:fill="0000FF"/>
          </w:tcPr>
          <w:p>
            <w:pPr>
              <w:spacing w:after="0" w:line="20" w:lineRule="exact"/>
              <w:rPr>
                <w:sz w:val="1"/>
                <w:szCs w:val="1"/>
                <w:color w:val="auto"/>
              </w:rPr>
            </w:pPr>
          </w:p>
        </w:tc>
        <w:tc>
          <w:tcPr>
            <w:tcW w:w="7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100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as its XBRL tags are embedded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9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100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160" w:hanging="1139"/>
        <w:spacing w:after="0"/>
        <w:tabs>
          <w:tab w:leader="none" w:pos="11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as Inline XBRL and contained in Exhibit 101.</w:t>
      </w:r>
    </w:p>
    <w:p>
      <w:pPr>
        <w:spacing w:after="0" w:line="225" w:lineRule="exact"/>
        <w:rPr>
          <w:rFonts w:ascii="Times New Roman" w:cs="Times New Roman" w:eastAsia="Times New Roman" w:hAnsi="Times New Roman"/>
          <w:sz w:val="18"/>
          <w:szCs w:val="18"/>
          <w:color w:val="auto"/>
        </w:rPr>
      </w:pPr>
    </w:p>
    <w:p>
      <w:pPr>
        <w:ind w:right="1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 and not deemed to be “filed” for purposes of Section 18 of the Exchange Act, or otherwise subject to the liability of that section,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95123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2" w:name="page53"/>
    <w:bookmarkEnd w:id="5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266" w:lineRule="exact"/>
        <w:rPr>
          <w:sz w:val="20"/>
          <w:szCs w:val="20"/>
          <w:color w:val="auto"/>
        </w:rPr>
      </w:pPr>
    </w:p>
    <w:p>
      <w:pPr>
        <w:ind w:left="6780"/>
        <w:spacing w:after="0"/>
        <w:tabs>
          <w:tab w:leader="none" w:pos="7220" w:val="left"/>
        </w:tabs>
        <w:rPr>
          <w:sz w:val="20"/>
          <w:szCs w:val="20"/>
          <w:color w:val="auto"/>
        </w:rPr>
      </w:pPr>
      <w:r>
        <w:rPr>
          <w:rFonts w:ascii="Times New Roman" w:cs="Times New Roman" w:eastAsia="Times New Roman" w:hAnsi="Times New Roman"/>
          <w:sz w:val="18"/>
          <w:szCs w:val="18"/>
          <w:color w:val="auto"/>
        </w:rPr>
        <w:t>By:</w:t>
        <w:tab/>
        <w:t>/s/ Michael A.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Michael A. Metzger</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9" w:lineRule="exact"/>
        <w:rPr>
          <w:sz w:val="20"/>
          <w:szCs w:val="20"/>
          <w:color w:val="auto"/>
        </w:rPr>
      </w:pPr>
    </w:p>
    <w:p>
      <w:pPr>
        <w:ind w:left="6780"/>
        <w:spacing w:after="0"/>
        <w:tabs>
          <w:tab w:leader="none" w:pos="7220" w:val="left"/>
        </w:tabs>
        <w:rPr>
          <w:sz w:val="20"/>
          <w:szCs w:val="20"/>
          <w:color w:val="auto"/>
        </w:rPr>
      </w:pPr>
      <w:r>
        <w:rPr>
          <w:rFonts w:ascii="Times New Roman" w:cs="Times New Roman" w:eastAsia="Times New Roman" w:hAnsi="Times New Roman"/>
          <w:sz w:val="18"/>
          <w:szCs w:val="18"/>
          <w:color w:val="auto"/>
        </w:rPr>
        <w:t>By:</w:t>
        <w:tab/>
        <w:t>/s/ Keith A. Goldan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Keith A. Goldan</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53" w:name="page54"/>
    <w:bookmarkEnd w:id="53"/>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A. Metzger, certify that:</w:t>
      </w:r>
    </w:p>
    <w:p>
      <w:pPr>
        <w:spacing w:after="0" w:line="225" w:lineRule="exact"/>
        <w:rPr>
          <w:sz w:val="20"/>
          <w:szCs w:val="20"/>
          <w:color w:val="auto"/>
        </w:rPr>
      </w:pPr>
    </w:p>
    <w:p>
      <w:pPr>
        <w:ind w:left="700" w:hanging="183"/>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Syndax Pharmaceuticals, Inc.;</w:t>
      </w:r>
    </w:p>
    <w:p>
      <w:pPr>
        <w:spacing w:after="0" w:line="225" w:lineRule="exact"/>
        <w:rPr>
          <w:rFonts w:ascii="Times New Roman" w:cs="Times New Roman" w:eastAsia="Times New Roman" w:hAnsi="Times New Roman"/>
          <w:sz w:val="18"/>
          <w:szCs w:val="18"/>
          <w:color w:val="auto"/>
        </w:rPr>
      </w:pPr>
    </w:p>
    <w:p>
      <w:pPr>
        <w:ind w:right="40" w:firstLine="517"/>
        <w:spacing w:after="0" w:line="312" w:lineRule="auto"/>
        <w:tabs>
          <w:tab w:leader="none" w:pos="689"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firstLine="517"/>
        <w:spacing w:after="0" w:line="282" w:lineRule="auto"/>
        <w:tabs>
          <w:tab w:leader="none" w:pos="68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517"/>
        <w:spacing w:after="0" w:line="266" w:lineRule="auto"/>
        <w:tabs>
          <w:tab w:leader="none" w:pos="68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380" w:firstLine="506"/>
        <w:spacing w:after="0" w:line="266" w:lineRule="auto"/>
        <w:tabs>
          <w:tab w:leader="none" w:pos="127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00" w:firstLine="506"/>
        <w:spacing w:after="0" w:line="266" w:lineRule="auto"/>
        <w:tabs>
          <w:tab w:leader="none" w:pos="128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20" w:firstLine="506"/>
        <w:spacing w:after="0" w:line="282" w:lineRule="auto"/>
        <w:tabs>
          <w:tab w:leader="none" w:pos="127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00" w:firstLine="506"/>
        <w:spacing w:after="0" w:line="266" w:lineRule="auto"/>
        <w:tabs>
          <w:tab w:leader="none" w:pos="128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517"/>
        <w:spacing w:after="0" w:line="282" w:lineRule="auto"/>
        <w:tabs>
          <w:tab w:leader="none" w:pos="68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40" w:firstLine="506"/>
        <w:spacing w:after="0" w:line="282" w:lineRule="auto"/>
        <w:tabs>
          <w:tab w:leader="none" w:pos="127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20" w:firstLine="506"/>
        <w:spacing w:after="0" w:line="282" w:lineRule="auto"/>
        <w:tabs>
          <w:tab w:leader="none" w:pos="128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720" w:val="left"/>
          <w:tab w:leader="none" w:pos="7220" w:val="left"/>
        </w:tabs>
        <w:rPr>
          <w:sz w:val="20"/>
          <w:szCs w:val="20"/>
          <w:color w:val="auto"/>
        </w:rPr>
      </w:pPr>
      <w:r>
        <w:rPr>
          <w:rFonts w:ascii="Times New Roman" w:cs="Times New Roman" w:eastAsia="Times New Roman" w:hAnsi="Times New Roman"/>
          <w:sz w:val="18"/>
          <w:szCs w:val="18"/>
          <w:color w:val="auto"/>
        </w:rPr>
        <w:t>Date: August 1, 2024</w:t>
      </w:r>
      <w:r>
        <w:rPr>
          <w:sz w:val="20"/>
          <w:szCs w:val="20"/>
          <w:color w:val="auto"/>
        </w:rPr>
        <w:tab/>
      </w:r>
      <w:r>
        <w:rPr>
          <w:rFonts w:ascii="Times New Roman" w:cs="Times New Roman" w:eastAsia="Times New Roman" w:hAnsi="Times New Roman"/>
          <w:sz w:val="18"/>
          <w:szCs w:val="18"/>
          <w:color w:val="auto"/>
        </w:rPr>
        <w:t>By:</w:t>
        <w:tab/>
        <w:t>/s/ Michael A.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26035</wp:posOffset>
            </wp:positionV>
            <wp:extent cx="254571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Michael A. Metzger</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54" w:name="page55"/>
    <w:bookmarkEnd w:id="54"/>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A. Goldan, certify that:</w:t>
      </w:r>
    </w:p>
    <w:p>
      <w:pPr>
        <w:spacing w:after="0" w:line="225" w:lineRule="exact"/>
        <w:rPr>
          <w:sz w:val="20"/>
          <w:szCs w:val="20"/>
          <w:color w:val="auto"/>
        </w:rPr>
      </w:pPr>
    </w:p>
    <w:p>
      <w:pPr>
        <w:ind w:left="700" w:hanging="183"/>
        <w:spacing w:after="0"/>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Syndax Pharmaceuticals, Inc.;</w:t>
      </w:r>
    </w:p>
    <w:p>
      <w:pPr>
        <w:spacing w:after="0" w:line="225" w:lineRule="exact"/>
        <w:rPr>
          <w:rFonts w:ascii="Times New Roman" w:cs="Times New Roman" w:eastAsia="Times New Roman" w:hAnsi="Times New Roman"/>
          <w:sz w:val="18"/>
          <w:szCs w:val="18"/>
          <w:color w:val="auto"/>
        </w:rPr>
      </w:pPr>
    </w:p>
    <w:p>
      <w:pPr>
        <w:ind w:right="40" w:firstLine="517"/>
        <w:spacing w:after="0" w:line="312" w:lineRule="auto"/>
        <w:tabs>
          <w:tab w:leader="none" w:pos="689"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firstLine="517"/>
        <w:spacing w:after="0" w:line="282" w:lineRule="auto"/>
        <w:tabs>
          <w:tab w:leader="none" w:pos="68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517"/>
        <w:spacing w:after="0" w:line="266" w:lineRule="auto"/>
        <w:tabs>
          <w:tab w:leader="none" w:pos="68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380" w:firstLine="506"/>
        <w:spacing w:after="0" w:line="266" w:lineRule="auto"/>
        <w:tabs>
          <w:tab w:leader="none" w:pos="127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00" w:firstLine="506"/>
        <w:spacing w:after="0" w:line="266" w:lineRule="auto"/>
        <w:tabs>
          <w:tab w:leader="none" w:pos="128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20" w:firstLine="506"/>
        <w:spacing w:after="0" w:line="282" w:lineRule="auto"/>
        <w:tabs>
          <w:tab w:leader="none" w:pos="127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00" w:firstLine="506"/>
        <w:spacing w:after="0" w:line="266" w:lineRule="auto"/>
        <w:tabs>
          <w:tab w:leader="none" w:pos="128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517"/>
        <w:spacing w:after="0" w:line="282" w:lineRule="auto"/>
        <w:tabs>
          <w:tab w:leader="none" w:pos="68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40" w:firstLine="506"/>
        <w:spacing w:after="0" w:line="282" w:lineRule="auto"/>
        <w:tabs>
          <w:tab w:leader="none" w:pos="127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20" w:firstLine="506"/>
        <w:spacing w:after="0" w:line="282" w:lineRule="auto"/>
        <w:tabs>
          <w:tab w:leader="none" w:pos="128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ind w:left="20"/>
        <w:spacing w:after="0"/>
        <w:tabs>
          <w:tab w:leader="none" w:pos="6720" w:val="left"/>
          <w:tab w:leader="none" w:pos="7220" w:val="left"/>
        </w:tabs>
        <w:rPr>
          <w:sz w:val="20"/>
          <w:szCs w:val="20"/>
          <w:color w:val="auto"/>
        </w:rPr>
      </w:pPr>
      <w:r>
        <w:rPr>
          <w:rFonts w:ascii="Times New Roman" w:cs="Times New Roman" w:eastAsia="Times New Roman" w:hAnsi="Times New Roman"/>
          <w:sz w:val="18"/>
          <w:szCs w:val="18"/>
          <w:color w:val="auto"/>
        </w:rPr>
        <w:t>Date: August 1, 2024</w:t>
      </w:r>
      <w:r>
        <w:rPr>
          <w:sz w:val="20"/>
          <w:szCs w:val="20"/>
          <w:color w:val="auto"/>
        </w:rPr>
        <w:tab/>
      </w:r>
      <w:r>
        <w:rPr>
          <w:rFonts w:ascii="Times New Roman" w:cs="Times New Roman" w:eastAsia="Times New Roman" w:hAnsi="Times New Roman"/>
          <w:sz w:val="18"/>
          <w:szCs w:val="18"/>
          <w:color w:val="auto"/>
        </w:rPr>
        <w:t>By:</w:t>
        <w:tab/>
        <w:t>/s/ Keith A. Goldan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26035</wp:posOffset>
            </wp:positionV>
            <wp:extent cx="254571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Keith A. Goldan</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935990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4" w:right="379" w:bottom="1440" w:gutter="0" w:footer="0" w:header="0"/>
        </w:sectPr>
      </w:pPr>
    </w:p>
    <w:bookmarkStart w:id="55" w:name="page56"/>
    <w:bookmarkEnd w:id="55"/>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Syndax Pharmaceuticals, Inc. (the “Company”) for the period ended June 30, 2024, as filed with the Securities and Exchange Commission on the date hereof (the “Report”), each of the undersigned officers of the Company hereby certifies, pursuant to 18 U.S.C. Section 1350, that to his or her knowledge:</w:t>
      </w:r>
    </w:p>
    <w:p>
      <w:pPr>
        <w:spacing w:after="0" w:line="176" w:lineRule="exact"/>
        <w:rPr>
          <w:sz w:val="20"/>
          <w:szCs w:val="20"/>
          <w:color w:val="auto"/>
        </w:rPr>
      </w:pPr>
    </w:p>
    <w:p>
      <w:pPr>
        <w:ind w:left="900" w:hanging="35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1, 2024</w:t>
            </w:r>
          </w:p>
        </w:tc>
        <w:tc>
          <w:tcPr>
            <w:tcW w:w="30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A. Metzger</w:t>
            </w:r>
          </w:p>
        </w:tc>
      </w:tr>
      <w:tr>
        <w:trPr>
          <w:trHeight w:val="205"/>
        </w:trPr>
        <w:tc>
          <w:tcPr>
            <w:tcW w:w="41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0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Michael A. Metzger</w:t>
            </w:r>
          </w:p>
        </w:tc>
      </w:tr>
      <w:tr>
        <w:trPr>
          <w:trHeight w:val="234"/>
        </w:trPr>
        <w:tc>
          <w:tcPr>
            <w:tcW w:w="41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5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1, 2024</w:t>
            </w:r>
          </w:p>
        </w:tc>
        <w:tc>
          <w:tcPr>
            <w:tcW w:w="30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Keith A. Goldan</w:t>
            </w:r>
          </w:p>
        </w:tc>
      </w:tr>
      <w:tr>
        <w:trPr>
          <w:trHeight w:val="205"/>
        </w:trPr>
        <w:tc>
          <w:tcPr>
            <w:tcW w:w="41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0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Keith A. Goldan</w:t>
            </w:r>
          </w:p>
        </w:tc>
      </w:tr>
      <w:tr>
        <w:trPr>
          <w:trHeight w:val="234"/>
        </w:trPr>
        <w:tc>
          <w:tcPr>
            <w:tcW w:w="41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1249"/>
        </w:trPr>
        <w:tc>
          <w:tcPr>
            <w:tcW w:w="418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lvl w:ilvl="1">
      <w:lvlJc w:val="left"/>
      <w:lvlText w:val="o"/>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lowerLetter"/>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1."/>
      <w:numFmt w:val="decimal"/>
      <w:start w:val="404"/>
    </w:lvl>
  </w:abstractNum>
  <w:abstractNum w:abstractNumId="34">
    <w:nsid w:val="3804823E"/>
    <w:multiLevelType w:val="hybridMultilevel"/>
    <w:lvl w:ilvl="0">
      <w:lvlJc w:val="left"/>
      <w:lvlText w:val="*"/>
      <w:numFmt w:val="bullet"/>
      <w:start w:val="1"/>
    </w:lvl>
    <w:lvl w:ilvl="1">
      <w:lvlJc w:val="left"/>
      <w:lvlText w:val="%2"/>
      <w:numFmt w:val="decimal"/>
      <w:start w:val="104"/>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24" Type="http://schemas.openxmlformats.org/officeDocument/2006/relationships/hyperlink" Target="https://www.sec.gov/Archives/edgar/data/1395937/000119312516496764/d119516dex31.htm" TargetMode="External"/><Relationship Id="rId225" Type="http://schemas.openxmlformats.org/officeDocument/2006/relationships/hyperlink" Target="https://www.sec.gov/Archives/edgar/data/1395937/000095017023022802/sndx-ex3_1.htm" TargetMode="External"/><Relationship Id="rId226" Type="http://schemas.openxmlformats.org/officeDocument/2006/relationships/hyperlink" Target="https://www.sec.gov/Archives/edgar/data/1395937/000119312516496764/d11951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2024-08-01T15:32:00Z</dcterms:created>
  <dcterms:modified xsi:type="dcterms:W3CDTF">2024-08-01T15:32:00Z</dcterms:modified>
</cp:coreProperties>
</file>