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13" w:lineRule="exact"/>
        <w:rPr>
          <w:sz w:val="24"/>
          <w:szCs w:val="24"/>
          <w:color w:val="auto"/>
        </w:rPr>
      </w:pPr>
    </w:p>
    <w:p>
      <w:pPr>
        <w:jc w:val="center"/>
        <w:ind w:right="-24"/>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2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2751455</wp:posOffset>
            </wp:positionH>
            <wp:positionV relativeFrom="paragraph">
              <wp:posOffset>51435</wp:posOffset>
            </wp:positionV>
            <wp:extent cx="16465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7620"/>
                    </a:xfrm>
                    <a:prstGeom prst="rect">
                      <a:avLst/>
                    </a:prstGeom>
                    <a:noFill/>
                  </pic:spPr>
                </pic:pic>
              </a:graphicData>
            </a:graphic>
          </wp:anchor>
        </w:drawing>
      </w:r>
    </w:p>
    <w:p>
      <w:pPr>
        <w:spacing w:after="0" w:line="83" w:lineRule="exact"/>
        <w:rPr>
          <w:sz w:val="24"/>
          <w:szCs w:val="24"/>
          <w:color w:val="auto"/>
        </w:rPr>
      </w:pPr>
    </w:p>
    <w:p>
      <w:pPr>
        <w:jc w:val="center"/>
        <w:ind w:right="-24"/>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2751455</wp:posOffset>
            </wp:positionH>
            <wp:positionV relativeFrom="paragraph">
              <wp:posOffset>74295</wp:posOffset>
            </wp:positionV>
            <wp:extent cx="16465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6555" cy="7620"/>
                    </a:xfrm>
                    <a:prstGeom prst="rect">
                      <a:avLst/>
                    </a:prstGeom>
                    <a:noFill/>
                  </pic:spPr>
                </pic:pic>
              </a:graphicData>
            </a:graphic>
          </wp:anchor>
        </w:drawing>
      </w:r>
    </w:p>
    <w:p>
      <w:pPr>
        <w:spacing w:after="0" w:line="144" w:lineRule="exact"/>
        <w:rPr>
          <w:sz w:val="24"/>
          <w:szCs w:val="24"/>
          <w:color w:val="auto"/>
        </w:rPr>
      </w:pPr>
    </w:p>
    <w:p>
      <w:pPr>
        <w:ind w:left="5"/>
        <w:spacing w:after="0"/>
        <w:rPr>
          <w:sz w:val="20"/>
          <w:szCs w:val="20"/>
          <w:color w:val="auto"/>
        </w:rPr>
      </w:pPr>
      <w:r>
        <w:rPr>
          <w:rFonts w:ascii="Arial" w:cs="Arial" w:eastAsia="Arial" w:hAnsi="Arial"/>
          <w:sz w:val="14"/>
          <w:szCs w:val="14"/>
          <w:b w:val="1"/>
          <w:bCs w:val="1"/>
          <w:color w:val="auto"/>
        </w:rPr>
        <w:t>(Mark One)</w:t>
      </w:r>
    </w:p>
    <w:p>
      <w:pPr>
        <w:spacing w:after="0" w:line="23" w:lineRule="exact"/>
        <w:rPr>
          <w:sz w:val="24"/>
          <w:szCs w:val="24"/>
          <w:color w:val="auto"/>
        </w:rPr>
      </w:pPr>
    </w:p>
    <w:p>
      <w:pPr>
        <w:ind w:left="4405" w:right="4360" w:hanging="4405"/>
        <w:spacing w:after="0" w:line="371" w:lineRule="auto"/>
        <w:tabs>
          <w:tab w:leader="none" w:pos="585"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 For the Fiscal Year Ended December 31, 2020</w:t>
      </w:r>
    </w:p>
    <w:p>
      <w:pPr>
        <w:spacing w:after="0" w:line="116" w:lineRule="exact"/>
        <w:rPr>
          <w:sz w:val="24"/>
          <w:szCs w:val="24"/>
          <w:color w:val="auto"/>
        </w:rPr>
      </w:pPr>
    </w:p>
    <w:p>
      <w:pPr>
        <w:ind w:left="585" w:hanging="585"/>
        <w:spacing w:after="0"/>
        <w:tabs>
          <w:tab w:leader="none" w:pos="585"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41" w:lineRule="exact"/>
        <w:rPr>
          <w:sz w:val="24"/>
          <w:szCs w:val="24"/>
          <w:color w:val="auto"/>
        </w:rPr>
      </w:pPr>
    </w:p>
    <w:tbl>
      <w:tblPr>
        <w:tblLayout w:type="fixed"/>
        <w:tblInd w:w="425" w:type="dxa"/>
        <w:tblCellMar>
          <w:top w:w="0" w:type="dxa"/>
          <w:left w:w="0" w:type="dxa"/>
          <w:bottom w:w="0" w:type="dxa"/>
          <w:right w:w="0" w:type="dxa"/>
        </w:tblCellMar>
      </w:tblPr>
      <w:tr>
        <w:trPr>
          <w:trHeight w:val="149"/>
        </w:trPr>
        <w:tc>
          <w:tcPr>
            <w:tcW w:w="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60" w:type="dxa"/>
            <w:vAlign w:val="bottom"/>
            <w:gridSpan w:val="2"/>
          </w:tcPr>
          <w:p>
            <w:pPr>
              <w:spacing w:after="0"/>
              <w:rPr>
                <w:sz w:val="20"/>
                <w:szCs w:val="20"/>
                <w:color w:val="auto"/>
              </w:rPr>
            </w:pPr>
            <w:r>
              <w:rPr>
                <w:rFonts w:ascii="Arial" w:cs="Arial" w:eastAsia="Arial" w:hAnsi="Arial"/>
                <w:sz w:val="13"/>
                <w:szCs w:val="13"/>
                <w:b w:val="1"/>
                <w:bCs w:val="1"/>
                <w:color w:val="auto"/>
                <w:w w:val="87"/>
              </w:rPr>
              <w:t>For the Transition Period from</w:t>
            </w:r>
          </w:p>
        </w:tc>
        <w:tc>
          <w:tcPr>
            <w:tcW w:w="280" w:type="dxa"/>
            <w:vAlign w:val="bottom"/>
            <w:tcBorders>
              <w:bottom w:val="single" w:sz="8" w:color="auto"/>
            </w:tcBorders>
            <w:gridSpan w:val="2"/>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b w:val="1"/>
                <w:bCs w:val="1"/>
                <w:color w:val="auto"/>
                <w:w w:val="97"/>
              </w:rPr>
              <w:t>to</w:t>
            </w:r>
          </w:p>
        </w:tc>
        <w:tc>
          <w:tcPr>
            <w:tcW w:w="760" w:type="dxa"/>
            <w:vAlign w:val="bottom"/>
            <w:tcBorders>
              <w:bottom w:val="single" w:sz="8" w:color="auto"/>
            </w:tcBorders>
            <w:gridSpan w:val="2"/>
          </w:tcPr>
          <w:p>
            <w:pPr>
              <w:spacing w:after="0"/>
              <w:rPr>
                <w:sz w:val="13"/>
                <w:szCs w:val="13"/>
                <w:color w:val="auto"/>
              </w:rPr>
            </w:pPr>
          </w:p>
        </w:tc>
        <w:tc>
          <w:tcPr>
            <w:tcW w:w="3400" w:type="dxa"/>
            <w:vAlign w:val="bottom"/>
          </w:tcPr>
          <w:p>
            <w:pPr>
              <w:spacing w:after="0"/>
              <w:rPr>
                <w:sz w:val="13"/>
                <w:szCs w:val="13"/>
                <w:color w:val="auto"/>
              </w:rPr>
            </w:pPr>
          </w:p>
        </w:tc>
      </w:tr>
      <w:tr>
        <w:trPr>
          <w:trHeight w:val="184"/>
        </w:trPr>
        <w:tc>
          <w:tcPr>
            <w:tcW w:w="1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380" w:type="dxa"/>
            <w:vAlign w:val="bottom"/>
            <w:gridSpan w:val="9"/>
          </w:tcPr>
          <w:p>
            <w:pPr>
              <w:jc w:val="center"/>
              <w:ind w:right="3723"/>
              <w:spacing w:after="0"/>
              <w:rPr>
                <w:sz w:val="20"/>
                <w:szCs w:val="20"/>
                <w:color w:val="auto"/>
              </w:rPr>
            </w:pPr>
            <w:r>
              <w:rPr>
                <w:rFonts w:ascii="Arial" w:cs="Arial" w:eastAsia="Arial" w:hAnsi="Arial"/>
                <w:sz w:val="13"/>
                <w:szCs w:val="13"/>
                <w:b w:val="1"/>
                <w:bCs w:val="1"/>
                <w:color w:val="auto"/>
                <w:w w:val="88"/>
              </w:rPr>
              <w:t>Commission File Number: 001-37708</w:t>
            </w:r>
          </w:p>
        </w:tc>
      </w:tr>
      <w:tr>
        <w:trPr>
          <w:trHeight w:val="57"/>
        </w:trPr>
        <w:tc>
          <w:tcPr>
            <w:tcW w:w="1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394"/>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960" w:type="dxa"/>
            <w:vAlign w:val="bottom"/>
            <w:gridSpan w:val="11"/>
          </w:tcPr>
          <w:p>
            <w:pPr>
              <w:jc w:val="center"/>
              <w:ind w:right="2143"/>
              <w:spacing w:after="0"/>
              <w:rPr>
                <w:sz w:val="20"/>
                <w:szCs w:val="20"/>
                <w:color w:val="auto"/>
              </w:rPr>
            </w:pPr>
            <w:r>
              <w:rPr>
                <w:rFonts w:ascii="Arial" w:cs="Arial" w:eastAsia="Arial" w:hAnsi="Arial"/>
                <w:sz w:val="32"/>
                <w:szCs w:val="32"/>
                <w:b w:val="1"/>
                <w:bCs w:val="1"/>
                <w:color w:val="auto"/>
                <w:w w:val="88"/>
              </w:rPr>
              <w:t>Syndax Pharmaceuticals, Inc.</w:t>
            </w:r>
          </w:p>
        </w:tc>
      </w:tr>
      <w:tr>
        <w:trPr>
          <w:trHeight w:val="185"/>
        </w:trPr>
        <w:tc>
          <w:tcPr>
            <w:tcW w:w="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740" w:type="dxa"/>
            <w:vAlign w:val="bottom"/>
            <w:gridSpan w:val="10"/>
          </w:tcPr>
          <w:p>
            <w:pPr>
              <w:jc w:val="center"/>
              <w:ind w:right="3343"/>
              <w:spacing w:after="0"/>
              <w:rPr>
                <w:sz w:val="20"/>
                <w:szCs w:val="20"/>
                <w:color w:val="auto"/>
              </w:rPr>
            </w:pPr>
            <w:r>
              <w:rPr>
                <w:rFonts w:ascii="Arial" w:cs="Arial" w:eastAsia="Arial" w:hAnsi="Arial"/>
                <w:sz w:val="14"/>
                <w:szCs w:val="14"/>
                <w:b w:val="1"/>
                <w:bCs w:val="1"/>
                <w:color w:val="auto"/>
                <w:w w:val="91"/>
              </w:rPr>
              <w:t>(Exact name of Registrant as specified in its charter)</w:t>
            </w:r>
          </w:p>
        </w:tc>
      </w:tr>
      <w:tr>
        <w:trPr>
          <w:trHeight w:val="88"/>
        </w:trPr>
        <w:tc>
          <w:tcPr>
            <w:tcW w:w="1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3400" w:type="dxa"/>
            <w:vAlign w:val="bottom"/>
          </w:tcPr>
          <w:p>
            <w:pPr>
              <w:spacing w:after="0"/>
              <w:rPr>
                <w:sz w:val="7"/>
                <w:szCs w:val="7"/>
                <w:color w:val="auto"/>
              </w:rPr>
            </w:pPr>
          </w:p>
        </w:tc>
      </w:tr>
      <w:tr>
        <w:trPr>
          <w:trHeight w:val="177"/>
        </w:trPr>
        <w:tc>
          <w:tcPr>
            <w:tcW w:w="160" w:type="dxa"/>
            <w:vAlign w:val="bottom"/>
          </w:tcPr>
          <w:p>
            <w:pPr>
              <w:spacing w:after="0"/>
              <w:rPr>
                <w:sz w:val="15"/>
                <w:szCs w:val="15"/>
                <w:color w:val="auto"/>
              </w:rPr>
            </w:pPr>
          </w:p>
        </w:tc>
        <w:tc>
          <w:tcPr>
            <w:tcW w:w="2160" w:type="dxa"/>
            <w:vAlign w:val="bottom"/>
          </w:tcPr>
          <w:p>
            <w:pPr>
              <w:jc w:val="center"/>
              <w:ind w:left="362"/>
              <w:spacing w:after="0"/>
              <w:rPr>
                <w:sz w:val="20"/>
                <w:szCs w:val="20"/>
                <w:color w:val="auto"/>
              </w:rPr>
            </w:pPr>
            <w:r>
              <w:rPr>
                <w:rFonts w:ascii="Arial" w:cs="Arial" w:eastAsia="Arial" w:hAnsi="Arial"/>
                <w:sz w:val="13"/>
                <w:szCs w:val="13"/>
                <w:b w:val="1"/>
                <w:bCs w:val="1"/>
                <w:color w:val="auto"/>
                <w:w w:val="87"/>
              </w:rPr>
              <w:t>Delaware</w:t>
            </w:r>
          </w:p>
        </w:tc>
        <w:tc>
          <w:tcPr>
            <w:tcW w:w="306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2834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80" w:type="dxa"/>
            <w:vAlign w:val="bottom"/>
            <w:gridSpan w:val="5"/>
          </w:tcPr>
          <w:p>
            <w:pPr>
              <w:jc w:val="center"/>
              <w:ind w:left="1681"/>
              <w:spacing w:after="0"/>
              <w:rPr>
                <w:sz w:val="20"/>
                <w:szCs w:val="20"/>
                <w:color w:val="auto"/>
              </w:rPr>
            </w:pPr>
            <w:r>
              <w:rPr>
                <w:rFonts w:ascii="Arial" w:cs="Arial" w:eastAsia="Arial" w:hAnsi="Arial"/>
                <w:sz w:val="13"/>
                <w:szCs w:val="13"/>
                <w:b w:val="1"/>
                <w:bCs w:val="1"/>
                <w:color w:val="auto"/>
                <w:w w:val="86"/>
              </w:rPr>
              <w:t>32-0162505</w:t>
            </w:r>
          </w:p>
        </w:tc>
      </w:tr>
      <w:tr>
        <w:trPr>
          <w:trHeight w:val="118"/>
        </w:trPr>
        <w:tc>
          <w:tcPr>
            <w:tcW w:w="160" w:type="dxa"/>
            <w:vAlign w:val="bottom"/>
          </w:tcPr>
          <w:p>
            <w:pPr>
              <w:spacing w:after="0"/>
              <w:rPr>
                <w:sz w:val="10"/>
                <w:szCs w:val="10"/>
                <w:color w:val="auto"/>
              </w:rPr>
            </w:pPr>
          </w:p>
        </w:tc>
        <w:tc>
          <w:tcPr>
            <w:tcW w:w="2160" w:type="dxa"/>
            <w:vAlign w:val="bottom"/>
          </w:tcPr>
          <w:p>
            <w:pPr>
              <w:jc w:val="center"/>
              <w:ind w:left="362"/>
              <w:spacing w:after="0" w:line="119" w:lineRule="exact"/>
              <w:rPr>
                <w:sz w:val="20"/>
                <w:szCs w:val="20"/>
                <w:color w:val="auto"/>
              </w:rPr>
            </w:pPr>
            <w:r>
              <w:rPr>
                <w:rFonts w:ascii="Arial" w:cs="Arial" w:eastAsia="Arial" w:hAnsi="Arial"/>
                <w:sz w:val="11"/>
                <w:szCs w:val="11"/>
                <w:b w:val="1"/>
                <w:bCs w:val="1"/>
                <w:color w:val="auto"/>
                <w:w w:val="91"/>
              </w:rPr>
              <w:t>(State or Other Jurisdiction of</w:t>
            </w:r>
          </w:p>
        </w:tc>
        <w:tc>
          <w:tcPr>
            <w:tcW w:w="1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0" w:type="dxa"/>
            <w:vAlign w:val="bottom"/>
            <w:gridSpan w:val="4"/>
          </w:tcPr>
          <w:p>
            <w:pPr>
              <w:jc w:val="center"/>
              <w:ind w:left="540"/>
              <w:spacing w:after="0" w:line="119" w:lineRule="exact"/>
              <w:rPr>
                <w:sz w:val="20"/>
                <w:szCs w:val="20"/>
                <w:color w:val="auto"/>
              </w:rPr>
            </w:pPr>
            <w:r>
              <w:rPr>
                <w:rFonts w:ascii="Arial" w:cs="Arial" w:eastAsia="Arial" w:hAnsi="Arial"/>
                <w:sz w:val="11"/>
                <w:szCs w:val="11"/>
                <w:b w:val="1"/>
                <w:bCs w:val="1"/>
                <w:color w:val="auto"/>
                <w:w w:val="94"/>
              </w:rPr>
              <w:t>(Primary Standard Industrial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0" w:type="dxa"/>
            <w:vAlign w:val="bottom"/>
          </w:tcPr>
          <w:p>
            <w:pPr>
              <w:jc w:val="center"/>
              <w:ind w:left="703"/>
              <w:spacing w:after="0" w:line="119" w:lineRule="exact"/>
              <w:rPr>
                <w:sz w:val="20"/>
                <w:szCs w:val="20"/>
                <w:color w:val="auto"/>
              </w:rPr>
            </w:pPr>
            <w:r>
              <w:rPr>
                <w:rFonts w:ascii="Arial" w:cs="Arial" w:eastAsia="Arial" w:hAnsi="Arial"/>
                <w:sz w:val="11"/>
                <w:szCs w:val="11"/>
                <w:b w:val="1"/>
                <w:bCs w:val="1"/>
                <w:color w:val="auto"/>
                <w:w w:val="94"/>
              </w:rPr>
              <w:t>(I.R.S. Employer</w:t>
            </w:r>
          </w:p>
        </w:tc>
      </w:tr>
      <w:tr>
        <w:trPr>
          <w:trHeight w:val="142"/>
        </w:trPr>
        <w:tc>
          <w:tcPr>
            <w:tcW w:w="160" w:type="dxa"/>
            <w:vAlign w:val="bottom"/>
          </w:tcPr>
          <w:p>
            <w:pPr>
              <w:spacing w:after="0"/>
              <w:rPr>
                <w:sz w:val="12"/>
                <w:szCs w:val="12"/>
                <w:color w:val="auto"/>
              </w:rPr>
            </w:pPr>
          </w:p>
        </w:tc>
        <w:tc>
          <w:tcPr>
            <w:tcW w:w="2160" w:type="dxa"/>
            <w:vAlign w:val="bottom"/>
          </w:tcPr>
          <w:p>
            <w:pPr>
              <w:jc w:val="center"/>
              <w:ind w:left="362"/>
              <w:spacing w:after="0"/>
              <w:rPr>
                <w:sz w:val="20"/>
                <w:szCs w:val="20"/>
                <w:color w:val="auto"/>
              </w:rPr>
            </w:pPr>
            <w:r>
              <w:rPr>
                <w:rFonts w:ascii="Arial" w:cs="Arial" w:eastAsia="Arial" w:hAnsi="Arial"/>
                <w:sz w:val="11"/>
                <w:szCs w:val="11"/>
                <w:b w:val="1"/>
                <w:bCs w:val="1"/>
                <w:color w:val="auto"/>
                <w:w w:val="94"/>
              </w:rPr>
              <w:t>Incorporation or Organization)</w:t>
            </w: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gridSpan w:val="4"/>
          </w:tcPr>
          <w:p>
            <w:pPr>
              <w:jc w:val="center"/>
              <w:ind w:left="540"/>
              <w:spacing w:after="0"/>
              <w:rPr>
                <w:sz w:val="20"/>
                <w:szCs w:val="20"/>
                <w:color w:val="auto"/>
              </w:rPr>
            </w:pPr>
            <w:r>
              <w:rPr>
                <w:rFonts w:ascii="Arial" w:cs="Arial" w:eastAsia="Arial" w:hAnsi="Arial"/>
                <w:sz w:val="11"/>
                <w:szCs w:val="11"/>
                <w:b w:val="1"/>
                <w:bCs w:val="1"/>
                <w:color w:val="auto"/>
                <w:w w:val="90"/>
              </w:rPr>
              <w:t>Classification Code Number)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0" w:type="dxa"/>
            <w:vAlign w:val="bottom"/>
          </w:tcPr>
          <w:p>
            <w:pPr>
              <w:jc w:val="center"/>
              <w:ind w:left="683"/>
              <w:spacing w:after="0"/>
              <w:rPr>
                <w:sz w:val="20"/>
                <w:szCs w:val="20"/>
                <w:color w:val="auto"/>
              </w:rPr>
            </w:pPr>
            <w:r>
              <w:rPr>
                <w:rFonts w:ascii="Arial" w:cs="Arial" w:eastAsia="Arial" w:hAnsi="Arial"/>
                <w:sz w:val="11"/>
                <w:szCs w:val="11"/>
                <w:b w:val="1"/>
                <w:bCs w:val="1"/>
                <w:color w:val="auto"/>
                <w:w w:val="94"/>
              </w:rPr>
              <w:t>Identification Number)</w:t>
            </w:r>
          </w:p>
        </w:tc>
      </w:tr>
      <w:tr>
        <w:trPr>
          <w:trHeight w:val="173"/>
        </w:trPr>
        <w:tc>
          <w:tcPr>
            <w:tcW w:w="1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380" w:type="dxa"/>
            <w:vAlign w:val="bottom"/>
            <w:gridSpan w:val="9"/>
          </w:tcPr>
          <w:p>
            <w:pPr>
              <w:jc w:val="center"/>
              <w:ind w:right="3723"/>
              <w:spacing w:after="0"/>
              <w:rPr>
                <w:sz w:val="20"/>
                <w:szCs w:val="20"/>
                <w:color w:val="auto"/>
              </w:rPr>
            </w:pPr>
            <w:r>
              <w:rPr>
                <w:rFonts w:ascii="Arial" w:cs="Arial" w:eastAsia="Arial" w:hAnsi="Arial"/>
                <w:sz w:val="13"/>
                <w:szCs w:val="13"/>
                <w:b w:val="1"/>
                <w:bCs w:val="1"/>
                <w:color w:val="auto"/>
                <w:w w:val="88"/>
              </w:rPr>
              <w:t>35 Gatehouse Drive, Building D, Floor 3</w:t>
            </w:r>
          </w:p>
        </w:tc>
      </w:tr>
      <w:tr>
        <w:trPr>
          <w:trHeight w:val="164"/>
        </w:trPr>
        <w:tc>
          <w:tcPr>
            <w:tcW w:w="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380" w:type="dxa"/>
            <w:vAlign w:val="bottom"/>
            <w:gridSpan w:val="9"/>
          </w:tcPr>
          <w:p>
            <w:pPr>
              <w:jc w:val="center"/>
              <w:ind w:right="3723"/>
              <w:spacing w:after="0"/>
              <w:rPr>
                <w:sz w:val="20"/>
                <w:szCs w:val="20"/>
                <w:color w:val="auto"/>
              </w:rPr>
            </w:pPr>
            <w:r>
              <w:rPr>
                <w:rFonts w:ascii="Arial" w:cs="Arial" w:eastAsia="Arial" w:hAnsi="Arial"/>
                <w:sz w:val="13"/>
                <w:szCs w:val="13"/>
                <w:b w:val="1"/>
                <w:bCs w:val="1"/>
                <w:color w:val="auto"/>
                <w:w w:val="86"/>
              </w:rPr>
              <w:t>Waltham, Massachusetts 02451</w:t>
            </w:r>
          </w:p>
        </w:tc>
      </w:tr>
      <w:tr>
        <w:trPr>
          <w:trHeight w:val="171"/>
        </w:trPr>
        <w:tc>
          <w:tcPr>
            <w:tcW w:w="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580" w:type="dxa"/>
            <w:vAlign w:val="bottom"/>
            <w:gridSpan w:val="6"/>
          </w:tcPr>
          <w:p>
            <w:pPr>
              <w:jc w:val="right"/>
              <w:ind w:right="245"/>
              <w:spacing w:after="0"/>
              <w:rPr>
                <w:sz w:val="20"/>
                <w:szCs w:val="20"/>
                <w:color w:val="auto"/>
              </w:rPr>
            </w:pPr>
            <w:r>
              <w:rPr>
                <w:rFonts w:ascii="Arial" w:cs="Arial" w:eastAsia="Arial" w:hAnsi="Arial"/>
                <w:sz w:val="13"/>
                <w:szCs w:val="13"/>
                <w:b w:val="1"/>
                <w:bCs w:val="1"/>
                <w:color w:val="auto"/>
              </w:rPr>
              <w:t>(781) 419-1400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130"/>
        </w:trPr>
        <w:tc>
          <w:tcPr>
            <w:tcW w:w="1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7960" w:type="dxa"/>
            <w:vAlign w:val="bottom"/>
            <w:gridSpan w:val="11"/>
          </w:tcPr>
          <w:p>
            <w:pPr>
              <w:jc w:val="center"/>
              <w:ind w:right="2143"/>
              <w:spacing w:after="0"/>
              <w:rPr>
                <w:sz w:val="20"/>
                <w:szCs w:val="20"/>
                <w:color w:val="auto"/>
              </w:rPr>
            </w:pPr>
            <w:r>
              <w:rPr>
                <w:rFonts w:ascii="Arial" w:cs="Arial" w:eastAsia="Arial" w:hAnsi="Arial"/>
                <w:sz w:val="11"/>
                <w:szCs w:val="11"/>
                <w:b w:val="1"/>
                <w:bCs w:val="1"/>
                <w:color w:val="auto"/>
                <w:w w:val="90"/>
              </w:rPr>
              <w:t>(Address, Including Zip Code, and Telephone Number, Including Area Code, of Registrant’s Principal Executive Offices)</w:t>
            </w:r>
          </w:p>
        </w:tc>
      </w:tr>
      <w:tr>
        <w:trPr>
          <w:trHeight w:val="142"/>
        </w:trPr>
        <w:tc>
          <w:tcPr>
            <w:tcW w:w="1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740" w:type="dxa"/>
            <w:vAlign w:val="bottom"/>
            <w:gridSpan w:val="10"/>
          </w:tcPr>
          <w:p>
            <w:pPr>
              <w:jc w:val="center"/>
              <w:ind w:right="3343"/>
              <w:spacing w:after="0"/>
              <w:rPr>
                <w:sz w:val="20"/>
                <w:szCs w:val="20"/>
                <w:color w:val="auto"/>
              </w:rPr>
            </w:pPr>
            <w:r>
              <w:rPr>
                <w:rFonts w:ascii="Arial" w:cs="Arial" w:eastAsia="Arial" w:hAnsi="Arial"/>
                <w:sz w:val="11"/>
                <w:szCs w:val="11"/>
                <w:b w:val="1"/>
                <w:bCs w:val="1"/>
                <w:color w:val="auto"/>
                <w:w w:val="89"/>
              </w:rPr>
              <w:t>Securities registered pursuant to Section 12(b) of the Act:</w:t>
            </w:r>
          </w:p>
        </w:tc>
      </w:tr>
      <w:tr>
        <w:trPr>
          <w:trHeight w:val="122"/>
        </w:trPr>
        <w:tc>
          <w:tcPr>
            <w:tcW w:w="160" w:type="dxa"/>
            <w:vAlign w:val="bottom"/>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r>
      <w:tr>
        <w:trPr>
          <w:trHeight w:val="134"/>
        </w:trPr>
        <w:tc>
          <w:tcPr>
            <w:tcW w:w="160" w:type="dxa"/>
            <w:vAlign w:val="bottom"/>
            <w:tcBorders>
              <w:right w:val="single" w:sz="8" w:color="auto"/>
            </w:tcBorders>
          </w:tcPr>
          <w:p>
            <w:pPr>
              <w:spacing w:after="0"/>
              <w:rPr>
                <w:sz w:val="11"/>
                <w:szCs w:val="11"/>
                <w:color w:val="auto"/>
              </w:rPr>
            </w:pPr>
          </w:p>
        </w:tc>
        <w:tc>
          <w:tcPr>
            <w:tcW w:w="2160" w:type="dxa"/>
            <w:vAlign w:val="bottom"/>
            <w:tcBorders>
              <w:bottom w:val="single" w:sz="8" w:color="auto"/>
            </w:tcBorders>
          </w:tcPr>
          <w:p>
            <w:pPr>
              <w:jc w:val="center"/>
              <w:ind w:left="1122"/>
              <w:spacing w:after="0" w:line="134" w:lineRule="exact"/>
              <w:rPr>
                <w:sz w:val="20"/>
                <w:szCs w:val="20"/>
                <w:color w:val="auto"/>
              </w:rPr>
            </w:pPr>
            <w:r>
              <w:rPr>
                <w:rFonts w:ascii="Arial" w:cs="Arial" w:eastAsia="Arial" w:hAnsi="Arial"/>
                <w:sz w:val="12"/>
                <w:szCs w:val="12"/>
                <w:b w:val="1"/>
                <w:bCs w:val="1"/>
                <w:color w:val="auto"/>
                <w:w w:val="87"/>
              </w:rPr>
              <w:t>Title of each class</w:t>
            </w:r>
          </w:p>
        </w:tc>
        <w:tc>
          <w:tcPr>
            <w:tcW w:w="122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80" w:type="dxa"/>
            <w:vAlign w:val="bottom"/>
            <w:tcBorders>
              <w:bottom w:val="single" w:sz="8" w:color="auto"/>
              <w:right w:val="single" w:sz="8" w:color="auto"/>
            </w:tcBorders>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89"/>
              </w:rPr>
              <w:t>Trading Symbol(s)</w:t>
            </w: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780" w:type="dxa"/>
            <w:vAlign w:val="bottom"/>
            <w:tcBorders>
              <w:bottom w:val="single" w:sz="8" w:color="auto"/>
              <w:right w:val="single" w:sz="8" w:color="auto"/>
            </w:tcBorders>
            <w:gridSpan w:val="2"/>
          </w:tcPr>
          <w:p>
            <w:pPr>
              <w:jc w:val="center"/>
              <w:ind w:right="1123"/>
              <w:spacing w:after="0" w:line="134" w:lineRule="exact"/>
              <w:rPr>
                <w:sz w:val="20"/>
                <w:szCs w:val="20"/>
                <w:color w:val="auto"/>
              </w:rPr>
            </w:pPr>
            <w:r>
              <w:rPr>
                <w:rFonts w:ascii="Arial" w:cs="Arial" w:eastAsia="Arial" w:hAnsi="Arial"/>
                <w:sz w:val="12"/>
                <w:szCs w:val="12"/>
                <w:b w:val="1"/>
                <w:bCs w:val="1"/>
                <w:color w:val="auto"/>
                <w:w w:val="86"/>
              </w:rPr>
              <w:t>Name of each exchange on which registered</w:t>
            </w:r>
          </w:p>
        </w:tc>
      </w:tr>
      <w:tr>
        <w:trPr>
          <w:trHeight w:val="134"/>
        </w:trPr>
        <w:tc>
          <w:tcPr>
            <w:tcW w:w="160" w:type="dxa"/>
            <w:vAlign w:val="bottom"/>
            <w:tcBorders>
              <w:right w:val="single" w:sz="8" w:color="auto"/>
            </w:tcBorders>
          </w:tcPr>
          <w:p>
            <w:pPr>
              <w:spacing w:after="0"/>
              <w:rPr>
                <w:sz w:val="11"/>
                <w:szCs w:val="11"/>
                <w:color w:val="auto"/>
              </w:rPr>
            </w:pPr>
          </w:p>
        </w:tc>
        <w:tc>
          <w:tcPr>
            <w:tcW w:w="2160" w:type="dxa"/>
            <w:vAlign w:val="bottom"/>
            <w:tcBorders>
              <w:bottom w:val="single" w:sz="8" w:color="auto"/>
            </w:tcBorders>
          </w:tcPr>
          <w:p>
            <w:pPr>
              <w:jc w:val="center"/>
              <w:ind w:left="1122"/>
              <w:spacing w:after="0" w:line="134" w:lineRule="exact"/>
              <w:rPr>
                <w:sz w:val="20"/>
                <w:szCs w:val="20"/>
                <w:color w:val="auto"/>
              </w:rPr>
            </w:pPr>
            <w:r>
              <w:rPr>
                <w:rFonts w:ascii="Arial" w:cs="Arial" w:eastAsia="Arial" w:hAnsi="Arial"/>
                <w:sz w:val="12"/>
                <w:szCs w:val="12"/>
                <w:color w:val="auto"/>
                <w:w w:val="90"/>
              </w:rPr>
              <w:t>Common Stock</w:t>
            </w:r>
          </w:p>
        </w:tc>
        <w:tc>
          <w:tcPr>
            <w:tcW w:w="1220" w:type="dxa"/>
            <w:vAlign w:val="bottom"/>
            <w:tcBorders>
              <w:bottom w:val="single" w:sz="8" w:color="auto"/>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80" w:type="dxa"/>
            <w:vAlign w:val="bottom"/>
            <w:tcBorders>
              <w:bottom w:val="single" w:sz="8" w:color="auto"/>
              <w:right w:val="single" w:sz="8" w:color="auto"/>
            </w:tcBorders>
            <w:gridSpan w:val="2"/>
          </w:tcPr>
          <w:p>
            <w:pPr>
              <w:jc w:val="center"/>
              <w:ind w:right="400"/>
              <w:spacing w:after="0" w:line="134" w:lineRule="exact"/>
              <w:rPr>
                <w:sz w:val="20"/>
                <w:szCs w:val="20"/>
                <w:color w:val="auto"/>
              </w:rPr>
            </w:pPr>
            <w:r>
              <w:rPr>
                <w:rFonts w:ascii="Arial" w:cs="Arial" w:eastAsia="Arial" w:hAnsi="Arial"/>
                <w:sz w:val="12"/>
                <w:szCs w:val="12"/>
                <w:color w:val="auto"/>
                <w:w w:val="95"/>
              </w:rPr>
              <w:t>SNDX</w:t>
            </w: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0" w:type="dxa"/>
            <w:vAlign w:val="bottom"/>
            <w:tcBorders>
              <w:bottom w:val="single" w:sz="8" w:color="auto"/>
              <w:right w:val="single" w:sz="8" w:color="auto"/>
            </w:tcBorders>
          </w:tcPr>
          <w:p>
            <w:pPr>
              <w:jc w:val="center"/>
              <w:ind w:right="1503"/>
              <w:spacing w:after="0" w:line="134" w:lineRule="exact"/>
              <w:rPr>
                <w:sz w:val="20"/>
                <w:szCs w:val="20"/>
                <w:color w:val="auto"/>
              </w:rPr>
            </w:pPr>
            <w:r>
              <w:rPr>
                <w:rFonts w:ascii="Arial" w:cs="Arial" w:eastAsia="Arial" w:hAnsi="Arial"/>
                <w:sz w:val="12"/>
                <w:szCs w:val="12"/>
                <w:color w:val="auto"/>
                <w:w w:val="90"/>
              </w:rPr>
              <w:t>The Nasdaq Stock Market, LLC</w:t>
            </w:r>
          </w:p>
        </w:tc>
      </w:tr>
      <w:tr>
        <w:trPr>
          <w:trHeight w:val="271"/>
        </w:trPr>
        <w:tc>
          <w:tcPr>
            <w:tcW w:w="1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7960" w:type="dxa"/>
            <w:vAlign w:val="bottom"/>
            <w:gridSpan w:val="11"/>
          </w:tcPr>
          <w:p>
            <w:pPr>
              <w:jc w:val="center"/>
              <w:ind w:right="2123"/>
              <w:spacing w:after="0"/>
              <w:rPr>
                <w:sz w:val="20"/>
                <w:szCs w:val="20"/>
                <w:color w:val="auto"/>
              </w:rPr>
            </w:pPr>
            <w:r>
              <w:rPr>
                <w:rFonts w:ascii="Arial" w:cs="Arial" w:eastAsia="Arial" w:hAnsi="Arial"/>
                <w:sz w:val="14"/>
                <w:szCs w:val="14"/>
                <w:b w:val="1"/>
                <w:bCs w:val="1"/>
                <w:color w:val="auto"/>
                <w:w w:val="90"/>
              </w:rPr>
              <w:t>Securities registered pursuant to Section 12(g) of the Act: None</w:t>
            </w:r>
          </w:p>
        </w:tc>
      </w:tr>
      <w:tr>
        <w:trPr>
          <w:trHeight w:val="88"/>
        </w:trPr>
        <w:tc>
          <w:tcPr>
            <w:tcW w:w="3900" w:type="dxa"/>
            <w:vAlign w:val="bottom"/>
            <w:gridSpan w:val="4"/>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gridSpan w:val="2"/>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3400" w:type="dxa"/>
            <w:vAlign w:val="bottom"/>
          </w:tcPr>
          <w:p>
            <w:pPr>
              <w:spacing w:after="0"/>
              <w:rPr>
                <w:sz w:val="7"/>
                <w:szCs w:val="7"/>
                <w:color w:val="auto"/>
              </w:rPr>
            </w:pPr>
          </w:p>
        </w:tc>
      </w:tr>
      <w:tr>
        <w:trPr>
          <w:trHeight w:val="190"/>
        </w:trPr>
        <w:tc>
          <w:tcPr>
            <w:tcW w:w="5480" w:type="dxa"/>
            <w:vAlign w:val="bottom"/>
            <w:gridSpan w:val="7"/>
          </w:tcPr>
          <w:p>
            <w:pPr>
              <w:spacing w:after="0"/>
              <w:rPr>
                <w:sz w:val="20"/>
                <w:szCs w:val="20"/>
                <w:color w:val="auto"/>
              </w:rPr>
            </w:pPr>
            <w:r>
              <w:rPr>
                <w:rFonts w:ascii="Arial" w:cs="Arial" w:eastAsia="Arial" w:hAnsi="Arial"/>
                <w:sz w:val="11"/>
                <w:szCs w:val="11"/>
                <w:color w:val="auto"/>
                <w:w w:val="91"/>
              </w:rPr>
              <w:t>Indicate by check mark if the registrant is a well-known seasoned issuer, as defined in Rule 405 of the Securities Act.  Yes</w:t>
            </w:r>
          </w:p>
        </w:tc>
        <w:tc>
          <w:tcPr>
            <w:tcW w:w="420" w:type="dxa"/>
            <w:vAlign w:val="bottom"/>
          </w:tcPr>
          <w:p>
            <w:pPr>
              <w:ind w:left="40"/>
              <w:spacing w:after="0" w:line="127"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No</w:t>
            </w:r>
          </w:p>
        </w:tc>
        <w:tc>
          <w:tcPr>
            <w:tcW w:w="4380" w:type="dxa"/>
            <w:vAlign w:val="bottom"/>
            <w:gridSpan w:val="5"/>
          </w:tcPr>
          <w:p>
            <w:pPr>
              <w:spacing w:after="0" w:line="111" w:lineRule="exact"/>
              <w:rPr>
                <w:sz w:val="20"/>
                <w:szCs w:val="20"/>
                <w:color w:val="auto"/>
              </w:rPr>
            </w:pPr>
            <w:r>
              <w:rPr>
                <w:rFonts w:ascii="MS PGothic" w:cs="MS PGothic" w:eastAsia="MS PGothic" w:hAnsi="MS PGothic"/>
                <w:sz w:val="11"/>
                <w:szCs w:val="11"/>
                <w:color w:val="auto"/>
              </w:rPr>
              <w:t>☐</w:t>
            </w:r>
          </w:p>
        </w:tc>
      </w:tr>
      <w:tr>
        <w:trPr>
          <w:trHeight w:val="178"/>
        </w:trPr>
        <w:tc>
          <w:tcPr>
            <w:tcW w:w="5480" w:type="dxa"/>
            <w:vAlign w:val="bottom"/>
            <w:gridSpan w:val="7"/>
          </w:tcPr>
          <w:p>
            <w:pPr>
              <w:spacing w:after="0"/>
              <w:rPr>
                <w:sz w:val="20"/>
                <w:szCs w:val="20"/>
                <w:color w:val="auto"/>
              </w:rPr>
            </w:pPr>
            <w:r>
              <w:rPr>
                <w:rFonts w:ascii="Arial" w:cs="Arial" w:eastAsia="Arial" w:hAnsi="Arial"/>
                <w:sz w:val="11"/>
                <w:szCs w:val="11"/>
                <w:color w:val="auto"/>
                <w:w w:val="93"/>
              </w:rPr>
              <w:t>Indicate by check mark if the registrant is not required to file reports pursuant to Section 13 or 15(d) of the Securities Act.</w:t>
            </w:r>
          </w:p>
        </w:tc>
        <w:tc>
          <w:tcPr>
            <w:tcW w:w="4800" w:type="dxa"/>
            <w:vAlign w:val="bottom"/>
            <w:gridSpan w:val="6"/>
          </w:tcPr>
          <w:p>
            <w:pPr>
              <w:ind w:left="20"/>
              <w:spacing w:after="0" w:line="12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tc>
      </w:tr>
    </w:tbl>
    <w:p>
      <w:pPr>
        <w:spacing w:after="0" w:line="15" w:lineRule="exact"/>
        <w:rPr>
          <w:sz w:val="24"/>
          <w:szCs w:val="24"/>
          <w:color w:val="auto"/>
        </w:rPr>
      </w:pPr>
    </w:p>
    <w:p>
      <w:pPr>
        <w:ind w:left="5" w:right="60" w:firstLine="433"/>
        <w:spacing w:after="0" w:line="141"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6" w:lineRule="exact"/>
        <w:rPr>
          <w:sz w:val="24"/>
          <w:szCs w:val="24"/>
          <w:color w:val="auto"/>
        </w:rPr>
      </w:pPr>
    </w:p>
    <w:p>
      <w:pPr>
        <w:ind w:left="5" w:right="240" w:firstLine="433"/>
        <w:spacing w:after="0" w:line="141"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6" w:lineRule="exact"/>
        <w:rPr>
          <w:sz w:val="24"/>
          <w:szCs w:val="24"/>
          <w:color w:val="auto"/>
        </w:rPr>
      </w:pPr>
    </w:p>
    <w:p>
      <w:pPr>
        <w:ind w:left="5" w:right="200" w:firstLine="433"/>
        <w:spacing w:after="0" w:line="24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5" w:type="dxa"/>
        <w:tblCellMar>
          <w:top w:w="0" w:type="dxa"/>
          <w:left w:w="0" w:type="dxa"/>
          <w:bottom w:w="0" w:type="dxa"/>
          <w:right w:w="0" w:type="dxa"/>
        </w:tblCellMar>
      </w:tblPr>
      <w:tr>
        <w:trPr>
          <w:trHeight w:val="173"/>
        </w:trPr>
        <w:tc>
          <w:tcPr>
            <w:tcW w:w="18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840" w:type="dxa"/>
            <w:vAlign w:val="bottom"/>
          </w:tcPr>
          <w:p>
            <w:pPr>
              <w:ind w:left="580"/>
              <w:spacing w:after="0" w:line="111" w:lineRule="exact"/>
              <w:rPr>
                <w:sz w:val="20"/>
                <w:szCs w:val="20"/>
                <w:color w:val="auto"/>
              </w:rPr>
            </w:pPr>
            <w:r>
              <w:rPr>
                <w:rFonts w:ascii="MS PGothic" w:cs="MS PGothic" w:eastAsia="MS PGothic" w:hAnsi="MS PGothic"/>
                <w:sz w:val="11"/>
                <w:szCs w:val="11"/>
                <w:color w:val="auto"/>
              </w:rPr>
              <w:t>☐</w:t>
            </w:r>
          </w:p>
        </w:tc>
        <w:tc>
          <w:tcPr>
            <w:tcW w:w="4840" w:type="dxa"/>
            <w:vAlign w:val="bottom"/>
          </w:tcPr>
          <w:p>
            <w:pPr>
              <w:ind w:left="3140"/>
              <w:spacing w:after="0"/>
              <w:rPr>
                <w:sz w:val="20"/>
                <w:szCs w:val="20"/>
                <w:color w:val="auto"/>
              </w:rPr>
            </w:pPr>
            <w:r>
              <w:rPr>
                <w:rFonts w:ascii="Arial" w:cs="Arial" w:eastAsia="Arial" w:hAnsi="Arial"/>
                <w:sz w:val="11"/>
                <w:szCs w:val="11"/>
                <w:color w:val="auto"/>
              </w:rPr>
              <w:t>Accelerated Filer</w:t>
            </w:r>
          </w:p>
        </w:tc>
        <w:tc>
          <w:tcPr>
            <w:tcW w:w="520" w:type="dxa"/>
            <w:vAlign w:val="bottom"/>
          </w:tcPr>
          <w:p>
            <w:pPr>
              <w:ind w:left="440"/>
              <w:spacing w:after="0" w:line="81" w:lineRule="exact"/>
              <w:rPr>
                <w:sz w:val="20"/>
                <w:szCs w:val="20"/>
                <w:color w:val="auto"/>
              </w:rPr>
            </w:pPr>
            <w:r>
              <w:rPr>
                <w:rFonts w:ascii="MS PGothic" w:cs="MS PGothic" w:eastAsia="MS PGothic" w:hAnsi="MS PGothic"/>
                <w:sz w:val="8"/>
                <w:szCs w:val="8"/>
                <w:color w:val="auto"/>
                <w:w w:val="74"/>
              </w:rPr>
              <w:t>☐</w:t>
            </w:r>
          </w:p>
        </w:tc>
      </w:tr>
      <w:tr>
        <w:trPr>
          <w:trHeight w:val="178"/>
        </w:trPr>
        <w:tc>
          <w:tcPr>
            <w:tcW w:w="1800" w:type="dxa"/>
            <w:vAlign w:val="bottom"/>
          </w:tcPr>
          <w:p>
            <w:pPr>
              <w:spacing w:after="0"/>
              <w:rPr>
                <w:sz w:val="20"/>
                <w:szCs w:val="20"/>
                <w:color w:val="auto"/>
              </w:rPr>
            </w:pPr>
            <w:r>
              <w:rPr>
                <w:rFonts w:ascii="Arial" w:cs="Arial" w:eastAsia="Arial" w:hAnsi="Arial"/>
                <w:sz w:val="11"/>
                <w:szCs w:val="11"/>
                <w:color w:val="auto"/>
              </w:rPr>
              <w:t>Non-accelerated Filer</w:t>
            </w:r>
          </w:p>
        </w:tc>
        <w:tc>
          <w:tcPr>
            <w:tcW w:w="3840" w:type="dxa"/>
            <w:vAlign w:val="bottom"/>
          </w:tcPr>
          <w:p>
            <w:pPr>
              <w:ind w:left="580"/>
              <w:spacing w:after="0" w:line="111" w:lineRule="exact"/>
              <w:rPr>
                <w:sz w:val="20"/>
                <w:szCs w:val="20"/>
                <w:color w:val="auto"/>
              </w:rPr>
            </w:pPr>
            <w:r>
              <w:rPr>
                <w:rFonts w:ascii="MS PGothic" w:cs="MS PGothic" w:eastAsia="MS PGothic" w:hAnsi="MS PGothic"/>
                <w:sz w:val="11"/>
                <w:szCs w:val="11"/>
                <w:color w:val="auto"/>
              </w:rPr>
              <w:t>☒</w:t>
            </w:r>
          </w:p>
        </w:tc>
        <w:tc>
          <w:tcPr>
            <w:tcW w:w="4840" w:type="dxa"/>
            <w:vAlign w:val="bottom"/>
          </w:tcPr>
          <w:p>
            <w:pPr>
              <w:ind w:left="3140"/>
              <w:spacing w:after="0"/>
              <w:rPr>
                <w:sz w:val="20"/>
                <w:szCs w:val="20"/>
                <w:color w:val="auto"/>
              </w:rPr>
            </w:pPr>
            <w:r>
              <w:rPr>
                <w:rFonts w:ascii="Arial" w:cs="Arial" w:eastAsia="Arial" w:hAnsi="Arial"/>
                <w:sz w:val="11"/>
                <w:szCs w:val="11"/>
                <w:color w:val="auto"/>
              </w:rPr>
              <w:t>Smaller Reporting Company</w:t>
            </w:r>
          </w:p>
        </w:tc>
        <w:tc>
          <w:tcPr>
            <w:tcW w:w="520" w:type="dxa"/>
            <w:vAlign w:val="bottom"/>
          </w:tcPr>
          <w:p>
            <w:pPr>
              <w:ind w:left="440"/>
              <w:spacing w:after="0" w:line="81" w:lineRule="exact"/>
              <w:rPr>
                <w:sz w:val="20"/>
                <w:szCs w:val="20"/>
                <w:color w:val="auto"/>
              </w:rPr>
            </w:pPr>
            <w:r>
              <w:rPr>
                <w:rFonts w:ascii="MS PGothic" w:cs="MS PGothic" w:eastAsia="MS PGothic" w:hAnsi="MS PGothic"/>
                <w:sz w:val="8"/>
                <w:szCs w:val="8"/>
                <w:color w:val="auto"/>
                <w:w w:val="74"/>
              </w:rPr>
              <w:t>☒</w:t>
            </w:r>
          </w:p>
        </w:tc>
      </w:tr>
      <w:tr>
        <w:trPr>
          <w:trHeight w:val="178"/>
        </w:trPr>
        <w:tc>
          <w:tcPr>
            <w:tcW w:w="180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3840" w:type="dxa"/>
            <w:vAlign w:val="bottom"/>
          </w:tcPr>
          <w:p>
            <w:pPr>
              <w:ind w:left="580"/>
              <w:spacing w:after="0" w:line="111" w:lineRule="exact"/>
              <w:rPr>
                <w:sz w:val="20"/>
                <w:szCs w:val="20"/>
                <w:color w:val="auto"/>
              </w:rPr>
            </w:pPr>
            <w:r>
              <w:rPr>
                <w:rFonts w:ascii="MS PGothic" w:cs="MS PGothic" w:eastAsia="MS PGothic" w:hAnsi="MS PGothic"/>
                <w:sz w:val="11"/>
                <w:szCs w:val="11"/>
                <w:color w:val="auto"/>
              </w:rPr>
              <w:t>☒</w:t>
            </w:r>
          </w:p>
        </w:tc>
        <w:tc>
          <w:tcPr>
            <w:tcW w:w="4840" w:type="dxa"/>
            <w:vAlign w:val="bottom"/>
          </w:tcPr>
          <w:p>
            <w:pPr>
              <w:spacing w:after="0"/>
              <w:rPr>
                <w:sz w:val="15"/>
                <w:szCs w:val="15"/>
                <w:color w:val="auto"/>
              </w:rPr>
            </w:pPr>
          </w:p>
        </w:tc>
        <w:tc>
          <w:tcPr>
            <w:tcW w:w="520" w:type="dxa"/>
            <w:vAlign w:val="bottom"/>
          </w:tcPr>
          <w:p>
            <w:pPr>
              <w:spacing w:after="0"/>
              <w:rPr>
                <w:sz w:val="15"/>
                <w:szCs w:val="15"/>
                <w:color w:val="auto"/>
              </w:rPr>
            </w:pPr>
          </w:p>
        </w:tc>
      </w:tr>
    </w:tbl>
    <w:p>
      <w:pPr>
        <w:spacing w:after="0" w:line="15" w:lineRule="exact"/>
        <w:rPr>
          <w:sz w:val="24"/>
          <w:szCs w:val="24"/>
          <w:color w:val="auto"/>
        </w:rPr>
      </w:pPr>
    </w:p>
    <w:p>
      <w:pPr>
        <w:ind w:left="425"/>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accounting standards provided pursuant to Section 13(a) of the Exchange Act.</w:t>
      </w:r>
    </w:p>
    <w:p>
      <w:pPr>
        <w:spacing w:after="0" w:line="19" w:lineRule="exact"/>
        <w:rPr>
          <w:sz w:val="24"/>
          <w:szCs w:val="24"/>
          <w:color w:val="auto"/>
        </w:rPr>
      </w:pPr>
    </w:p>
    <w:p>
      <w:pPr>
        <w:ind w:left="5"/>
        <w:spacing w:after="0" w:line="111" w:lineRule="exact"/>
        <w:rPr>
          <w:sz w:val="20"/>
          <w:szCs w:val="20"/>
          <w:color w:val="auto"/>
        </w:rPr>
      </w:pPr>
      <w:r>
        <w:rPr>
          <w:rFonts w:ascii="MS PGothic" w:cs="MS PGothic" w:eastAsia="MS PGothic" w:hAnsi="MS PGothic"/>
          <w:sz w:val="11"/>
          <w:szCs w:val="11"/>
          <w:color w:val="auto"/>
        </w:rPr>
        <w:t>☒</w:t>
      </w:r>
    </w:p>
    <w:p>
      <w:pPr>
        <w:spacing w:after="0" w:line="42" w:lineRule="exact"/>
        <w:rPr>
          <w:sz w:val="24"/>
          <w:szCs w:val="24"/>
          <w:color w:val="auto"/>
        </w:rPr>
      </w:pPr>
    </w:p>
    <w:p>
      <w:pPr>
        <w:ind w:left="425"/>
        <w:spacing w:after="0" w:line="127" w:lineRule="exact"/>
        <w:tabs>
          <w:tab w:leader="none" w:pos="5545" w:val="left"/>
          <w:tab w:leader="none" w:pos="5965" w:val="left"/>
        </w:tabs>
        <w:rPr>
          <w:sz w:val="20"/>
          <w:szCs w:val="20"/>
          <w:color w:val="auto"/>
        </w:rPr>
      </w:pPr>
      <w:r>
        <w:rPr>
          <w:rFonts w:ascii="Arial" w:cs="Arial" w:eastAsia="Arial" w:hAnsi="Arial"/>
          <w:sz w:val="10"/>
          <w:szCs w:val="10"/>
          <w:color w:val="auto"/>
        </w:rPr>
        <w:t>Indicate by check mark whether the registrant is a shell company (as defined in Rule 12b-2 of the Exchange Act.)</w:t>
      </w:r>
      <w:r>
        <w:rPr>
          <w:sz w:val="20"/>
          <w:szCs w:val="20"/>
          <w:color w:val="auto"/>
        </w:rPr>
        <w:tab/>
      </w: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61" w:lineRule="exact"/>
        <w:rPr>
          <w:sz w:val="24"/>
          <w:szCs w:val="24"/>
          <w:color w:val="auto"/>
        </w:rPr>
      </w:pPr>
    </w:p>
    <w:p>
      <w:pPr>
        <w:jc w:val="both"/>
        <w:ind w:left="5" w:right="180" w:firstLine="433"/>
        <w:spacing w:after="0" w:line="141"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6" w:lineRule="exact"/>
        <w:rPr>
          <w:sz w:val="24"/>
          <w:szCs w:val="24"/>
          <w:color w:val="auto"/>
        </w:rPr>
      </w:pPr>
    </w:p>
    <w:p>
      <w:pPr>
        <w:ind w:left="5" w:firstLine="433"/>
        <w:spacing w:after="0" w:line="237" w:lineRule="auto"/>
        <w:rPr>
          <w:sz w:val="20"/>
          <w:szCs w:val="20"/>
          <w:color w:val="auto"/>
        </w:rPr>
      </w:pPr>
      <w:r>
        <w:rPr>
          <w:rFonts w:ascii="Arial" w:cs="Arial" w:eastAsia="Arial" w:hAnsi="Arial"/>
          <w:sz w:val="11"/>
          <w:szCs w:val="11"/>
          <w:color w:val="auto"/>
        </w:rPr>
        <w:t>As of June 30, 2020, the last day of the registrant’s most recently completed second fiscal quarter, the aggregate market value of the Common Stock held by non-affiliates of the registrant was approximately $500.1 million, based on the closing price of the registrant’s common stock on June 30, 2020. Shares of the registrant’s common stock held by each officer and director and stockholders that the registrant has concluded are affiliates of the registrant. This determination of affiliate status is not a determination for other purposes.</w:t>
      </w:r>
    </w:p>
    <w:p>
      <w:pPr>
        <w:spacing w:after="0" w:line="28" w:lineRule="exact"/>
        <w:rPr>
          <w:sz w:val="24"/>
          <w:szCs w:val="24"/>
          <w:color w:val="auto"/>
        </w:rPr>
      </w:pPr>
    </w:p>
    <w:p>
      <w:pPr>
        <w:ind w:left="425"/>
        <w:spacing w:after="0"/>
        <w:rPr>
          <w:sz w:val="20"/>
          <w:szCs w:val="20"/>
          <w:color w:val="auto"/>
        </w:rPr>
      </w:pPr>
      <w:r>
        <w:rPr>
          <w:rFonts w:ascii="Arial" w:cs="Arial" w:eastAsia="Arial" w:hAnsi="Arial"/>
          <w:sz w:val="11"/>
          <w:szCs w:val="11"/>
          <w:color w:val="auto"/>
        </w:rPr>
        <w:t>As of March 10, 2021, there were 48,235,759 shares of common stock outstanding.</w:t>
      </w:r>
    </w:p>
    <w:p>
      <w:pPr>
        <w:spacing w:after="0" w:line="35" w:lineRule="exact"/>
        <w:rPr>
          <w:sz w:val="24"/>
          <w:szCs w:val="24"/>
          <w:color w:val="auto"/>
        </w:rPr>
      </w:pPr>
    </w:p>
    <w:p>
      <w:pPr>
        <w:jc w:val="center"/>
        <w:ind w:right="-24"/>
        <w:spacing w:after="0"/>
        <w:rPr>
          <w:sz w:val="20"/>
          <w:szCs w:val="20"/>
          <w:color w:val="auto"/>
        </w:rPr>
      </w:pPr>
      <w:r>
        <w:rPr>
          <w:rFonts w:ascii="Arial" w:cs="Arial" w:eastAsia="Arial" w:hAnsi="Arial"/>
          <w:sz w:val="11"/>
          <w:szCs w:val="11"/>
          <w:b w:val="1"/>
          <w:bCs w:val="1"/>
          <w:color w:val="auto"/>
        </w:rPr>
        <w:t>DOCUMENTS INCORPORATED BY REFERENCE</w:t>
      </w:r>
    </w:p>
    <w:p>
      <w:pPr>
        <w:spacing w:after="0" w:line="43" w:lineRule="exact"/>
        <w:rPr>
          <w:sz w:val="24"/>
          <w:szCs w:val="24"/>
          <w:color w:val="auto"/>
        </w:rPr>
      </w:pPr>
    </w:p>
    <w:p>
      <w:pPr>
        <w:ind w:left="5" w:right="80" w:firstLine="441"/>
        <w:spacing w:after="0" w:line="247" w:lineRule="auto"/>
        <w:rPr>
          <w:sz w:val="20"/>
          <w:szCs w:val="20"/>
          <w:color w:val="auto"/>
        </w:rPr>
      </w:pPr>
      <w:r>
        <w:rPr>
          <w:rFonts w:ascii="Arial" w:cs="Arial" w:eastAsia="Arial" w:hAnsi="Arial"/>
          <w:sz w:val="11"/>
          <w:szCs w:val="11"/>
          <w:color w:val="auto"/>
        </w:rPr>
        <w:t>Portions of the registrant’s definitive proxy statement for its 2021 Annual Meeting of Stockholders, which the registrant intends to file pursuant to Regulation 14A with the Securities and Exchange Commission not later than 120 days after the registrant’s fiscal year ended December 31, 2020,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9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29845</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714946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5"/>
          </w:cols>
          <w:pgMar w:left="315" w:top="270" w:right="3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740" w:type="dxa"/>
            <w:vAlign w:val="bottom"/>
            <w:gridSpan w:val="2"/>
            <w:vMerge w:val="restart"/>
          </w:tcPr>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SPECIAL NOTE REGARDING FORWARD-LOOKING STATEMENTS</w:t>
              </w:r>
            </w:hyperlink>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92"/>
        </w:trPr>
        <w:tc>
          <w:tcPr>
            <w:tcW w:w="10740" w:type="dxa"/>
            <w:vAlign w:val="bottom"/>
            <w:gridSpan w:val="2"/>
            <w:vMerge w:val="continue"/>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ii</w:t>
            </w:r>
          </w:p>
        </w:tc>
        <w:tc>
          <w:tcPr>
            <w:tcW w:w="0" w:type="dxa"/>
            <w:vAlign w:val="bottom"/>
          </w:tcPr>
          <w:p>
            <w:pPr>
              <w:spacing w:after="0"/>
              <w:rPr>
                <w:sz w:val="1"/>
                <w:szCs w:val="1"/>
                <w:color w:val="auto"/>
              </w:rPr>
            </w:pPr>
          </w:p>
        </w:tc>
      </w:tr>
      <w:tr>
        <w:trPr>
          <w:trHeight w:val="201"/>
        </w:trPr>
        <w:tc>
          <w:tcPr>
            <w:tcW w:w="10740" w:type="dxa"/>
            <w:vAlign w:val="bottom"/>
            <w:gridSpan w:val="2"/>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SUMMARY OF SELECTED RISKS ASSOCIATED WITH OUR BUSINESS</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iii</w:t>
            </w:r>
          </w:p>
        </w:tc>
        <w:tc>
          <w:tcPr>
            <w:tcW w:w="0" w:type="dxa"/>
            <w:vAlign w:val="bottom"/>
          </w:tcPr>
          <w:p>
            <w:pPr>
              <w:spacing w:after="0"/>
              <w:rPr>
                <w:sz w:val="1"/>
                <w:szCs w:val="1"/>
                <w:color w:val="auto"/>
              </w:rPr>
            </w:pPr>
          </w:p>
        </w:tc>
      </w:tr>
      <w:tr>
        <w:trPr>
          <w:trHeight w:val="403"/>
        </w:trPr>
        <w:tc>
          <w:tcPr>
            <w:tcW w:w="760" w:type="dxa"/>
            <w:vAlign w:val="bottom"/>
          </w:tcPr>
          <w:p>
            <w:pPr>
              <w:spacing w:after="0"/>
              <w:rPr>
                <w:sz w:val="24"/>
                <w:szCs w:val="24"/>
                <w:color w:val="auto"/>
              </w:rPr>
            </w:pPr>
          </w:p>
        </w:tc>
        <w:tc>
          <w:tcPr>
            <w:tcW w:w="9980" w:type="dxa"/>
            <w:vAlign w:val="bottom"/>
          </w:tcPr>
          <w:p>
            <w:pPr>
              <w:jc w:val="center"/>
              <w:ind w:right="701"/>
              <w:spacing w:after="0"/>
              <w:rPr>
                <w:rFonts w:ascii="Arial" w:cs="Arial" w:eastAsia="Arial" w:hAnsi="Arial"/>
                <w:sz w:val="16"/>
                <w:szCs w:val="16"/>
                <w:b w:val="1"/>
                <w:bCs w:val="1"/>
                <w:u w:val="single" w:color="auto"/>
                <w:color w:val="0000EE"/>
                <w:w w:val="99"/>
              </w:rPr>
            </w:pPr>
            <w:hyperlink w:anchor="page6">
              <w:r>
                <w:rPr>
                  <w:rFonts w:ascii="Arial" w:cs="Arial" w:eastAsia="Arial" w:hAnsi="Arial"/>
                  <w:sz w:val="16"/>
                  <w:szCs w:val="16"/>
                  <w:b w:val="1"/>
                  <w:bCs w:val="1"/>
                  <w:u w:val="single" w:color="auto"/>
                  <w:color w:val="0000EE"/>
                  <w:w w:val="99"/>
                </w:rPr>
                <w:t>PART I</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1.</w:t>
            </w:r>
          </w:p>
        </w:tc>
        <w:tc>
          <w:tcPr>
            <w:tcW w:w="9980" w:type="dxa"/>
            <w:vAlign w:val="bottom"/>
          </w:tcPr>
          <w:p>
            <w:pPr>
              <w:ind w:left="20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Business</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1A.</w:t>
            </w:r>
          </w:p>
        </w:tc>
        <w:tc>
          <w:tcPr>
            <w:tcW w:w="9980" w:type="dxa"/>
            <w:vAlign w:val="bottom"/>
          </w:tcPr>
          <w:p>
            <w:pPr>
              <w:ind w:left="20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Risk Factors</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1B.</w:t>
            </w:r>
          </w:p>
        </w:tc>
        <w:tc>
          <w:tcPr>
            <w:tcW w:w="9980" w:type="dxa"/>
            <w:vAlign w:val="bottom"/>
          </w:tcPr>
          <w:p>
            <w:pPr>
              <w:ind w:left="200"/>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Unresolved Staff Comments</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2.</w:t>
            </w:r>
          </w:p>
        </w:tc>
        <w:tc>
          <w:tcPr>
            <w:tcW w:w="9980" w:type="dxa"/>
            <w:vAlign w:val="bottom"/>
          </w:tcPr>
          <w:p>
            <w:pPr>
              <w:ind w:left="200"/>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Properties</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3.</w:t>
            </w:r>
          </w:p>
        </w:tc>
        <w:tc>
          <w:tcPr>
            <w:tcW w:w="9980" w:type="dxa"/>
            <w:vAlign w:val="bottom"/>
          </w:tcPr>
          <w:p>
            <w:pPr>
              <w:ind w:left="20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Legal Proceedings</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4.</w:t>
            </w:r>
          </w:p>
        </w:tc>
        <w:tc>
          <w:tcPr>
            <w:tcW w:w="9980" w:type="dxa"/>
            <w:vAlign w:val="bottom"/>
          </w:tcPr>
          <w:p>
            <w:pPr>
              <w:ind w:left="200"/>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Mine Safety Disclosures</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403"/>
        </w:trPr>
        <w:tc>
          <w:tcPr>
            <w:tcW w:w="760" w:type="dxa"/>
            <w:vAlign w:val="bottom"/>
          </w:tcPr>
          <w:p>
            <w:pPr>
              <w:spacing w:after="0"/>
              <w:rPr>
                <w:sz w:val="24"/>
                <w:szCs w:val="24"/>
                <w:color w:val="auto"/>
              </w:rPr>
            </w:pPr>
          </w:p>
        </w:tc>
        <w:tc>
          <w:tcPr>
            <w:tcW w:w="9980" w:type="dxa"/>
            <w:vAlign w:val="bottom"/>
          </w:tcPr>
          <w:p>
            <w:pPr>
              <w:jc w:val="center"/>
              <w:ind w:right="681"/>
              <w:spacing w:after="0"/>
              <w:rPr>
                <w:rFonts w:ascii="Arial" w:cs="Arial" w:eastAsia="Arial" w:hAnsi="Arial"/>
                <w:sz w:val="16"/>
                <w:szCs w:val="16"/>
                <w:b w:val="1"/>
                <w:bCs w:val="1"/>
                <w:u w:val="single" w:color="auto"/>
                <w:color w:val="0000EE"/>
              </w:rPr>
            </w:pPr>
            <w:hyperlink w:anchor="page61">
              <w:r>
                <w:rPr>
                  <w:rFonts w:ascii="Arial" w:cs="Arial" w:eastAsia="Arial" w:hAnsi="Arial"/>
                  <w:sz w:val="16"/>
                  <w:szCs w:val="16"/>
                  <w:b w:val="1"/>
                  <w:bCs w:val="1"/>
                  <w:u w:val="single" w:color="auto"/>
                  <w:color w:val="0000EE"/>
                </w:rPr>
                <w:t>PART II</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5.</w:t>
            </w:r>
          </w:p>
        </w:tc>
        <w:tc>
          <w:tcPr>
            <w:tcW w:w="9980" w:type="dxa"/>
            <w:vAlign w:val="bottom"/>
          </w:tcPr>
          <w:p>
            <w:pPr>
              <w:ind w:left="200"/>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Market for Registrant’s Common Equity, Related Stockholder Matters and Issuers Purchases of Equity Securities</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6.</w:t>
            </w:r>
          </w:p>
        </w:tc>
        <w:tc>
          <w:tcPr>
            <w:tcW w:w="9980" w:type="dxa"/>
            <w:vAlign w:val="bottom"/>
          </w:tcPr>
          <w:p>
            <w:pPr>
              <w:ind w:left="200"/>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Selected Financial Data</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7.</w:t>
            </w:r>
          </w:p>
        </w:tc>
        <w:tc>
          <w:tcPr>
            <w:tcW w:w="9980" w:type="dxa"/>
            <w:vAlign w:val="bottom"/>
          </w:tcPr>
          <w:p>
            <w:pPr>
              <w:ind w:left="200"/>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7A.</w:t>
            </w:r>
          </w:p>
        </w:tc>
        <w:tc>
          <w:tcPr>
            <w:tcW w:w="9980" w:type="dxa"/>
            <w:vAlign w:val="bottom"/>
          </w:tcPr>
          <w:p>
            <w:pPr>
              <w:ind w:left="200"/>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Quantitative and Qualitative Disclosures about Market Risk</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8.</w:t>
            </w:r>
          </w:p>
        </w:tc>
        <w:tc>
          <w:tcPr>
            <w:tcW w:w="9980" w:type="dxa"/>
            <w:vAlign w:val="bottom"/>
          </w:tcPr>
          <w:p>
            <w:pPr>
              <w:ind w:left="200"/>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Financial Statements and Supplementary Data</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9.</w:t>
            </w:r>
          </w:p>
        </w:tc>
        <w:tc>
          <w:tcPr>
            <w:tcW w:w="9980" w:type="dxa"/>
            <w:vAlign w:val="bottom"/>
          </w:tcPr>
          <w:p>
            <w:pPr>
              <w:ind w:left="200"/>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Changes in and Disagreements with Accountants on Accounting and Financial Disclosure</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9A.</w:t>
            </w:r>
          </w:p>
        </w:tc>
        <w:tc>
          <w:tcPr>
            <w:tcW w:w="9980" w:type="dxa"/>
            <w:vAlign w:val="bottom"/>
          </w:tcPr>
          <w:p>
            <w:pPr>
              <w:ind w:left="200"/>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9B.</w:t>
            </w:r>
          </w:p>
        </w:tc>
        <w:tc>
          <w:tcPr>
            <w:tcW w:w="9980" w:type="dxa"/>
            <w:vAlign w:val="bottom"/>
          </w:tcPr>
          <w:p>
            <w:pPr>
              <w:ind w:left="200"/>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Other Information</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403"/>
        </w:trPr>
        <w:tc>
          <w:tcPr>
            <w:tcW w:w="760" w:type="dxa"/>
            <w:vAlign w:val="bottom"/>
          </w:tcPr>
          <w:p>
            <w:pPr>
              <w:spacing w:after="0"/>
              <w:rPr>
                <w:sz w:val="24"/>
                <w:szCs w:val="24"/>
                <w:color w:val="auto"/>
              </w:rPr>
            </w:pPr>
          </w:p>
        </w:tc>
        <w:tc>
          <w:tcPr>
            <w:tcW w:w="9980" w:type="dxa"/>
            <w:vAlign w:val="bottom"/>
          </w:tcPr>
          <w:p>
            <w:pPr>
              <w:jc w:val="center"/>
              <w:ind w:right="701"/>
              <w:spacing w:after="0"/>
              <w:rPr>
                <w:rFonts w:ascii="Arial" w:cs="Arial" w:eastAsia="Arial" w:hAnsi="Arial"/>
                <w:sz w:val="16"/>
                <w:szCs w:val="16"/>
                <w:b w:val="1"/>
                <w:bCs w:val="1"/>
                <w:u w:val="single" w:color="auto"/>
                <w:color w:val="0000EE"/>
              </w:rPr>
            </w:pPr>
            <w:hyperlink w:anchor="page77">
              <w:r>
                <w:rPr>
                  <w:rFonts w:ascii="Arial" w:cs="Arial" w:eastAsia="Arial" w:hAnsi="Arial"/>
                  <w:sz w:val="16"/>
                  <w:szCs w:val="16"/>
                  <w:b w:val="1"/>
                  <w:bCs w:val="1"/>
                  <w:u w:val="single" w:color="auto"/>
                  <w:color w:val="0000EE"/>
                </w:rPr>
                <w:t>PART III</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10.</w:t>
            </w:r>
          </w:p>
        </w:tc>
        <w:tc>
          <w:tcPr>
            <w:tcW w:w="9980" w:type="dxa"/>
            <w:vAlign w:val="bottom"/>
          </w:tcPr>
          <w:p>
            <w:pPr>
              <w:ind w:left="200"/>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Directors, Executive Officers and Corporate Governance</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11.</w:t>
            </w:r>
          </w:p>
        </w:tc>
        <w:tc>
          <w:tcPr>
            <w:tcW w:w="9980" w:type="dxa"/>
            <w:vAlign w:val="bottom"/>
          </w:tcPr>
          <w:p>
            <w:pPr>
              <w:ind w:left="200"/>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Executive Compensation</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12.</w:t>
            </w:r>
          </w:p>
        </w:tc>
        <w:tc>
          <w:tcPr>
            <w:tcW w:w="9980" w:type="dxa"/>
            <w:vAlign w:val="bottom"/>
          </w:tcPr>
          <w:p>
            <w:pPr>
              <w:ind w:left="200"/>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Security Ownership of Certain Beneficial Owners and Management and Related Stockholder Matters</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13.</w:t>
            </w:r>
          </w:p>
        </w:tc>
        <w:tc>
          <w:tcPr>
            <w:tcW w:w="9980" w:type="dxa"/>
            <w:vAlign w:val="bottom"/>
          </w:tcPr>
          <w:p>
            <w:pPr>
              <w:ind w:left="200"/>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Certain Relationships and Related Transactions, and Director Independence</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14.</w:t>
            </w:r>
          </w:p>
        </w:tc>
        <w:tc>
          <w:tcPr>
            <w:tcW w:w="9980" w:type="dxa"/>
            <w:vAlign w:val="bottom"/>
          </w:tcPr>
          <w:p>
            <w:pPr>
              <w:ind w:left="200"/>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Principal Accountant Fees and Services</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403"/>
        </w:trPr>
        <w:tc>
          <w:tcPr>
            <w:tcW w:w="760" w:type="dxa"/>
            <w:vAlign w:val="bottom"/>
          </w:tcPr>
          <w:p>
            <w:pPr>
              <w:spacing w:after="0"/>
              <w:rPr>
                <w:sz w:val="24"/>
                <w:szCs w:val="24"/>
                <w:color w:val="auto"/>
              </w:rPr>
            </w:pPr>
          </w:p>
        </w:tc>
        <w:tc>
          <w:tcPr>
            <w:tcW w:w="9980" w:type="dxa"/>
            <w:vAlign w:val="bottom"/>
          </w:tcPr>
          <w:p>
            <w:pPr>
              <w:jc w:val="center"/>
              <w:ind w:right="681"/>
              <w:spacing w:after="0"/>
              <w:rPr>
                <w:rFonts w:ascii="Arial" w:cs="Arial" w:eastAsia="Arial" w:hAnsi="Arial"/>
                <w:sz w:val="16"/>
                <w:szCs w:val="16"/>
                <w:b w:val="1"/>
                <w:bCs w:val="1"/>
                <w:u w:val="single" w:color="auto"/>
                <w:color w:val="0000EE"/>
                <w:w w:val="98"/>
              </w:rPr>
            </w:pPr>
            <w:hyperlink w:anchor="page78">
              <w:r>
                <w:rPr>
                  <w:rFonts w:ascii="Arial" w:cs="Arial" w:eastAsia="Arial" w:hAnsi="Arial"/>
                  <w:sz w:val="16"/>
                  <w:szCs w:val="16"/>
                  <w:b w:val="1"/>
                  <w:bCs w:val="1"/>
                  <w:u w:val="single" w:color="auto"/>
                  <w:color w:val="0000EE"/>
                  <w:w w:val="98"/>
                </w:rPr>
                <w:t>PART IV</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15.</w:t>
            </w:r>
          </w:p>
        </w:tc>
        <w:tc>
          <w:tcPr>
            <w:tcW w:w="9980" w:type="dxa"/>
            <w:vAlign w:val="bottom"/>
          </w:tcPr>
          <w:p>
            <w:pPr>
              <w:ind w:left="200"/>
              <w:spacing w:after="0"/>
              <w:rPr>
                <w:rFonts w:ascii="Arial" w:cs="Arial" w:eastAsia="Arial" w:hAnsi="Arial"/>
                <w:sz w:val="16"/>
                <w:szCs w:val="16"/>
                <w:u w:val="single" w:color="auto"/>
                <w:color w:val="0000EE"/>
              </w:rPr>
            </w:pPr>
            <w:hyperlink w:anchor="page78">
              <w:r>
                <w:rPr>
                  <w:rFonts w:ascii="Arial" w:cs="Arial" w:eastAsia="Arial" w:hAnsi="Arial"/>
                  <w:sz w:val="16"/>
                  <w:szCs w:val="16"/>
                  <w:u w:val="single" w:color="auto"/>
                  <w:color w:val="0000EE"/>
                </w:rPr>
                <w:t>Exhibits and Financial Statement Schedules</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1"/>
        </w:trPr>
        <w:tc>
          <w:tcPr>
            <w:tcW w:w="760" w:type="dxa"/>
            <w:vAlign w:val="bottom"/>
          </w:tcPr>
          <w:p>
            <w:pPr>
              <w:spacing w:after="0"/>
              <w:rPr>
                <w:sz w:val="20"/>
                <w:szCs w:val="20"/>
                <w:color w:val="auto"/>
              </w:rPr>
            </w:pPr>
            <w:r>
              <w:rPr>
                <w:rFonts w:ascii="Arial" w:cs="Arial" w:eastAsia="Arial" w:hAnsi="Arial"/>
                <w:sz w:val="16"/>
                <w:szCs w:val="16"/>
                <w:color w:val="auto"/>
              </w:rPr>
              <w:t>Item 16.</w:t>
            </w:r>
          </w:p>
        </w:tc>
        <w:tc>
          <w:tcPr>
            <w:tcW w:w="9980" w:type="dxa"/>
            <w:vAlign w:val="bottom"/>
          </w:tcPr>
          <w:p>
            <w:pPr>
              <w:ind w:left="200"/>
              <w:spacing w:after="0"/>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Form 10-K Summary</w:t>
              </w:r>
            </w:hyperlink>
          </w:p>
        </w:tc>
        <w:tc>
          <w:tcPr>
            <w:tcW w:w="5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bl>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99" w:lineRule="exact"/>
        <w:rPr>
          <w:sz w:val="20"/>
          <w:szCs w:val="20"/>
          <w:color w:val="auto"/>
        </w:rPr>
      </w:pPr>
    </w:p>
    <w:p>
      <w:pPr>
        <w:ind w:right="80" w:firstLine="590"/>
        <w:spacing w:after="0" w:line="276" w:lineRule="auto"/>
        <w:rPr>
          <w:sz w:val="20"/>
          <w:szCs w:val="20"/>
          <w:color w:val="auto"/>
        </w:rPr>
      </w:pPr>
      <w:r>
        <w:rPr>
          <w:rFonts w:ascii="Arial" w:cs="Arial" w:eastAsia="Arial" w:hAnsi="Arial"/>
          <w:sz w:val="15"/>
          <w:szCs w:val="15"/>
          <w:color w:val="auto"/>
        </w:rPr>
        <w:t>This Annual Report on Form 10-K contains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on Form 10-K. In some cases, you can identify forward-looking statements by terminology such as “anticipate,” “believe,” “could,” “estimate,” “expects,” “intend,” “may,” “plan,” “potential,” “predict,” “project,” “should,” “will,” “would” or the negative or plural of those terms, and similar expressions.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Forward-looking statements include, but are not limited to, statements about:</w:t>
      </w:r>
    </w:p>
    <w:p>
      <w:pPr>
        <w:spacing w:after="0" w:line="17" w:lineRule="exact"/>
        <w:rPr>
          <w:sz w:val="20"/>
          <w:szCs w:val="20"/>
          <w:color w:val="auto"/>
        </w:rPr>
      </w:pPr>
    </w:p>
    <w:p>
      <w:pPr>
        <w:ind w:left="900" w:right="380" w:hanging="351"/>
        <w:spacing w:after="0" w:line="324" w:lineRule="auto"/>
        <w:rPr>
          <w:sz w:val="20"/>
          <w:szCs w:val="20"/>
          <w:color w:val="auto"/>
        </w:rPr>
      </w:pPr>
      <w:r>
        <w:rPr>
          <w:rFonts w:ascii="Arial" w:cs="Arial" w:eastAsia="Arial" w:hAnsi="Arial"/>
          <w:sz w:val="14"/>
          <w:szCs w:val="14"/>
          <w:color w:val="auto"/>
        </w:rPr>
        <w:t>•the impact of the COVID-19 pandemic and its effects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28" w:lineRule="exact"/>
        <w:rPr>
          <w:sz w:val="20"/>
          <w:szCs w:val="20"/>
          <w:color w:val="auto"/>
        </w:rPr>
      </w:pPr>
    </w:p>
    <w:p>
      <w:pPr>
        <w:ind w:left="1020" w:hanging="504"/>
        <w:spacing w:after="0"/>
        <w:tabs>
          <w:tab w:leader="none" w:pos="1020" w:val="left"/>
        </w:tabs>
        <w:numPr>
          <w:ilvl w:val="1"/>
          <w:numId w:val="3"/>
        </w:numPr>
        <w:rPr>
          <w:rFonts w:ascii="Arial" w:cs="Arial" w:eastAsia="Arial" w:hAnsi="Arial"/>
          <w:sz w:val="16"/>
          <w:szCs w:val="16"/>
          <w:color w:val="auto"/>
        </w:rPr>
      </w:pPr>
      <w:r>
        <w:rPr>
          <w:rFonts w:ascii="Arial" w:cs="Arial" w:eastAsia="Arial" w:hAnsi="Arial"/>
          <w:sz w:val="16"/>
          <w:szCs w:val="16"/>
          <w:color w:val="auto"/>
        </w:rPr>
        <w:t>our estimates regarding our expenses, future revenues, anticipated capital requirements and our needs for additional financing;</w:t>
      </w:r>
    </w:p>
    <w:p>
      <w:pPr>
        <w:spacing w:after="0" w:line="289" w:lineRule="exact"/>
        <w:rPr>
          <w:rFonts w:ascii="Arial" w:cs="Arial" w:eastAsia="Arial" w:hAnsi="Arial"/>
          <w:sz w:val="16"/>
          <w:szCs w:val="16"/>
          <w:color w:val="auto"/>
        </w:rPr>
      </w:pPr>
    </w:p>
    <w:p>
      <w:pPr>
        <w:ind w:left="1020" w:right="240" w:hanging="516"/>
        <w:spacing w:after="0" w:line="268"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of the progress and receipt of data from the Phase 1/2 clinical trial of SNDX-5613 in patients with relapsed/refractory (R/R) acute leukemia and the potential use of SNDX-5613 to treat acute leukemias;</w:t>
      </w:r>
    </w:p>
    <w:p>
      <w:pPr>
        <w:spacing w:after="0" w:line="62" w:lineRule="exact"/>
        <w:rPr>
          <w:rFonts w:ascii="Arial" w:cs="Arial" w:eastAsia="Arial" w:hAnsi="Arial"/>
          <w:sz w:val="16"/>
          <w:szCs w:val="16"/>
          <w:color w:val="auto"/>
        </w:rPr>
      </w:pPr>
    </w:p>
    <w:p>
      <w:pPr>
        <w:ind w:left="1020" w:right="420" w:hanging="516"/>
        <w:spacing w:after="0" w:line="268"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of the progress and receipt of data from the expansion cohort from the Phase 1/2 clinical trial of axatilimab in chronic Graft Versus Host Disease (cGVHD);</w:t>
      </w:r>
    </w:p>
    <w:p>
      <w:pPr>
        <w:spacing w:after="0" w:line="252"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of the progress and receipt of data from the Phase 2 trial, AGAVE-201, of axatilimab in cGVHD;</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replicate results in future clinical trials;</w:t>
      </w:r>
    </w:p>
    <w:p>
      <w:pPr>
        <w:spacing w:after="0" w:line="289"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the potential safety, efficacy or clinical utility of our product candidates;</w:t>
      </w:r>
    </w:p>
    <w:p>
      <w:pPr>
        <w:spacing w:after="0" w:line="100" w:lineRule="exact"/>
        <w:rPr>
          <w:rFonts w:ascii="Arial" w:cs="Arial" w:eastAsia="Arial" w:hAnsi="Arial"/>
          <w:sz w:val="16"/>
          <w:szCs w:val="16"/>
          <w:color w:val="auto"/>
        </w:rPr>
      </w:pPr>
    </w:p>
    <w:p>
      <w:pPr>
        <w:ind w:left="1020" w:right="560" w:hanging="516"/>
        <w:spacing w:after="0" w:line="268"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and maintain regulatory approval for our product candidates and the timing or likelihood of regulatory filings and approvals for such candidates;</w:t>
      </w:r>
    </w:p>
    <w:p>
      <w:pPr>
        <w:spacing w:after="0" w:line="252" w:lineRule="exact"/>
        <w:rPr>
          <w:rFonts w:ascii="Arial" w:cs="Arial" w:eastAsia="Arial" w:hAnsi="Arial"/>
          <w:sz w:val="16"/>
          <w:szCs w:val="16"/>
          <w:color w:val="auto"/>
        </w:rPr>
      </w:pPr>
    </w:p>
    <w:p>
      <w:pPr>
        <w:ind w:left="1020" w:hanging="516"/>
        <w:spacing w:after="0" w:line="268"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licenses with Bayer Pharma AG, Eddingpharm Investment Company Limited, Kyowa Kirin Co., Ltd., UCB Biopharma Sprl, and Vitae Pharmaceuticals, Inc., a subsidiary of AbbVie plc.;</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potential milestone and royalty payments under certain of our license agreements;</w:t>
      </w:r>
    </w:p>
    <w:p>
      <w:pPr>
        <w:spacing w:after="0" w:line="289"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strategic plans for our business and development of our product candidates;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of protection we establish and maintain for intellectual property rights covering our product candidates and our technology;</w:t>
      </w:r>
    </w:p>
    <w:p>
      <w:pPr>
        <w:spacing w:after="0" w:line="289"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market adoption of our product candidates by physicians and patients;</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developments relating to our competitors and our industry; and</w:t>
      </w:r>
    </w:p>
    <w:p>
      <w:pPr>
        <w:spacing w:after="0" w:line="289" w:lineRule="exact"/>
        <w:rPr>
          <w:rFonts w:ascii="Arial" w:cs="Arial" w:eastAsia="Arial" w:hAnsi="Arial"/>
          <w:sz w:val="16"/>
          <w:szCs w:val="16"/>
          <w:color w:val="auto"/>
        </w:rPr>
      </w:pPr>
    </w:p>
    <w:p>
      <w:pPr>
        <w:ind w:left="1020" w:right="100" w:hanging="516"/>
        <w:spacing w:after="0" w:line="268"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political, social and economic instability, natural disasters or public health crisis, including but not limited to the COVID-19 pandemic, in countries where we or our collaborators do business.</w:t>
      </w:r>
    </w:p>
    <w:p>
      <w:pPr>
        <w:spacing w:after="0" w:line="157" w:lineRule="exact"/>
        <w:rPr>
          <w:sz w:val="20"/>
          <w:szCs w:val="20"/>
          <w:color w:val="auto"/>
        </w:rPr>
      </w:pPr>
    </w:p>
    <w:p>
      <w:pPr>
        <w:ind w:right="60" w:firstLine="590"/>
        <w:spacing w:after="0" w:line="251" w:lineRule="auto"/>
        <w:rPr>
          <w:sz w:val="20"/>
          <w:szCs w:val="20"/>
          <w:color w:val="auto"/>
        </w:rPr>
      </w:pPr>
      <w:r>
        <w:rPr>
          <w:rFonts w:ascii="Arial" w:cs="Arial" w:eastAsia="Arial" w:hAnsi="Arial"/>
          <w:sz w:val="16"/>
          <w:szCs w:val="16"/>
          <w:color w:val="auto"/>
        </w:rPr>
        <w:t>Factors that may cause actual results to differ materially from current expectations include, among other things, those set forth in Part I, Item 1A, “Risk Factors,” below and for the reasons described elsewhere in this Annual Report on Form 10-K. Any forward-looking statement in this Annual Report on Form 10-K reflects our current view with respect to future events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Except as required by law, we assume no obligation to update or revise these forward-looking statements for any reason, even if new information becomes available in the future.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3" w:name="page4"/>
    <w:bookmarkEnd w:id="3"/>
    <w:p>
      <w:pPr>
        <w:ind w:firstLine="590"/>
        <w:spacing w:after="0" w:line="271" w:lineRule="auto"/>
        <w:rPr>
          <w:sz w:val="20"/>
          <w:szCs w:val="20"/>
          <w:color w:val="auto"/>
        </w:rPr>
      </w:pPr>
      <w:r>
        <w:rPr>
          <w:rFonts w:ascii="Arial" w:cs="Arial" w:eastAsia="Arial" w:hAnsi="Arial"/>
          <w:sz w:val="15"/>
          <w:szCs w:val="15"/>
          <w:color w:val="auto"/>
        </w:rPr>
        <w:t>This Annual Report on Form 10-K also contains estimates, projections and other information concerning our industry, our business and the markets for certain drugs and consumer products,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and we have not independently verified the data from third party sources. In some cases, we do not expressly refer to the sources from which these data are derived.</w:t>
      </w:r>
    </w:p>
    <w:p>
      <w:pPr>
        <w:spacing w:after="0" w:line="157" w:lineRule="exact"/>
        <w:rPr>
          <w:sz w:val="20"/>
          <w:szCs w:val="20"/>
          <w:color w:val="auto"/>
        </w:rPr>
      </w:pPr>
    </w:p>
    <w:p>
      <w:pPr>
        <w:ind w:firstLine="590"/>
        <w:spacing w:after="0" w:line="251" w:lineRule="auto"/>
        <w:rPr>
          <w:sz w:val="20"/>
          <w:szCs w:val="20"/>
          <w:color w:val="auto"/>
        </w:rPr>
      </w:pPr>
      <w:r>
        <w:rPr>
          <w:rFonts w:ascii="Arial" w:cs="Arial" w:eastAsia="Arial" w:hAnsi="Arial"/>
          <w:sz w:val="16"/>
          <w:szCs w:val="16"/>
          <w:color w:val="auto"/>
        </w:rPr>
        <w:t>In this Annual Report on Form 10-K, unless otherwise stated or as the context otherwise requires, references to “Syndax,” “the Company,” “we,” “us,” “our” and similar references refer to Syndax Pharmaceuticals, Inc. and its wholly owned subsidiaries. This Annual Report on Form 10-K also contains references to our trademarks and to trademarks belonging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SUMMARY OF SELECTED RISKS ASSOCIATED WITH OUR BUSINESS</w:t>
      </w:r>
    </w:p>
    <w:p>
      <w:pPr>
        <w:spacing w:after="0" w:line="199" w:lineRule="exact"/>
        <w:rPr>
          <w:sz w:val="20"/>
          <w:szCs w:val="20"/>
          <w:color w:val="auto"/>
        </w:rPr>
      </w:pPr>
    </w:p>
    <w:p>
      <w:pPr>
        <w:ind w:right="160" w:firstLine="590"/>
        <w:spacing w:after="0" w:line="268" w:lineRule="auto"/>
        <w:rPr>
          <w:sz w:val="20"/>
          <w:szCs w:val="20"/>
          <w:color w:val="auto"/>
        </w:rPr>
      </w:pPr>
      <w:r>
        <w:rPr>
          <w:rFonts w:ascii="Arial" w:cs="Arial" w:eastAsia="Arial" w:hAnsi="Arial"/>
          <w:sz w:val="16"/>
          <w:szCs w:val="16"/>
          <w:color w:val="auto"/>
        </w:rPr>
        <w:t>Our business is subject to numerous risks and uncertainties, including those discussed at length in the section titled “Risk Factors.” These risks include, among others, the following:</w:t>
      </w:r>
    </w:p>
    <w:p>
      <w:pPr>
        <w:spacing w:after="0" w:line="63" w:lineRule="exact"/>
        <w:rPr>
          <w:sz w:val="20"/>
          <w:szCs w:val="20"/>
          <w:color w:val="auto"/>
        </w:rPr>
      </w:pPr>
    </w:p>
    <w:p>
      <w:pPr>
        <w:ind w:left="840" w:hanging="419"/>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COVID-19 could adversely impact our business, including our clinical trials.</w:t>
      </w:r>
    </w:p>
    <w:p>
      <w:pPr>
        <w:spacing w:after="0" w:line="123" w:lineRule="exact"/>
        <w:rPr>
          <w:rFonts w:ascii="Arial" w:cs="Arial" w:eastAsia="Arial" w:hAnsi="Arial"/>
          <w:sz w:val="16"/>
          <w:szCs w:val="16"/>
          <w:color w:val="auto"/>
        </w:rPr>
      </w:pPr>
    </w:p>
    <w:p>
      <w:pPr>
        <w:ind w:left="840" w:right="460" w:hanging="419"/>
        <w:spacing w:after="0" w:line="268" w:lineRule="auto"/>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incur additional costs or experience delays in completing, or ultimately be unable to complete, the development and commercialization of any of our product candidates.</w:t>
      </w:r>
    </w:p>
    <w:p>
      <w:pPr>
        <w:spacing w:after="0" w:line="62" w:lineRule="exact"/>
        <w:rPr>
          <w:rFonts w:ascii="Arial" w:cs="Arial" w:eastAsia="Arial" w:hAnsi="Arial"/>
          <w:sz w:val="16"/>
          <w:szCs w:val="16"/>
          <w:color w:val="auto"/>
        </w:rPr>
      </w:pPr>
    </w:p>
    <w:p>
      <w:pPr>
        <w:ind w:left="840" w:right="420" w:hanging="419"/>
        <w:spacing w:after="0" w:line="268" w:lineRule="auto"/>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rFonts w:ascii="Arial" w:cs="Arial" w:eastAsia="Arial" w:hAnsi="Arial"/>
          <w:sz w:val="16"/>
          <w:szCs w:val="16"/>
          <w:color w:val="auto"/>
        </w:rPr>
      </w:pPr>
    </w:p>
    <w:p>
      <w:pPr>
        <w:ind w:left="840" w:right="460" w:hanging="419"/>
        <w:spacing w:after="0" w:line="268" w:lineRule="auto"/>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strategy for developing SNDX-5613 has undergone limited clinical testing and we may fail to show that the drug is well tolerated and provides sufficient clinical benefit for patients.</w:t>
      </w:r>
    </w:p>
    <w:p>
      <w:pPr>
        <w:spacing w:after="0" w:line="62" w:lineRule="exact"/>
        <w:rPr>
          <w:rFonts w:ascii="Arial" w:cs="Arial" w:eastAsia="Arial" w:hAnsi="Arial"/>
          <w:sz w:val="16"/>
          <w:szCs w:val="16"/>
          <w:color w:val="auto"/>
        </w:rPr>
      </w:pPr>
    </w:p>
    <w:p>
      <w:pPr>
        <w:ind w:left="840" w:right="80" w:hanging="419"/>
        <w:spacing w:after="0" w:line="268" w:lineRule="auto"/>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strategy for developing axatilimab has undergone limited clinical testing and we may fail to show that this drug is well tolerated and provides a clinical benefit for patients.</w:t>
      </w:r>
    </w:p>
    <w:p>
      <w:pPr>
        <w:spacing w:after="0" w:line="62" w:lineRule="exact"/>
        <w:rPr>
          <w:rFonts w:ascii="Arial" w:cs="Arial" w:eastAsia="Arial" w:hAnsi="Arial"/>
          <w:sz w:val="16"/>
          <w:szCs w:val="16"/>
          <w:color w:val="auto"/>
        </w:rPr>
      </w:pPr>
    </w:p>
    <w:p>
      <w:pPr>
        <w:ind w:left="840" w:right="120" w:hanging="419"/>
        <w:spacing w:after="0" w:line="268" w:lineRule="auto"/>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2" w:lineRule="exact"/>
        <w:rPr>
          <w:rFonts w:ascii="Arial" w:cs="Arial" w:eastAsia="Arial" w:hAnsi="Arial"/>
          <w:sz w:val="16"/>
          <w:szCs w:val="16"/>
          <w:color w:val="auto"/>
        </w:rPr>
      </w:pPr>
    </w:p>
    <w:p>
      <w:pPr>
        <w:ind w:left="840" w:hanging="419"/>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or our collaborators are unable to enroll patients in clinical trials, these clinical trials may not be completed on a timely basis or at all.</w:t>
      </w:r>
    </w:p>
    <w:p>
      <w:pPr>
        <w:spacing w:after="0" w:line="123" w:lineRule="exact"/>
        <w:rPr>
          <w:rFonts w:ascii="Arial" w:cs="Arial" w:eastAsia="Arial" w:hAnsi="Arial"/>
          <w:sz w:val="16"/>
          <w:szCs w:val="16"/>
          <w:color w:val="auto"/>
        </w:rPr>
      </w:pPr>
    </w:p>
    <w:p>
      <w:pPr>
        <w:ind w:left="840" w:right="140" w:hanging="419"/>
        <w:spacing w:after="0" w:line="268" w:lineRule="auto"/>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rFonts w:ascii="Arial" w:cs="Arial" w:eastAsia="Arial" w:hAnsi="Arial"/>
          <w:sz w:val="16"/>
          <w:szCs w:val="16"/>
          <w:color w:val="auto"/>
        </w:rPr>
      </w:pPr>
    </w:p>
    <w:p>
      <w:pPr>
        <w:ind w:left="840" w:hanging="419"/>
        <w:spacing w:after="0" w:line="257" w:lineRule="auto"/>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1" w:lineRule="exact"/>
        <w:rPr>
          <w:rFonts w:ascii="Arial" w:cs="Arial" w:eastAsia="Arial" w:hAnsi="Arial"/>
          <w:sz w:val="16"/>
          <w:szCs w:val="16"/>
          <w:color w:val="auto"/>
        </w:rPr>
      </w:pPr>
    </w:p>
    <w:p>
      <w:pPr>
        <w:ind w:left="840" w:hanging="419"/>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Even if our product candidates receive regulatory approval, they may still face future development and regulatory difficulties.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4" w:name="page5"/>
    <w:bookmarkEnd w:id="4"/>
    <w:p>
      <w:pPr>
        <w:ind w:left="420" w:hanging="419"/>
        <w:spacing w:after="0" w:line="268"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62" w:lineRule="exact"/>
        <w:rPr>
          <w:rFonts w:ascii="Arial" w:cs="Arial" w:eastAsia="Arial" w:hAnsi="Arial"/>
          <w:sz w:val="16"/>
          <w:szCs w:val="16"/>
          <w:color w:val="auto"/>
        </w:rPr>
      </w:pPr>
    </w:p>
    <w:p>
      <w:pPr>
        <w:ind w:left="420" w:hanging="419"/>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incurred net losses since our inception and anticipate that we will continue to incur net losses for the foreseeable future.</w:t>
      </w:r>
    </w:p>
    <w:p>
      <w:pPr>
        <w:spacing w:after="0" w:line="123" w:lineRule="exact"/>
        <w:rPr>
          <w:rFonts w:ascii="Arial" w:cs="Arial" w:eastAsia="Arial" w:hAnsi="Arial"/>
          <w:sz w:val="16"/>
          <w:szCs w:val="16"/>
          <w:color w:val="auto"/>
        </w:rPr>
      </w:pPr>
    </w:p>
    <w:p>
      <w:pPr>
        <w:ind w:left="420" w:hanging="419"/>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currently have no source of product revenue and may never achieve or maintain profitability.</w:t>
      </w:r>
    </w:p>
    <w:p>
      <w:pPr>
        <w:spacing w:after="0" w:line="123" w:lineRule="exact"/>
        <w:rPr>
          <w:rFonts w:ascii="Arial" w:cs="Arial" w:eastAsia="Arial" w:hAnsi="Arial"/>
          <w:sz w:val="16"/>
          <w:szCs w:val="16"/>
          <w:color w:val="auto"/>
        </w:rPr>
      </w:pPr>
    </w:p>
    <w:p>
      <w:pPr>
        <w:ind w:left="420" w:right="540" w:hanging="419"/>
        <w:spacing w:after="0" w:line="341"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16" w:lineRule="exact"/>
        <w:rPr>
          <w:rFonts w:ascii="Arial" w:cs="Arial" w:eastAsia="Arial" w:hAnsi="Arial"/>
          <w:sz w:val="14"/>
          <w:szCs w:val="14"/>
          <w:color w:val="auto"/>
        </w:rPr>
      </w:pPr>
    </w:p>
    <w:p>
      <w:pPr>
        <w:ind w:left="420" w:hanging="419"/>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obtain or protect intellectual property rights, we may not be able to compete effectively in our market.</w:t>
      </w:r>
    </w:p>
    <w:p>
      <w:pPr>
        <w:spacing w:after="0" w:line="123" w:lineRule="exact"/>
        <w:rPr>
          <w:rFonts w:ascii="Arial" w:cs="Arial" w:eastAsia="Arial" w:hAnsi="Arial"/>
          <w:sz w:val="16"/>
          <w:szCs w:val="16"/>
          <w:color w:val="auto"/>
        </w:rPr>
      </w:pPr>
    </w:p>
    <w:p>
      <w:pPr>
        <w:ind w:left="420" w:hanging="419"/>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not be able to protect our intellectual property rights throughout the world.</w:t>
      </w:r>
    </w:p>
    <w:p>
      <w:pPr>
        <w:spacing w:after="0" w:line="123" w:lineRule="exact"/>
        <w:rPr>
          <w:rFonts w:ascii="Arial" w:cs="Arial" w:eastAsia="Arial" w:hAnsi="Arial"/>
          <w:sz w:val="16"/>
          <w:szCs w:val="16"/>
          <w:color w:val="auto"/>
        </w:rPr>
      </w:pPr>
    </w:p>
    <w:p>
      <w:pPr>
        <w:ind w:left="420" w:hanging="419"/>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market price of our stock may be volatile and you could lose all or part of your investment.</w:t>
      </w:r>
    </w:p>
    <w:p>
      <w:pPr>
        <w:spacing w:after="0" w:line="123" w:lineRule="exact"/>
        <w:rPr>
          <w:rFonts w:ascii="Arial" w:cs="Arial" w:eastAsia="Arial" w:hAnsi="Arial"/>
          <w:sz w:val="16"/>
          <w:szCs w:val="16"/>
          <w:color w:val="auto"/>
        </w:rPr>
      </w:pPr>
    </w:p>
    <w:p>
      <w:pPr>
        <w:ind w:left="420" w:hanging="419"/>
        <w:spacing w:after="0" w:line="268"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sell additional equity or debt securities or enter into other arrangements to fund our operations, which may result in dilution to our stockholders and impose restrictions or limitations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71755</wp:posOffset>
            </wp:positionV>
            <wp:extent cx="714946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800"/>
          </w:cols>
          <w:pgMar w:left="740" w:top="411"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PART I</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Company</w:t>
      </w:r>
    </w:p>
    <w:p>
      <w:pPr>
        <w:spacing w:after="0" w:line="104" w:lineRule="exact"/>
        <w:rPr>
          <w:sz w:val="20"/>
          <w:szCs w:val="20"/>
          <w:color w:val="auto"/>
        </w:rPr>
      </w:pPr>
    </w:p>
    <w:p>
      <w:pPr>
        <w:ind w:firstLine="590"/>
        <w:spacing w:after="0" w:line="271" w:lineRule="auto"/>
        <w:rPr>
          <w:sz w:val="20"/>
          <w:szCs w:val="20"/>
          <w:color w:val="auto"/>
        </w:rPr>
      </w:pPr>
      <w:r>
        <w:rPr>
          <w:rFonts w:ascii="Arial" w:cs="Arial" w:eastAsia="Arial" w:hAnsi="Arial"/>
          <w:sz w:val="15"/>
          <w:szCs w:val="15"/>
          <w:color w:val="auto"/>
        </w:rPr>
        <w:t>We are a clinical-stage biopharmaceutical company developing an innovative pipeline of cancer therapies. Our two lead product candidates are, SNDX-5613 and SNDX-6352, or axatilimab. We are developing SNDX-5613, targeting the binding interaction of menin with the mixed lineage leukemia 1 (MLL1) protein for the treatment of MLL-rearranged, or MLLr, acute leukemias and nucleophosmin 1, or NPM1, mutant acute myeloid leukemia (AML), as well as axatilimab, a monoclonal antibody that blocks the colony stimulating factor 1, or CSF-1 receptor. We have deprioritized the development of entinostat, our once-weekly, oral, small molecule, Class I HDAC inhibitor, to focus resources on advancing the remainder of our pipeline. We plan to continue to leverage the technical and business expertise of our management team and scientific collaborators to license, acquire and develop additional therapeutics to expand our pipeline.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SNDX-5613</w:t>
      </w:r>
    </w:p>
    <w:p>
      <w:pPr>
        <w:spacing w:after="0" w:line="104" w:lineRule="exact"/>
        <w:rPr>
          <w:sz w:val="20"/>
          <w:szCs w:val="20"/>
          <w:color w:val="auto"/>
        </w:rPr>
      </w:pPr>
    </w:p>
    <w:p>
      <w:pPr>
        <w:ind w:right="40" w:firstLine="590"/>
        <w:spacing w:after="0" w:line="276" w:lineRule="auto"/>
        <w:rPr>
          <w:sz w:val="20"/>
          <w:szCs w:val="20"/>
          <w:color w:val="auto"/>
        </w:rPr>
      </w:pPr>
      <w:r>
        <w:rPr>
          <w:rFonts w:ascii="Arial" w:cs="Arial" w:eastAsia="Arial" w:hAnsi="Arial"/>
          <w:sz w:val="15"/>
          <w:szCs w:val="15"/>
          <w:color w:val="auto"/>
        </w:rPr>
        <w:t>Our first clinical-stage product candidate, SNDX-5613, is a potent, orally active inhibitor of the high affinity interaction site on menin with the protein MLL1. This specific interaction is a key driver for two genetically defined acute leukemias: (i) MLLr and (ii) NPM1c AML. Both diseases have a poor prognosis. In preclinical testing, SNDX-5613 has demonstrated complete tumor regression and profound, dose-dependent and long-lasting survival benefit in leukemic models of disease. Initial clinical evidence with SNDX-5613 also supports the hypothesis that disruption of the menin-MLL interaction can lead to responses in acute leukemias.</w:t>
      </w:r>
    </w:p>
    <w:p>
      <w:pPr>
        <w:spacing w:after="0" w:line="154" w:lineRule="exact"/>
        <w:rPr>
          <w:sz w:val="20"/>
          <w:szCs w:val="20"/>
          <w:color w:val="auto"/>
        </w:rPr>
      </w:pPr>
    </w:p>
    <w:p>
      <w:pPr>
        <w:ind w:right="20" w:firstLine="590"/>
        <w:spacing w:after="0" w:line="267" w:lineRule="auto"/>
        <w:rPr>
          <w:sz w:val="20"/>
          <w:szCs w:val="20"/>
          <w:color w:val="auto"/>
        </w:rPr>
      </w:pPr>
      <w:r>
        <w:rPr>
          <w:rFonts w:ascii="Arial" w:cs="Arial" w:eastAsia="Arial" w:hAnsi="Arial"/>
          <w:sz w:val="15"/>
          <w:szCs w:val="15"/>
          <w:color w:val="auto"/>
        </w:rPr>
        <w:t>We are developing SNDX-5613 as a targeted therapy to potentially treat two genetically defined acute leukemias: (i) a genetically defined subset of acute leukemias with chromosomal rearrangements in the mixed lineage leukemia (MLL) gene, known as MLLr; and (ii) acute myeloid leukemia, or AML, with a somatic mutation in the nucleophosmin 1, or NPM1, gene, also known as NPM1c. Our near-term focus is to rapidly establish proof of concept that SNDX-5613 is a targeted therapy that can potentially provide meaningful clinical benefit to adult and pediatric leukemia patients having relapsed or refractory MLLr or NPM1c acute leukemias. Our investigational new drug (IND) application for SNDX-5613 took effect with the U.S. Food and Drug Administration, or FDA, in the second quarter of 2019 and we commenced AUGMENT-101, a clinical trial consisting initially of a Phase 1 dose escalation portion to determine the maximum tolerated dose, or MTD, and recommended Phase 2 dose of SNDX-5613 in patients with acute leukemia. Upon completion of the Phase 1 portion of the trial and identification of the recommended Phase 2 dose, we will initiate the Phase 2 portion of the trial with patients to be enrolled in three indication-specific expansion cohorts to determine the efficacy, short- and long-term safety, and tolerability of SNDX-5613 in MLLr ALL, MLLr AML and NPM1c AML. We are conducting the trial at multiple centers in the United States and anticipate completing enrollment of the Phase 1 portion in the first half of 2021. In the second quarter of 2021, we anticipate commencing the Phase 2 portion, which we believe could serve as the basis for registration, with an expected total enrollment of up to 132 patients for the Phase 1/2 clinical trial. SNDX-5613 was previously granted Orphan Drug Designation for the treatment of adult and pediatric acute myeloid leukemia by the FDA.</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Axatilimab</w:t>
      </w:r>
    </w:p>
    <w:p>
      <w:pPr>
        <w:spacing w:after="0" w:line="104" w:lineRule="exact"/>
        <w:rPr>
          <w:sz w:val="20"/>
          <w:szCs w:val="20"/>
          <w:color w:val="auto"/>
        </w:rPr>
      </w:pPr>
    </w:p>
    <w:p>
      <w:pPr>
        <w:ind w:right="20" w:firstLine="590"/>
        <w:spacing w:after="0" w:line="292" w:lineRule="auto"/>
        <w:rPr>
          <w:sz w:val="20"/>
          <w:szCs w:val="20"/>
          <w:color w:val="auto"/>
        </w:rPr>
      </w:pPr>
      <w:r>
        <w:rPr>
          <w:rFonts w:ascii="Arial" w:cs="Arial" w:eastAsia="Arial" w:hAnsi="Arial"/>
          <w:sz w:val="14"/>
          <w:szCs w:val="14"/>
          <w:color w:val="auto"/>
        </w:rPr>
        <w:t>We are also developing axatilimab a monoclonal antibody targeting the colony stimulating factor-1 receptor, or CSF-1R, a cell surface protein thought to control the survival and function of monocytes and macrophages. Axatilimab binds with high affinity to CSF-1R and blocks the binding of the two known CSF-1R ligands CSF-1 and IL-34. CSF-1R is expressed on the surface of specific immune cells known as macrophages and their precursor cells known as monocytes. CSF-1R signaling on these cells has been demonstrated in preclinical studies conducted in animal models of skin and lung chronic graft versus host disease, or cGVHD, to be the key regulatory pathway involved in the expansion and infiltration of the macrophages that mediate fibrosis and the cGVHD disease process. Blocking CSF-1R activity with an experimental CSF-1R antibody in these studies was shown to prevent and treat the symptoms of cGVHD. We believe that by inhibiting CSF-1R activation on monocytes and macrophages, that axatilimab has the potential to be used to treat cGVHD as well as other fibrotic diseases where monocyte-derived macrophages have been shown to play a significant role.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6" w:name="page7"/>
    <w:bookmarkEnd w:id="6"/>
    <w:p>
      <w:pPr>
        <w:ind w:firstLine="590"/>
        <w:spacing w:after="0" w:line="341" w:lineRule="auto"/>
        <w:rPr>
          <w:sz w:val="20"/>
          <w:szCs w:val="20"/>
          <w:color w:val="auto"/>
        </w:rPr>
      </w:pPr>
      <w:r>
        <w:rPr>
          <w:rFonts w:ascii="Arial" w:cs="Arial" w:eastAsia="Arial" w:hAnsi="Arial"/>
          <w:sz w:val="14"/>
          <w:szCs w:val="14"/>
          <w:color w:val="auto"/>
        </w:rPr>
        <w:t>Our near-term focus is to rapidly establish that axatilimab can provide meaningful clinical benefit in patients with advanced cGVHD where prior therapies are no longer effective and to establish proof of concept of using axatilimab to treat other fibrotic diseases where monocyte-derived macrophages have been shown to play a role.</w:t>
      </w:r>
    </w:p>
    <w:p>
      <w:pPr>
        <w:spacing w:after="0" w:line="111" w:lineRule="exact"/>
        <w:rPr>
          <w:sz w:val="20"/>
          <w:szCs w:val="20"/>
          <w:color w:val="auto"/>
        </w:rPr>
      </w:pPr>
    </w:p>
    <w:p>
      <w:pPr>
        <w:ind w:right="120" w:firstLine="590"/>
        <w:spacing w:after="0" w:line="273" w:lineRule="auto"/>
        <w:rPr>
          <w:sz w:val="20"/>
          <w:szCs w:val="20"/>
          <w:color w:val="auto"/>
        </w:rPr>
      </w:pPr>
      <w:r>
        <w:rPr>
          <w:rFonts w:ascii="Arial" w:cs="Arial" w:eastAsia="Arial" w:hAnsi="Arial"/>
          <w:sz w:val="15"/>
          <w:szCs w:val="15"/>
          <w:color w:val="auto"/>
        </w:rPr>
        <w:t>We announced that following our end of Phase 1 meeting with the FDA, we have aligned on a regulatory path for axatilimab for the treatment of cGVHD. We commenced a pivotal Phase 2 trial, AGAVE-201, to assess the safety and efficacy of different doses and schedules of axatilimab for the treatment of patients with cGVHD. The primary endpoint is the objective response rate based on the 2014 NIH consensus criteria for GVHD with key secondary endpoints including duration of response and improvement in modified Lee Symptom Scale score. We anticipate releasing topline data in 2023. With the initiation of AGAVE-201, we have ceased enrollment in the Phase 2 portion of SNDX-6352-503, the Phase 1/2 trial evaluating axatilimab for the treatment of patients with cGVHD.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199" w:lineRule="exact"/>
        <w:rPr>
          <w:sz w:val="20"/>
          <w:szCs w:val="20"/>
          <w:color w:val="auto"/>
        </w:rPr>
      </w:pPr>
    </w:p>
    <w:p>
      <w:pPr>
        <w:ind w:right="500" w:firstLine="590"/>
        <w:spacing w:after="0" w:line="341" w:lineRule="auto"/>
        <w:rPr>
          <w:sz w:val="20"/>
          <w:szCs w:val="20"/>
          <w:color w:val="auto"/>
        </w:rPr>
      </w:pPr>
      <w:r>
        <w:rPr>
          <w:rFonts w:ascii="Arial" w:cs="Arial" w:eastAsia="Arial" w:hAnsi="Arial"/>
          <w:sz w:val="14"/>
          <w:szCs w:val="14"/>
          <w:color w:val="auto"/>
        </w:rPr>
        <w:t>We are a clinical stage biopharmaceutical company developing an innovative pipeline of cancer therapies. This pipeline includes SNDX-5613, a highly selective inhibitor of the menin–MLL binding interaction, axatilimab, a monoclonal antibody that blocks the CSF-1 receptor, and entinostat, a class I HDAC inhibitor.</w:t>
      </w:r>
    </w:p>
    <w:p>
      <w:pPr>
        <w:spacing w:after="0" w:line="111" w:lineRule="exact"/>
        <w:rPr>
          <w:sz w:val="20"/>
          <w:szCs w:val="20"/>
          <w:color w:val="auto"/>
        </w:rPr>
      </w:pPr>
    </w:p>
    <w:p>
      <w:pPr>
        <w:jc w:val="both"/>
        <w:ind w:right="100" w:firstLine="590"/>
        <w:spacing w:after="0" w:line="257" w:lineRule="auto"/>
        <w:rPr>
          <w:sz w:val="20"/>
          <w:szCs w:val="20"/>
          <w:color w:val="auto"/>
        </w:rPr>
      </w:pPr>
      <w:r>
        <w:rPr>
          <w:rFonts w:ascii="Arial" w:cs="Arial" w:eastAsia="Arial" w:hAnsi="Arial"/>
          <w:sz w:val="16"/>
          <w:szCs w:val="16"/>
          <w:color w:val="auto"/>
        </w:rPr>
        <w:t>We are developing SNDX-5613 in acute leukemias and axatilimab for use in cGVHD and potentially other fibrotic-macrophage driven diseases as single agents and in combination with approved drugs. We have deprioritized the development of entinostat but may opportunistically explore potential disease areas where entinostat could play an important therapeutic role. Key elements of our strategy include:</w:t>
      </w:r>
    </w:p>
    <w:p>
      <w:pPr>
        <w:spacing w:after="0" w:line="72" w:lineRule="exact"/>
        <w:rPr>
          <w:sz w:val="20"/>
          <w:szCs w:val="20"/>
          <w:color w:val="auto"/>
        </w:rPr>
      </w:pPr>
    </w:p>
    <w:p>
      <w:pPr>
        <w:ind w:left="1160" w:right="60" w:hanging="585"/>
        <w:spacing w:after="0" w:line="302" w:lineRule="auto"/>
        <w:tabs>
          <w:tab w:leader="none" w:pos="1160" w:val="left"/>
        </w:tabs>
        <w:numPr>
          <w:ilvl w:val="0"/>
          <w:numId w:val="6"/>
        </w:numPr>
        <w:rPr>
          <w:rFonts w:ascii="Arial" w:cs="Arial" w:eastAsia="Arial" w:hAnsi="Arial"/>
          <w:sz w:val="14"/>
          <w:szCs w:val="14"/>
          <w:color w:val="auto"/>
        </w:rPr>
      </w:pPr>
      <w:r>
        <w:rPr>
          <w:rFonts w:ascii="Arial" w:cs="Arial" w:eastAsia="Arial" w:hAnsi="Arial"/>
          <w:sz w:val="14"/>
          <w:szCs w:val="14"/>
          <w:color w:val="auto"/>
        </w:rPr>
        <w:t>Develop SNDX-5613 for the treatment of genetically defined leukemias. We believe that SNDX-5613 has the potential to treat at least two genetically defined acute leukemias: (i) MLLr and (ii) NPM1 AML. Our Phase 1/2 open-label AUGMENT-101 trial is ongoing, and we anticipate completing enrollment of the Phase 1 portion and begin enrollment of the Phase 2 portion in the second quarter of 2021. We expect to initiate a combination trial of SNDX-5613 with chemotherapy in the second half of 2021 and expect to initiate other combination trials of SNDX-5613 with other approved anti-leukemic agents.</w:t>
      </w:r>
    </w:p>
    <w:p>
      <w:pPr>
        <w:spacing w:after="0" w:line="42" w:lineRule="exact"/>
        <w:rPr>
          <w:rFonts w:ascii="Arial" w:cs="Arial" w:eastAsia="Arial" w:hAnsi="Arial"/>
          <w:sz w:val="14"/>
          <w:szCs w:val="14"/>
          <w:color w:val="auto"/>
        </w:rPr>
      </w:pPr>
    </w:p>
    <w:p>
      <w:pPr>
        <w:ind w:left="1160" w:hanging="585"/>
        <w:spacing w:after="0" w:line="268"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Develop axatilimab as a monotherapy in cGVHD. We are conducting the AGAVE-201 trial for the treatment of patients with cGVHD and are exploring the use of axatilimab to treat other fibrotic diseases where monocyte-derived macrophages have been shown to play a role.</w:t>
      </w:r>
    </w:p>
    <w:p>
      <w:pPr>
        <w:spacing w:after="0" w:line="62" w:lineRule="exact"/>
        <w:rPr>
          <w:rFonts w:ascii="Arial" w:cs="Arial" w:eastAsia="Arial" w:hAnsi="Arial"/>
          <w:sz w:val="16"/>
          <w:szCs w:val="16"/>
          <w:color w:val="auto"/>
        </w:rPr>
      </w:pPr>
    </w:p>
    <w:p>
      <w:pPr>
        <w:ind w:left="1160" w:right="100" w:hanging="585"/>
        <w:spacing w:after="0" w:line="283" w:lineRule="auto"/>
        <w:tabs>
          <w:tab w:leader="none" w:pos="1160" w:val="left"/>
        </w:tabs>
        <w:numPr>
          <w:ilvl w:val="0"/>
          <w:numId w:val="6"/>
        </w:numPr>
        <w:rPr>
          <w:rFonts w:ascii="Arial" w:cs="Arial" w:eastAsia="Arial" w:hAnsi="Arial"/>
          <w:sz w:val="15"/>
          <w:szCs w:val="15"/>
          <w:color w:val="auto"/>
        </w:rPr>
      </w:pPr>
      <w:r>
        <w:rPr>
          <w:rFonts w:ascii="Arial" w:cs="Arial" w:eastAsia="Arial" w:hAnsi="Arial"/>
          <w:sz w:val="15"/>
          <w:szCs w:val="15"/>
          <w:color w:val="auto"/>
        </w:rPr>
        <w:t>Leverage the technical and business expertise of our management team and scientific collaborators to license, acquire and develop additional cancer therapies to expand our pipeline. We acquired the exclusive rights to axatilimab in 2016 and to SNDX-5613 in 2017. We intend to continue leveraging the collective talent within our organization and network of advisors to guide our pipeline expansion and development plans.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506"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1229360</wp:posOffset>
            </wp:positionH>
            <wp:positionV relativeFrom="paragraph">
              <wp:posOffset>74295</wp:posOffset>
            </wp:positionV>
            <wp:extent cx="4690745" cy="2074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9074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SNDX-5613</w:t>
      </w:r>
    </w:p>
    <w:p>
      <w:pPr>
        <w:spacing w:after="0" w:line="104" w:lineRule="exact"/>
        <w:rPr>
          <w:sz w:val="20"/>
          <w:szCs w:val="20"/>
          <w:color w:val="auto"/>
        </w:rPr>
      </w:pPr>
    </w:p>
    <w:p>
      <w:pPr>
        <w:ind w:right="260" w:firstLine="590"/>
        <w:spacing w:after="0" w:line="283" w:lineRule="auto"/>
        <w:rPr>
          <w:sz w:val="20"/>
          <w:szCs w:val="20"/>
          <w:color w:val="auto"/>
        </w:rPr>
      </w:pPr>
      <w:r>
        <w:rPr>
          <w:rFonts w:ascii="Arial" w:cs="Arial" w:eastAsia="Arial" w:hAnsi="Arial"/>
          <w:sz w:val="15"/>
          <w:szCs w:val="15"/>
          <w:color w:val="auto"/>
        </w:rPr>
        <w:t>SNDX-5613 is a potent, orally active inhibitor of the high affinity interaction site on menin with the protein MLL1. This specific interaction is a key driver for two genetically defined acute leukemias: (i) MLLr and (ii) NPM1c AML. Both diseases have a poor prognosis with an unmet need. In preclinical testing, SNDX-5613 has demonstrated complete tumor regression and profound, dose-dependent and long-lasting survival benefit in leukemic models of disease.</w:t>
      </w:r>
    </w:p>
    <w:p>
      <w:pPr>
        <w:spacing w:after="0" w:line="148" w:lineRule="exact"/>
        <w:rPr>
          <w:sz w:val="20"/>
          <w:szCs w:val="20"/>
          <w:color w:val="auto"/>
        </w:rPr>
      </w:pPr>
    </w:p>
    <w:p>
      <w:pPr>
        <w:ind w:firstLine="590"/>
        <w:spacing w:after="0" w:line="292" w:lineRule="auto"/>
        <w:rPr>
          <w:sz w:val="20"/>
          <w:szCs w:val="20"/>
          <w:color w:val="auto"/>
        </w:rPr>
      </w:pPr>
      <w:r>
        <w:rPr>
          <w:rFonts w:ascii="Arial" w:cs="Arial" w:eastAsia="Arial" w:hAnsi="Arial"/>
          <w:sz w:val="14"/>
          <w:szCs w:val="14"/>
          <w:color w:val="auto"/>
        </w:rPr>
        <w:t>Our near-term focus is to rapidly establish proof of concept that SNDX-5613 is a targeted therapy that can potentially provide meaningful clinical benefit to adult and pediatric leukemia patients having relapsed or refractory MLLr or NPM1c AML. Our IND application for SNDX-5613 was approved by the FDA in second quarter of 2019 and we commenced AUGMENT-101, a clinical trial consisting initially of a Phase 1 dose escalation portion to determine the maximum tolerated dose, or MTD, and recommended Phase 2 dose of SNDX-5613 in patients with acute leukemia. Upon completion of the Phase 1 portion of the trial and identification of the recommended Phase 2 dose, we will initiate the Phase 2 portion of the trial with patients to be enrolled in three indication-specific expansion cohorts to determine the efficacy, short- and long-term safety, and tolerability of SNDX-5613 in MLLr ALL, MLLr AML and NPM1c AML. We are conducting the trial at multiple centers and anticipate completing enrollment of the Phase 1 portion in the second quarter of 2021, with an expected total enrollment of up to 132 patients for the Phase 1/2 clinical trial.</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Axatilimab</w:t>
      </w:r>
    </w:p>
    <w:p>
      <w:pPr>
        <w:spacing w:after="0" w:line="104" w:lineRule="exact"/>
        <w:rPr>
          <w:sz w:val="20"/>
          <w:szCs w:val="20"/>
          <w:color w:val="auto"/>
        </w:rPr>
      </w:pPr>
    </w:p>
    <w:p>
      <w:pPr>
        <w:ind w:firstLine="590"/>
        <w:spacing w:after="0" w:line="250" w:lineRule="auto"/>
        <w:rPr>
          <w:sz w:val="20"/>
          <w:szCs w:val="20"/>
          <w:color w:val="auto"/>
        </w:rPr>
      </w:pPr>
      <w:r>
        <w:rPr>
          <w:rFonts w:ascii="Arial" w:cs="Arial" w:eastAsia="Arial" w:hAnsi="Arial"/>
          <w:sz w:val="16"/>
          <w:szCs w:val="16"/>
          <w:color w:val="auto"/>
        </w:rPr>
        <w:t>Axatilimab is a humanized monoclonal antibody that binds with high affinity to CSF-1R and blocks the binding of the two known CSF-1R ligands CSF-1 and IL-34. CSF-1R is expressed on the surface of specific immune cells known as macrophages and their precursor cells known as monocytes. Ligand activated CSF-1R signaling on these cells has been shown, in preclinical research studies, to be the key regulatory pathway leading to the systemic fibrotic disease manifestations in skin, lungs, and other tissues associated with cGVHD. Blocking CSF-1R activity with an experimental CSF-1R antibody in these studies was shown to prevent and treat the symptoms of cGVHD, including skin and lung fibrosis. We are developing axatilimab to bind to CSF-1R and block the ability of CSF-1 and IL-34 to activate CSF-1R signaling. We believe that by inhibiting CSF-1R activation on monocytes and macrophages, that axatilimab has the potential to be used to treat cGVHD and fibrotic diseases with a common underlying dependence on CSF-1R signaling.</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140"/>
          </w:cols>
          <w:pgMar w:left="320" w:top="502" w:right="439" w:bottom="1440" w:gutter="0" w:footer="0" w:header="0"/>
        </w:sectPr>
      </w:pPr>
    </w:p>
    <w:bookmarkStart w:id="8" w:name="page9"/>
    <w:bookmarkEnd w:id="8"/>
    <w:p>
      <w:pPr>
        <w:ind w:right="60" w:firstLine="590"/>
        <w:spacing w:after="0" w:line="292" w:lineRule="auto"/>
        <w:rPr>
          <w:sz w:val="20"/>
          <w:szCs w:val="20"/>
          <w:color w:val="auto"/>
        </w:rPr>
      </w:pPr>
      <w:r>
        <w:rPr>
          <w:rFonts w:ascii="Arial" w:cs="Arial" w:eastAsia="Arial" w:hAnsi="Arial"/>
          <w:sz w:val="14"/>
          <w:szCs w:val="14"/>
          <w:color w:val="auto"/>
        </w:rPr>
        <w:t>Our near-term focus is to rapidly establish proof of concept that axatilimab can provide meaningful clinical benefit in patients with advanced cGVHD where prior therapies are no longer effective. In the fourth quarter of 2018, we opened enrollment in SNDX-6352-503, a Phase 1 dose escalation trial of axatilimab in patients with cGVHD. The objectives of this trial are to evaluate the safety and preliminary efficacy of axatilimab in cGVHD and to identify a required Phase 2 dose and schedule. Enrollment to the Phase 1 portion was completed in the fourth quarter of 2020 with dosing of 17 patients at dose levels of 0.15 mg/kg, 0.5 mg/kg, 1.0 mg/kg and 3.0 mg/kg every two weeks and 3.0 mg/kg every four weeks. We presented preliminary safety and efficacy data from the Phase 1 portion of the study at the annual American Society of Hematology conference in December 2020. Based on emerging data that suggested preliminary activity at 1.0 mg/kg, we amended the protocol in the fourth quarter of 2019 to add a Phase 2 expansion cohort of approximately 20 patients to further explore this dose level. We anticipate completing enrollment in the first quarter of 2021.</w:t>
      </w:r>
    </w:p>
    <w:p>
      <w:pPr>
        <w:spacing w:after="0" w:line="144" w:lineRule="exact"/>
        <w:rPr>
          <w:sz w:val="20"/>
          <w:szCs w:val="20"/>
          <w:color w:val="auto"/>
        </w:rPr>
      </w:pPr>
    </w:p>
    <w:p>
      <w:pPr>
        <w:ind w:right="60" w:firstLine="536"/>
        <w:spacing w:after="0" w:line="254" w:lineRule="auto"/>
        <w:rPr>
          <w:sz w:val="20"/>
          <w:szCs w:val="20"/>
          <w:color w:val="auto"/>
        </w:rPr>
      </w:pPr>
      <w:r>
        <w:rPr>
          <w:rFonts w:ascii="Arial" w:cs="Arial" w:eastAsia="Arial" w:hAnsi="Arial"/>
          <w:sz w:val="16"/>
          <w:szCs w:val="16"/>
          <w:color w:val="auto"/>
        </w:rPr>
        <w:t>Based on the safety and efficacy of axatilimab in cGVHD established in the SNDX-6352-503 study, and in consultation with the FDA, we have designed and initiated a pivotal, registration-oriented study of axatilimab in cGVHD called AGAVE-201 (SNDX-6352-504). Enrollment to AGAVE-201 was opened in January 2021 and the study is planned to enroll up to 210 patients across three dose cohorts of 0.3 mg/kg and 1.0 mg/kg every two weeks, and 3.0 mg/kg every four weeks. We anticipate that top-line results from AGAVE-201 may be available in 2023.</w:t>
      </w:r>
    </w:p>
    <w:p>
      <w:pPr>
        <w:spacing w:after="0" w:line="168" w:lineRule="exact"/>
        <w:rPr>
          <w:sz w:val="20"/>
          <w:szCs w:val="20"/>
          <w:color w:val="auto"/>
        </w:rPr>
      </w:pPr>
    </w:p>
    <w:p>
      <w:pPr>
        <w:ind w:right="80" w:firstLine="590"/>
        <w:spacing w:after="0" w:line="252" w:lineRule="auto"/>
        <w:rPr>
          <w:sz w:val="20"/>
          <w:szCs w:val="20"/>
          <w:color w:val="auto"/>
        </w:rPr>
      </w:pPr>
      <w:r>
        <w:rPr>
          <w:rFonts w:ascii="Arial" w:cs="Arial" w:eastAsia="Arial" w:hAnsi="Arial"/>
          <w:sz w:val="16"/>
          <w:szCs w:val="16"/>
          <w:color w:val="auto"/>
        </w:rPr>
        <w:t>Growing evidence from preclinical research studies in animal models of lung fibrosis, and analysis of blood and tissues samples taken from patients with lung fibrosis, suggests that monocytes and macrophages are critical regulators of the fibrotic disease process. In addition, recent data from preclinical experiments demonstrate that these disease associated monocytes and macrophages are CSF-1 dependent and that use of an anti-CSF-1R antibody blocks fibrosis in fibrotic disease models. We believe these data are consistent with the role that these cells play in cGVHD and that our clinical data with axatilimab in cGVHD supports testing axatilimab in lung fibrosis and other fibrotic diseases.</w:t>
      </w:r>
    </w:p>
    <w:p>
      <w:pPr>
        <w:spacing w:after="0" w:line="171" w:lineRule="exact"/>
        <w:rPr>
          <w:sz w:val="20"/>
          <w:szCs w:val="20"/>
          <w:color w:val="auto"/>
        </w:rPr>
      </w:pPr>
    </w:p>
    <w:p>
      <w:pPr>
        <w:ind w:right="100" w:firstLine="590"/>
        <w:spacing w:after="0" w:line="250" w:lineRule="auto"/>
        <w:rPr>
          <w:sz w:val="20"/>
          <w:szCs w:val="20"/>
          <w:color w:val="auto"/>
        </w:rPr>
      </w:pPr>
      <w:r>
        <w:rPr>
          <w:rFonts w:ascii="Arial" w:cs="Arial" w:eastAsia="Arial" w:hAnsi="Arial"/>
          <w:sz w:val="16"/>
          <w:szCs w:val="16"/>
          <w:color w:val="auto"/>
        </w:rPr>
        <w:t xml:space="preserve">CSF-1R is also expressed on immuno-suppressive cells (e.g., TAMs) known to play a role in the growth, survival, and metastasis of cancer. Inhibition of CSF-1R is thought to disrupt the activity of TAMs, resulting in a decrease in the immunosuppressive environment immediately surrounding the tumor, or tumor micro-environment. We have completed a Phase 1 dose escalation trial of SNDX-6352-502, conducted at multiple centers in the United States, that studied axatilimab as a single agent and in combination with </w:t>
      </w:r>
      <w:r>
        <w:rPr>
          <w:rFonts w:ascii="Arial" w:cs="Arial" w:eastAsia="Arial" w:hAnsi="Arial"/>
          <w:sz w:val="16"/>
          <w:szCs w:val="16"/>
          <w:i w:val="1"/>
          <w:iCs w:val="1"/>
          <w:color w:val="auto"/>
        </w:rPr>
        <w:t>Imfinzi</w:t>
      </w:r>
      <w:r>
        <w:rPr>
          <w:rFonts w:ascii="Arial" w:cs="Arial" w:eastAsia="Arial" w:hAnsi="Arial"/>
          <w:sz w:val="16"/>
          <w:szCs w:val="16"/>
          <w:color w:val="auto"/>
        </w:rPr>
        <w:t xml:space="preserve">, AstraZeneca’s human monoclonal antibody directed against PD-L1. The study enrolled 47 patients with advanced solid tumors and established the safety, pharmacokinetic and pharmacodynamic activity, and required Phase 2 dose of axatilimab as a single agent and in combination with </w:t>
      </w:r>
      <w:r>
        <w:rPr>
          <w:rFonts w:ascii="Arial" w:cs="Arial" w:eastAsia="Arial" w:hAnsi="Arial"/>
          <w:sz w:val="16"/>
          <w:szCs w:val="16"/>
          <w:i w:val="1"/>
          <w:iCs w:val="1"/>
          <w:color w:val="auto"/>
        </w:rPr>
        <w:t>Imfinzi</w:t>
      </w:r>
      <w:r>
        <w:rPr>
          <w:rFonts w:ascii="Arial" w:cs="Arial" w:eastAsia="Arial" w:hAnsi="Arial"/>
          <w:sz w:val="16"/>
          <w:szCs w:val="16"/>
          <w:color w:val="auto"/>
        </w:rPr>
        <w:t>. While our near-term focus is on establishing proof-of-concept for axatilimab in cGVHD and other fibrotic diseases we may conduct additional clinical trials in oncology indications with our academic collaborators.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Entinostat</w:t>
      </w:r>
    </w:p>
    <w:p>
      <w:pPr>
        <w:spacing w:after="0" w:line="199" w:lineRule="exact"/>
        <w:rPr>
          <w:sz w:val="20"/>
          <w:szCs w:val="20"/>
          <w:color w:val="auto"/>
        </w:rPr>
      </w:pPr>
    </w:p>
    <w:p>
      <w:pPr>
        <w:ind w:right="80" w:firstLine="590"/>
        <w:spacing w:after="0" w:line="252" w:lineRule="auto"/>
        <w:rPr>
          <w:sz w:val="20"/>
          <w:szCs w:val="20"/>
          <w:color w:val="auto"/>
        </w:rPr>
      </w:pPr>
      <w:r>
        <w:rPr>
          <w:rFonts w:ascii="Arial" w:cs="Arial" w:eastAsia="Arial" w:hAnsi="Arial"/>
          <w:sz w:val="16"/>
          <w:szCs w:val="16"/>
          <w:color w:val="auto"/>
        </w:rPr>
        <w:t>Entinostat is our oral, small molecule product candidate that has direct effects on both cancer cells and immune regulatory cells, potentially enhancing the body’s immune response to tumors. The favorable safety profile of entinostat has been demonstrated in clinical trials in more than 1,200 cancer patients. The long half-life of entinostat allows for once weekly dosing while also providing continuous exposure to therapy potentially resulting in positive efficacy benefits. Based on entinostat’s ability to reverse hormone resistance, alter cancer stem cells, and modulate immunosensitivity, we believe entinostat may have broad applications in tumor types which have become resistant to hormone and/or immunotherapy.</w:t>
      </w:r>
    </w:p>
    <w:p>
      <w:pPr>
        <w:spacing w:after="0" w:line="171" w:lineRule="exact"/>
        <w:rPr>
          <w:sz w:val="20"/>
          <w:szCs w:val="20"/>
          <w:color w:val="auto"/>
        </w:rPr>
      </w:pPr>
    </w:p>
    <w:p>
      <w:pPr>
        <w:ind w:firstLine="590"/>
        <w:spacing w:after="0" w:line="250" w:lineRule="auto"/>
        <w:rPr>
          <w:sz w:val="20"/>
          <w:szCs w:val="20"/>
          <w:color w:val="auto"/>
        </w:rPr>
      </w:pPr>
      <w:r>
        <w:rPr>
          <w:rFonts w:ascii="Arial" w:cs="Arial" w:eastAsia="Arial" w:hAnsi="Arial"/>
          <w:sz w:val="16"/>
          <w:szCs w:val="16"/>
          <w:color w:val="auto"/>
        </w:rPr>
        <w:t>Entinostat has also been shown to enhance the immune system’s ability to identify and target tumor cells. It is now widely accepted that many tumors have the ability to evade the immune system either through direct cellular interactions and recruitment of immuno-suppressive cells to the area surrounding the tumor, or through parallel evasion-mechanisms focused on the interaction between the T cell with other immune cells found within the surrounding tumor microenvironment. Entinostat has been observed to decrease the population of immuno-suppressive cells known as myeloid-derived suppressor cells, or MDSCs, and regulatory T cells, or Tregs, which localize in the area surrounding the tumor and block T cells from killing cancer cells, while sparing the cytotoxic T cells. Through blocking the immuno-suppressive effects of MDSCs and Tregs, we believe entinostat has the potential to be used synergistically with therapies such as immune checkpoint inhibitors, resulting in the increased ability of the T cells to attack the tumor.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506" w:right="379" w:bottom="1440" w:gutter="0" w:footer="0" w:header="0"/>
        </w:sectPr>
      </w:pPr>
    </w:p>
    <w:bookmarkStart w:id="9" w:name="page10"/>
    <w:bookmarkEnd w:id="9"/>
    <w:p>
      <w:pPr>
        <w:ind w:firstLine="590"/>
        <w:spacing w:after="0" w:line="276" w:lineRule="auto"/>
        <w:rPr>
          <w:sz w:val="20"/>
          <w:szCs w:val="20"/>
          <w:color w:val="auto"/>
        </w:rPr>
      </w:pPr>
      <w:r>
        <w:rPr>
          <w:rFonts w:ascii="Arial" w:cs="Arial" w:eastAsia="Arial" w:hAnsi="Arial"/>
          <w:sz w:val="15"/>
          <w:szCs w:val="15"/>
          <w:color w:val="auto"/>
        </w:rPr>
        <w:t>In May 2020, we reported final results of E2112, the Phase 3 clinical trial conducted by ECOG-ACRIN Cancer Research Group and sponsored by the National Cancer Institute, that evaluated the investigational compound entinostat plus exemestane in patients with advanced hormone receptor positive, human epidermal growth factor receptor 2 negative (HR+, HER2-) breast cancer. The trial did not achieve the primary endpoint of demonstrating a statistically significant overall survival benefit over hormone therapy alone. We have decided to deprioritize the entinostat program to focus resources on advancing the remainder of our pipeline.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 Business Update</w:t>
      </w:r>
    </w:p>
    <w:p>
      <w:pPr>
        <w:spacing w:after="0" w:line="17" w:lineRule="exact"/>
        <w:rPr>
          <w:sz w:val="20"/>
          <w:szCs w:val="20"/>
          <w:color w:val="auto"/>
        </w:rPr>
      </w:pPr>
    </w:p>
    <w:p>
      <w:pPr>
        <w:ind w:right="120" w:firstLine="590"/>
        <w:spacing w:after="0" w:line="268" w:lineRule="auto"/>
        <w:rPr>
          <w:sz w:val="20"/>
          <w:szCs w:val="20"/>
          <w:color w:val="auto"/>
        </w:rPr>
      </w:pPr>
      <w:r>
        <w:rPr>
          <w:rFonts w:ascii="Arial" w:cs="Arial" w:eastAsia="Arial" w:hAnsi="Arial"/>
          <w:sz w:val="15"/>
          <w:szCs w:val="15"/>
          <w:color w:val="auto"/>
        </w:rPr>
        <w:t>We have implemented business continuity plans designed to address and mitigate the impact of the ongoing COVID-19 pandemic on our employees and our business. While we are not experiencing financial impacts at this time, given the global economic slowdown, the overall disruption of global healthcare systems and the other risks and uncertainties associated with the pandemic, our business, financial condition, results of operations and growth prospects could be materially adversely affected. We continue to closely monitor the COVID-19 situation as we evolve our business continuity plans and response strategy. In March 2020, our workforce transitioned to working remotely. We are currently considering plans to reopen our offices to allow employees to return to the office, which will be based on an approach that is principles-based and local in design, with a focus on employee safety and optimal work environment.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Supply Chain</w:t>
      </w:r>
    </w:p>
    <w:p>
      <w:pPr>
        <w:spacing w:after="0" w:line="17" w:lineRule="exact"/>
        <w:rPr>
          <w:sz w:val="20"/>
          <w:szCs w:val="20"/>
          <w:color w:val="auto"/>
        </w:rPr>
      </w:pPr>
    </w:p>
    <w:p>
      <w:pPr>
        <w:ind w:right="40" w:firstLine="590"/>
        <w:spacing w:after="0" w:line="248" w:lineRule="auto"/>
        <w:rPr>
          <w:sz w:val="20"/>
          <w:szCs w:val="20"/>
          <w:color w:val="auto"/>
        </w:rPr>
      </w:pPr>
      <w:r>
        <w:rPr>
          <w:rFonts w:ascii="Arial" w:cs="Arial" w:eastAsia="Arial" w:hAnsi="Arial"/>
          <w:sz w:val="16"/>
          <w:szCs w:val="16"/>
          <w:color w:val="auto"/>
        </w:rPr>
        <w:t>We are working closely our third-party manufacturers, distributors and other partners to manage our supply chain activities and mitigate potential disruptions to our product supplies as a result of the COVID-19 pandemic. We currently expect to have adequate supplies of SNDX-5613 and axatilimab. If the COVID-19 pandemic continues to persist for an extended period of time and begins to impact essential distribution systems such as FedEx and postal delivery or if it results in facility closures for cleaning and/or insufficient staff, we could experience disruptions to our supply chain and operations, and associated delays in the manufacturing and supply of our products, and to our clinical trial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Development</w:t>
      </w:r>
    </w:p>
    <w:p>
      <w:pPr>
        <w:spacing w:after="0" w:line="17" w:lineRule="exact"/>
        <w:rPr>
          <w:sz w:val="20"/>
          <w:szCs w:val="20"/>
          <w:color w:val="auto"/>
        </w:rPr>
      </w:pPr>
    </w:p>
    <w:p>
      <w:pPr>
        <w:ind w:firstLine="590"/>
        <w:spacing w:after="0" w:line="266" w:lineRule="auto"/>
        <w:rPr>
          <w:sz w:val="20"/>
          <w:szCs w:val="20"/>
          <w:color w:val="auto"/>
        </w:rPr>
      </w:pPr>
      <w:r>
        <w:rPr>
          <w:rFonts w:ascii="Arial" w:cs="Arial" w:eastAsia="Arial" w:hAnsi="Arial"/>
          <w:sz w:val="15"/>
          <w:szCs w:val="15"/>
          <w:color w:val="auto"/>
        </w:rPr>
        <w:t>With respect to clinical development, we have taken measures to implement remote and virtual approaches, including remote patient monitoring where possible, to maintain patient safety and trial continuity and to preserve study integrity. We have not yet, but may experience, a disruption or delay in our ability to initiate trial sites and enroll and assess patients. As the COVID-19 pandemic continues, we anticipate a potential impact on our ability to maintain patient enrollment in the AUGMENT-101 and cGVHD trials.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COVID-19 pandemic. If the COVID-19 pandemic continues and persists for an extended period of time, we could experience significant disruptions to our clinical development timelines, which would adversely affect our business, financial condition, results of operations and growth prospects.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 Development</w:t>
      </w:r>
    </w:p>
    <w:p>
      <w:pPr>
        <w:spacing w:after="0" w:line="100" w:lineRule="exact"/>
        <w:rPr>
          <w:sz w:val="20"/>
          <w:szCs w:val="20"/>
          <w:color w:val="auto"/>
        </w:rPr>
      </w:pPr>
    </w:p>
    <w:p>
      <w:pPr>
        <w:ind w:right="60" w:firstLine="590"/>
        <w:spacing w:after="0" w:line="294" w:lineRule="auto"/>
        <w:rPr>
          <w:sz w:val="20"/>
          <w:szCs w:val="20"/>
          <w:color w:val="auto"/>
        </w:rPr>
      </w:pPr>
      <w:r>
        <w:rPr>
          <w:rFonts w:ascii="Arial" w:cs="Arial" w:eastAsia="Arial" w:hAnsi="Arial"/>
          <w:sz w:val="14"/>
          <w:szCs w:val="14"/>
          <w:color w:val="auto"/>
        </w:rPr>
        <w:t>With our strong cash balance, we anticipate having sufficient liquidity to make planned investments in our business this year in support of our long-term growth strategy. We believe that our cash, cash equivalents and marketable securities as of March 11, 2021 will fund our current operating plans through at least the next 12 months. However, our operating plan may change as a result of many factors currently unknown to us, and we may need to seek additional funds sooner than planned, through public or private equity or debt financings, third-party funding, marketing and distribution arrangements, as well as other collaborations, strategic alliances and licensing arrangements, or any combination of these approaches. However, 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506" w:right="37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Other Financial and Corporate Impacts</w:t>
      </w:r>
    </w:p>
    <w:p>
      <w:pPr>
        <w:spacing w:after="0" w:line="195" w:lineRule="exact"/>
        <w:rPr>
          <w:sz w:val="20"/>
          <w:szCs w:val="20"/>
          <w:color w:val="auto"/>
        </w:rPr>
      </w:pPr>
    </w:p>
    <w:p>
      <w:pPr>
        <w:ind w:right="260" w:firstLine="590"/>
        <w:spacing w:after="0" w:line="251" w:lineRule="auto"/>
        <w:rPr>
          <w:sz w:val="20"/>
          <w:szCs w:val="20"/>
          <w:color w:val="auto"/>
        </w:rPr>
      </w:pPr>
      <w:r>
        <w:rPr>
          <w:rFonts w:ascii="Arial" w:cs="Arial" w:eastAsia="Arial" w:hAnsi="Arial"/>
          <w:sz w:val="16"/>
          <w:szCs w:val="16"/>
          <w:color w:val="auto"/>
        </w:rPr>
        <w:t>While we continue to evaluate whether the COVID-19 pandemic will adversely affect our business operations and financial results, our clinical development and regulatory efforts, our corporate development objectives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United States, Europe and other countries, and the effectiveness of actions taken globally to contain and treat the disease. For example, if remote work policies for certain portions of our business, or that of our business partners, are extended longer than we currently expect, we may need to reassess our priorities and our corporate objectives for the year.</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SNDX-5613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Rationale for Targeting MLLr</w:t>
      </w:r>
    </w:p>
    <w:p>
      <w:pPr>
        <w:spacing w:after="0" w:line="100" w:lineRule="exact"/>
        <w:rPr>
          <w:sz w:val="20"/>
          <w:szCs w:val="20"/>
          <w:color w:val="auto"/>
        </w:rPr>
      </w:pPr>
    </w:p>
    <w:p>
      <w:pPr>
        <w:ind w:firstLine="590"/>
        <w:spacing w:after="0" w:line="285" w:lineRule="auto"/>
        <w:rPr>
          <w:sz w:val="20"/>
          <w:szCs w:val="20"/>
          <w:color w:val="auto"/>
        </w:rPr>
      </w:pPr>
      <w:r>
        <w:rPr>
          <w:rFonts w:ascii="Arial" w:cs="Arial" w:eastAsia="Arial" w:hAnsi="Arial"/>
          <w:sz w:val="14"/>
          <w:szCs w:val="14"/>
          <w:color w:val="auto"/>
        </w:rPr>
        <w:t>MLLr leukemias arise by rare, spontaneous translocations at the MLL1 locus (11q23). It is estimated that approximately 10% of AML and ALL harbor this MLL-re-arrangement with a worldwide incidence of approximately 5,000 to 7,000 cases per year. These translocations generate oncogenic fusion proteins with more than 90 different MLL fusions currently known. All MLL fusion proteins bind with high affinity to the chromatin associated protein menin through a conserved N-terminal sequence. This specific interaction with menin enables an aberrant transcription program that drives leukemic transformation. In pre-clinical animal models, small molecule inhibitors of the menin-MLL interaction have demonstrated deep and durable single agent treatment effects in multiple leukemic xenografts harboring MLL fusions. Inhibiting the menin-MLL1 interaction represents a novel targeted strategy for the treatment of MLLr leukemias.</w:t>
      </w:r>
      <w:r>
        <w:rPr>
          <w:sz w:val="1"/>
          <w:szCs w:val="1"/>
          <w:color w:val="auto"/>
        </w:rPr>
        <w:drawing>
          <wp:inline distT="0" distB="0" distL="0" distR="0">
            <wp:extent cx="3728720" cy="12630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28720" cy="1263015"/>
                    </a:xfrm>
                    <a:prstGeom prst="rect">
                      <a:avLst/>
                    </a:prstGeom>
                    <a:noFill/>
                    <a:ln>
                      <a:noFill/>
                    </a:ln>
                  </pic:spPr>
                </pic:pic>
              </a:graphicData>
            </a:graphic>
          </wp:inline>
        </w:drawing>
      </w:r>
    </w:p>
    <w:p>
      <w:pPr>
        <w:spacing w:after="0" w:line="73" w:lineRule="exact"/>
        <w:rPr>
          <w:sz w:val="20"/>
          <w:szCs w:val="20"/>
          <w:color w:val="auto"/>
        </w:rPr>
      </w:pPr>
    </w:p>
    <w:p>
      <w:pPr>
        <w:ind w:firstLine="590"/>
        <w:spacing w:after="0" w:line="250" w:lineRule="auto"/>
        <w:rPr>
          <w:sz w:val="20"/>
          <w:szCs w:val="20"/>
          <w:color w:val="auto"/>
        </w:rPr>
      </w:pPr>
      <w:r>
        <w:rPr>
          <w:rFonts w:ascii="Arial" w:cs="Arial" w:eastAsia="Arial" w:hAnsi="Arial"/>
          <w:sz w:val="16"/>
          <w:szCs w:val="16"/>
          <w:color w:val="auto"/>
        </w:rPr>
        <w:t>Today, the first choice therapy for both MLLr AML and MLLr ALL, still relies heavily on intensive chemotherapy, if a patient can tolerate such treatment. Despite these patients being routinely diagnosed, there are currently no targeted therapies approved to treat patients with MLLr acute leukemias. Currently only one other clinical stage agent, another menin-inhbitor that is being developed by Kura Oncology, KO-539, is in clinical development for the treatment of MLLr AML and MLLr ALL, and it is currently also undergoing a Phase 1 dose escalation trial.</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Rationale for Targeting Nucleophosmin 1 Mutant AML</w:t>
      </w:r>
    </w:p>
    <w:p>
      <w:pPr>
        <w:spacing w:after="0" w:line="89" w:lineRule="exact"/>
        <w:rPr>
          <w:sz w:val="20"/>
          <w:szCs w:val="20"/>
          <w:color w:val="auto"/>
        </w:rPr>
      </w:pPr>
    </w:p>
    <w:p>
      <w:pPr>
        <w:ind w:right="140" w:firstLine="590"/>
        <w:spacing w:after="0" w:line="294" w:lineRule="auto"/>
        <w:rPr>
          <w:sz w:val="20"/>
          <w:szCs w:val="20"/>
          <w:color w:val="auto"/>
        </w:rPr>
      </w:pPr>
      <w:r>
        <w:rPr>
          <w:rFonts w:ascii="Arial" w:cs="Arial" w:eastAsia="Arial" w:hAnsi="Arial"/>
          <w:sz w:val="14"/>
          <w:szCs w:val="14"/>
          <w:color w:val="auto"/>
        </w:rPr>
        <w:t>NPM1 is among the most frequently mutated genes in AML, found in approximately 30% of AML cases for an incidence of approximately 20,000 cases per year. Mutations in NPM1 lead to the aberrant cytoplasmic localization of the mutants, termed NPM1c. Loss of NPM1c from the nucleus leads to suppression of differentiation and enables a leukemic transcription program that relies critically on the menin-MLL1 complex to drive and maintain the program. As a result, NPM1c harboring cells are sensitive to menin-MLL interaction inhibitors. In NPM1c cells, inhibition of the menin-MLL interaction suppresses the leukemic transcription program, causing growth arrest, terminal differentiation and cell death. In animal models, small molecule inhibitors of the menin-MLL interaction have demonstrated deep and durable single agent treatment effects in multiple NPM1c xenografts. Based on these findings, blocking the menin-MLL1 interaction represents a novel targeted strategy for the treatment of NPM1c AML.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11" w:name="page12"/>
    <w:bookmarkEnd w:id="11"/>
    <w:p>
      <w:pPr>
        <w:ind w:right="160" w:firstLine="590"/>
        <w:spacing w:after="0" w:line="254" w:lineRule="auto"/>
        <w:rPr>
          <w:sz w:val="20"/>
          <w:szCs w:val="20"/>
          <w:color w:val="auto"/>
        </w:rPr>
      </w:pPr>
      <w:r>
        <w:rPr>
          <w:rFonts w:ascii="Arial" w:cs="Arial" w:eastAsia="Arial" w:hAnsi="Arial"/>
          <w:sz w:val="16"/>
          <w:szCs w:val="16"/>
          <w:color w:val="auto"/>
        </w:rPr>
        <w:t>Like MLLr, NPM1 is readily diagnosed as part of the standard AML patient work-up today, and yet there are no approved targeted therapies approved to treat patients with a NPM1 mutant AML. There are 2 additional clinical stage agents currently advancing as a treatment for NPM1 mutant AML, another menin inhibitor that is being developed by Kura Oncology, KO-539, is also undergoing a Phase 1 dose escalation trial, and a SYK inhibitor being developed by Kronos Bio, entosplentinib, expected to initiate a Phase 2 trial in 2021.</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Axatilimab in GVHD</w:t>
      </w:r>
    </w:p>
    <w:p>
      <w:pPr>
        <w:spacing w:after="0" w:line="100" w:lineRule="exact"/>
        <w:rPr>
          <w:sz w:val="20"/>
          <w:szCs w:val="20"/>
          <w:color w:val="auto"/>
        </w:rPr>
      </w:pPr>
    </w:p>
    <w:p>
      <w:pPr>
        <w:ind w:firstLine="590"/>
        <w:spacing w:after="0" w:line="254" w:lineRule="auto"/>
        <w:rPr>
          <w:sz w:val="20"/>
          <w:szCs w:val="20"/>
          <w:color w:val="auto"/>
        </w:rPr>
      </w:pPr>
      <w:r>
        <w:rPr>
          <w:rFonts w:ascii="Arial" w:cs="Arial" w:eastAsia="Arial" w:hAnsi="Arial"/>
          <w:sz w:val="16"/>
          <w:szCs w:val="16"/>
          <w:color w:val="auto"/>
        </w:rPr>
        <w:t>cGVHD, an immune response of the donor-derived hematopoietic cells against recipient tissues, is a serious, potentially life-threatening complication of allogeneic hematopoietic stem cell transplantation, or HSCT, that can last for years. cGVHD is estimated to develop in approximately 40% of transplant recipients and affects approximately 14,000 patients in the United States. cGVHD typically manifests across multiple organ systems, with the skin and mucosa being commonly involved, and is characterized by the development of fibrotic tissue</w:t>
      </w:r>
    </w:p>
    <w:p>
      <w:pPr>
        <w:spacing w:after="0" w:line="168" w:lineRule="exact"/>
        <w:rPr>
          <w:sz w:val="20"/>
          <w:szCs w:val="20"/>
          <w:color w:val="auto"/>
        </w:rPr>
      </w:pPr>
    </w:p>
    <w:p>
      <w:pPr>
        <w:ind w:firstLine="590"/>
        <w:spacing w:after="0" w:line="288" w:lineRule="auto"/>
        <w:rPr>
          <w:sz w:val="20"/>
          <w:szCs w:val="20"/>
          <w:color w:val="auto"/>
        </w:rPr>
      </w:pPr>
      <w:r>
        <w:rPr>
          <w:rFonts w:ascii="Arial" w:cs="Arial" w:eastAsia="Arial" w:hAnsi="Arial"/>
          <w:sz w:val="14"/>
          <w:szCs w:val="14"/>
          <w:color w:val="auto"/>
        </w:rPr>
        <w:t xml:space="preserve">The first line of therapy for cGVHD is typically corticosteroids, though approximately 50% of patients may require treatment with additional systemic therapies, such as extracorporeal photopheresis, cytostatic agents such as mycophenolate moftetil, methotrexate, and immunmodulators such as rituximab, IL-2. </w:t>
      </w:r>
      <w:r>
        <w:rPr>
          <w:rFonts w:ascii="Arial" w:cs="Arial" w:eastAsia="Arial" w:hAnsi="Arial"/>
          <w:sz w:val="14"/>
          <w:szCs w:val="14"/>
          <w:i w:val="1"/>
          <w:iCs w:val="1"/>
          <w:color w:val="auto"/>
        </w:rPr>
        <w:t>Imbruvica</w:t>
      </w:r>
      <w:r>
        <w:rPr>
          <w:rFonts w:ascii="Arial" w:cs="Arial" w:eastAsia="Arial" w:hAnsi="Arial"/>
          <w:sz w:val="14"/>
          <w:szCs w:val="14"/>
          <w:color w:val="auto"/>
        </w:rPr>
        <w:t xml:space="preserve">® (ibrutinib), a BTK inhibitor, is the only FDA-approved therapy for cGVHD and is indicated for use after one or more lines of therapy. </w:t>
      </w:r>
      <w:r>
        <w:rPr>
          <w:rFonts w:ascii="Arial" w:cs="Arial" w:eastAsia="Arial" w:hAnsi="Arial"/>
          <w:sz w:val="14"/>
          <w:szCs w:val="14"/>
          <w:i w:val="1"/>
          <w:iCs w:val="1"/>
          <w:color w:val="auto"/>
        </w:rPr>
        <w:t>Imbruvica</w:t>
      </w:r>
      <w:r>
        <w:rPr>
          <w:rFonts w:ascii="Arial" w:cs="Arial" w:eastAsia="Arial" w:hAnsi="Arial"/>
          <w:sz w:val="14"/>
          <w:szCs w:val="14"/>
          <w:color w:val="auto"/>
        </w:rPr>
        <w:t xml:space="preserve"> received approval based on Phase 1/2 clinical trial data that showed a 68% overall response rate, with 48% of responses lasting 20 weeks or longer and reduced dependence on steroids for most patients. Two other agents, KD-025, a ROCK2 inhibitor being developed by Kadmon Holdings, and Jakafi® (Ruxolitinib), a JAK inhibitor being developed by Incyte, have recently reported positive results in their registration-directed clinical trials for patients with cGVHDa. While all three agents have shown a benefit in improving symptoms of this disease, none have demonstrated an improvement in long-term outcomes and a significant unmet medical need still remains for this patient population. Additionally, all 3 new agents, Imbruvica, Jakafi and KD-025 are believed to exert their effect through T- and B-cells, with minimal impact on macrophages. By inhibiting the work of monocyte-derived macrophages, Axatilimab, provides a differentiated way to treat cGVHD, which we expect is ultimately expected to have a more pronounced impact on the fibrotic process. We also believe that shifting CSF-1R inhibition earlier in the treatment phase of cGVHD, to minimize formation of fibrotic tissue, could have a meaningful long-term impact on the disease process itself.</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Collaborations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NCI and Investigator Collaborations</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Collaborative Research and Development Agreement with the NCI related to Entinostat</w:t>
      </w:r>
    </w:p>
    <w:p>
      <w:pPr>
        <w:spacing w:after="0" w:line="100" w:lineRule="exact"/>
        <w:rPr>
          <w:sz w:val="20"/>
          <w:szCs w:val="20"/>
          <w:color w:val="auto"/>
        </w:rPr>
      </w:pPr>
    </w:p>
    <w:p>
      <w:pPr>
        <w:ind w:right="140" w:firstLine="590"/>
        <w:spacing w:after="0" w:line="283" w:lineRule="auto"/>
        <w:rPr>
          <w:sz w:val="20"/>
          <w:szCs w:val="20"/>
          <w:color w:val="auto"/>
        </w:rPr>
      </w:pPr>
      <w:r>
        <w:rPr>
          <w:rFonts w:ascii="Arial" w:cs="Arial" w:eastAsia="Arial" w:hAnsi="Arial"/>
          <w:sz w:val="15"/>
          <w:szCs w:val="15"/>
          <w:color w:val="auto"/>
        </w:rPr>
        <w:t>Our collaboration with the NCI is governed by a CRADA between us and the NCI. The CRADA was originally signed by Mitsui Pharmaceuticals, Inc., or Mitsui, and was then assigned to Schering AG following Schering AG’s acquisition of Mitsui. In 2007, Schering AG, then known as Bayer Schering Pharma AG, agreed to assign the CRADA to us in connection with the execution of a license, development and commercialization agreement, or the Bayer license agreement, with Bayer.</w:t>
      </w:r>
    </w:p>
    <w:p>
      <w:pPr>
        <w:spacing w:after="0" w:line="148" w:lineRule="exact"/>
        <w:rPr>
          <w:sz w:val="20"/>
          <w:szCs w:val="20"/>
          <w:color w:val="auto"/>
        </w:rPr>
      </w:pPr>
    </w:p>
    <w:p>
      <w:pPr>
        <w:ind w:right="40" w:firstLine="590"/>
        <w:spacing w:after="0" w:line="254" w:lineRule="auto"/>
        <w:rPr>
          <w:sz w:val="20"/>
          <w:szCs w:val="20"/>
          <w:color w:val="auto"/>
        </w:rPr>
      </w:pPr>
      <w:r>
        <w:rPr>
          <w:rFonts w:ascii="Arial" w:cs="Arial" w:eastAsia="Arial" w:hAnsi="Arial"/>
          <w:sz w:val="16"/>
          <w:szCs w:val="16"/>
          <w:color w:val="auto"/>
        </w:rPr>
        <w:t>Under the CRADA, as amended, the NCI sponsors clinical studies on entinostat using researchers at the NCI as well as NCI-funded researchers at other institutions, including ECOG-ACRIN and JHU. In return, we receive access to the data generated in these clinical studies, and we are obligated to supply the clinical trial sites with sufficient quantities of entinostat. Additionally, we are required to make an annual payment to a particular NCI laboratory to help support certain research studies related to this and other clinical trial. We have no other payment obligations under the CRADA.</w:t>
      </w:r>
    </w:p>
    <w:p>
      <w:pPr>
        <w:spacing w:after="0" w:line="168" w:lineRule="exact"/>
        <w:rPr>
          <w:sz w:val="20"/>
          <w:szCs w:val="20"/>
          <w:color w:val="auto"/>
        </w:rPr>
      </w:pPr>
    </w:p>
    <w:p>
      <w:pPr>
        <w:ind w:firstLine="590"/>
        <w:spacing w:after="0" w:line="276" w:lineRule="auto"/>
        <w:rPr>
          <w:sz w:val="20"/>
          <w:szCs w:val="20"/>
          <w:color w:val="auto"/>
        </w:rPr>
      </w:pPr>
      <w:r>
        <w:rPr>
          <w:rFonts w:ascii="Arial" w:cs="Arial" w:eastAsia="Arial" w:hAnsi="Arial"/>
          <w:sz w:val="15"/>
          <w:szCs w:val="15"/>
          <w:color w:val="auto"/>
        </w:rPr>
        <w:t>We own any intellectual property generated in the course of the collaboration with the NCI, or Collaboration IP, to the extent that Collaboration IP is generated by our employees. We also have an exclusive option to obtain an exclusive or non-exclusive commercialization license under Collaboration IP generated by the NCI. With respect to any Collaboration IP that is owned by or licensed to us, we have agreed to grant the United States government a non-exclusive license to practice or have practiced this Collaboration IP throughout the world by or on behalf of the government for research or other government purposes.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12" w:name="page13"/>
    <w:bookmarkEnd w:id="12"/>
    <w:p>
      <w:pPr>
        <w:ind w:right="420" w:firstLine="590"/>
        <w:spacing w:after="0" w:line="268" w:lineRule="auto"/>
        <w:rPr>
          <w:sz w:val="20"/>
          <w:szCs w:val="20"/>
          <w:color w:val="auto"/>
        </w:rPr>
      </w:pPr>
      <w:r>
        <w:rPr>
          <w:rFonts w:ascii="Arial" w:cs="Arial" w:eastAsia="Arial" w:hAnsi="Arial"/>
          <w:sz w:val="16"/>
          <w:szCs w:val="16"/>
          <w:color w:val="auto"/>
        </w:rPr>
        <w:t>Either party may terminate the CRADA either by mutual consent or unilaterally upon advance written notice to the other party. Absent such early termination, the CRADA will expire on May 21, 2023. As we have in the past, we expect to renew the CRADA at that time.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Clinical Trial Agreement with Eastern Cooperative Oncology Group</w:t>
      </w:r>
    </w:p>
    <w:p>
      <w:pPr>
        <w:spacing w:after="0" w:line="100" w:lineRule="exact"/>
        <w:rPr>
          <w:sz w:val="20"/>
          <w:szCs w:val="20"/>
          <w:color w:val="auto"/>
        </w:rPr>
      </w:pPr>
    </w:p>
    <w:p>
      <w:pPr>
        <w:ind w:firstLine="590"/>
        <w:spacing w:after="0" w:line="267" w:lineRule="auto"/>
        <w:rPr>
          <w:sz w:val="20"/>
          <w:szCs w:val="20"/>
          <w:color w:val="auto"/>
        </w:rPr>
      </w:pPr>
      <w:r>
        <w:rPr>
          <w:rFonts w:ascii="Arial" w:cs="Arial" w:eastAsia="Arial" w:hAnsi="Arial"/>
          <w:sz w:val="15"/>
          <w:szCs w:val="15"/>
          <w:color w:val="auto"/>
        </w:rPr>
        <w:t>In March 2014, we entered into a clinical trial agreement with Eastern Cooperative Oncology Group, a contracting entity for ECOG-ACRIN, which describes the parties’ obligations with respect to the NCI-sponsored pivotal Phase 3 clinical trial of entinostat. Under the terms of the clinical trial agreement, ECOG-ACRIN is performing this clinical trial in accordance with the clinical trial protocol and a mutually agreed scope of work. In January 2015, we amended the agreement to provide for additional patient site reimbursement funds, which will be paid based on milestone-based payments. We have provided a fixed level of financial support for the clinical trial through an upfront payment of $0.7 million and a series of time- and milestone-based payments of up to $1.0 million each that are comprised of milestone payments through the completion of enrollment and time-based payments through the completion of patient monitoring post-enrollment. In addition, we are obligated to supply entinostat and placebo to ECOG-ACRIN for use in the clinical trial. From the second quarter of 2016 through the fourth quarter of 2018, we have entered into a number of amendments to the agreement to provide for additional study activities resulting in an increase of the contractual obligation of $5.3 million. We have agreed to provide this additional financial support to fund the additional activities required to ensure that the E2112 clinical trial will satisfy FDA registration requirements. As of December 31, 2020, our aggregate payment obligations under this agreement are approximately $24.7 million; and our remaining obligations under this agreement were $3.2 million over an estimated period of approximately one year. As of December 31, 2020, we have accrued $1.6 million related to the ECOG Agreement.</w:t>
      </w:r>
    </w:p>
    <w:p>
      <w:pPr>
        <w:spacing w:after="0" w:line="162" w:lineRule="exact"/>
        <w:rPr>
          <w:sz w:val="20"/>
          <w:szCs w:val="20"/>
          <w:color w:val="auto"/>
        </w:rPr>
      </w:pPr>
    </w:p>
    <w:p>
      <w:pPr>
        <w:ind w:right="160" w:firstLine="590"/>
        <w:spacing w:after="0" w:line="254" w:lineRule="auto"/>
        <w:rPr>
          <w:sz w:val="20"/>
          <w:szCs w:val="20"/>
          <w:color w:val="auto"/>
        </w:rPr>
      </w:pPr>
      <w:r>
        <w:rPr>
          <w:rFonts w:ascii="Arial" w:cs="Arial" w:eastAsia="Arial" w:hAnsi="Arial"/>
          <w:sz w:val="16"/>
          <w:szCs w:val="16"/>
          <w:color w:val="auto"/>
        </w:rPr>
        <w:t>ECOG-ACRIN owns data and inventions from the Phase 3 clinical trial. We have access to the data generated in the clinical trial, both directly from ECOG-ACRIN under the clinical trial agreement, as well as from the NCI through our agreement with it. Additionally, ECOG-ACRIN has granted us a non-exclusive license to any inventions or discoveries that are derived from entinostat as a result of its use during the clinical trial, along with a first right to negotiate an exclusive license to any of these inventions or discoveries.</w:t>
      </w:r>
    </w:p>
    <w:p>
      <w:pPr>
        <w:spacing w:after="0" w:line="168" w:lineRule="exact"/>
        <w:rPr>
          <w:sz w:val="20"/>
          <w:szCs w:val="20"/>
          <w:color w:val="auto"/>
        </w:rPr>
      </w:pPr>
    </w:p>
    <w:p>
      <w:pPr>
        <w:ind w:right="40" w:firstLine="590"/>
        <w:spacing w:after="0" w:line="341" w:lineRule="auto"/>
        <w:rPr>
          <w:sz w:val="20"/>
          <w:szCs w:val="20"/>
          <w:color w:val="auto"/>
        </w:rPr>
      </w:pPr>
      <w:r>
        <w:rPr>
          <w:rFonts w:ascii="Arial" w:cs="Arial" w:eastAsia="Arial" w:hAnsi="Arial"/>
          <w:sz w:val="14"/>
          <w:szCs w:val="14"/>
          <w:color w:val="auto"/>
        </w:rPr>
        <w:t>Either party may terminate the clinical trial agreement in the event of an uncured material breach by the other party or if the FDA or NCI withdraws the authorization to perform the clinical trial in the United States. The parties may jointly terminate the clinical trial agreement if the parties agree that safety-related issues support termination.</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Collaborative Research and Development Agreement with the NCI related to Axatilimab and Entinostat</w:t>
      </w:r>
    </w:p>
    <w:p>
      <w:pPr>
        <w:spacing w:after="0" w:line="100" w:lineRule="exact"/>
        <w:rPr>
          <w:sz w:val="20"/>
          <w:szCs w:val="20"/>
          <w:color w:val="auto"/>
        </w:rPr>
      </w:pPr>
    </w:p>
    <w:p>
      <w:pPr>
        <w:ind w:right="60" w:firstLine="590"/>
        <w:spacing w:after="0" w:line="252" w:lineRule="auto"/>
        <w:rPr>
          <w:sz w:val="20"/>
          <w:szCs w:val="20"/>
          <w:color w:val="auto"/>
        </w:rPr>
      </w:pPr>
      <w:r>
        <w:rPr>
          <w:rFonts w:ascii="Arial" w:cs="Arial" w:eastAsia="Arial" w:hAnsi="Arial"/>
          <w:sz w:val="16"/>
          <w:szCs w:val="16"/>
          <w:color w:val="auto"/>
        </w:rPr>
        <w:t>In September 2016, we entered into an additional collaboration with the NCI related to both entinostat and axatilimab. Under the CRADA, the NCI sponsors preclinical and clinical studies on entinostat and axatilimab using researchers at the NCI as well as NCI-funded researchers at other institutions. In return, we receive access to the data generated in these preclinical and clinical studies and we are obligated to supply the laboratories and clinical trial sites with sufficient quantities of entinostat and axatilimab. Additionally, we are required to make an annual payment to a particular NCI laboratory to help support certain research studies related to this and other preclinical and clinical trials. We have no other payment obligations under the CRADA.</w:t>
      </w:r>
    </w:p>
    <w:p>
      <w:pPr>
        <w:spacing w:after="0" w:line="171" w:lineRule="exact"/>
        <w:rPr>
          <w:sz w:val="20"/>
          <w:szCs w:val="20"/>
          <w:color w:val="auto"/>
        </w:rPr>
      </w:pPr>
    </w:p>
    <w:p>
      <w:pPr>
        <w:ind w:firstLine="590"/>
        <w:spacing w:after="0" w:line="276" w:lineRule="auto"/>
        <w:rPr>
          <w:sz w:val="20"/>
          <w:szCs w:val="20"/>
          <w:color w:val="auto"/>
        </w:rPr>
      </w:pPr>
      <w:r>
        <w:rPr>
          <w:rFonts w:ascii="Arial" w:cs="Arial" w:eastAsia="Arial" w:hAnsi="Arial"/>
          <w:sz w:val="15"/>
          <w:szCs w:val="15"/>
          <w:color w:val="auto"/>
        </w:rPr>
        <w:t>We own all intellectual property generated during the collaboration with the NCI, or Axatilimab Collaboration IP, to the extent that Axatilimab Collaboration IP is generated by our employees. We also have an exclusive option to obtain an exclusive or non-exclusive commercialization license under Axatilimab Collaboration IP generated by the NCI. With respect to any Axatilimab Collaboration IP that is owned by or licensed to us, we have agreed to grant the U.S. government a non-exclusive license to practice or have practiced this Axatilimab Collaboration IP throughout the world by or on behalf of the government for research or other government purposes.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License Agreement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Kyowa Kirin</w:t>
      </w:r>
    </w:p>
    <w:p>
      <w:pPr>
        <w:spacing w:after="0" w:line="100" w:lineRule="exact"/>
        <w:rPr>
          <w:sz w:val="20"/>
          <w:szCs w:val="20"/>
          <w:color w:val="auto"/>
        </w:rPr>
      </w:pPr>
    </w:p>
    <w:p>
      <w:pPr>
        <w:ind w:right="140" w:firstLine="590"/>
        <w:spacing w:after="0" w:line="250" w:lineRule="auto"/>
        <w:rPr>
          <w:sz w:val="20"/>
          <w:szCs w:val="20"/>
          <w:color w:val="auto"/>
        </w:rPr>
      </w:pPr>
      <w:r>
        <w:rPr>
          <w:rFonts w:ascii="Arial" w:cs="Arial" w:eastAsia="Arial" w:hAnsi="Arial"/>
          <w:sz w:val="16"/>
          <w:szCs w:val="16"/>
          <w:color w:val="auto"/>
        </w:rPr>
        <w:t>In December 2014, we entered into a license, development and commercialization agreement with Kyowa Kirin Co., Ltd., or KKC, under which we granted KKC an exclusive license under our intellectual property rights to develop and commercialize entinostat in Japan and Korea. This license includes a sublicense under the rights we received under the Bayer license agreement. If we acquire or develop any other anti-cancer drug that, like entinostat, is a selective inhibitor of Class I HDAC, such drug will be included in this license as well. We will manufacture and supply entinostat to KKC during the term of the agreement, and such obligation may continue for a longer period if KKC continues to sell entinostat following expiration of the agreement or termination of the agreement for our breach. During the term of the agreement, subject to certain exceptions, each party is prohibited from commercializing in the Japan and Korea any other selective inhibitor of Class I HDACs for the same indication as entinostat, with all forms of cancer being treated as the same indication.</w:t>
      </w:r>
    </w:p>
    <w:p>
      <w:pPr>
        <w:spacing w:after="0" w:line="174" w:lineRule="exact"/>
        <w:rPr>
          <w:sz w:val="20"/>
          <w:szCs w:val="20"/>
          <w:color w:val="auto"/>
        </w:rPr>
      </w:pPr>
    </w:p>
    <w:p>
      <w:pPr>
        <w:ind w:right="40" w:firstLine="590"/>
        <w:spacing w:after="0" w:line="252" w:lineRule="auto"/>
        <w:rPr>
          <w:sz w:val="20"/>
          <w:szCs w:val="20"/>
          <w:color w:val="auto"/>
        </w:rPr>
      </w:pPr>
      <w:r>
        <w:rPr>
          <w:rFonts w:ascii="Arial" w:cs="Arial" w:eastAsia="Arial" w:hAnsi="Arial"/>
          <w:sz w:val="16"/>
          <w:szCs w:val="16"/>
          <w:color w:val="auto"/>
        </w:rPr>
        <w:t>We received an upfront license fee of $17.5 million, and KKC purchased 536,049 shares of our Series B-1 Preferred Stock for an aggregate price of approximately $7.5 million. We are eligible to receive up to $50.0 million in development and regulatory milestone payments and up to $25.0 million in sales milestone payments. In October 2017, we announced that KKC dosed the first patient in a randomized, double-blind, placebo-controlled, pivotal Phase 2 trial of entinostat (designated KHK2375 by KKC), in combination with exemestane versus exemestane plus placebo in Japanese patients with advanced or recurrent HR+, HER2- breast cancer. Enrollment of the first patient in this trial triggered a $5 million milestone payment to us from KKC.</w:t>
      </w:r>
    </w:p>
    <w:p>
      <w:pPr>
        <w:spacing w:after="0" w:line="171" w:lineRule="exact"/>
        <w:rPr>
          <w:sz w:val="20"/>
          <w:szCs w:val="20"/>
          <w:color w:val="auto"/>
        </w:rPr>
      </w:pPr>
    </w:p>
    <w:p>
      <w:pPr>
        <w:ind w:right="60" w:firstLine="590"/>
        <w:spacing w:after="0" w:line="252" w:lineRule="auto"/>
        <w:rPr>
          <w:sz w:val="20"/>
          <w:szCs w:val="20"/>
          <w:color w:val="auto"/>
        </w:rPr>
      </w:pPr>
      <w:r>
        <w:rPr>
          <w:rFonts w:ascii="Arial" w:cs="Arial" w:eastAsia="Arial" w:hAnsi="Arial"/>
          <w:sz w:val="16"/>
          <w:szCs w:val="16"/>
          <w:color w:val="auto"/>
        </w:rPr>
        <w:t>KKC will pay us a transfer price for the supply of entinostat as well as royalties on net sales of entinostat above a specified threshold each calendar year by KKC, its affiliates and sublicensees in the low single digits. Royalty payment obligations will be payable in each country in the KKC territory until the later to occur of (i) the date that all valid claims of the last effective license patent in such country expires or is abandoned, withheld or otherwise invalidated and (ii) 15 years from the date of first commercial sale of entinostat in such country. Any payments owed to Bayer as a result of KKC development and commercialization of entinostat in the KKC territory will be made by us out of the payments we receive from KKC.</w:t>
      </w:r>
    </w:p>
    <w:p>
      <w:pPr>
        <w:spacing w:after="0" w:line="171" w:lineRule="exact"/>
        <w:rPr>
          <w:sz w:val="20"/>
          <w:szCs w:val="20"/>
          <w:color w:val="auto"/>
        </w:rPr>
      </w:pPr>
    </w:p>
    <w:p>
      <w:pPr>
        <w:ind w:firstLine="590"/>
        <w:spacing w:after="0" w:line="251" w:lineRule="auto"/>
        <w:rPr>
          <w:sz w:val="20"/>
          <w:szCs w:val="20"/>
          <w:color w:val="auto"/>
        </w:rPr>
      </w:pPr>
      <w:r>
        <w:rPr>
          <w:rFonts w:ascii="Arial" w:cs="Arial" w:eastAsia="Arial" w:hAnsi="Arial"/>
          <w:sz w:val="16"/>
          <w:szCs w:val="16"/>
          <w:color w:val="auto"/>
        </w:rPr>
        <w:t>The agreement with KKC will expire with respect to each country in the KKC territory upon the expiration of all royalty payment obligations in such country. In addition, we may terminate the agreement in its entirety upon written notice to KKC if KKC or any affiliate commences any action or proceeding that challenges the validity, enforceability or scope of any licensed patent in the KKC territory. KKC may terminate the agreement in its entirety for convenience at any time upon advance notice to us. Either party may terminate the agreement for the other party’s uncured material breach, or bankruptcy or related actions or proceedings. If we commit an uncured material breach of certain provisions of the agreement, KKC may, instead of terminating the agreement, elect to continue the agreement in full force and effect except certain payments to us will be reduced.</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04" w:lineRule="exact"/>
        <w:rPr>
          <w:sz w:val="20"/>
          <w:szCs w:val="20"/>
          <w:color w:val="auto"/>
        </w:rPr>
      </w:pPr>
    </w:p>
    <w:p>
      <w:pPr>
        <w:ind w:right="60" w:firstLine="590"/>
        <w:spacing w:after="0" w:line="251" w:lineRule="auto"/>
        <w:rPr>
          <w:sz w:val="20"/>
          <w:szCs w:val="20"/>
          <w:color w:val="auto"/>
        </w:rPr>
      </w:pPr>
      <w:r>
        <w:rPr>
          <w:rFonts w:ascii="Arial" w:cs="Arial" w:eastAsia="Arial" w:hAnsi="Arial"/>
          <w:sz w:val="16"/>
          <w:szCs w:val="16"/>
          <w:color w:val="auto"/>
        </w:rPr>
        <w:t>Given our stage of development, we have not yet established a commercial organization or distribution capabilities. We intend to build a commercial infrastructure to support sales of our product candidates in the United States. Our targeted sales force will focus on a well-defined group of medical oncologists, primarily in the non-hospital and academic settings, who are responsible for the care and treatment of cancer patients. We expect to manage sales, marketing and distribution through internal resources and third-party relationships. While we may commit significant financial and management resources to commercial activities, we would also consider collaborating with one or more pharmaceutical companies to enhance our commercial capabilities. Outside the United States, we plan to rely on our current partners and may seek additional pharmaceutical partners for sales and marketing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104" w:lineRule="exact"/>
        <w:rPr>
          <w:sz w:val="20"/>
          <w:szCs w:val="20"/>
          <w:color w:val="auto"/>
        </w:rPr>
      </w:pPr>
    </w:p>
    <w:p>
      <w:pPr>
        <w:jc w:val="both"/>
        <w:ind w:right="700" w:firstLine="590"/>
        <w:spacing w:after="0" w:line="257" w:lineRule="auto"/>
        <w:rPr>
          <w:sz w:val="20"/>
          <w:szCs w:val="20"/>
          <w:color w:val="auto"/>
        </w:rPr>
      </w:pPr>
      <w:r>
        <w:rPr>
          <w:rFonts w:ascii="Arial" w:cs="Arial" w:eastAsia="Arial" w:hAnsi="Arial"/>
          <w:sz w:val="16"/>
          <w:szCs w:val="16"/>
          <w:color w:val="auto"/>
        </w:rPr>
        <w:t>We do not own or operate manufacturing facilities for the production of axatilimab, SNDX-5613 or entinostat, and we do not have plans to develop our own manufacturing operations in the foreseeable future. We currently rely on third-party contract manufacturers for all of our required raw materials, active pharmaceutical ingredients and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312" w:right="359" w:bottom="1440" w:gutter="0" w:footer="0" w:header="0"/>
        </w:sectPr>
      </w:pPr>
    </w:p>
    <w:bookmarkStart w:id="14" w:name="page15"/>
    <w:bookmarkEnd w:id="14"/>
    <w:p>
      <w:pPr>
        <w:ind w:left="5"/>
        <w:spacing w:after="0" w:line="302" w:lineRule="auto"/>
        <w:rPr>
          <w:sz w:val="20"/>
          <w:szCs w:val="20"/>
          <w:color w:val="auto"/>
        </w:rPr>
      </w:pPr>
      <w:r>
        <w:rPr>
          <w:rFonts w:ascii="Arial" w:cs="Arial" w:eastAsia="Arial" w:hAnsi="Arial"/>
          <w:sz w:val="14"/>
          <w:szCs w:val="14"/>
          <w:color w:val="auto"/>
        </w:rPr>
        <w:t>finished product for our preclinical research and clinical trials. We do not have any current contractual relationship for the manufacture of commercial supplies. If axatilimab, SNDX-5613 or entinostat is approved by any regulatory agency, we intend to enter into agreements with a third-party contract manufacturer and one or more backup manufacturers for the commercial production of such product. Development and commercial quantities of any products that we develop will need to be manufactured in facilities, and by processes, that comply with the requirements of the FDA and the regulatory agencies of other jurisdictions in which we are seeking approval.</w:t>
      </w:r>
    </w:p>
    <w:p>
      <w:pPr>
        <w:spacing w:after="0" w:line="22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Intellectual Property</w:t>
      </w:r>
    </w:p>
    <w:p>
      <w:pPr>
        <w:spacing w:after="0" w:line="10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Patents and Property Rights</w:t>
      </w:r>
    </w:p>
    <w:p>
      <w:pPr>
        <w:spacing w:after="0" w:line="100" w:lineRule="exact"/>
        <w:rPr>
          <w:sz w:val="20"/>
          <w:szCs w:val="20"/>
          <w:color w:val="auto"/>
        </w:rPr>
      </w:pPr>
    </w:p>
    <w:p>
      <w:pPr>
        <w:ind w:left="5" w:firstLine="590"/>
        <w:spacing w:after="0" w:line="302" w:lineRule="auto"/>
        <w:rPr>
          <w:sz w:val="20"/>
          <w:szCs w:val="20"/>
          <w:color w:val="auto"/>
        </w:rPr>
      </w:pPr>
      <w:r>
        <w:rPr>
          <w:rFonts w:ascii="Arial" w:cs="Arial" w:eastAsia="Arial" w:hAnsi="Arial"/>
          <w:sz w:val="14"/>
          <w:szCs w:val="14"/>
          <w:color w:val="auto"/>
        </w:rPr>
        <w:t>Through licensed intellectual property and our owned intellectual property, we seek patent protection in the United States and internationally for our product candidates, their methods of use and processes for their manufacture, as well as for other technologies, where appropriate. Our policy is to actively seek to protect our proprietary position by, among other things, filing patent applications in the United States and abroad claiming our proprietary technologies that are important to the development of our business. We also rely on trade secrets, know-how, continuing technological innovation and in-licensing opportunities to develop and maintain our proprietary position.</w:t>
      </w:r>
    </w:p>
    <w:p>
      <w:pPr>
        <w:spacing w:after="0" w:line="137" w:lineRule="exact"/>
        <w:rPr>
          <w:sz w:val="20"/>
          <w:szCs w:val="20"/>
          <w:color w:val="auto"/>
        </w:rPr>
      </w:pPr>
    </w:p>
    <w:p>
      <w:pPr>
        <w:ind w:left="5" w:right="80" w:firstLine="590"/>
        <w:spacing w:after="0" w:line="273" w:lineRule="auto"/>
        <w:rPr>
          <w:sz w:val="20"/>
          <w:szCs w:val="20"/>
          <w:color w:val="auto"/>
        </w:rPr>
      </w:pPr>
      <w:r>
        <w:rPr>
          <w:rFonts w:ascii="Arial" w:cs="Arial" w:eastAsia="Arial" w:hAnsi="Arial"/>
          <w:sz w:val="15"/>
          <w:szCs w:val="15"/>
          <w:color w:val="auto"/>
        </w:rPr>
        <w:t>We cannot be sure that patents will be granted with respect to any of our owned or licensed pending patent applications or with respect to any patent applications filed by us or our licensors in the future, nor can we be sure that any of our existing owned or licensed patents or any patents that may be granted to us or to our licensors in the future will protect our technology. Our success will depend significantly on our ability to obtain and maintain patent and other proprietary protection for the technologies that we consider important to our business, defend our patents, preserve the confidentiality of our trade secrets, operate our business without infringing the patents and proprietary rights of third parties, and prevent third parties from infringing our proprietary rights.</w:t>
      </w:r>
    </w:p>
    <w:p>
      <w:pPr>
        <w:spacing w:after="0" w:line="25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Axatilimab Patent Portfolio</w:t>
      </w:r>
    </w:p>
    <w:p>
      <w:pPr>
        <w:spacing w:after="0" w:line="100" w:lineRule="exact"/>
        <w:rPr>
          <w:sz w:val="20"/>
          <w:szCs w:val="20"/>
          <w:color w:val="auto"/>
        </w:rPr>
      </w:pPr>
    </w:p>
    <w:p>
      <w:pPr>
        <w:ind w:left="5" w:right="20" w:firstLine="590"/>
        <w:spacing w:after="0" w:line="283" w:lineRule="auto"/>
        <w:rPr>
          <w:sz w:val="20"/>
          <w:szCs w:val="20"/>
          <w:color w:val="auto"/>
        </w:rPr>
      </w:pPr>
      <w:r>
        <w:rPr>
          <w:rFonts w:ascii="Arial" w:cs="Arial" w:eastAsia="Arial" w:hAnsi="Arial"/>
          <w:sz w:val="15"/>
          <w:szCs w:val="15"/>
          <w:color w:val="auto"/>
        </w:rPr>
        <w:t>We in-licensed from UCB a patent portfolio directed to axatilimab. As of December 31, 2020, the axatilimab composition-of-matter patent portfolio included two granted U.S. patents, seven allowed non-U.S. applications, eight granted non-U.S. patents and 23 non-U.S. pending patent applications.</w:t>
      </w:r>
      <w:r>
        <w:rPr>
          <w:rFonts w:ascii="Arial" w:cs="Arial" w:eastAsia="Arial" w:hAnsi="Arial"/>
          <w:sz w:val="12"/>
          <w:szCs w:val="12"/>
          <w:color w:val="auto"/>
        </w:rPr>
        <w:t>1</w:t>
      </w:r>
      <w:r>
        <w:rPr>
          <w:rFonts w:ascii="Arial" w:cs="Arial" w:eastAsia="Arial" w:hAnsi="Arial"/>
          <w:sz w:val="15"/>
          <w:szCs w:val="15"/>
          <w:color w:val="auto"/>
        </w:rPr>
        <w:t xml:space="preserve"> The in-licensed granted patents covering axatilimab, and any non-U.S. pending applications should they issue, will expire in August 2034 or later should patent term extension be granted.</w:t>
      </w:r>
    </w:p>
    <w:p>
      <w:pPr>
        <w:spacing w:after="0" w:line="53" w:lineRule="exact"/>
        <w:rPr>
          <w:sz w:val="20"/>
          <w:szCs w:val="20"/>
          <w:color w:val="auto"/>
        </w:rPr>
      </w:pPr>
    </w:p>
    <w:p>
      <w:pPr>
        <w:ind w:left="5" w:right="60" w:firstLine="590"/>
        <w:spacing w:after="0" w:line="273" w:lineRule="auto"/>
        <w:rPr>
          <w:sz w:val="20"/>
          <w:szCs w:val="20"/>
          <w:color w:val="auto"/>
        </w:rPr>
      </w:pPr>
      <w:r>
        <w:rPr>
          <w:rFonts w:ascii="Arial" w:cs="Arial" w:eastAsia="Arial" w:hAnsi="Arial"/>
          <w:sz w:val="15"/>
          <w:szCs w:val="15"/>
          <w:color w:val="auto"/>
        </w:rPr>
        <w:t>Our in-licensed patent portfolio also includes pending U.S. and non-U.S. patent applications directed to methods for the treatment and/or prophylaxis of fibrotic disease by administration of an inhibitor of CSF-1R activity, methods for the treatment and/or prophylaxis of inflammatory bowel disease, or IBD, by administration of an inhibitor of CSF-1R activity, and liquid pharmaceutical compositions of anti-CSF-1R antibodies. If these pending applications were to issue as one or more patents, these patents would expire between November 2024 and February 2036 or later should patent term extension be granted. Further, the in-licensed portfolio includes three non-U.S. patents directed to methods of treating solid tumors by administration of an inhibitor of CSF-1R activity. The three patents expired in October 2020.</w:t>
      </w:r>
    </w:p>
    <w:p>
      <w:pPr>
        <w:spacing w:after="0" w:line="61" w:lineRule="exact"/>
        <w:rPr>
          <w:sz w:val="20"/>
          <w:szCs w:val="20"/>
          <w:color w:val="auto"/>
        </w:rPr>
      </w:pPr>
    </w:p>
    <w:p>
      <w:pPr>
        <w:ind w:left="5" w:right="20" w:firstLine="590"/>
        <w:spacing w:after="0" w:line="276" w:lineRule="auto"/>
        <w:rPr>
          <w:sz w:val="20"/>
          <w:szCs w:val="20"/>
          <w:color w:val="auto"/>
        </w:rPr>
      </w:pPr>
      <w:r>
        <w:rPr>
          <w:rFonts w:ascii="Arial" w:cs="Arial" w:eastAsia="Arial" w:hAnsi="Arial"/>
          <w:sz w:val="15"/>
          <w:szCs w:val="15"/>
          <w:color w:val="auto"/>
        </w:rPr>
        <w:t>Our owned axatilimab patent portfolio consists of one pending international patent application under the Patent Cooperation Treaty, or PCT, directed to treatment regimens and methods of using axatilimab. If this PCT application were to issue as one or more patents, these patents would expire in December 2040 or later should patent term extension be granted. Our owned axatilimab patent portfolio also consists of a U.S. provisional patent application directed to another method of use. If this provisional application were to issue as one or more patents, these patents would expire in April 2041 or later should patent term extension be granted.</w:t>
      </w:r>
    </w:p>
    <w:p>
      <w:pPr>
        <w:spacing w:after="0" w:line="106" w:lineRule="exact"/>
        <w:rPr>
          <w:sz w:val="20"/>
          <w:szCs w:val="20"/>
          <w:color w:val="auto"/>
        </w:rPr>
      </w:pPr>
    </w:p>
    <w:p>
      <w:pPr>
        <w:ind w:left="5545" w:right="4280" w:hanging="5545"/>
        <w:spacing w:after="0" w:line="515" w:lineRule="auto"/>
        <w:tabs>
          <w:tab w:leader="none" w:pos="113" w:val="left"/>
        </w:tabs>
        <w:numPr>
          <w:ilvl w:val="0"/>
          <w:numId w:val="7"/>
        </w:numPr>
        <w:rPr>
          <w:rFonts w:ascii="Arial" w:cs="Arial" w:eastAsia="Arial" w:hAnsi="Arial"/>
          <w:sz w:val="13"/>
          <w:szCs w:val="13"/>
          <w:color w:val="auto"/>
        </w:rPr>
      </w:pPr>
      <w:r>
        <w:rPr>
          <w:rFonts w:ascii="Arial" w:cs="Arial" w:eastAsia="Arial" w:hAnsi="Arial"/>
          <w:sz w:val="16"/>
          <w:szCs w:val="16"/>
          <w:color w:val="auto"/>
        </w:rPr>
        <w:t>These numbers are correct as to the best of our knowledge according to the records provided by the licensor.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-500380</wp:posOffset>
            </wp:positionV>
            <wp:extent cx="142811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28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-71755</wp:posOffset>
            </wp:positionV>
            <wp:extent cx="714946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5"/>
          </w:cols>
          <w:pgMar w:left="315" w:top="41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Menin Asset Patent Portfolio</w:t>
      </w:r>
    </w:p>
    <w:p>
      <w:pPr>
        <w:spacing w:after="0" w:line="100" w:lineRule="exact"/>
        <w:rPr>
          <w:sz w:val="20"/>
          <w:szCs w:val="20"/>
          <w:color w:val="auto"/>
        </w:rPr>
      </w:pPr>
    </w:p>
    <w:p>
      <w:pPr>
        <w:ind w:right="20" w:firstLine="590"/>
        <w:spacing w:after="0" w:line="297" w:lineRule="auto"/>
        <w:rPr>
          <w:sz w:val="20"/>
          <w:szCs w:val="20"/>
          <w:color w:val="auto"/>
        </w:rPr>
      </w:pPr>
      <w:r>
        <w:rPr>
          <w:rFonts w:ascii="Arial" w:cs="Arial" w:eastAsia="Arial" w:hAnsi="Arial"/>
          <w:sz w:val="14"/>
          <w:szCs w:val="14"/>
          <w:color w:val="auto"/>
        </w:rPr>
        <w:t>We in-licensed from Vitae Pharmaceuticals, Inc., a subsidiary of AbbVie plc, a patent portfolio directed to a series of selective preclinical inhibitors targeting the binding interaction of menin with MLL-r. As of December 31, 2020, the in-licensed portfolio included one granted U.S. patent, U.S. Patent No. 10,683,302, one allowed U.S. application, a granted European patent, which was validated in 30 member states, two pending U.S. applications and 28 non-U.S. pending patent applications covering composition of matter and methods of treating, e.g., MLL. The granted patent based on the in-licensed applications is expected to expire June 2037 or later should patent term extension be granted. If the in-licensed applications were to issue as one or more patents, these patents would expire between June 2037 and September 2037.</w:t>
      </w:r>
    </w:p>
    <w:p>
      <w:pPr>
        <w:spacing w:after="0" w:line="46" w:lineRule="exact"/>
        <w:rPr>
          <w:sz w:val="20"/>
          <w:szCs w:val="20"/>
          <w:color w:val="auto"/>
        </w:rPr>
      </w:pPr>
    </w:p>
    <w:p>
      <w:pPr>
        <w:ind w:right="200" w:firstLine="590"/>
        <w:spacing w:after="0" w:line="268" w:lineRule="auto"/>
        <w:rPr>
          <w:sz w:val="20"/>
          <w:szCs w:val="20"/>
          <w:color w:val="auto"/>
        </w:rPr>
      </w:pPr>
      <w:r>
        <w:rPr>
          <w:rFonts w:ascii="Arial" w:cs="Arial" w:eastAsia="Arial" w:hAnsi="Arial"/>
          <w:sz w:val="16"/>
          <w:szCs w:val="16"/>
          <w:color w:val="auto"/>
        </w:rPr>
        <w:t>Our owned menin patent portfolio consists of a U.S. provisional application directed to combination treatments. If this provisional application were to issue as one or more patents, these patents would expire in April 2041 or later should patent term extension be granted.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Entinostat Patent Portfolio</w:t>
      </w:r>
    </w:p>
    <w:p>
      <w:pPr>
        <w:spacing w:after="0" w:line="100" w:lineRule="exact"/>
        <w:rPr>
          <w:sz w:val="20"/>
          <w:szCs w:val="20"/>
          <w:color w:val="auto"/>
        </w:rPr>
      </w:pPr>
    </w:p>
    <w:p>
      <w:pPr>
        <w:ind w:firstLine="590"/>
        <w:spacing w:after="0" w:line="287" w:lineRule="auto"/>
        <w:rPr>
          <w:sz w:val="20"/>
          <w:szCs w:val="20"/>
          <w:color w:val="auto"/>
        </w:rPr>
      </w:pPr>
      <w:r>
        <w:rPr>
          <w:rFonts w:ascii="Arial" w:cs="Arial" w:eastAsia="Arial" w:hAnsi="Arial"/>
          <w:sz w:val="14"/>
          <w:szCs w:val="14"/>
          <w:color w:val="auto"/>
        </w:rPr>
        <w:t>We strive to protect entinostat with multiple layers of patents. As of December 31, 2020, our portfolio included one owned U.S. provisional patent application, five owned pending U.S. non-provisional patent applications, one owned granted U.S. patent, U.S. Patent No. 10,226,472,, five granted non-U.S. patents (including one Canadian patent jointly owned with The Regents of the University of Colorado), one allowed non-U.S. application, and 66 owned non-U.S. pending patent applications. Also, we have filed national phase applications in the Eurasia Regional Patent Office, Ukraine and Georgia based on our owned PCT application directed to treatment of selected breast cancer patients with a combination of entinostat and exemestane. We have assigned our rights to the application we filed in the Eurasia Regional Patent Office to Domain Russia Investments Limited, or DRI. We have also assigned our rights to the applications we filed in Ukraine and Georgia to NovaMedica LLC, or NovaMedica. We have also filed national phase applications based on our owned PCT application directed to treatment of selected breast cancer patients with the combination of entinostat and exemestane in the U.S. Patent and Trademark Office, or USPTO, the European Patent Office, or EPO, China, India, Australia, Canada, Japan, South Korea, South Africa, Brazil and Mexico. Our owned entinostat patent portfolio includes pending U.S. and ex-U.S. patent applications directed to methods of treating cancer patients by administration of entinostat according to selected dosing regimens, methods of treating cancer patients by administration of entinostat in combination with an HER2 inhibitor, and treatments with entinostat combined with anti PD-1 or anti PD-L1 antibodies. Our owned pending PCT applications relate to entinostat and CSF-1 or CSF-1R combination therapies and patient selection for combination therapy comprising entinostat and a second therapeutic agent, respectively. If our owned pending U.S. applications and non-U.S. filings based on our owned PCT applications were to issue as one or more patents, these patents would expire between April 2029 and May 2039.</w:t>
      </w:r>
    </w:p>
    <w:p>
      <w:pPr>
        <w:spacing w:after="0" w:line="149" w:lineRule="exact"/>
        <w:rPr>
          <w:sz w:val="20"/>
          <w:szCs w:val="20"/>
          <w:color w:val="auto"/>
        </w:rPr>
      </w:pPr>
    </w:p>
    <w:p>
      <w:pPr>
        <w:ind w:right="80" w:firstLine="595"/>
        <w:spacing w:after="0" w:line="273" w:lineRule="auto"/>
        <w:rPr>
          <w:sz w:val="20"/>
          <w:szCs w:val="20"/>
          <w:color w:val="auto"/>
        </w:rPr>
      </w:pPr>
      <w:r>
        <w:rPr>
          <w:rFonts w:ascii="Arial" w:cs="Arial" w:eastAsia="Arial" w:hAnsi="Arial"/>
          <w:sz w:val="15"/>
          <w:szCs w:val="15"/>
          <w:color w:val="auto"/>
        </w:rPr>
        <w:t>The patent portfolio we licensed from Bayer contains a number of issued U.S. and foreign patents as well as patent applications pending outside the United States. A number of the patents and patent applications we licensed from Bayer are directed to entinostat while other patents and patent applications are directed to compounds other than entinostat. As of December 31, 2019, the portfolio we licensed from Bayer included seven issued U.S. patents, 62 granted non-U.S. patents and 17 patent applications pending in non-U.S. patent offices. For example, the portfolio we licensed from Bayer includes reissue U.S. Patent RE39,754, which covers a genus of benzamide compounds including entinostat or SNDX-275. RE39,754 is a composition of matter patent having an initial term which expired in September 2017.</w:t>
      </w:r>
    </w:p>
    <w:p>
      <w:pPr>
        <w:spacing w:after="0" w:line="156" w:lineRule="exact"/>
        <w:rPr>
          <w:sz w:val="20"/>
          <w:szCs w:val="20"/>
          <w:color w:val="auto"/>
        </w:rPr>
      </w:pPr>
    </w:p>
    <w:p>
      <w:pPr>
        <w:jc w:val="both"/>
        <w:ind w:right="80" w:firstLine="595"/>
        <w:spacing w:after="0" w:line="286" w:lineRule="auto"/>
        <w:rPr>
          <w:sz w:val="20"/>
          <w:szCs w:val="20"/>
          <w:color w:val="auto"/>
        </w:rPr>
      </w:pPr>
      <w:r>
        <w:rPr>
          <w:rFonts w:ascii="Arial" w:cs="Arial" w:eastAsia="Arial" w:hAnsi="Arial"/>
          <w:sz w:val="14"/>
          <w:szCs w:val="14"/>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By comparison, the U.S. Patent RE39,754, which expired in September 2017, covers the chemical entity of entinostat and any crystalline or non-crystalline form of entinostat. On March 7, 2014, our licensor Bayer applied for reissue of the ‘166 patent. The reissue application sought to add three additional inventors to the ‘166 patent. The reissue was granted as RE45,499 on April 28, 2015, at which time the original ‘166 patent was surrendered. The reissue patent has the same force and effect as the original ‘166 patent and the same August 2029 expiration date.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90" w:right="319" w:bottom="1440" w:gutter="0" w:footer="0" w:header="0"/>
        </w:sectPr>
      </w:pPr>
    </w:p>
    <w:bookmarkStart w:id="16" w:name="page17"/>
    <w:bookmarkEnd w:id="16"/>
    <w:p>
      <w:pPr>
        <w:ind w:right="60" w:firstLine="590"/>
        <w:spacing w:after="0" w:line="268" w:lineRule="auto"/>
        <w:rPr>
          <w:sz w:val="20"/>
          <w:szCs w:val="20"/>
          <w:color w:val="auto"/>
        </w:rPr>
      </w:pPr>
      <w:r>
        <w:rPr>
          <w:rFonts w:ascii="Arial" w:cs="Arial" w:eastAsia="Arial" w:hAnsi="Arial"/>
          <w:sz w:val="15"/>
          <w:szCs w:val="15"/>
          <w:color w:val="auto"/>
        </w:rPr>
        <w:t>Of the 62 foreign-granted patents we licensed from Bayer, 26 are foreign counterparts of the ‘166 patent (now RE45,499) that cover crystalline polymorph B, the granted European patent comprises 37 national countries that all been validated, and the granted Eurasian patent comprises nine countries that have all been validated. Likewise, 15 of the 17 pending foreign applications are counterparts of the ‘166 crystalline polymorph B patent. Other patents and patent applications in the licensed Bayer portfolio cover methods of treatment by administration of entinostat. For example, U.S. Patent 7,317,028, which expired in October 2017, covers methods of treating selected cancers by administration of entinostat; U.S. Patent 7,687,525, which also expired in September 2017, covers methods of treating autoimmune disease by administration of entinostat; U.S. Patent 6,320,078, which expired in July 2019, covers methods of manufacturing entinostat; U.S. Patent No. 8,026,239, which expired in September 2017, covers methods of treating certain malignant tumors by administration of a compound within a subgenus of benzamide compounds including entinostat; U.S. Patent RE40,703, which expired in September 2017, covers a subgenus of benzamide compounds that does not include entinostat; and U.S. Patent 6,794,392, which expired in September 2017, covers a subgenus of benzamide compounds that does not include entinostat.</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Term</w:t>
      </w:r>
    </w:p>
    <w:p>
      <w:pPr>
        <w:spacing w:after="0" w:line="100" w:lineRule="exact"/>
        <w:rPr>
          <w:sz w:val="20"/>
          <w:szCs w:val="20"/>
          <w:color w:val="auto"/>
        </w:rPr>
      </w:pPr>
    </w:p>
    <w:p>
      <w:pPr>
        <w:ind w:right="20" w:firstLine="590"/>
        <w:spacing w:after="0" w:line="268"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file, the patent term is 20 years from the date of filing the earliest non-provisional application or PCT application.</w:t>
      </w:r>
    </w:p>
    <w:p>
      <w:pPr>
        <w:spacing w:after="0" w:line="157" w:lineRule="exact"/>
        <w:rPr>
          <w:sz w:val="20"/>
          <w:szCs w:val="20"/>
          <w:color w:val="auto"/>
        </w:rPr>
      </w:pPr>
    </w:p>
    <w:p>
      <w:pPr>
        <w:ind w:firstLine="590"/>
        <w:spacing w:after="0" w:line="267" w:lineRule="auto"/>
        <w:rPr>
          <w:sz w:val="20"/>
          <w:szCs w:val="20"/>
          <w:color w:val="auto"/>
        </w:rPr>
      </w:pPr>
      <w:r>
        <w:rPr>
          <w:rFonts w:ascii="Arial" w:cs="Arial" w:eastAsia="Arial" w:hAnsi="Arial"/>
          <w:sz w:val="15"/>
          <w:szCs w:val="15"/>
          <w:color w:val="auto"/>
        </w:rPr>
        <w:t>In the United States, a patent’s term may be lengthened by patent term adjustment, which compensates a patentee for administrative delays by the USPTO in granting a patent, or may be shortened if a patent is terminally disclaimed over an earlier-filed patent. The term of a patent that covers an approved drug may also be eligible for patent term extension, which permits patent term restoration as compensation for the patent term lost during the development and regulatory review process. To obtain a patent extension in the United States, the term of the relevant patent must not have expired before the extension application, the patent cannot have been extended previously under this law, an application for extension must be submitted, the product must be subject to regulatory review prior to its commercialization, and the permission for the commercial marketing or use of the product after such regulatory review period is the first permitted commercial marketing or use of the product. If our future products contain active ingredients which have not been previously approved, we may be eligible for a patent term extension in the United States. In the United States, we expect to seek extension of patent terms under the Drug Price Competition and Patent Term Restoration Act of 1984, which permits a patent term extension of up to five years beyond the expiration of the patent for patent claims covering a new chemical entity. If patent extensions are available to us outside of the United States, we would expect to file for a patent term extension in applicable jurisdictions.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In-Licensed Intellectual Property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Development and Commercialization Agreement with Bayer</w:t>
      </w:r>
    </w:p>
    <w:p>
      <w:pPr>
        <w:spacing w:after="0" w:line="100" w:lineRule="exact"/>
        <w:rPr>
          <w:sz w:val="20"/>
          <w:szCs w:val="20"/>
          <w:color w:val="auto"/>
        </w:rPr>
      </w:pPr>
    </w:p>
    <w:p>
      <w:pPr>
        <w:ind w:firstLine="590"/>
        <w:spacing w:after="0" w:line="252" w:lineRule="auto"/>
        <w:rPr>
          <w:sz w:val="20"/>
          <w:szCs w:val="20"/>
          <w:color w:val="auto"/>
        </w:rPr>
      </w:pPr>
      <w:r>
        <w:rPr>
          <w:rFonts w:ascii="Arial" w:cs="Arial" w:eastAsia="Arial" w:hAnsi="Arial"/>
          <w:sz w:val="16"/>
          <w:szCs w:val="16"/>
          <w:color w:val="auto"/>
        </w:rPr>
        <w:t>In March 2007, we entered into the Bayer license agreement pursuant to which we obtained a worldwide, exclusive license to develop and commercialize entinostat and any other products containing the same active ingredient. The Bayer license agreement, as amended, permits us to use entinostat or other licensed products for the treatment of any human disease, and we are obligated to use commercially reasonable efforts to develop, manufacture and commercialize licensed products for all commercially reasonable indications. Initially, Bayer manufactured and supplied our requirements of entinostat, but effective May 2012, manufacturing rights and responsibility for entinostat was transferred to us, by mutual agreement of the parties.</w:t>
      </w:r>
    </w:p>
    <w:p>
      <w:pPr>
        <w:spacing w:after="0" w:line="171" w:lineRule="exact"/>
        <w:rPr>
          <w:sz w:val="20"/>
          <w:szCs w:val="20"/>
          <w:color w:val="auto"/>
        </w:rPr>
      </w:pPr>
    </w:p>
    <w:p>
      <w:pPr>
        <w:ind w:firstLine="590"/>
        <w:spacing w:after="0" w:line="257" w:lineRule="auto"/>
        <w:rPr>
          <w:sz w:val="20"/>
          <w:szCs w:val="20"/>
          <w:color w:val="auto"/>
        </w:rPr>
      </w:pPr>
      <w:r>
        <w:rPr>
          <w:rFonts w:ascii="Arial" w:cs="Arial" w:eastAsia="Arial" w:hAnsi="Arial"/>
          <w:sz w:val="16"/>
          <w:szCs w:val="16"/>
          <w:color w:val="auto"/>
        </w:rPr>
        <w:t>In connection with the execution of the Bayer license agreement, we paid Bayer an upfront license fee of $2.0 million. We are also obligated to pay up to approximately $50.0 million in the aggregate upon obtaining certain milestones in the development and marketing approval of entinostat, assuming that we pursue at least two different indications for entinostat or any other licensed product.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506" w:right="379" w:bottom="1440" w:gutter="0" w:footer="0" w:header="0"/>
        </w:sectPr>
      </w:pPr>
    </w:p>
    <w:bookmarkStart w:id="17" w:name="page18"/>
    <w:bookmarkEnd w:id="17"/>
    <w:p>
      <w:pPr>
        <w:ind w:right="60" w:firstLine="590"/>
        <w:spacing w:after="0" w:line="252" w:lineRule="auto"/>
        <w:rPr>
          <w:sz w:val="20"/>
          <w:szCs w:val="20"/>
          <w:color w:val="auto"/>
        </w:rPr>
      </w:pPr>
      <w:r>
        <w:rPr>
          <w:rFonts w:ascii="Arial" w:cs="Arial" w:eastAsia="Arial" w:hAnsi="Arial"/>
          <w:sz w:val="16"/>
          <w:szCs w:val="16"/>
          <w:color w:val="auto"/>
        </w:rPr>
        <w:t>We are also obligated to pay Bayer up to $100.0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71" w:lineRule="exact"/>
        <w:rPr>
          <w:sz w:val="20"/>
          <w:szCs w:val="20"/>
          <w:color w:val="auto"/>
        </w:rPr>
      </w:pPr>
    </w:p>
    <w:p>
      <w:pPr>
        <w:ind w:right="20" w:firstLine="590"/>
        <w:spacing w:after="0" w:line="271" w:lineRule="auto"/>
        <w:rPr>
          <w:sz w:val="20"/>
          <w:szCs w:val="20"/>
          <w:color w:val="auto"/>
        </w:rPr>
      </w:pPr>
      <w:r>
        <w:rPr>
          <w:rFonts w:ascii="Arial" w:cs="Arial" w:eastAsia="Arial" w:hAnsi="Arial"/>
          <w:sz w:val="15"/>
          <w:szCs w:val="15"/>
          <w:color w:val="auto"/>
        </w:rPr>
        <w:t>The Bayer license agreement will remain in effect until the expiration of our royalty obligations under the agreement in all countries. Upon expiration of the agreement our licenses become fully paid-up and irrevocable.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Agreement with UCB</w:t>
      </w:r>
    </w:p>
    <w:p>
      <w:pPr>
        <w:spacing w:after="0" w:line="100" w:lineRule="exact"/>
        <w:rPr>
          <w:sz w:val="20"/>
          <w:szCs w:val="20"/>
          <w:color w:val="auto"/>
        </w:rPr>
      </w:pPr>
    </w:p>
    <w:p>
      <w:pPr>
        <w:ind w:right="140" w:firstLine="590"/>
        <w:spacing w:after="0" w:line="254" w:lineRule="auto"/>
        <w:rPr>
          <w:sz w:val="20"/>
          <w:szCs w:val="20"/>
          <w:color w:val="auto"/>
        </w:rPr>
      </w:pPr>
      <w:r>
        <w:rPr>
          <w:rFonts w:ascii="Arial" w:cs="Arial" w:eastAsia="Arial" w:hAnsi="Arial"/>
          <w:sz w:val="16"/>
          <w:szCs w:val="16"/>
          <w:color w:val="auto"/>
        </w:rPr>
        <w:t>In July 2016, we entered into a license agreement with UCB, or the UCB license agreement, under which UCB granted us a worldwide, sublicenseable, exclusive license to UCB6352, which the Company refers to as axatilimab. The UCB license agreement permits us to use axatilimab or other licensed products for all human uses, including treatment, prevention and diagnostic uses, in all indications, diseases, conditions or disorders, and we are obligated to use commercially reasonable efforts to develop, obtain regulatory approval and commercialize a certain licensed product.</w:t>
      </w:r>
    </w:p>
    <w:p>
      <w:pPr>
        <w:spacing w:after="0" w:line="168" w:lineRule="exact"/>
        <w:rPr>
          <w:sz w:val="20"/>
          <w:szCs w:val="20"/>
          <w:color w:val="auto"/>
        </w:rPr>
      </w:pPr>
    </w:p>
    <w:p>
      <w:pPr>
        <w:ind w:firstLine="590"/>
        <w:spacing w:after="0" w:line="292" w:lineRule="auto"/>
        <w:rPr>
          <w:sz w:val="20"/>
          <w:szCs w:val="20"/>
          <w:color w:val="auto"/>
        </w:rPr>
      </w:pPr>
      <w:r>
        <w:rPr>
          <w:rFonts w:ascii="Arial" w:cs="Arial" w:eastAsia="Arial" w:hAnsi="Arial"/>
          <w:sz w:val="14"/>
          <w:szCs w:val="14"/>
          <w:color w:val="auto"/>
        </w:rPr>
        <w:t>In consideration for the license grant, we made a nonrefundable upfront payment of $5.0 million to UCB in the third quarter of 2016. Additionally, subject to the achievement of certain milestone events, we may be required to pay UCB up to $119.5 million in one-time development and regulatory milestone payments over the term of the UCB license agreement. In the event that we or any of our affiliates or sublicensees commercializes axatilimab,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 We are solely responsible for the development and commercialization of axatilimab. In July 2020, we achieved certain development and regulatory milestones. As a result, in July 2020, we recorded $2.0 million as research and development expense, which has been paid as of December 31, 2020.</w:t>
      </w:r>
    </w:p>
    <w:p>
      <w:pPr>
        <w:spacing w:after="0" w:line="144" w:lineRule="exact"/>
        <w:rPr>
          <w:sz w:val="20"/>
          <w:szCs w:val="20"/>
          <w:color w:val="auto"/>
        </w:rPr>
      </w:pPr>
    </w:p>
    <w:p>
      <w:pPr>
        <w:ind w:right="100" w:firstLine="590"/>
        <w:spacing w:after="0" w:line="297" w:lineRule="auto"/>
        <w:rPr>
          <w:sz w:val="20"/>
          <w:szCs w:val="20"/>
          <w:color w:val="auto"/>
        </w:rPr>
      </w:pPr>
      <w:r>
        <w:rPr>
          <w:rFonts w:ascii="Arial" w:cs="Arial" w:eastAsia="Arial" w:hAnsi="Arial"/>
          <w:sz w:val="14"/>
          <w:szCs w:val="14"/>
          <w:color w:val="auto"/>
        </w:rPr>
        <w:t>Each party may terminate the UCB license agreement for the other party’s uncured material breach or insolvency; and we may terminate the UCB license agreement at will at any time upon advance written notice to UCB. UCB may terminate the UCB license agreement if we or any of our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Agreement with Vitae Pharmaceuticals, Inc.</w:t>
      </w:r>
    </w:p>
    <w:p>
      <w:pPr>
        <w:spacing w:after="0" w:line="100" w:lineRule="exact"/>
        <w:rPr>
          <w:sz w:val="20"/>
          <w:szCs w:val="20"/>
          <w:color w:val="auto"/>
        </w:rPr>
      </w:pPr>
    </w:p>
    <w:p>
      <w:pPr>
        <w:ind w:right="80" w:firstLine="590"/>
        <w:spacing w:after="0" w:line="276" w:lineRule="auto"/>
        <w:rPr>
          <w:sz w:val="20"/>
          <w:szCs w:val="20"/>
          <w:color w:val="auto"/>
        </w:rPr>
      </w:pPr>
      <w:r>
        <w:rPr>
          <w:rFonts w:ascii="Arial" w:cs="Arial" w:eastAsia="Arial" w:hAnsi="Arial"/>
          <w:sz w:val="15"/>
          <w:szCs w:val="15"/>
          <w:color w:val="auto"/>
        </w:rPr>
        <w:t>In October 2017, we entered into a license agreement with Vitae Pharmaceuticals, Inc., a subsidiary of AbbVie plc, or the AbbVie License Agreement, under which Vitae granted us an exclusive, sublicenseable, worldwide license to, preclinical, orally-available, small molecule inhibitors of the interaction of menin with the MLL protein, or the Menin Assets. We made a nonrefundable upfront payment of $5.0 million to Vitae in the fourth quarter of 2017. Additionally, subject to the achievement of certain milestone events, we may be required to pay Vitae up to an aggregate of $99 million in one-time development and regulatory milestone payments over the term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18" w:name="page19"/>
    <w:bookmarkEnd w:id="18"/>
    <w:p>
      <w:pPr>
        <w:ind w:right="40"/>
        <w:spacing w:after="0" w:line="251" w:lineRule="auto"/>
        <w:rPr>
          <w:sz w:val="20"/>
          <w:szCs w:val="20"/>
          <w:color w:val="auto"/>
        </w:rPr>
      </w:pPr>
      <w:r>
        <w:rPr>
          <w:rFonts w:ascii="Arial" w:cs="Arial" w:eastAsia="Arial" w:hAnsi="Arial"/>
          <w:sz w:val="16"/>
          <w:szCs w:val="16"/>
          <w:color w:val="auto"/>
        </w:rPr>
        <w:t>of the AbbVie License Agreement. In the event that we or any of its affiliates or sublicensees commercializes the Menin Assets, we will also be obligated to pay Vitae low single to low double-digit royalties on sales, subject to reduction in certain circumstances, as well as up to an aggregate of $70.0 million in potential one-time, sales-based milestone payments based on achievement of certain annual sales thresholds. Under certain circumstances, we may be required to share a percentage of non-royalty income from sublicensees, subject to certain deductions, with Vitae. We are solely responsible for the development and commercialization of the Menin Assets. In June 2019, we achieved certain development and regulatory milestones. As a result, in June 2019, we recorded $4.0 million as research and development expense. The $4.0 million plus accrued interest was paid in May 2020.</w:t>
      </w:r>
    </w:p>
    <w:p>
      <w:pPr>
        <w:spacing w:after="0" w:line="171" w:lineRule="exact"/>
        <w:rPr>
          <w:sz w:val="20"/>
          <w:szCs w:val="20"/>
          <w:color w:val="auto"/>
        </w:rPr>
      </w:pPr>
    </w:p>
    <w:p>
      <w:pPr>
        <w:ind w:right="20" w:firstLine="590"/>
        <w:spacing w:after="0" w:line="297" w:lineRule="auto"/>
        <w:rPr>
          <w:sz w:val="20"/>
          <w:szCs w:val="20"/>
          <w:color w:val="auto"/>
        </w:rPr>
      </w:pPr>
      <w:r>
        <w:rPr>
          <w:rFonts w:ascii="Arial" w:cs="Arial" w:eastAsia="Arial" w:hAnsi="Arial"/>
          <w:sz w:val="14"/>
          <w:szCs w:val="14"/>
          <w:color w:val="auto"/>
        </w:rPr>
        <w:t>Each party may terminate the AbbVie License Agreement for the other party’s uncured material breach or insolvency; and we may terminate the AbbVie License Agreement at will at any time upon advance written notice to Vitae. Vitae may terminate the AbbVie License Agreement if we or any of its affiliates or sublicensees institutes a legal challenge to the validity, enforceability, or patentability of the licensed patent rights. Unless terminated earlier in accordance with its terms, the AbbVie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 Information and Inventions Assignment Agreements</w:t>
      </w:r>
    </w:p>
    <w:p>
      <w:pPr>
        <w:spacing w:after="0" w:line="100" w:lineRule="exact"/>
        <w:rPr>
          <w:sz w:val="20"/>
          <w:szCs w:val="20"/>
          <w:color w:val="auto"/>
        </w:rPr>
      </w:pPr>
    </w:p>
    <w:p>
      <w:pPr>
        <w:ind w:firstLine="590"/>
        <w:spacing w:after="0" w:line="257" w:lineRule="auto"/>
        <w:rPr>
          <w:sz w:val="20"/>
          <w:szCs w:val="20"/>
          <w:color w:val="auto"/>
        </w:rPr>
      </w:pPr>
      <w:r>
        <w:rPr>
          <w:rFonts w:ascii="Arial" w:cs="Arial" w:eastAsia="Arial" w:hAnsi="Arial"/>
          <w:sz w:val="16"/>
          <w:szCs w:val="16"/>
          <w:color w:val="auto"/>
        </w:rPr>
        <w:t>We require our employees and consultants to execute confidentiality agreements upon the commencement of employment, consulting or collaborative relationships with us. These agreements provide that all confidential information developed or made known during the course of the relationship with us be kept confidential and not disclosed to third parties except in specific circumstances.</w:t>
      </w:r>
    </w:p>
    <w:p>
      <w:pPr>
        <w:spacing w:after="0" w:line="167" w:lineRule="exact"/>
        <w:rPr>
          <w:sz w:val="20"/>
          <w:szCs w:val="20"/>
          <w:color w:val="auto"/>
        </w:rPr>
      </w:pPr>
    </w:p>
    <w:p>
      <w:pPr>
        <w:ind w:right="200" w:firstLine="590"/>
        <w:spacing w:after="0" w:line="257" w:lineRule="auto"/>
        <w:rPr>
          <w:sz w:val="20"/>
          <w:szCs w:val="20"/>
          <w:color w:val="auto"/>
        </w:rPr>
      </w:pPr>
      <w:r>
        <w:rPr>
          <w:rFonts w:ascii="Arial" w:cs="Arial" w:eastAsia="Arial" w:hAnsi="Arial"/>
          <w:sz w:val="16"/>
          <w:szCs w:val="16"/>
          <w:color w:val="auto"/>
        </w:rPr>
        <w:t>In the case of employees, the agreements provide that all inventions resulting from work performed for us, utilizing our property or relating to our business and conceived or completed by the individual during employment shall be our exclusive property to the extent permitted by applicable law. Our consulting and service agreements also provide for assignment to us of any intellectual property resulting from services performed for us.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 and Product Approval</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United States Government Regulation</w:t>
      </w:r>
    </w:p>
    <w:p>
      <w:pPr>
        <w:spacing w:after="0" w:line="100" w:lineRule="exact"/>
        <w:rPr>
          <w:sz w:val="20"/>
          <w:szCs w:val="20"/>
          <w:color w:val="auto"/>
        </w:rPr>
      </w:pPr>
    </w:p>
    <w:p>
      <w:pPr>
        <w:ind w:right="360" w:firstLine="590"/>
        <w:spacing w:after="0" w:line="302" w:lineRule="auto"/>
        <w:rPr>
          <w:sz w:val="20"/>
          <w:szCs w:val="20"/>
          <w:color w:val="auto"/>
        </w:rPr>
      </w:pPr>
      <w:r>
        <w:rPr>
          <w:rFonts w:ascii="Arial" w:cs="Arial" w:eastAsia="Arial" w:hAnsi="Arial"/>
          <w:sz w:val="14"/>
          <w:szCs w:val="14"/>
          <w:color w:val="auto"/>
        </w:rPr>
        <w:t>In the United States, the FDA regulates drugs and biologics under the Federal Food, Drug, and Cosmetic Act, or FDCA, the Public Health Service Act, and related regulations. Drugs and biologics are also subject to other federal, state and local statutes and regulations. The FDA and comparable regulatory agencies in state and local jurisdictions impose substantial requirements upon, among other things, the testing, development, manufacture, quality control, safety, purity, potency, labeling, storage, distribution, record keeping and reporting, approval, import and export, advertising and promotion, and postmarket surveillance of drugs and biologics.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Biopharmaceutical Product Development Process</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process required by the FDA before biopharmaceutical products may be marketed in the United States generally involves the following:</w:t>
      </w:r>
    </w:p>
    <w:p>
      <w:pPr>
        <w:spacing w:after="0" w:line="100" w:lineRule="exact"/>
        <w:rPr>
          <w:sz w:val="20"/>
          <w:szCs w:val="20"/>
          <w:color w:val="auto"/>
        </w:rPr>
      </w:pPr>
    </w:p>
    <w:p>
      <w:pPr>
        <w:ind w:left="1160" w:hanging="585"/>
        <w:spacing w:after="0" w:line="268"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completion of extensive preclinical laboratory tests and animal studies in accordance with applicable regulations, including the FDA’s good laboratory practice, or GLP regulations;</w:t>
      </w:r>
    </w:p>
    <w:p>
      <w:pPr>
        <w:spacing w:after="0" w:line="62" w:lineRule="exact"/>
        <w:rPr>
          <w:rFonts w:ascii="Arial" w:cs="Arial" w:eastAsia="Arial" w:hAnsi="Arial"/>
          <w:sz w:val="16"/>
          <w:szCs w:val="16"/>
          <w:color w:val="auto"/>
        </w:rPr>
      </w:pPr>
    </w:p>
    <w:p>
      <w:pPr>
        <w:ind w:left="1160" w:hanging="585"/>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submission of an IND application which must become effective before clinical trials may begin;</w:t>
      </w:r>
    </w:p>
    <w:p>
      <w:pPr>
        <w:spacing w:after="0" w:line="123" w:lineRule="exact"/>
        <w:rPr>
          <w:rFonts w:ascii="Arial" w:cs="Arial" w:eastAsia="Arial" w:hAnsi="Arial"/>
          <w:sz w:val="16"/>
          <w:szCs w:val="16"/>
          <w:color w:val="auto"/>
        </w:rPr>
      </w:pPr>
    </w:p>
    <w:p>
      <w:pPr>
        <w:ind w:left="1160" w:right="540" w:hanging="585"/>
        <w:spacing w:after="0" w:line="302" w:lineRule="auto"/>
        <w:tabs>
          <w:tab w:leader="none" w:pos="1160" w:val="left"/>
        </w:tabs>
        <w:numPr>
          <w:ilvl w:val="0"/>
          <w:numId w:val="8"/>
        </w:numPr>
        <w:rPr>
          <w:rFonts w:ascii="Arial" w:cs="Arial" w:eastAsia="Arial" w:hAnsi="Arial"/>
          <w:sz w:val="15"/>
          <w:szCs w:val="15"/>
          <w:color w:val="auto"/>
        </w:rPr>
      </w:pPr>
      <w:r>
        <w:rPr>
          <w:rFonts w:ascii="Arial" w:cs="Arial" w:eastAsia="Arial" w:hAnsi="Arial"/>
          <w:sz w:val="15"/>
          <w:szCs w:val="15"/>
          <w:color w:val="auto"/>
        </w:rPr>
        <w:t>performance of adequate and well-controlled human clinical trials in accordance with applicable regulations, including the FDA’s current good clinical practice, or GCP, regulations to establish the safety and efficacy of the proposed drug for its intended use or uses;</w:t>
      </w:r>
    </w:p>
    <w:p>
      <w:pPr>
        <w:spacing w:after="0" w:line="39" w:lineRule="exact"/>
        <w:rPr>
          <w:rFonts w:ascii="Arial" w:cs="Arial" w:eastAsia="Arial" w:hAnsi="Arial"/>
          <w:sz w:val="15"/>
          <w:szCs w:val="15"/>
          <w:color w:val="auto"/>
        </w:rPr>
      </w:pPr>
    </w:p>
    <w:p>
      <w:pPr>
        <w:ind w:left="1160" w:hanging="585"/>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submission to the FDA of an NDA for a new drug product or a Biologics License Application, or BLA, for biologics;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determination by the FDA within 60 days of its receipt of an NDA or BLA to accept the application for filing and review;</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19" w:name="page20"/>
    <w:bookmarkEnd w:id="19"/>
    <w:p>
      <w:pPr>
        <w:jc w:val="both"/>
        <w:ind w:left="1160" w:right="220" w:hanging="585"/>
        <w:spacing w:after="0" w:line="257"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where the drug or biologic is produced to assess compliance with the FDA’s current Good Manufacturing Practices, or cGMP, regulations to assure that the facilities, methods and controls are adequate to preserve the product’s identity, strength, quality and purity;</w:t>
      </w:r>
    </w:p>
    <w:p>
      <w:pPr>
        <w:spacing w:after="0" w:line="71" w:lineRule="exact"/>
        <w:rPr>
          <w:rFonts w:ascii="Arial" w:cs="Arial" w:eastAsia="Arial" w:hAnsi="Arial"/>
          <w:sz w:val="16"/>
          <w:szCs w:val="16"/>
          <w:color w:val="auto"/>
        </w:rPr>
      </w:pPr>
    </w:p>
    <w:p>
      <w:pPr>
        <w:ind w:left="1160" w:hanging="585"/>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 FDA audit of the preclinical and/or clinical trial sites that generated the data in support of an NDA or BLA; and</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FDA review and approval of an NDA or BLA prior to any commercial marketing or sale of the biopharmaceutical product in the United States.</w:t>
      </w:r>
    </w:p>
    <w:p>
      <w:pPr>
        <w:spacing w:after="0" w:line="219" w:lineRule="exact"/>
        <w:rPr>
          <w:sz w:val="20"/>
          <w:szCs w:val="20"/>
          <w:color w:val="auto"/>
        </w:rPr>
      </w:pPr>
    </w:p>
    <w:p>
      <w:pPr>
        <w:ind w:right="20" w:firstLine="590"/>
        <w:spacing w:after="0" w:line="257" w:lineRule="auto"/>
        <w:rPr>
          <w:sz w:val="20"/>
          <w:szCs w:val="20"/>
          <w:color w:val="auto"/>
        </w:rPr>
      </w:pPr>
      <w:r>
        <w:rPr>
          <w:rFonts w:ascii="Arial" w:cs="Arial" w:eastAsia="Arial" w:hAnsi="Arial"/>
          <w:sz w:val="16"/>
          <w:szCs w:val="16"/>
          <w:color w:val="auto"/>
        </w:rPr>
        <w:t>Before testing any compounds with potential therapeutic value in humans, the product candidate enters the preclinical testing stage. Preclinical tests include laboratory evaluations of product chemistry and formulation, as well as animal studies to assess the potential safety, toxicity profile and activity of the product candidate. The conduct of the preclinical tests must comply with federal regulations and requirements including GLPs.</w:t>
      </w:r>
    </w:p>
    <w:p>
      <w:pPr>
        <w:spacing w:after="0" w:line="167" w:lineRule="exact"/>
        <w:rPr>
          <w:sz w:val="20"/>
          <w:szCs w:val="20"/>
          <w:color w:val="auto"/>
        </w:rPr>
      </w:pPr>
    </w:p>
    <w:p>
      <w:pPr>
        <w:ind w:firstLine="590"/>
        <w:spacing w:after="0" w:line="290" w:lineRule="auto"/>
        <w:rPr>
          <w:sz w:val="20"/>
          <w:szCs w:val="20"/>
          <w:color w:val="auto"/>
        </w:rPr>
      </w:pPr>
      <w:r>
        <w:rPr>
          <w:rFonts w:ascii="Arial" w:cs="Arial" w:eastAsia="Arial" w:hAnsi="Arial"/>
          <w:sz w:val="14"/>
          <w:szCs w:val="14"/>
          <w:color w:val="auto"/>
        </w:rPr>
        <w:t>Prior to commencing the first clinical trial in humans, an IND must be submitted to the FDA, and the IND must become effective. A sponsor must submit preclinical testing results to the FDA as part of the IND and the FDA must evaluate whether there is an adequate basis for testing the drug in humans. The IND automatically becomes effective 30 days after receipt by the FDA unless the FDA within the 30-day time period raises concerns or questions about the submitted data or the conduct of the proposed clinical trial and places the IND on clinical hold. In such case, the IND application sponsor must resolve any outstanding concerns with the FDA before the clinical trial may begin. A separate submission to the existing IND application must be made for each successive clinical trial to be conducted during product development. Further, an independent Institutional Review Board, or IRB, for each site proposing to conduct the clinical trial must review and approve the protocol and informed consent for any clinical trial before it commences at that site. Informed consent must also be obtained from each study subject. Regulatory authorities, an IRB, a data safety monitoring board or the trial sponsor may suspend or terminate a clinical trial at any time on various grounds, including a finding that the participants are being exposed to an unacceptable health risk.</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Human clinical trials are typically conducted in three sequential phases that may overlap:</w:t>
      </w:r>
    </w:p>
    <w:p>
      <w:pPr>
        <w:spacing w:after="0" w:line="100" w:lineRule="exact"/>
        <w:rPr>
          <w:sz w:val="20"/>
          <w:szCs w:val="20"/>
          <w:color w:val="auto"/>
        </w:rPr>
      </w:pPr>
    </w:p>
    <w:p>
      <w:pPr>
        <w:ind w:left="1160" w:right="340" w:hanging="585"/>
        <w:spacing w:after="0" w:line="302" w:lineRule="auto"/>
        <w:tabs>
          <w:tab w:leader="none" w:pos="11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Phase 1—The drug is initially given to healthy human subjects or patients and tested for safety, dosage tolerance, absorption, metabolism, distribution and excretion, the side effects associated with increasing doses, and if possible, to gain early evidence on effectiveness.</w:t>
      </w:r>
    </w:p>
    <w:p>
      <w:pPr>
        <w:spacing w:after="0" w:line="39" w:lineRule="exact"/>
        <w:rPr>
          <w:rFonts w:ascii="Arial" w:cs="Arial" w:eastAsia="Arial" w:hAnsi="Arial"/>
          <w:sz w:val="15"/>
          <w:szCs w:val="15"/>
          <w:color w:val="auto"/>
        </w:rPr>
      </w:pPr>
    </w:p>
    <w:p>
      <w:pPr>
        <w:ind w:left="1160" w:right="80" w:hanging="585"/>
        <w:spacing w:after="0" w:line="302" w:lineRule="auto"/>
        <w:tabs>
          <w:tab w:leader="none" w:pos="11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Phase 2—The drug is evaluated in a limited patient population to identify possible adverse effects and safety risks, to preliminarily evaluate the efficacy of the product for specific targeted diseases or conditions and to determine dosage tolerance, optimal dosage and dosing schedule.</w:t>
      </w:r>
    </w:p>
    <w:p>
      <w:pPr>
        <w:spacing w:after="0" w:line="39" w:lineRule="exact"/>
        <w:rPr>
          <w:rFonts w:ascii="Arial" w:cs="Arial" w:eastAsia="Arial" w:hAnsi="Arial"/>
          <w:sz w:val="15"/>
          <w:szCs w:val="15"/>
          <w:color w:val="auto"/>
        </w:rPr>
      </w:pPr>
    </w:p>
    <w:p>
      <w:pPr>
        <w:ind w:left="1160" w:right="320" w:hanging="585"/>
        <w:spacing w:after="0" w:line="302" w:lineRule="auto"/>
        <w:tabs>
          <w:tab w:leader="none" w:pos="11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Phase 3—Clinical trials are undertaken to further evaluate dosage, clinical efficacy and safety at geographically dispersed clinical trial sites. These clinical trials are intended to establish the overall benefit-risk ratio of the product and to provide an adequate basis for product approval by the FDA.</w:t>
      </w:r>
    </w:p>
    <w:p>
      <w:pPr>
        <w:spacing w:after="0" w:line="134" w:lineRule="exact"/>
        <w:rPr>
          <w:sz w:val="20"/>
          <w:szCs w:val="20"/>
          <w:color w:val="auto"/>
        </w:rPr>
      </w:pPr>
    </w:p>
    <w:p>
      <w:pPr>
        <w:ind w:right="20" w:firstLine="590"/>
        <w:spacing w:after="0" w:line="257" w:lineRule="auto"/>
        <w:rPr>
          <w:sz w:val="20"/>
          <w:szCs w:val="20"/>
          <w:color w:val="auto"/>
        </w:rPr>
      </w:pPr>
      <w:r>
        <w:rPr>
          <w:rFonts w:ascii="Arial" w:cs="Arial" w:eastAsia="Arial" w:hAnsi="Arial"/>
          <w:sz w:val="16"/>
          <w:szCs w:val="16"/>
          <w:color w:val="auto"/>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also has express statutory authority to require post-market clinical studies to address safety issues.</w:t>
      </w:r>
    </w:p>
    <w:p>
      <w:pPr>
        <w:spacing w:after="0" w:line="167" w:lineRule="exact"/>
        <w:rPr>
          <w:sz w:val="20"/>
          <w:szCs w:val="20"/>
          <w:color w:val="auto"/>
        </w:rPr>
      </w:pPr>
    </w:p>
    <w:p>
      <w:pPr>
        <w:ind w:right="200" w:firstLine="590"/>
        <w:spacing w:after="0" w:line="269" w:lineRule="auto"/>
        <w:rPr>
          <w:sz w:val="20"/>
          <w:szCs w:val="20"/>
          <w:color w:val="auto"/>
        </w:rPr>
      </w:pPr>
      <w:r>
        <w:rPr>
          <w:rFonts w:ascii="Arial" w:cs="Arial" w:eastAsia="Arial" w:hAnsi="Arial"/>
          <w:sz w:val="15"/>
          <w:szCs w:val="15"/>
          <w:color w:val="auto"/>
        </w:rPr>
        <w:t>The FDCA permits the FDA and an IND sponsor to agree in writing on the design and size of clinical studies intended to form the primary basis of a claim of effectiveness in an NDA or BLA. An SPA agreement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 sponsor when requesting an SPA agreement change, are found to be false statements or misstatements, or are found to omit relevant facts. An SPA agreement may not be changed by the sponsor or the FDA after the trial begins except with the written agreement of the sponsor and the FDA, or if the FDA determines that a substantial scientific issue essential to determining the safety or effectiveness of the drug was identified after the testing began.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20" w:name="page21"/>
    <w:bookmarkEnd w:id="20"/>
    <w:p>
      <w:pPr>
        <w:ind w:right="180" w:firstLine="590"/>
        <w:spacing w:after="0" w:line="257" w:lineRule="auto"/>
        <w:rPr>
          <w:sz w:val="20"/>
          <w:szCs w:val="20"/>
          <w:color w:val="auto"/>
        </w:rPr>
      </w:pPr>
      <w:r>
        <w:rPr>
          <w:rFonts w:ascii="Arial" w:cs="Arial" w:eastAsia="Arial" w:hAnsi="Arial"/>
          <w:sz w:val="16"/>
          <w:szCs w:val="16"/>
          <w:color w:val="auto"/>
        </w:rPr>
        <w:t>Some clinical trials are overseen by an independent group of qualified experts organized by the clinical trial sponsor, known as a data monitoring board or committee. This group provides authorization for whether or not a trial may move forward at designated checkpoints based on access to certain data from the study. A sponsor may also suspend or terminate a clinical trial based on evolving business objectives and/or competitive climate.</w:t>
      </w:r>
    </w:p>
    <w:p>
      <w:pPr>
        <w:spacing w:after="0" w:line="167" w:lineRule="exact"/>
        <w:rPr>
          <w:sz w:val="20"/>
          <w:szCs w:val="20"/>
          <w:color w:val="auto"/>
        </w:rPr>
      </w:pPr>
    </w:p>
    <w:p>
      <w:pPr>
        <w:ind w:right="120" w:firstLine="590"/>
        <w:spacing w:after="0" w:line="273" w:lineRule="auto"/>
        <w:rPr>
          <w:sz w:val="20"/>
          <w:szCs w:val="20"/>
          <w:color w:val="auto"/>
        </w:rPr>
      </w:pPr>
      <w:r>
        <w:rPr>
          <w:rFonts w:ascii="Arial" w:cs="Arial" w:eastAsia="Arial" w:hAnsi="Arial"/>
          <w:sz w:val="15"/>
          <w:szCs w:val="15"/>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drug candidate and, among other things, must include developed methods for testing the identity, strength, quality and purity of the finished product. Additionally, appropriate packaging must be selected and tested and stability studies must be conducted to demonstrate that the product candidate does not undergo unacceptable deterioration over its shelf life.</w:t>
      </w:r>
    </w:p>
    <w:p>
      <w:pPr>
        <w:spacing w:after="0" w:line="25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FDA Review and Approval Processes</w:t>
      </w:r>
    </w:p>
    <w:p>
      <w:pPr>
        <w:spacing w:after="0" w:line="100" w:lineRule="exact"/>
        <w:rPr>
          <w:sz w:val="20"/>
          <w:szCs w:val="20"/>
          <w:color w:val="auto"/>
        </w:rPr>
      </w:pPr>
    </w:p>
    <w:p>
      <w:pPr>
        <w:ind w:right="120" w:firstLine="590"/>
        <w:spacing w:after="0" w:line="251" w:lineRule="auto"/>
        <w:rPr>
          <w:sz w:val="20"/>
          <w:szCs w:val="20"/>
          <w:color w:val="auto"/>
        </w:rPr>
      </w:pPr>
      <w:r>
        <w:rPr>
          <w:rFonts w:ascii="Arial" w:cs="Arial" w:eastAsia="Arial" w:hAnsi="Arial"/>
          <w:sz w:val="16"/>
          <w:szCs w:val="16"/>
          <w:color w:val="auto"/>
        </w:rPr>
        <w:t>In order to obtain approval to market a biopharmaceutical product in the United States, a marketing application must be submitted to the FDA that provides data establishing to the FDA’s satisfaction the safety and effectiveness of the investigational drug for the proposed indication. Each NDA or BLA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71" w:lineRule="exact"/>
        <w:rPr>
          <w:sz w:val="20"/>
          <w:szCs w:val="20"/>
          <w:color w:val="auto"/>
        </w:rPr>
      </w:pPr>
    </w:p>
    <w:p>
      <w:pPr>
        <w:ind w:right="20" w:firstLine="590"/>
        <w:spacing w:after="0" w:line="290" w:lineRule="auto"/>
        <w:rPr>
          <w:sz w:val="20"/>
          <w:szCs w:val="20"/>
          <w:color w:val="auto"/>
        </w:rPr>
      </w:pPr>
      <w:r>
        <w:rPr>
          <w:rFonts w:ascii="Arial" w:cs="Arial" w:eastAsia="Arial" w:hAnsi="Arial"/>
          <w:sz w:val="14"/>
          <w:szCs w:val="14"/>
          <w:color w:val="auto"/>
        </w:rPr>
        <w:t>The FDA will initially review an NDA or BLA for completeness before it accepts it for filing. The FDA has 60 days from its receipt of an application to determine whether the application will be accepted for filing based on the agency’s threshold determination that the application is sufficiently complete to permit substantive review. If it is not, the FDA may refuse to file the application and request additional information, in which case the application must be resubmitted with the supplemental information, and review of the application is delayed. After an NDA or BLA submission is accepted for filing, the FDA reviews the application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48" w:lineRule="exact"/>
        <w:rPr>
          <w:sz w:val="20"/>
          <w:szCs w:val="20"/>
          <w:color w:val="auto"/>
        </w:rPr>
      </w:pPr>
    </w:p>
    <w:p>
      <w:pPr>
        <w:ind w:firstLine="590"/>
        <w:spacing w:after="0" w:line="311" w:lineRule="auto"/>
        <w:rPr>
          <w:sz w:val="20"/>
          <w:szCs w:val="20"/>
          <w:color w:val="auto"/>
        </w:rPr>
      </w:pPr>
      <w:r>
        <w:rPr>
          <w:rFonts w:ascii="Arial" w:cs="Arial" w:eastAsia="Arial" w:hAnsi="Arial"/>
          <w:sz w:val="14"/>
          <w:szCs w:val="14"/>
          <w:color w:val="auto"/>
        </w:rPr>
        <w:t>Upon the filing of an NDA or BLA, the FDA may grant a priority review designation to a product, which sets the target date for FDA action on the application at 6 months, rather than the standard 10 months. Priority review is given for drug that treats a serious condition and, if approved, would provide a significant improvement in safety or effectiveness. Priority review designation does not change the scientific or medical standard for approval or the quality of evidence necessary to support approval.</w:t>
      </w:r>
    </w:p>
    <w:p>
      <w:pPr>
        <w:spacing w:after="0" w:line="132" w:lineRule="exact"/>
        <w:rPr>
          <w:sz w:val="20"/>
          <w:szCs w:val="20"/>
          <w:color w:val="auto"/>
        </w:rPr>
      </w:pPr>
    </w:p>
    <w:p>
      <w:pPr>
        <w:ind w:right="60" w:firstLine="590"/>
        <w:spacing w:after="0" w:line="283" w:lineRule="auto"/>
        <w:rPr>
          <w:sz w:val="20"/>
          <w:szCs w:val="20"/>
          <w:color w:val="auto"/>
        </w:rPr>
      </w:pPr>
      <w:r>
        <w:rPr>
          <w:rFonts w:ascii="Arial" w:cs="Arial" w:eastAsia="Arial" w:hAnsi="Arial"/>
          <w:sz w:val="15"/>
          <w:szCs w:val="15"/>
          <w:color w:val="auto"/>
        </w:rPr>
        <w:t>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sites to assure compliance with GCP.</w:t>
      </w:r>
    </w:p>
    <w:p>
      <w:pPr>
        <w:spacing w:after="0" w:line="148" w:lineRule="exact"/>
        <w:rPr>
          <w:sz w:val="20"/>
          <w:szCs w:val="20"/>
          <w:color w:val="auto"/>
        </w:rPr>
      </w:pPr>
    </w:p>
    <w:p>
      <w:pPr>
        <w:ind w:firstLine="590"/>
        <w:spacing w:after="0" w:line="257" w:lineRule="auto"/>
        <w:rPr>
          <w:sz w:val="20"/>
          <w:szCs w:val="20"/>
          <w:color w:val="auto"/>
        </w:rPr>
      </w:pPr>
      <w:r>
        <w:rPr>
          <w:rFonts w:ascii="Arial" w:cs="Arial" w:eastAsia="Arial" w:hAnsi="Arial"/>
          <w:sz w:val="16"/>
          <w:szCs w:val="16"/>
          <w:color w:val="auto"/>
        </w:rPr>
        <w:t>After the FDA completes its initial review of an NDA or BLA, it will communicate to the sponsor that the product is approved, or it will issue a complete response letter to communicate that the application will not be approved in its current form and inform the sponsor of changes that must be made or additional clinical, nonclinical or manufacturing data that must be received before the application can be approved.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21" w:name="page22"/>
    <w:bookmarkEnd w:id="21"/>
    <w:p>
      <w:pPr>
        <w:ind w:right="20" w:firstLine="590"/>
        <w:spacing w:after="0" w:line="271" w:lineRule="auto"/>
        <w:rPr>
          <w:sz w:val="20"/>
          <w:szCs w:val="20"/>
          <w:color w:val="auto"/>
        </w:rPr>
      </w:pPr>
      <w:r>
        <w:rPr>
          <w:rFonts w:ascii="Arial" w:cs="Arial" w:eastAsia="Arial" w:hAnsi="Arial"/>
          <w:sz w:val="15"/>
          <w:szCs w:val="15"/>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For example, the FDA may require Phase 4 testing, which involves clinical trials designed to further assess a drug’s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an NDA must submit a proposed REMS, and the FDA will not approve an NDA without an approved REMS, if required.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Expedited Review Programs</w:t>
      </w:r>
    </w:p>
    <w:p>
      <w:pPr>
        <w:spacing w:after="0" w:line="100" w:lineRule="exact"/>
        <w:rPr>
          <w:sz w:val="20"/>
          <w:szCs w:val="20"/>
          <w:color w:val="auto"/>
        </w:rPr>
      </w:pPr>
    </w:p>
    <w:p>
      <w:pPr>
        <w:ind w:firstLine="590"/>
        <w:spacing w:after="0" w:line="288" w:lineRule="auto"/>
        <w:rPr>
          <w:sz w:val="20"/>
          <w:szCs w:val="20"/>
          <w:color w:val="auto"/>
        </w:rPr>
      </w:pPr>
      <w:r>
        <w:rPr>
          <w:rFonts w:ascii="Arial" w:cs="Arial" w:eastAsia="Arial" w:hAnsi="Arial"/>
          <w:sz w:val="14"/>
          <w:szCs w:val="14"/>
          <w:color w:val="auto"/>
        </w:rPr>
        <w:t>Among other programs, the FDA may expedite the review of a product candidate designated as a breakthrough therapy, which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sponsor may request the FDA to designate a drug as a breakthrough therapy at the time of, or any time after, the submission of an IND application for the drug. If the FDA designates a drug as a breakthrough therapy, it must take actions appropriate to expedite the development and review of the application, which may include holding meetings with the sponsor and the review team throughout the development of the drug;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 The FDA may rescind a breakthrough therapy designation in the future if further clinical development later shows that the criteria for designation are no longer met.</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Breakthrough therapy designation does not change the standards for approval, but may expedite the development or review process.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Post-Approval Requirements</w:t>
      </w:r>
    </w:p>
    <w:p>
      <w:pPr>
        <w:spacing w:after="0" w:line="100" w:lineRule="exact"/>
        <w:rPr>
          <w:sz w:val="20"/>
          <w:szCs w:val="20"/>
          <w:color w:val="auto"/>
        </w:rPr>
      </w:pPr>
    </w:p>
    <w:p>
      <w:pPr>
        <w:ind w:right="100" w:firstLine="590"/>
        <w:spacing w:after="0" w:line="268" w:lineRule="auto"/>
        <w:rPr>
          <w:sz w:val="20"/>
          <w:szCs w:val="20"/>
          <w:color w:val="auto"/>
        </w:rPr>
      </w:pPr>
      <w:r>
        <w:rPr>
          <w:rFonts w:ascii="Arial" w:cs="Arial" w:eastAsia="Arial" w:hAnsi="Arial"/>
          <w:sz w:val="16"/>
          <w:szCs w:val="16"/>
          <w:color w:val="auto"/>
        </w:rPr>
        <w:t>If and when approved, any products manufactured or distributed by us or on our behalf will be subject to continuing regulation by the FDA, including requirements for record-keeping, reporting of adverse experiences and submitting annual reports.</w:t>
      </w:r>
    </w:p>
    <w:p>
      <w:pPr>
        <w:spacing w:after="0" w:line="157" w:lineRule="exact"/>
        <w:rPr>
          <w:sz w:val="20"/>
          <w:szCs w:val="20"/>
          <w:color w:val="auto"/>
        </w:rPr>
      </w:pPr>
    </w:p>
    <w:p>
      <w:pPr>
        <w:ind w:right="20" w:firstLine="590"/>
        <w:spacing w:after="0" w:line="290" w:lineRule="auto"/>
        <w:rPr>
          <w:sz w:val="20"/>
          <w:szCs w:val="20"/>
          <w:color w:val="auto"/>
        </w:rPr>
      </w:pPr>
      <w:r>
        <w:rPr>
          <w:rFonts w:ascii="Arial" w:cs="Arial" w:eastAsia="Arial" w:hAnsi="Arial"/>
          <w:sz w:val="14"/>
          <w:szCs w:val="14"/>
          <w:color w:val="auto"/>
        </w:rPr>
        <w:t>Biopharmaceutical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The FDA and certain states also impose requirements on manufacturers and distributors to establish the pedigree of product in the chain of distribution, including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application, shut down manufacturing operations or withdraw approval of an application, or we may recall the product from distribution. Noncompliance with cGMP or other requirements can result in issuance of warning letters, civil and criminal penalties, seizures and injunctive action.</w:t>
      </w:r>
    </w:p>
    <w:p>
      <w:pPr>
        <w:spacing w:after="0" w:line="148" w:lineRule="exact"/>
        <w:rPr>
          <w:sz w:val="20"/>
          <w:szCs w:val="20"/>
          <w:color w:val="auto"/>
        </w:rPr>
      </w:pPr>
    </w:p>
    <w:p>
      <w:pPr>
        <w:ind w:right="40" w:firstLine="590"/>
        <w:spacing w:after="0" w:line="257" w:lineRule="auto"/>
        <w:rPr>
          <w:sz w:val="20"/>
          <w:szCs w:val="20"/>
          <w:color w:val="auto"/>
        </w:rPr>
      </w:pPr>
      <w:r>
        <w:rPr>
          <w:rFonts w:ascii="Arial" w:cs="Arial" w:eastAsia="Arial" w:hAnsi="Arial"/>
          <w:sz w:val="16"/>
          <w:szCs w:val="16"/>
          <w:color w:val="auto"/>
        </w:rPr>
        <w:t>The FDA closely regulates the labeling, marketing and promotion of drugs and biologics. While doctors are free to prescribe any drug approved by the FDA for any use based on the doctor’s independent medical judgement, a company can only make claims relating to safety and efficacy of a drug that are consistent with FDA approval, and the company is allowed to actively market a drug only for the particular use and treatment approved by the FDA.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22" w:name="page23"/>
    <w:bookmarkEnd w:id="22"/>
    <w:p>
      <w:pPr>
        <w:jc w:val="both"/>
        <w:ind w:right="480"/>
        <w:spacing w:after="0" w:line="283" w:lineRule="auto"/>
        <w:rPr>
          <w:sz w:val="20"/>
          <w:szCs w:val="20"/>
          <w:color w:val="auto"/>
        </w:rPr>
      </w:pPr>
      <w:r>
        <w:rPr>
          <w:rFonts w:ascii="Arial" w:cs="Arial" w:eastAsia="Arial" w:hAnsi="Arial"/>
          <w:sz w:val="15"/>
          <w:szCs w:val="15"/>
          <w:color w:val="auto"/>
        </w:rPr>
        <w:t>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Coverage and Reimbursement</w:t>
      </w:r>
    </w:p>
    <w:p>
      <w:pPr>
        <w:spacing w:after="0" w:line="100" w:lineRule="exact"/>
        <w:rPr>
          <w:sz w:val="20"/>
          <w:szCs w:val="20"/>
          <w:color w:val="auto"/>
        </w:rPr>
      </w:pPr>
    </w:p>
    <w:p>
      <w:pPr>
        <w:ind w:firstLine="590"/>
        <w:spacing w:after="0" w:line="289" w:lineRule="auto"/>
        <w:rPr>
          <w:sz w:val="20"/>
          <w:szCs w:val="20"/>
          <w:color w:val="auto"/>
        </w:rPr>
      </w:pPr>
      <w:r>
        <w:rPr>
          <w:rFonts w:ascii="Arial" w:cs="Arial" w:eastAsia="Arial" w:hAnsi="Arial"/>
          <w:sz w:val="14"/>
          <w:szCs w:val="14"/>
          <w:color w:val="auto"/>
        </w:rPr>
        <w:t>In both domestic and foreign markets, sales of any products for which we may receive regulatory approval will depend in part upon the availability of coverage and adequate reimbursement to healthcare providers from third-party payors. Such third-party payors include government health programs, such as Medicare and Medicaid, as well as managed care organizations, private health insurers and other organizations. Coverage decisions may depend upon clinical and economic standards that disfavor new drug products when more established or lower cost therapeutic alternatives are available. Assuming coverage is granted, the reimbursement rates paid for covered products might not be adequate. Even if favorable coverage status and adequate reimbursement rates are attained, less favorable coverage policies and reimbursement rates may be implemented in the future. The marketability of any products for which we may receive regulatory approval for commercial sale may suffer if the government and other third-party payors fail to provide coverage and adequate reimbursement to allow us to sell such products on a competitive and profitable basis. For example, under these circumstances, physicians may limit how much or under what circumstances they will prescribe or administer such products, and patients may decline to purchase them. This, in turn, could affect our ability to successfully commercialize our products and impact our profitability, results of operations, financial condition, and future success.</w:t>
      </w:r>
    </w:p>
    <w:p>
      <w:pPr>
        <w:spacing w:after="0" w:line="149" w:lineRule="exact"/>
        <w:rPr>
          <w:sz w:val="20"/>
          <w:szCs w:val="20"/>
          <w:color w:val="auto"/>
        </w:rPr>
      </w:pPr>
    </w:p>
    <w:p>
      <w:pPr>
        <w:ind w:right="40" w:firstLine="590"/>
        <w:spacing w:after="0" w:line="251" w:lineRule="auto"/>
        <w:rPr>
          <w:sz w:val="20"/>
          <w:szCs w:val="20"/>
          <w:color w:val="auto"/>
        </w:rPr>
      </w:pPr>
      <w:r>
        <w:rPr>
          <w:rFonts w:ascii="Arial" w:cs="Arial" w:eastAsia="Arial" w:hAnsi="Arial"/>
          <w:sz w:val="16"/>
          <w:szCs w:val="16"/>
          <w:color w:val="auto"/>
        </w:rPr>
        <w:t>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Such pressure, along with the increased emphasis on managed healthcare in the United States and on country and regional pricing and reimbursement controls in the European Union, will likely put additional downward pressure on product pricing, reimbursement and usage, which may adversely affect our future product sales and results of operations. These pressures can arise from rules and practices of managed care groups, judicial decisions, governmental laws and regulations related to government healthcare programs, healthcare reform, and pharmaceutical coverage and reimbursement policies.</w:t>
      </w:r>
    </w:p>
    <w:p>
      <w:pPr>
        <w:spacing w:after="0" w:line="171" w:lineRule="exact"/>
        <w:rPr>
          <w:sz w:val="20"/>
          <w:szCs w:val="20"/>
          <w:color w:val="auto"/>
        </w:rPr>
      </w:pPr>
    </w:p>
    <w:p>
      <w:pPr>
        <w:ind w:right="20" w:firstLine="590"/>
        <w:spacing w:after="0" w:line="288" w:lineRule="auto"/>
        <w:rPr>
          <w:sz w:val="20"/>
          <w:szCs w:val="20"/>
          <w:color w:val="auto"/>
        </w:rPr>
      </w:pPr>
      <w:r>
        <w:rPr>
          <w:rFonts w:ascii="Arial" w:cs="Arial" w:eastAsia="Arial" w:hAnsi="Arial"/>
          <w:sz w:val="14"/>
          <w:szCs w:val="14"/>
          <w:color w:val="auto"/>
        </w:rPr>
        <w:t>The market for any product candidates for which we may receive regulatory approval will depend significantly on the degree to which these products are listed on third-party payors’ drug formularies, or lists of medications for which third-party payors provide coverage and reimbursement to the extent products for which we may receive regulatory approval are covered under a pharmacy benefit or are otherwise subject to a formulary. The industry competition to be included on such formularies often leads to downward pricing pressures on pharmaceutical companies. Also, third-party payors may refuse to include a particular branded drug on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Further, one payor’s determination to provide coverage for a drug product does not assure that other payors will also provide coverage for the drug product.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We cannot be certain that our product candidates will be considered cost-effective. This process could delay the market acceptance of any product candidates for which we may receive approval and could have a negative effect on our future revenues and operating results.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Federal and State Fraud and Abuse and Data Privacy and Security Laws and Regulations</w:t>
      </w:r>
    </w:p>
    <w:p>
      <w:pPr>
        <w:spacing w:after="0" w:line="100" w:lineRule="exact"/>
        <w:rPr>
          <w:sz w:val="20"/>
          <w:szCs w:val="20"/>
          <w:color w:val="auto"/>
        </w:rPr>
      </w:pPr>
    </w:p>
    <w:p>
      <w:pPr>
        <w:ind w:right="40" w:firstLine="590"/>
        <w:spacing w:after="0" w:line="257" w:lineRule="auto"/>
        <w:rPr>
          <w:sz w:val="20"/>
          <w:szCs w:val="20"/>
          <w:color w:val="auto"/>
        </w:rPr>
      </w:pPr>
      <w:r>
        <w:rPr>
          <w:rFonts w:ascii="Arial" w:cs="Arial" w:eastAsia="Arial" w:hAnsi="Arial"/>
          <w:sz w:val="16"/>
          <w:szCs w:val="16"/>
          <w:color w:val="auto"/>
        </w:rPr>
        <w:t>In addition to FDA restrictions on marketing of pharmaceutical products, federal and state laws restrict business practices in the pharmaceutical industry. These laws include anti-kickback and false claims laws and regulations as well as data privacy and security laws and regulations. The laws that will affect our operations include, but are not limited to:</w:t>
      </w:r>
    </w:p>
    <w:p>
      <w:pPr>
        <w:spacing w:after="0" w:line="72" w:lineRule="exact"/>
        <w:rPr>
          <w:sz w:val="20"/>
          <w:szCs w:val="20"/>
          <w:color w:val="auto"/>
        </w:rPr>
      </w:pPr>
    </w:p>
    <w:p>
      <w:pPr>
        <w:ind w:left="1160" w:right="80" w:hanging="585"/>
        <w:spacing w:after="0" w:line="270" w:lineRule="auto"/>
        <w:tabs>
          <w:tab w:leader="none" w:pos="11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Patient Protection and Affordable Care Act, as amended by the Health Care and Education Reconciliation Act, collectively, the Affordable Care Act, amended the intent requirement of the federal Anti-Kickback Statute so that a person or entity no longer needs to have actual knowledge of this statute or specific intent to violate it in order to have committed a violation;</w:t>
      </w:r>
    </w:p>
    <w:p>
      <w:pPr>
        <w:spacing w:after="0" w:line="62" w:lineRule="exact"/>
        <w:rPr>
          <w:rFonts w:ascii="Arial" w:cs="Arial" w:eastAsia="Arial" w:hAnsi="Arial"/>
          <w:sz w:val="15"/>
          <w:szCs w:val="15"/>
          <w:color w:val="auto"/>
        </w:rPr>
      </w:pPr>
    </w:p>
    <w:p>
      <w:pPr>
        <w:ind w:left="1180" w:right="20" w:hanging="593"/>
        <w:spacing w:after="0" w:line="273" w:lineRule="auto"/>
        <w:tabs>
          <w:tab w:leader="none" w:pos="1180" w:val="left"/>
        </w:tabs>
        <w:numPr>
          <w:ilvl w:val="1"/>
          <w:numId w:val="11"/>
        </w:numPr>
        <w:rPr>
          <w:rFonts w:ascii="Arial" w:cs="Arial" w:eastAsia="Arial" w:hAnsi="Arial"/>
          <w:sz w:val="15"/>
          <w:szCs w:val="15"/>
          <w:color w:val="auto"/>
        </w:rPr>
      </w:pPr>
      <w:r>
        <w:rPr>
          <w:rFonts w:ascii="Arial" w:cs="Arial" w:eastAsia="Arial" w:hAnsi="Arial"/>
          <w:sz w:val="15"/>
          <w:szCs w:val="15"/>
          <w:color w:val="auto"/>
        </w:rPr>
        <w:t>federal civil and criminal false claims laws, including, without limitation, the False Claims Act, and civil monetary penalty laws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Affordable Care Act provides, and recent government cases against pharmaceutical manufacturers support, the view that federal Anti-Kickback Statute violations and certain marketing practices, including off-label promotion, may implicate the False Claims Act;</w:t>
      </w:r>
    </w:p>
    <w:p>
      <w:pPr>
        <w:spacing w:after="0" w:line="60" w:lineRule="exact"/>
        <w:rPr>
          <w:rFonts w:ascii="Arial" w:cs="Arial" w:eastAsia="Arial" w:hAnsi="Arial"/>
          <w:sz w:val="15"/>
          <w:szCs w:val="15"/>
          <w:color w:val="auto"/>
        </w:rPr>
      </w:pPr>
    </w:p>
    <w:p>
      <w:pPr>
        <w:ind w:left="1180" w:right="100" w:hanging="593"/>
        <w:spacing w:after="0" w:line="257" w:lineRule="auto"/>
        <w:tabs>
          <w:tab w:leader="none" w:pos="11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additional federal criminal statutes that prohibit a person from knowingly and willfully executing a scheme or making false or fraudulent statements to defraud any healthcare benefit program, regardless of the payor (e.g., public or private);</w:t>
      </w:r>
    </w:p>
    <w:p>
      <w:pPr>
        <w:spacing w:after="0" w:line="71" w:lineRule="exact"/>
        <w:rPr>
          <w:rFonts w:ascii="Arial" w:cs="Arial" w:eastAsia="Arial" w:hAnsi="Arial"/>
          <w:sz w:val="16"/>
          <w:szCs w:val="16"/>
          <w:color w:val="auto"/>
        </w:rPr>
      </w:pPr>
    </w:p>
    <w:p>
      <w:pPr>
        <w:ind w:left="1180" w:hanging="593"/>
        <w:spacing w:after="0" w:line="252" w:lineRule="auto"/>
        <w:tabs>
          <w:tab w:leader="none" w:pos="11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their implementing regulations, which imposes certain requirements relating to the privacy, security and transmission of individually identifiable health information without appropriate authorization by entities subject to the rule, such as health plans, healthcare clearinghouses and certain healthcare providers, known as covered entities, and their respective business associates, individuals or entities that perform certain services on behalf of a covered entity that involves the use or disclosure of individually identifiable health information, and their covered subcontractors;</w:t>
      </w:r>
    </w:p>
    <w:p>
      <w:pPr>
        <w:spacing w:after="0" w:line="75" w:lineRule="exact"/>
        <w:rPr>
          <w:rFonts w:ascii="Arial" w:cs="Arial" w:eastAsia="Arial" w:hAnsi="Arial"/>
          <w:sz w:val="16"/>
          <w:szCs w:val="16"/>
          <w:color w:val="auto"/>
        </w:rPr>
      </w:pPr>
    </w:p>
    <w:p>
      <w:pPr>
        <w:ind w:left="1180" w:right="120" w:hanging="593"/>
        <w:spacing w:after="0" w:line="294" w:lineRule="auto"/>
        <w:tabs>
          <w:tab w:leader="none" w:pos="11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(i) payments or other “transfers of value” made to physicians (defined to include doctors, dentists, optometrists, podiatrists and chiropractors) and teaching hospitals; and (ii) ownership and investment interests held by physicians and their immediate family members, and beginning in 2022, will require applicable manufacturers to report payments and other transfers of value provided in the previous year to physician assistants, nurse practitioners, clinical nurse specialists, certified nurse anesthetists, anesthesiologist assistants, and certified nurse midwives;</w:t>
      </w:r>
    </w:p>
    <w:p>
      <w:pPr>
        <w:spacing w:after="0" w:line="47" w:lineRule="exact"/>
        <w:rPr>
          <w:rFonts w:ascii="Arial" w:cs="Arial" w:eastAsia="Arial" w:hAnsi="Arial"/>
          <w:sz w:val="14"/>
          <w:szCs w:val="14"/>
          <w:color w:val="auto"/>
        </w:rPr>
      </w:pPr>
    </w:p>
    <w:p>
      <w:pPr>
        <w:ind w:left="1180" w:right="80" w:hanging="593"/>
        <w:spacing w:after="0" w:line="270" w:lineRule="auto"/>
        <w:tabs>
          <w:tab w:leader="none" w:pos="1180" w:val="left"/>
        </w:tabs>
        <w:numPr>
          <w:ilvl w:val="1"/>
          <w:numId w:val="11"/>
        </w:numPr>
        <w:rPr>
          <w:rFonts w:ascii="Arial" w:cs="Arial" w:eastAsia="Arial" w:hAnsi="Arial"/>
          <w:sz w:val="15"/>
          <w:szCs w:val="15"/>
          <w:color w:val="auto"/>
        </w:rPr>
      </w:pPr>
      <w:r>
        <w:rPr>
          <w:rFonts w:ascii="Arial" w:cs="Arial" w:eastAsia="Arial" w:hAnsi="Arial"/>
          <w:sz w:val="15"/>
          <w:szCs w:val="15"/>
          <w:color w:val="auto"/>
        </w:rPr>
        <w:t>state law equivalents of each of the above federal laws, state laws that require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laws that require manufactures to report pricing information regarding certain drugs, state and local laws that require the registration of pharmaceutical sales representatives, and state laws that govern the privacy and security of health information, which differ from each other in significant ways and often are not preempted by HIPAA, thus complicating compliance efforts.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600" w:right="359" w:bottom="1440" w:gutter="0" w:footer="0" w:header="0"/>
        </w:sectPr>
      </w:pPr>
    </w:p>
    <w:bookmarkStart w:id="24" w:name="page25"/>
    <w:bookmarkEnd w:id="24"/>
    <w:p>
      <w:pPr>
        <w:ind w:right="180" w:firstLine="590"/>
        <w:spacing w:after="0" w:line="257" w:lineRule="auto"/>
        <w:rPr>
          <w:sz w:val="20"/>
          <w:szCs w:val="20"/>
          <w:color w:val="auto"/>
        </w:rPr>
      </w:pPr>
      <w:r>
        <w:rPr>
          <w:rFonts w:ascii="Arial" w:cs="Arial" w:eastAsia="Arial" w:hAnsi="Arial"/>
          <w:sz w:val="16"/>
          <w:szCs w:val="16"/>
          <w:color w:val="auto"/>
        </w:rPr>
        <w:t>We may also be subject to federal and state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67" w:lineRule="exact"/>
        <w:rPr>
          <w:sz w:val="20"/>
          <w:szCs w:val="20"/>
          <w:color w:val="auto"/>
        </w:rPr>
      </w:pPr>
    </w:p>
    <w:p>
      <w:pPr>
        <w:ind w:right="180" w:firstLine="590"/>
        <w:spacing w:after="0" w:line="297" w:lineRule="auto"/>
        <w:rPr>
          <w:sz w:val="20"/>
          <w:szCs w:val="20"/>
          <w:color w:val="auto"/>
        </w:rPr>
      </w:pPr>
      <w:r>
        <w:rPr>
          <w:rFonts w:ascii="Arial" w:cs="Arial" w:eastAsia="Arial" w:hAnsi="Arial"/>
          <w:sz w:val="14"/>
          <w:szCs w:val="14"/>
          <w:color w:val="auto"/>
        </w:rPr>
        <w:t>Because of the breadth of these laws and the narrowness of available statutory and regulatory exemptions, it is possible that some of our business activities could be subject to challenge, investigation or legal action under one or more of such laws.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w:t>
      </w:r>
    </w:p>
    <w:p>
      <w:pPr>
        <w:spacing w:after="0" w:line="140" w:lineRule="exact"/>
        <w:rPr>
          <w:sz w:val="20"/>
          <w:szCs w:val="20"/>
          <w:color w:val="auto"/>
        </w:rPr>
      </w:pPr>
    </w:p>
    <w:p>
      <w:pPr>
        <w:ind w:firstLine="590"/>
        <w:spacing w:after="0" w:line="302" w:lineRule="auto"/>
        <w:rPr>
          <w:sz w:val="20"/>
          <w:szCs w:val="20"/>
          <w:color w:val="auto"/>
        </w:rPr>
      </w:pPr>
      <w:r>
        <w:rPr>
          <w:rFonts w:ascii="Arial" w:cs="Arial" w:eastAsia="Arial" w:hAnsi="Arial"/>
          <w:sz w:val="14"/>
          <w:szCs w:val="14"/>
          <w:color w:val="auto"/>
        </w:rPr>
        <w:t>To the extent that any of our product candidates receive approval and are sold in a foreign country, we may be subject to similar foreign laws and regulations, which may include, for instance, applicable post-marketing requirements, including safety surveillance, anti-fraud and abuse laws, international data protection laws (including the General Data Protection Directive ((EU) 2016/679) on the protection of individuals with regard to the processing of personal data and on the free movement of such data as well as EU member state implementing legislation), and implementation of corporate compliance programs and reporting of payments or transfers of value to healthcare professionals.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Reform</w:t>
      </w:r>
    </w:p>
    <w:p>
      <w:pPr>
        <w:spacing w:after="0" w:line="100" w:lineRule="exact"/>
        <w:rPr>
          <w:sz w:val="20"/>
          <w:szCs w:val="20"/>
          <w:color w:val="auto"/>
        </w:rPr>
      </w:pPr>
    </w:p>
    <w:p>
      <w:pPr>
        <w:ind w:firstLine="590"/>
        <w:spacing w:after="0" w:line="269" w:lineRule="auto"/>
        <w:rPr>
          <w:sz w:val="20"/>
          <w:szCs w:val="20"/>
          <w:color w:val="auto"/>
        </w:rPr>
      </w:pPr>
      <w:r>
        <w:rPr>
          <w:rFonts w:ascii="Arial" w:cs="Arial" w:eastAsia="Arial" w:hAnsi="Arial"/>
          <w:sz w:val="15"/>
          <w:szCs w:val="15"/>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 In March 2010, then President Obama signed into law the Affordable Care Act, which substantially changed the way healthcare will be financed by both governmental and private insurers, and significantly impacts the pharmaceutical industry. Among the provisions of the Affordable Care Act of importance to our business, including, without limitation, our ability to commercialize, and the prices we may obtain for, any of our product candidates that are approved for sale, are the following:</w:t>
      </w:r>
    </w:p>
    <w:p>
      <w:pPr>
        <w:spacing w:after="0" w:line="63" w:lineRule="exact"/>
        <w:rPr>
          <w:sz w:val="20"/>
          <w:szCs w:val="20"/>
          <w:color w:val="auto"/>
        </w:rPr>
      </w:pPr>
    </w:p>
    <w:p>
      <w:pPr>
        <w:ind w:left="1160" w:hanging="585"/>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annual, nondeductible fee payable by any entity that manufactures or imports specified branded prescription drugs and biologic agents;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in the statutory minimum rebates a manufacturer must pay under the Medicaid Drug Rebate Program;</w:t>
      </w:r>
    </w:p>
    <w:p>
      <w:pPr>
        <w:spacing w:after="0" w:line="123" w:lineRule="exact"/>
        <w:rPr>
          <w:rFonts w:ascii="Arial" w:cs="Arial" w:eastAsia="Arial" w:hAnsi="Arial"/>
          <w:sz w:val="16"/>
          <w:szCs w:val="16"/>
          <w:color w:val="auto"/>
        </w:rPr>
      </w:pPr>
    </w:p>
    <w:p>
      <w:pPr>
        <w:ind w:left="1160" w:right="300" w:hanging="585"/>
        <w:spacing w:after="0" w:line="268" w:lineRule="auto"/>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expansion of healthcare fraud and abuse laws, including the federal False Claims Act and the federal Anti-Kickback Statute, new government investigative powers and enhanced penalties for noncompliance;</w:t>
      </w:r>
    </w:p>
    <w:p>
      <w:pPr>
        <w:spacing w:after="0" w:line="62" w:lineRule="exact"/>
        <w:rPr>
          <w:rFonts w:ascii="Arial" w:cs="Arial" w:eastAsia="Arial" w:hAnsi="Arial"/>
          <w:sz w:val="16"/>
          <w:szCs w:val="16"/>
          <w:color w:val="auto"/>
        </w:rPr>
      </w:pPr>
    </w:p>
    <w:p>
      <w:pPr>
        <w:ind w:left="1160" w:hanging="585"/>
        <w:spacing w:after="0"/>
        <w:tabs>
          <w:tab w:leader="none" w:pos="11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new Medicare Part D coverage gap discount program, in which manufacturers must now agree to offer 70% point-of- sale discounts off negotiated prices;</w:t>
      </w:r>
    </w:p>
    <w:p>
      <w:pPr>
        <w:spacing w:after="0" w:line="146" w:lineRule="exact"/>
        <w:rPr>
          <w:rFonts w:ascii="Arial" w:cs="Arial" w:eastAsia="Arial" w:hAnsi="Arial"/>
          <w:sz w:val="14"/>
          <w:szCs w:val="14"/>
          <w:color w:val="auto"/>
        </w:rPr>
      </w:pPr>
    </w:p>
    <w:p>
      <w:pPr>
        <w:ind w:left="1160" w:hanging="585"/>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extension of manufacturers’ Medicaid rebate liability;</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expansion of the entities eligible for discounts under the Public Health Service pharmaceutical pricing program;</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new requirements to report financial arrangements with physicians and teaching hospitals;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25" w:name="page26"/>
    <w:bookmarkEnd w:id="25"/>
    <w:p>
      <w:pPr>
        <w:ind w:left="1165" w:hanging="585"/>
        <w:spacing w:after="0"/>
        <w:tabs>
          <w:tab w:leader="none" w:pos="11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new requirement to annually report drug samples that manufacturers and distributors provide to physicians; and</w:t>
      </w:r>
    </w:p>
    <w:p>
      <w:pPr>
        <w:spacing w:after="0" w:line="123" w:lineRule="exact"/>
        <w:rPr>
          <w:rFonts w:ascii="Arial" w:cs="Arial" w:eastAsia="Arial" w:hAnsi="Arial"/>
          <w:sz w:val="16"/>
          <w:szCs w:val="16"/>
          <w:color w:val="auto"/>
        </w:rPr>
      </w:pPr>
    </w:p>
    <w:p>
      <w:pPr>
        <w:ind w:left="1165" w:right="440" w:hanging="585"/>
        <w:spacing w:after="0" w:line="268" w:lineRule="auto"/>
        <w:tabs>
          <w:tab w:leader="none" w:pos="11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new Patient-Centered Outcomes Research Institute to oversee, identify priorities in and conduct comparative clinical effectiveness research, along with funding for such research.</w:t>
      </w:r>
    </w:p>
    <w:p>
      <w:pPr>
        <w:spacing w:after="0" w:line="157" w:lineRule="exact"/>
        <w:rPr>
          <w:sz w:val="20"/>
          <w:szCs w:val="20"/>
          <w:color w:val="auto"/>
        </w:rPr>
      </w:pPr>
    </w:p>
    <w:p>
      <w:pPr>
        <w:ind w:left="5" w:firstLine="590"/>
        <w:spacing w:after="0" w:line="266" w:lineRule="auto"/>
        <w:rPr>
          <w:sz w:val="20"/>
          <w:szCs w:val="20"/>
          <w:color w:val="auto"/>
        </w:rPr>
      </w:pPr>
      <w:r>
        <w:rPr>
          <w:rFonts w:ascii="Arial" w:cs="Arial" w:eastAsia="Arial" w:hAnsi="Arial"/>
          <w:sz w:val="15"/>
          <w:szCs w:val="15"/>
          <w:color w:val="auto"/>
        </w:rPr>
        <w:t>There have been executive, judicial and Congressional challenges to certain aspects of the Affordable Care Act. For example, the Tax Cuts and Jobs Act of 2017, or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eliminated, effective January 1, 2020, the Affordable Care Act’s mandated “Cadillac” tax on high-cost employer-sponsored health coverage and medical device tax and, effective January 1, 2021, also eliminated the health insurer tax. On December 14, 2018, a Texas U.S. District Court Judge ruled that the Affordable Care Act is unconstitutional in its entirety because the “individual mandate” was repealed by the U.S.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The U.S. Supreme Court is currently reviewing the case, although it is unknown when a decision will be made. Further, although the U.S. Supreme Court has not yet ruled on the constitutionality of the Affordable Care Act, on January 28, 2021, President Biden issued an executive order to initiate a special enrollment period from February 15, 2021 through May 15, 2021 for purposes of obtaining health insurance coverage through the Affordable Care Act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the Supreme Court ruling, other such litigation, and the healthcare reform measures of the Biden administration will impact the Affordable Care Act.</w:t>
      </w:r>
    </w:p>
    <w:p>
      <w:pPr>
        <w:spacing w:after="0" w:line="165" w:lineRule="exact"/>
        <w:rPr>
          <w:sz w:val="20"/>
          <w:szCs w:val="20"/>
          <w:color w:val="auto"/>
        </w:rPr>
      </w:pPr>
    </w:p>
    <w:p>
      <w:pPr>
        <w:ind w:left="5" w:right="80" w:firstLine="590"/>
        <w:spacing w:after="0" w:line="284" w:lineRule="auto"/>
        <w:rPr>
          <w:sz w:val="20"/>
          <w:szCs w:val="20"/>
          <w:color w:val="auto"/>
        </w:rPr>
      </w:pPr>
      <w:r>
        <w:rPr>
          <w:rFonts w:ascii="Arial" w:cs="Arial" w:eastAsia="Arial" w:hAnsi="Arial"/>
          <w:sz w:val="14"/>
          <w:szCs w:val="14"/>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w:t>
      </w:r>
    </w:p>
    <w:p>
      <w:pPr>
        <w:spacing w:after="0" w:line="4" w:lineRule="exact"/>
        <w:rPr>
          <w:sz w:val="20"/>
          <w:szCs w:val="20"/>
          <w:color w:val="auto"/>
        </w:rPr>
      </w:pPr>
    </w:p>
    <w:p>
      <w:pPr>
        <w:ind w:left="5" w:right="20" w:hanging="5"/>
        <w:spacing w:after="0" w:line="286" w:lineRule="auto"/>
        <w:tabs>
          <w:tab w:leader="none" w:pos="167" w:val="left"/>
        </w:tabs>
        <w:numPr>
          <w:ilvl w:val="0"/>
          <w:numId w:val="14"/>
        </w:numPr>
        <w:rPr>
          <w:rFonts w:ascii="Arial" w:cs="Arial" w:eastAsia="Arial" w:hAnsi="Arial"/>
          <w:sz w:val="14"/>
          <w:szCs w:val="14"/>
          <w:color w:val="auto"/>
        </w:rPr>
      </w:pPr>
      <w:r>
        <w:rPr>
          <w:rFonts w:ascii="Arial" w:cs="Arial" w:eastAsia="Arial" w:hAnsi="Arial"/>
          <w:sz w:val="14"/>
          <w:szCs w:val="14"/>
          <w:color w:val="auto"/>
        </w:rPr>
        <w:t>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It is also possible that additional governmental action will be taken in response to the COVID-19 pandemic.</w:t>
      </w:r>
    </w:p>
    <w:p>
      <w:pPr>
        <w:spacing w:after="0" w:line="151"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946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5"/>
          </w:cols>
          <w:pgMar w:left="315" w:top="600" w:right="339" w:bottom="1440" w:gutter="0" w:footer="0" w:header="0"/>
        </w:sectPr>
      </w:pPr>
    </w:p>
    <w:bookmarkStart w:id="26" w:name="page27"/>
    <w:bookmarkEnd w:id="26"/>
    <w:p>
      <w:pPr>
        <w:ind w:right="300" w:firstLine="590"/>
        <w:spacing w:after="0" w:line="341" w:lineRule="auto"/>
        <w:rPr>
          <w:sz w:val="20"/>
          <w:szCs w:val="20"/>
          <w:color w:val="auto"/>
        </w:rPr>
      </w:pPr>
      <w:r>
        <w:rPr>
          <w:rFonts w:ascii="Arial" w:cs="Arial" w:eastAsia="Arial" w:hAnsi="Arial"/>
          <w:sz w:val="14"/>
          <w:szCs w:val="14"/>
          <w:color w:val="auto"/>
        </w:rPr>
        <w:t>The full impact on our business of the Affordable Care Act and other new laws is uncertain but may result in additional reductions in Medicare and other healthcare funding. Nor is it clear whether other legislative changes will be adopted, if any, or how such changes would affect the demand for our products once commercialized.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Outside of the United States</w:t>
      </w:r>
    </w:p>
    <w:p>
      <w:pPr>
        <w:spacing w:after="0" w:line="100" w:lineRule="exact"/>
        <w:rPr>
          <w:sz w:val="20"/>
          <w:szCs w:val="20"/>
          <w:color w:val="auto"/>
        </w:rPr>
      </w:pPr>
    </w:p>
    <w:p>
      <w:pPr>
        <w:ind w:right="20" w:firstLine="590"/>
        <w:spacing w:after="0" w:line="271" w:lineRule="auto"/>
        <w:rPr>
          <w:sz w:val="20"/>
          <w:szCs w:val="20"/>
          <w:color w:val="auto"/>
        </w:rPr>
      </w:pPr>
      <w:r>
        <w:rPr>
          <w:rFonts w:ascii="Arial" w:cs="Arial" w:eastAsia="Arial" w:hAnsi="Arial"/>
          <w:sz w:val="15"/>
          <w:szCs w:val="15"/>
          <w:color w:val="auto"/>
        </w:rPr>
        <w:t>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Regulations</w:t>
      </w:r>
    </w:p>
    <w:p>
      <w:pPr>
        <w:spacing w:after="0" w:line="100" w:lineRule="exact"/>
        <w:rPr>
          <w:sz w:val="20"/>
          <w:szCs w:val="20"/>
          <w:color w:val="auto"/>
        </w:rPr>
      </w:pPr>
    </w:p>
    <w:p>
      <w:pPr>
        <w:ind w:right="20" w:firstLine="590"/>
        <w:spacing w:after="0" w:line="341" w:lineRule="auto"/>
        <w:rPr>
          <w:sz w:val="20"/>
          <w:szCs w:val="20"/>
          <w:color w:val="auto"/>
        </w:rPr>
      </w:pPr>
      <w:r>
        <w:rPr>
          <w:rFonts w:ascii="Arial" w:cs="Arial" w:eastAsia="Arial" w:hAnsi="Arial"/>
          <w:sz w:val="14"/>
          <w:szCs w:val="14"/>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 and Human Capital Resources</w:t>
      </w:r>
    </w:p>
    <w:p>
      <w:pPr>
        <w:spacing w:after="0" w:line="104" w:lineRule="exact"/>
        <w:rPr>
          <w:sz w:val="20"/>
          <w:szCs w:val="20"/>
          <w:color w:val="auto"/>
        </w:rPr>
      </w:pPr>
    </w:p>
    <w:p>
      <w:pPr>
        <w:ind w:right="100" w:firstLine="590"/>
        <w:spacing w:after="0" w:line="257" w:lineRule="auto"/>
        <w:rPr>
          <w:sz w:val="20"/>
          <w:szCs w:val="20"/>
          <w:color w:val="auto"/>
        </w:rPr>
      </w:pPr>
      <w:r>
        <w:rPr>
          <w:rFonts w:ascii="Arial" w:cs="Arial" w:eastAsia="Arial" w:hAnsi="Arial"/>
          <w:sz w:val="16"/>
          <w:szCs w:val="16"/>
          <w:color w:val="auto"/>
        </w:rPr>
        <w:t>As of March 10, 2021, we had 43 full-time employees. Of the full-time employees, 28 were primarily engaged in research and development activities and 13 have an M.D. or Ph.D. degree. None of our employees are represented by labor unions or covered by collective bargaining agreements. We consider our relationship with our employees to be good.</w:t>
      </w:r>
    </w:p>
    <w:p>
      <w:pPr>
        <w:spacing w:after="0" w:line="167" w:lineRule="exact"/>
        <w:rPr>
          <w:sz w:val="20"/>
          <w:szCs w:val="20"/>
          <w:color w:val="auto"/>
        </w:rPr>
      </w:pPr>
    </w:p>
    <w:p>
      <w:pPr>
        <w:ind w:firstLine="590"/>
        <w:spacing w:after="0" w:line="254" w:lineRule="auto"/>
        <w:rPr>
          <w:sz w:val="20"/>
          <w:szCs w:val="20"/>
          <w:color w:val="auto"/>
        </w:rPr>
      </w:pPr>
      <w:r>
        <w:rPr>
          <w:rFonts w:ascii="Arial" w:cs="Arial" w:eastAsia="Arial" w:hAnsi="Arial"/>
          <w:sz w:val="16"/>
          <w:szCs w:val="16"/>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equity-based compensation awards and cash-based compensation awards, in order to increase stockholder value and the success of our company by motivating such individuals to perform to the best of their abilities and achieve our objectives.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 Information</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We were incorporated in Delaware in 2005. In 2011, we established a wholly owned subsidiary in the United Kingdom and in 2014 we established a wholly owned U.S.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subsidiary. There have been no material activities for these entities to date. We currently operate in one segment.</w:t>
      </w:r>
    </w:p>
    <w:p>
      <w:pPr>
        <w:spacing w:after="0" w:line="184" w:lineRule="exact"/>
        <w:rPr>
          <w:sz w:val="20"/>
          <w:szCs w:val="20"/>
          <w:color w:val="auto"/>
        </w:rPr>
      </w:pPr>
    </w:p>
    <w:p>
      <w:pPr>
        <w:ind w:right="220" w:firstLine="590"/>
        <w:spacing w:after="0" w:line="257" w:lineRule="auto"/>
        <w:rPr>
          <w:sz w:val="20"/>
          <w:szCs w:val="20"/>
          <w:color w:val="auto"/>
        </w:rPr>
      </w:pPr>
      <w:r>
        <w:rPr>
          <w:rFonts w:ascii="Arial" w:cs="Arial" w:eastAsia="Arial" w:hAnsi="Arial"/>
          <w:sz w:val="16"/>
          <w:szCs w:val="16"/>
          <w:color w:val="auto"/>
        </w:rPr>
        <w:t>Our principal executive offices are located at 35 Gatehouse Drive, Building D, Floor 3, Waltham, Massachusetts 02451 and our telephone number is (781) 419-1400. Our corporate website address is www.syndax.com. Information contained on or accessible through our website is not a part of this Annual Report, and the inclusion of our website address in this Annual Report is an inactive textual reference only.</w:t>
      </w:r>
    </w:p>
    <w:p>
      <w:pPr>
        <w:spacing w:after="0" w:line="167" w:lineRule="exact"/>
        <w:rPr>
          <w:sz w:val="20"/>
          <w:szCs w:val="20"/>
          <w:color w:val="auto"/>
        </w:rPr>
      </w:pPr>
    </w:p>
    <w:p>
      <w:pPr>
        <w:ind w:right="160" w:firstLine="590"/>
        <w:spacing w:after="0" w:line="283" w:lineRule="auto"/>
        <w:rPr>
          <w:sz w:val="20"/>
          <w:szCs w:val="20"/>
          <w:color w:val="auto"/>
        </w:rPr>
      </w:pPr>
      <w:r>
        <w:rPr>
          <w:rFonts w:ascii="Arial" w:cs="Arial" w:eastAsia="Arial" w:hAnsi="Arial"/>
          <w:sz w:val="15"/>
          <w:szCs w:val="15"/>
          <w:color w:val="auto"/>
        </w:rPr>
        <w:t xml:space="preserve">We file electronically with the SEC, our annual reports on Form 10-K, quarterly reports on Form 10-Q, current reports on Form 8-K, and amendments to those reports filed or furnished pursuant to Section 13(a) or 15(d) of the Exchange Act. We make available on our website at </w:t>
      </w:r>
      <w:r>
        <w:rPr>
          <w:rFonts w:ascii="Arial" w:cs="Arial" w:eastAsia="Arial" w:hAnsi="Arial"/>
          <w:sz w:val="15"/>
          <w:szCs w:val="15"/>
          <w:u w:val="single" w:color="auto"/>
          <w:color w:val="auto"/>
        </w:rPr>
        <w:t>www.syndax.com</w:t>
      </w:r>
      <w:r>
        <w:rPr>
          <w:rFonts w:ascii="Arial" w:cs="Arial" w:eastAsia="Arial" w:hAnsi="Arial"/>
          <w:sz w:val="15"/>
          <w:szCs w:val="15"/>
          <w:color w:val="auto"/>
        </w:rPr>
        <w:t>, under “Investors,” free of charge, copies of these reports as soon as reasonably practicable after filing or furnishing these reports with the SEC.</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Item 1A. Risk Factors</w:t>
      </w:r>
    </w:p>
    <w:p>
      <w:pPr>
        <w:spacing w:after="0" w:line="104" w:lineRule="exact"/>
        <w:rPr>
          <w:sz w:val="20"/>
          <w:szCs w:val="20"/>
          <w:color w:val="auto"/>
        </w:rPr>
      </w:pPr>
    </w:p>
    <w:p>
      <w:pPr>
        <w:ind w:right="120" w:firstLine="590"/>
        <w:spacing w:after="0" w:line="302" w:lineRule="auto"/>
        <w:rPr>
          <w:sz w:val="20"/>
          <w:szCs w:val="20"/>
          <w:color w:val="auto"/>
        </w:rPr>
      </w:pPr>
      <w:r>
        <w:rPr>
          <w:rFonts w:ascii="Arial" w:cs="Arial" w:eastAsia="Arial" w:hAnsi="Arial"/>
          <w:sz w:val="14"/>
          <w:szCs w:val="14"/>
          <w:i w:val="1"/>
          <w:iCs w:val="1"/>
          <w:color w:val="auto"/>
        </w:rPr>
        <w:t>This Annual Report on Form 10-K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You should carefully consider these risk factors, together with all of the other information included in this Annual Report on Form 10-K as well as our other publicly available filings with the Securities and Exchange Commission.</w:t>
      </w:r>
    </w:p>
    <w:p>
      <w:pPr>
        <w:spacing w:after="0" w:line="22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Risks Related to Our Business and Industry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 could adversely impact our business, including our clinical trials.</w:t>
      </w:r>
    </w:p>
    <w:p>
      <w:pPr>
        <w:spacing w:after="0" w:line="100" w:lineRule="exact"/>
        <w:rPr>
          <w:sz w:val="20"/>
          <w:szCs w:val="20"/>
          <w:color w:val="auto"/>
        </w:rPr>
      </w:pPr>
    </w:p>
    <w:p>
      <w:pPr>
        <w:ind w:right="60" w:firstLine="669"/>
        <w:spacing w:after="0" w:line="270" w:lineRule="auto"/>
        <w:rPr>
          <w:sz w:val="20"/>
          <w:szCs w:val="20"/>
          <w:color w:val="auto"/>
        </w:rPr>
      </w:pPr>
      <w:r>
        <w:rPr>
          <w:rFonts w:ascii="Arial" w:cs="Arial" w:eastAsia="Arial" w:hAnsi="Arial"/>
          <w:sz w:val="15"/>
          <w:szCs w:val="15"/>
          <w:color w:val="auto"/>
        </w:rPr>
        <w:t>The ongoing COVID-19 pandemic has resulted in travel and other restrictions in order to reduce the spread of the disease, including state and local orders across the United States and other countries worldwide, which, among other things, direct individuals to shelter at their places of residence, direct businesses and governmental agencies to cease non-essential operations at physical locations, prohibit certain non-essential gatherings, and order cessation of non-essential travel. In response to these public health directives and orders, we have implemented work-from-home policies for our employees. The effects of the executive orders, the shelter-in-place (“SIP”) orders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62" w:lineRule="exact"/>
        <w:rPr>
          <w:sz w:val="20"/>
          <w:szCs w:val="20"/>
          <w:color w:val="auto"/>
        </w:rPr>
      </w:pPr>
    </w:p>
    <w:p>
      <w:pPr>
        <w:ind w:right="100" w:firstLine="669"/>
        <w:spacing w:after="0" w:line="297" w:lineRule="auto"/>
        <w:rPr>
          <w:sz w:val="20"/>
          <w:szCs w:val="20"/>
          <w:color w:val="auto"/>
        </w:rPr>
      </w:pPr>
      <w:r>
        <w:rPr>
          <w:rFonts w:ascii="Arial" w:cs="Arial" w:eastAsia="Arial" w:hAnsi="Arial"/>
          <w:sz w:val="14"/>
          <w:szCs w:val="14"/>
          <w:color w:val="auto"/>
        </w:rPr>
        <w:t>While COVID-19 has not yet had a material impact on our business operations, ongoing quarantines, SIP and similar government orders related to COVID-19 may adversely impact our business operations and the business operations of our contract research organizations conducting our clinical trials and our third-party manufacturing facilities in the United States and other countries. In particular, if the COVID-19 pandemic persists for an extended period of time and begins to impact essential distribution systems such as FedEx and postal delivery or if it results in facility closures facility closures for cleaning and/or insufficient staff, we could experience disruptions to our supply chain and operations, and associated delays in the manufacturing and supply of our products, which would adversely impact our ability to continue our clinical trial operations.</w:t>
      </w:r>
    </w:p>
    <w:p>
      <w:pPr>
        <w:spacing w:after="0" w:line="46" w:lineRule="exact"/>
        <w:rPr>
          <w:sz w:val="20"/>
          <w:szCs w:val="20"/>
          <w:color w:val="auto"/>
        </w:rPr>
      </w:pPr>
    </w:p>
    <w:p>
      <w:pPr>
        <w:ind w:right="100" w:firstLine="669"/>
        <w:spacing w:after="0" w:line="252" w:lineRule="auto"/>
        <w:rPr>
          <w:sz w:val="20"/>
          <w:szCs w:val="20"/>
          <w:color w:val="auto"/>
        </w:rPr>
      </w:pPr>
      <w:r>
        <w:rPr>
          <w:rFonts w:ascii="Arial" w:cs="Arial" w:eastAsia="Arial" w:hAnsi="Arial"/>
          <w:sz w:val="16"/>
          <w:szCs w:val="16"/>
          <w:color w:val="auto"/>
        </w:rPr>
        <w:t>In addition, our clinical trials may be affected by the COVID-19 pandemic. For example, clinical site initiation and patient enrollment may be delayed due to prioritization of hospital resources toward the COVID-19 pandemic.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could be limited, which in turn could adversely impact our clinical trial operations. As a result, we may face delays in meeting our anticipated timelines for our ongoing and planned clinical trials.</w:t>
      </w:r>
    </w:p>
    <w:p>
      <w:pPr>
        <w:spacing w:after="0" w:line="76" w:lineRule="exact"/>
        <w:rPr>
          <w:sz w:val="20"/>
          <w:szCs w:val="20"/>
          <w:color w:val="auto"/>
        </w:rPr>
      </w:pPr>
    </w:p>
    <w:p>
      <w:pPr>
        <w:ind w:right="80" w:firstLine="669"/>
        <w:spacing w:after="0" w:line="254" w:lineRule="auto"/>
        <w:rPr>
          <w:sz w:val="20"/>
          <w:szCs w:val="20"/>
          <w:color w:val="auto"/>
        </w:rPr>
      </w:pPr>
      <w:r>
        <w:rPr>
          <w:rFonts w:ascii="Arial" w:cs="Arial" w:eastAsia="Arial" w:hAnsi="Arial"/>
          <w:sz w:val="16"/>
          <w:szCs w:val="16"/>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74" w:lineRule="exact"/>
        <w:rPr>
          <w:sz w:val="20"/>
          <w:szCs w:val="20"/>
          <w:color w:val="auto"/>
        </w:rPr>
      </w:pPr>
    </w:p>
    <w:p>
      <w:pPr>
        <w:ind w:firstLine="669"/>
        <w:spacing w:after="0" w:line="273" w:lineRule="auto"/>
        <w:rPr>
          <w:sz w:val="20"/>
          <w:szCs w:val="20"/>
          <w:color w:val="auto"/>
        </w:rPr>
      </w:pPr>
      <w:r>
        <w:rPr>
          <w:rFonts w:ascii="Arial" w:cs="Arial" w:eastAsia="Arial" w:hAnsi="Arial"/>
          <w:sz w:val="15"/>
          <w:szCs w:val="15"/>
          <w:color w:val="auto"/>
        </w:rPr>
        <w:t>The extent to which the COVID-19 pandemic impacts our business, our clinical development and regulatory efforts will depend on future developments that are highly uncertain and cannot be predicted with confidence, such as the duration of the outbreak, travel restrictions, quarantines, SIP orders, social distancing requirements, business closures in the United States and other countries, and the effectiveness of actions taken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596" w:right="359" w:bottom="1440" w:gutter="0" w:footer="0" w:header="0"/>
        </w:sectPr>
      </w:pPr>
    </w:p>
    <w:bookmarkStart w:id="28" w:name="page29"/>
    <w:bookmarkEnd w:id="28"/>
    <w:p>
      <w:pPr>
        <w:ind w:right="100" w:firstLine="669"/>
        <w:spacing w:after="0" w:line="268" w:lineRule="auto"/>
        <w:rPr>
          <w:sz w:val="20"/>
          <w:szCs w:val="20"/>
          <w:color w:val="auto"/>
        </w:rPr>
      </w:pPr>
      <w:r>
        <w:rPr>
          <w:rFonts w:ascii="Arial" w:cs="Arial" w:eastAsia="Arial" w:hAnsi="Arial"/>
          <w:sz w:val="16"/>
          <w:szCs w:val="16"/>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252" w:lineRule="exact"/>
        <w:rPr>
          <w:sz w:val="20"/>
          <w:szCs w:val="20"/>
          <w:color w:val="auto"/>
        </w:rPr>
      </w:pPr>
    </w:p>
    <w:p>
      <w:pPr>
        <w:ind w:right="580"/>
        <w:spacing w:after="0" w:line="268" w:lineRule="auto"/>
        <w:rPr>
          <w:sz w:val="20"/>
          <w:szCs w:val="20"/>
          <w:color w:val="auto"/>
        </w:rPr>
      </w:pPr>
      <w:r>
        <w:rPr>
          <w:rFonts w:ascii="Arial" w:cs="Arial" w:eastAsia="Arial" w:hAnsi="Arial"/>
          <w:sz w:val="16"/>
          <w:szCs w:val="16"/>
          <w:b w:val="1"/>
          <w:bCs w:val="1"/>
          <w:i w:val="1"/>
          <w:iCs w:val="1"/>
          <w:color w:val="auto"/>
        </w:rPr>
        <w:t>We may incur additional costs or experience delays in completing, or ultimately be unable to complete, the development and commercialization of any of our product candidates.</w:t>
      </w:r>
    </w:p>
    <w:p>
      <w:pPr>
        <w:spacing w:after="0" w:line="63" w:lineRule="exact"/>
        <w:rPr>
          <w:sz w:val="20"/>
          <w:szCs w:val="20"/>
          <w:color w:val="auto"/>
        </w:rPr>
      </w:pPr>
    </w:p>
    <w:p>
      <w:pPr>
        <w:ind w:right="40" w:firstLine="669"/>
        <w:spacing w:after="0" w:line="250" w:lineRule="auto"/>
        <w:rPr>
          <w:sz w:val="20"/>
          <w:szCs w:val="20"/>
          <w:color w:val="auto"/>
        </w:rPr>
      </w:pPr>
      <w:r>
        <w:rPr>
          <w:rFonts w:ascii="Arial" w:cs="Arial" w:eastAsia="Arial" w:hAnsi="Arial"/>
          <w:sz w:val="16"/>
          <w:szCs w:val="16"/>
          <w:color w:val="auto"/>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in May 2020, we announced that ECOG-ACRIN advised us that the E2112 trial did not achieve the primary endpoint of demonstrating a statistically significant overall survival benefit over hormone therapy alone in the Phase 3 clinical trial and we decided to deprioritize the entinostat program to focus resources on advancing the remainder of our pipeline. A number of companies in the pharmaceutical and biotechnology industries have suffered significant setbacks in advanced trials due to lack of efficacy or unacceptable safety profiles, notwithstanding promising results in earlier trials.</w:t>
      </w:r>
    </w:p>
    <w:p>
      <w:pPr>
        <w:spacing w:after="0" w:line="266"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3" w:lineRule="exact"/>
        <w:rPr>
          <w:sz w:val="20"/>
          <w:szCs w:val="20"/>
          <w:color w:val="auto"/>
        </w:rPr>
      </w:pPr>
    </w:p>
    <w:p>
      <w:pPr>
        <w:ind w:firstLine="669"/>
        <w:spacing w:after="0" w:line="257" w:lineRule="auto"/>
        <w:rPr>
          <w:sz w:val="20"/>
          <w:szCs w:val="20"/>
          <w:color w:val="auto"/>
        </w:rPr>
      </w:pPr>
      <w:r>
        <w:rPr>
          <w:rFonts w:ascii="Arial" w:cs="Arial" w:eastAsia="Arial" w:hAnsi="Arial"/>
          <w:sz w:val="16"/>
          <w:szCs w:val="16"/>
          <w:color w:val="auto"/>
        </w:rPr>
        <w:t>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72" w:lineRule="exact"/>
        <w:rPr>
          <w:sz w:val="20"/>
          <w:szCs w:val="20"/>
          <w:color w:val="auto"/>
        </w:rPr>
      </w:pPr>
    </w:p>
    <w:p>
      <w:pPr>
        <w:ind w:left="1160" w:hanging="585"/>
        <w:spacing w:after="0" w:line="268" w:lineRule="auto"/>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direct and indirect effects of the ongoing COVID-19 pandemic on various aspects and stages of the clinical development process, including the potential impact to expected site initiation, enrollment and participation in our clinical trials;</w:t>
      </w:r>
    </w:p>
    <w:p>
      <w:pPr>
        <w:spacing w:after="0" w:line="62" w:lineRule="exact"/>
        <w:rPr>
          <w:rFonts w:ascii="Arial" w:cs="Arial" w:eastAsia="Arial" w:hAnsi="Arial"/>
          <w:sz w:val="16"/>
          <w:szCs w:val="16"/>
          <w:color w:val="auto"/>
        </w:rPr>
      </w:pPr>
    </w:p>
    <w:p>
      <w:pPr>
        <w:ind w:left="1160" w:right="480" w:hanging="585"/>
        <w:spacing w:after="0" w:line="302" w:lineRule="auto"/>
        <w:tabs>
          <w:tab w:leader="none" w:pos="11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significant reprioritization and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39" w:lineRule="exact"/>
        <w:rPr>
          <w:rFonts w:ascii="Arial" w:cs="Arial" w:eastAsia="Arial" w:hAnsi="Arial"/>
          <w:sz w:val="15"/>
          <w:szCs w:val="15"/>
          <w:color w:val="auto"/>
        </w:rPr>
      </w:pPr>
    </w:p>
    <w:p>
      <w:pPr>
        <w:ind w:left="1160" w:hanging="58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timely completion of the Phase 1/2 clinical trial of SNDX-5613 in patients with relapsed/refractory acute leukemia;</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timely completion of the Phase 1/2 clinical trial of axatilimab as a monotherapy in patients with cGVHD;</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timely completion of any future clinical trials of SNDX-5613 and axatilimab;</w:t>
      </w:r>
    </w:p>
    <w:p>
      <w:pPr>
        <w:spacing w:after="0" w:line="123" w:lineRule="exact"/>
        <w:rPr>
          <w:rFonts w:ascii="Arial" w:cs="Arial" w:eastAsia="Arial" w:hAnsi="Arial"/>
          <w:sz w:val="16"/>
          <w:szCs w:val="16"/>
          <w:color w:val="auto"/>
        </w:rPr>
      </w:pPr>
    </w:p>
    <w:p>
      <w:pPr>
        <w:ind w:left="1160" w:right="120" w:hanging="585"/>
        <w:spacing w:after="0" w:line="302" w:lineRule="auto"/>
        <w:tabs>
          <w:tab w:leader="none" w:pos="11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39" w:lineRule="exact"/>
        <w:rPr>
          <w:rFonts w:ascii="Arial" w:cs="Arial" w:eastAsia="Arial" w:hAnsi="Arial"/>
          <w:sz w:val="15"/>
          <w:szCs w:val="15"/>
          <w:color w:val="auto"/>
        </w:rPr>
      </w:pPr>
    </w:p>
    <w:p>
      <w:pPr>
        <w:ind w:left="1160" w:hanging="58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whether we are required by the FDA or foreign regulatory authorities to conduct additional clinical trials;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prevalence and severity of adverse drug reactions in any of our clinical trials;</w:t>
      </w:r>
    </w:p>
    <w:p>
      <w:pPr>
        <w:spacing w:after="0" w:line="123" w:lineRule="exact"/>
        <w:rPr>
          <w:rFonts w:ascii="Arial" w:cs="Arial" w:eastAsia="Arial" w:hAnsi="Arial"/>
          <w:sz w:val="16"/>
          <w:szCs w:val="16"/>
          <w:color w:val="auto"/>
        </w:rPr>
      </w:pPr>
    </w:p>
    <w:p>
      <w:pPr>
        <w:ind w:left="1160" w:right="160" w:hanging="585"/>
        <w:spacing w:after="0" w:line="268" w:lineRule="auto"/>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ability to demonstrate safety and efficacy of our product candidates for their proposed indications and the timely receipt of necessary marketing approvals from the FDA and foreign regulatory authorities;</w:t>
      </w:r>
    </w:p>
    <w:p>
      <w:pPr>
        <w:spacing w:after="0" w:line="62" w:lineRule="exact"/>
        <w:rPr>
          <w:rFonts w:ascii="Arial" w:cs="Arial" w:eastAsia="Arial" w:hAnsi="Arial"/>
          <w:sz w:val="16"/>
          <w:szCs w:val="16"/>
          <w:color w:val="auto"/>
        </w:rPr>
      </w:pPr>
    </w:p>
    <w:p>
      <w:pPr>
        <w:ind w:left="1160" w:hanging="58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successfully meeting the endpoints in the clinical trials of our product candidates;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411" w:right="319" w:bottom="1440" w:gutter="0" w:footer="0" w:header="0"/>
        </w:sectPr>
      </w:pPr>
    </w:p>
    <w:bookmarkStart w:id="29" w:name="page30"/>
    <w:bookmarkEnd w:id="29"/>
    <w:p>
      <w:pPr>
        <w:ind w:left="1160" w:hanging="58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achieving and maintaining compliance with all applicable regulatory requirements;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availability, perceived advantages, relative cost, relative safety and relative efficacy of alternative and competing treatments;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effectiveness of our own or our potential strategic collaborators’ marketing, sales and distribution strategy and operations in the United States and abroad;</w:t>
      </w:r>
    </w:p>
    <w:p>
      <w:pPr>
        <w:spacing w:after="0" w:line="146" w:lineRule="exact"/>
        <w:rPr>
          <w:rFonts w:ascii="Arial" w:cs="Arial" w:eastAsia="Arial" w:hAnsi="Arial"/>
          <w:sz w:val="14"/>
          <w:szCs w:val="14"/>
          <w:color w:val="auto"/>
        </w:rPr>
      </w:pPr>
    </w:p>
    <w:p>
      <w:pPr>
        <w:ind w:left="1160" w:right="460" w:hanging="585"/>
        <w:spacing w:after="0" w:line="268"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ability of our third-party contract manufacturers to produce trial supplies and to develop, validate and maintain a commercially viable manufacturing process that is compliant with cGMP;</w:t>
      </w:r>
    </w:p>
    <w:p>
      <w:pPr>
        <w:spacing w:after="0" w:line="62" w:lineRule="exact"/>
        <w:rPr>
          <w:rFonts w:ascii="Arial" w:cs="Arial" w:eastAsia="Arial" w:hAnsi="Arial"/>
          <w:sz w:val="16"/>
          <w:szCs w:val="16"/>
          <w:color w:val="auto"/>
        </w:rPr>
      </w:pPr>
    </w:p>
    <w:p>
      <w:pPr>
        <w:ind w:left="1160" w:hanging="585"/>
        <w:spacing w:after="0"/>
        <w:tabs>
          <w:tab w:leader="none" w:pos="11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ability to successfully commercialize our product candidates in the United States and abroad, whether alone or in collaboration with others; and</w:t>
      </w:r>
    </w:p>
    <w:p>
      <w:pPr>
        <w:spacing w:after="0" w:line="135" w:lineRule="exact"/>
        <w:rPr>
          <w:rFonts w:ascii="Arial" w:cs="Arial" w:eastAsia="Arial" w:hAnsi="Arial"/>
          <w:sz w:val="15"/>
          <w:szCs w:val="15"/>
          <w:color w:val="auto"/>
        </w:rPr>
      </w:pPr>
    </w:p>
    <w:p>
      <w:pPr>
        <w:ind w:left="1160" w:hanging="58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enforce our intellectual property rights in and to our product candidates.</w:t>
      </w:r>
    </w:p>
    <w:p>
      <w:pPr>
        <w:spacing w:after="0" w:line="124" w:lineRule="exact"/>
        <w:rPr>
          <w:sz w:val="20"/>
          <w:szCs w:val="20"/>
          <w:color w:val="auto"/>
        </w:rPr>
      </w:pPr>
    </w:p>
    <w:p>
      <w:pPr>
        <w:ind w:right="420" w:firstLine="669"/>
        <w:spacing w:after="0" w:line="268" w:lineRule="auto"/>
        <w:rPr>
          <w:sz w:val="20"/>
          <w:szCs w:val="20"/>
          <w:color w:val="auto"/>
        </w:rPr>
      </w:pPr>
      <w:r>
        <w:rPr>
          <w:rFonts w:ascii="Arial" w:cs="Arial" w:eastAsia="Arial" w:hAnsi="Arial"/>
          <w:sz w:val="16"/>
          <w:szCs w:val="16"/>
          <w:color w:val="auto"/>
        </w:rPr>
        <w:t>If we fail to obtain regulatory approval for our product candidates, we will not be able to generate product sales, which will have a material adverse effect on our business and our prospects.</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b w:val="1"/>
          <w:bCs w:val="1"/>
          <w:i w:val="1"/>
          <w:iCs w:val="1"/>
          <w:color w:val="auto"/>
        </w:rPr>
        <w:t>Our strategy for developing SNDX-5613 has undergone limited clinical testing and we may fail to show that the drug is well tolerated and provides sufficient clinical benefit for patients</w:t>
      </w:r>
      <w:r>
        <w:rPr>
          <w:rFonts w:ascii="Arial" w:cs="Arial" w:eastAsia="Arial" w:hAnsi="Arial"/>
          <w:sz w:val="16"/>
          <w:szCs w:val="16"/>
          <w:i w:val="1"/>
          <w:iCs w:val="1"/>
          <w:color w:val="auto"/>
        </w:rPr>
        <w:t>.</w:t>
      </w:r>
    </w:p>
    <w:p>
      <w:pPr>
        <w:spacing w:after="0" w:line="63" w:lineRule="exact"/>
        <w:rPr>
          <w:sz w:val="20"/>
          <w:szCs w:val="20"/>
          <w:color w:val="auto"/>
        </w:rPr>
      </w:pPr>
    </w:p>
    <w:p>
      <w:pPr>
        <w:ind w:firstLine="675"/>
        <w:spacing w:after="0" w:line="266" w:lineRule="auto"/>
        <w:rPr>
          <w:sz w:val="20"/>
          <w:szCs w:val="20"/>
          <w:color w:val="auto"/>
        </w:rPr>
      </w:pPr>
      <w:r>
        <w:rPr>
          <w:rFonts w:ascii="Arial" w:cs="Arial" w:eastAsia="Arial" w:hAnsi="Arial"/>
          <w:sz w:val="15"/>
          <w:szCs w:val="15"/>
          <w:color w:val="auto"/>
        </w:rPr>
        <w:t>Research suggests that certain acute leukemias, such as mixed lineage leukemia-rearranged, or MLLr, leukemias and nucleophosmin 1, or NPM1, mutant acute myeloid leukemia, or AML, are driven by the interaction of menin, a nuclear protein involved in transcription, with the N-terminus of MLL1 protein, a histone methyl transferase. In NMP1 mutant AML the interaction with menin occurs via the wild type MLL1 protein, and in MLLr acute leukemias, the interaction occurs via a mutant form of MLL1, a fusion protein known as MLLr. MLLr results from a rare, spontaneous fusion between the N-terminus of the mixed lineage leukemia protein-1, or MLL1, and a host of signaling molecules and nuclear transcription factors. This fusion produces an aberrant transcription program that drives leukemic transformation. In pre-clinical animal models, small molecule inhibitors of the menin-MLL-r interaction, such as SNDX-5613, which bind to, and block the interaction of menin with either MLLr or MLL1, have demonstrated deep and durable single agent treatment effects in multiple leukemic xenograft models harboring MLL fusions or NPM1 mutations. Our strategy for developing SNDX-5613 is to conduct a Phase 1/2 clinical trial in relapsed/refractory patients with MLL-r and NPM1 mutant acute leukemias and determine if the observed clinical efficacy supports further development. The Phase 1 portion of the trial is assessing the safety, tolerability and pharmacokinetics of SNDX-5613, and seeks to establish a recommended Phase 2 dose. It is open label, and we have released and may in the future release results from time to time that reflect very small numbers of patients which may not be accurately predictive of safety or efficacy results later in the trial or in subsequent trials. The Phase 2 portion will evaluate efficacy of SNDX-5613, as defined by Complete Remission rate, across three expansion cohorts enrolling adult patients with MLL-r acute lymphoblastic leukemia, or ALL, MLL-r acute myeloid leukemia, or AML, and NPM1 mutant AML. If our initial clinical data lend support for our hypothesis, we plan to continue developing SNDX-5613 in one or more of these indications. At this time however, we have not yet sufficiently demonstrated a favorable risk-benefit of SNDX-5613 in patients, and we may be unable to establish sufficient efficacy to warrant continued development in one or more of these indications.</w:t>
      </w:r>
    </w:p>
    <w:p>
      <w:pPr>
        <w:spacing w:after="0" w:line="68" w:lineRule="exact"/>
        <w:rPr>
          <w:sz w:val="20"/>
          <w:szCs w:val="20"/>
          <w:color w:val="auto"/>
        </w:rPr>
      </w:pPr>
    </w:p>
    <w:p>
      <w:pPr>
        <w:ind w:right="440"/>
        <w:spacing w:after="0" w:line="268" w:lineRule="auto"/>
        <w:rPr>
          <w:sz w:val="20"/>
          <w:szCs w:val="20"/>
          <w:color w:val="auto"/>
        </w:rPr>
      </w:pPr>
      <w:r>
        <w:rPr>
          <w:rFonts w:ascii="Arial" w:cs="Arial" w:eastAsia="Arial" w:hAnsi="Arial"/>
          <w:sz w:val="16"/>
          <w:szCs w:val="16"/>
          <w:b w:val="1"/>
          <w:bCs w:val="1"/>
          <w:i w:val="1"/>
          <w:iCs w:val="1"/>
          <w:color w:val="auto"/>
        </w:rPr>
        <w:t>Our strategy for developing axatilimab has undergone limited clinical testing and we may fail to show that this drug is well tolerated and provides a clinical benefit for patients.</w:t>
      </w:r>
    </w:p>
    <w:p>
      <w:pPr>
        <w:spacing w:after="0" w:line="63" w:lineRule="exact"/>
        <w:rPr>
          <w:sz w:val="20"/>
          <w:szCs w:val="20"/>
          <w:color w:val="auto"/>
        </w:rPr>
      </w:pPr>
    </w:p>
    <w:p>
      <w:pPr>
        <w:ind w:right="40" w:firstLine="675"/>
        <w:spacing w:after="0" w:line="292" w:lineRule="auto"/>
        <w:rPr>
          <w:sz w:val="20"/>
          <w:szCs w:val="20"/>
          <w:color w:val="auto"/>
        </w:rPr>
      </w:pPr>
      <w:r>
        <w:rPr>
          <w:rFonts w:ascii="Arial" w:cs="Arial" w:eastAsia="Arial" w:hAnsi="Arial"/>
          <w:sz w:val="14"/>
          <w:szCs w:val="14"/>
          <w:color w:val="auto"/>
        </w:rPr>
        <w:t>Preclinical studies suggest that CSF-1/CSF-1R signaling may be the key regulatory pathway involved in the expansion and infiltration of donor derived macrophages that mediate the disease processes involved in Graft Versus Host Disease, or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Our approach is to conduct a Phase 1/2 clinical trial with axatilimab in subjects with active cGVHD who have failed at least two prior lines of therapy. While we believe that we have established sufficient efficacy to warrant continued development in this indication, we have not yet sufficiently demonstrated a favorable risk-benefit of axatilimab in patients.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30" w:name="page31"/>
    <w:bookmarkEnd w:id="30"/>
    <w:p>
      <w:pPr>
        <w:ind w:right="360"/>
        <w:spacing w:after="0" w:line="268"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3" w:lineRule="exact"/>
        <w:rPr>
          <w:sz w:val="20"/>
          <w:szCs w:val="20"/>
          <w:color w:val="auto"/>
        </w:rPr>
      </w:pPr>
    </w:p>
    <w:p>
      <w:pPr>
        <w:ind w:right="20" w:firstLine="669"/>
        <w:spacing w:after="0" w:line="269" w:lineRule="auto"/>
        <w:rPr>
          <w:sz w:val="20"/>
          <w:szCs w:val="20"/>
          <w:color w:val="auto"/>
        </w:rPr>
      </w:pPr>
      <w:r>
        <w:rPr>
          <w:rFonts w:ascii="Arial" w:cs="Arial" w:eastAsia="Arial" w:hAnsi="Arial"/>
          <w:sz w:val="15"/>
          <w:szCs w:val="15"/>
          <w:color w:val="auto"/>
        </w:rPr>
        <w:t>From time to time, we may publish interim top-line or preliminary data from our clinical trials. For example, in April 2020, we announced interim data from our Phase 1/2 clinical trial of SNDX-5613.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timely completion of clinical trials largely depends on patient enrollment. Many factors affect patient enrollment, including:</w:t>
      </w:r>
    </w:p>
    <w:p>
      <w:pPr>
        <w:spacing w:after="0" w:line="100" w:lineRule="exact"/>
        <w:rPr>
          <w:sz w:val="20"/>
          <w:szCs w:val="20"/>
          <w:color w:val="auto"/>
        </w:rPr>
      </w:pPr>
    </w:p>
    <w:p>
      <w:pPr>
        <w:ind w:left="1160" w:hanging="58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direct and indirect effects of the ongoing COVID-19 pandemic;</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evolving standard of care in treating cancer patients;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size and nature of the patient population, especially in the case of an orphan indication such as MLL-r acute leukemia;</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and location of clinical trial sites enrolled;</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competition with other organizations or our own clinical trials for clinical trial sites or patients;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eligibility and exclusion criteria for the trial;</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design of the trial;</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ability to obtain and maintain patient consent; and</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risk that enrolled subjects will drop out before completion.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result of the above factors, there is a risk that our or our collaborators’ clinical trials may not be completed on a timely basis or at all.</w:t>
      </w:r>
    </w:p>
    <w:p>
      <w:pPr>
        <w:spacing w:after="0" w:line="290"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b w:val="1"/>
          <w:bCs w:val="1"/>
          <w:i w:val="1"/>
          <w:iCs w:val="1"/>
          <w:color w:val="auto"/>
        </w:rPr>
        <w:t>The actions of Kyowa Kirin Co., Ltd., or KKC, Eddingpharm Investment Company Limited, or Eddingpharm, and any other current or future sublicensees could adversely affect our business.</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We currently sublicense entinostat to third parties for development and commercialization in certain foreign jurisdictions. Specifically, we have a sublicense agreement with KKC under which we granted KKC an exclusive sublicense to develop and commercialize entinostat in Japan and Korea as well as a sublicense agreement with Eddingpharm under which we granted Eddingpharm an exclusive sublicense to develop and commercialize entinostat in China and select Asian countries. It is possible that any clinical trials conducted by KKC, Eddingpharm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We are dependent on UCB Biopharma Sprl, or UCB, to comply with the terms of our license agreement for axatilimab.</w:t>
      </w:r>
    </w:p>
    <w:p>
      <w:pPr>
        <w:spacing w:after="0" w:line="100" w:lineRule="exact"/>
        <w:rPr>
          <w:sz w:val="20"/>
          <w:szCs w:val="20"/>
          <w:color w:val="auto"/>
        </w:rPr>
      </w:pPr>
    </w:p>
    <w:p>
      <w:pPr>
        <w:ind w:firstLine="669"/>
        <w:spacing w:after="0" w:line="290" w:lineRule="auto"/>
        <w:rPr>
          <w:sz w:val="20"/>
          <w:szCs w:val="20"/>
          <w:color w:val="auto"/>
        </w:rPr>
      </w:pPr>
      <w:r>
        <w:rPr>
          <w:rFonts w:ascii="Arial" w:cs="Arial" w:eastAsia="Arial" w:hAnsi="Arial"/>
          <w:sz w:val="14"/>
          <w:szCs w:val="14"/>
          <w:color w:val="auto"/>
        </w:rPr>
        <w:t>Our commercial success also depends upon our ability to develop, manufacture, market and sell axatilimab. In July 2016, we entered into the UCB license agreement pursuant to which we obtained a worldwide, sublicenseable, exclusive license to axatilimab, an IND-ready anti-CSF-1R monoclonal antibody. Under the UCB license agreement, we are dependent on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pacing w:after="0" w:line="243" w:lineRule="exact"/>
        <w:rPr>
          <w:sz w:val="20"/>
          <w:szCs w:val="20"/>
          <w:color w:val="auto"/>
        </w:rPr>
      </w:pPr>
    </w:p>
    <w:p>
      <w:pPr>
        <w:ind w:right="800"/>
        <w:spacing w:after="0" w:line="268" w:lineRule="auto"/>
        <w:rPr>
          <w:sz w:val="20"/>
          <w:szCs w:val="20"/>
          <w:color w:val="auto"/>
        </w:rPr>
      </w:pPr>
      <w:r>
        <w:rPr>
          <w:rFonts w:ascii="Arial" w:cs="Arial" w:eastAsia="Arial" w:hAnsi="Arial"/>
          <w:sz w:val="16"/>
          <w:szCs w:val="16"/>
          <w:b w:val="1"/>
          <w:bCs w:val="1"/>
          <w:i w:val="1"/>
          <w:iCs w:val="1"/>
          <w:color w:val="auto"/>
        </w:rPr>
        <w:t>We may be required to relinquish important rights to and control over the development and commercialization of our product candidates to our current or future collaborators.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collaborations, including any future strategic collaborations we enter into, could subject us to a number of risks, including:</w:t>
      </w:r>
    </w:p>
    <w:p>
      <w:pPr>
        <w:spacing w:after="0" w:line="100" w:lineRule="exact"/>
        <w:rPr>
          <w:sz w:val="20"/>
          <w:szCs w:val="20"/>
          <w:color w:val="auto"/>
        </w:rPr>
      </w:pPr>
    </w:p>
    <w:p>
      <w:pPr>
        <w:ind w:left="1160" w:hanging="585"/>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required to undertake the expenditure of substantial operational, financial and management resources;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required to issue equity securities that would dilute our existing stockholders’ percentage of ownership;</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required to assume substantial actual or contingent liabilities;</w:t>
      </w:r>
    </w:p>
    <w:p>
      <w:pPr>
        <w:spacing w:after="0" w:line="123" w:lineRule="exact"/>
        <w:rPr>
          <w:rFonts w:ascii="Arial" w:cs="Arial" w:eastAsia="Arial" w:hAnsi="Arial"/>
          <w:sz w:val="16"/>
          <w:szCs w:val="16"/>
          <w:color w:val="auto"/>
        </w:rPr>
      </w:pPr>
    </w:p>
    <w:p>
      <w:pPr>
        <w:ind w:left="1160" w:right="440" w:hanging="585"/>
        <w:spacing w:after="0" w:line="268"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not be able to control the amount and timing of resources that our strategic collaborators devote to the development or commercialization of our product candidates;</w:t>
      </w:r>
    </w:p>
    <w:p>
      <w:pPr>
        <w:spacing w:after="0" w:line="62" w:lineRule="exact"/>
        <w:rPr>
          <w:rFonts w:ascii="Arial" w:cs="Arial" w:eastAsia="Arial" w:hAnsi="Arial"/>
          <w:sz w:val="16"/>
          <w:szCs w:val="16"/>
          <w:color w:val="auto"/>
        </w:rPr>
      </w:pPr>
    </w:p>
    <w:p>
      <w:pPr>
        <w:ind w:left="1160" w:right="200" w:hanging="585"/>
        <w:spacing w:after="0" w:line="268"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rFonts w:ascii="Arial" w:cs="Arial" w:eastAsia="Arial" w:hAnsi="Arial"/>
          <w:sz w:val="16"/>
          <w:szCs w:val="16"/>
          <w:color w:val="auto"/>
        </w:rPr>
      </w:pPr>
    </w:p>
    <w:p>
      <w:pPr>
        <w:ind w:left="1160" w:right="180" w:hanging="585"/>
        <w:spacing w:after="0" w:line="268"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rFonts w:ascii="Arial" w:cs="Arial" w:eastAsia="Arial" w:hAnsi="Arial"/>
          <w:sz w:val="16"/>
          <w:szCs w:val="16"/>
          <w:color w:val="auto"/>
        </w:rPr>
      </w:pPr>
    </w:p>
    <w:p>
      <w:pPr>
        <w:ind w:left="1160" w:right="240" w:hanging="585"/>
        <w:spacing w:after="0" w:line="268"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strategic collaborators may not commit adequate resources to the marketing and distribution of our product candidates, limiting our potential revenues from these products;</w:t>
      </w:r>
    </w:p>
    <w:p>
      <w:pPr>
        <w:spacing w:after="0" w:line="62" w:lineRule="exact"/>
        <w:rPr>
          <w:rFonts w:ascii="Arial" w:cs="Arial" w:eastAsia="Arial" w:hAnsi="Arial"/>
          <w:sz w:val="16"/>
          <w:szCs w:val="16"/>
          <w:color w:val="auto"/>
        </w:rPr>
      </w:pPr>
    </w:p>
    <w:p>
      <w:pPr>
        <w:ind w:left="1160" w:right="160" w:hanging="585"/>
        <w:spacing w:after="0" w:line="341" w:lineRule="auto"/>
        <w:tabs>
          <w:tab w:leader="none" w:pos="11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16" w:lineRule="exact"/>
        <w:rPr>
          <w:rFonts w:ascii="Arial" w:cs="Arial" w:eastAsia="Arial" w:hAnsi="Arial"/>
          <w:sz w:val="14"/>
          <w:szCs w:val="14"/>
          <w:color w:val="auto"/>
        </w:rPr>
      </w:pPr>
    </w:p>
    <w:p>
      <w:pPr>
        <w:ind w:left="1160" w:hanging="585"/>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strategic collaborators may experience financial difficulties;</w:t>
      </w:r>
    </w:p>
    <w:p>
      <w:pPr>
        <w:spacing w:after="0" w:line="123" w:lineRule="exact"/>
        <w:rPr>
          <w:rFonts w:ascii="Arial" w:cs="Arial" w:eastAsia="Arial" w:hAnsi="Arial"/>
          <w:sz w:val="16"/>
          <w:szCs w:val="16"/>
          <w:color w:val="auto"/>
        </w:rPr>
      </w:pPr>
    </w:p>
    <w:p>
      <w:pPr>
        <w:ind w:left="1160" w:right="400" w:hanging="585"/>
        <w:spacing w:after="0" w:line="268"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2" w:lineRule="exact"/>
        <w:rPr>
          <w:rFonts w:ascii="Arial" w:cs="Arial" w:eastAsia="Arial" w:hAnsi="Arial"/>
          <w:sz w:val="16"/>
          <w:szCs w:val="16"/>
          <w:color w:val="auto"/>
        </w:rPr>
      </w:pPr>
    </w:p>
    <w:p>
      <w:pPr>
        <w:ind w:left="1160" w:right="180" w:hanging="585"/>
        <w:spacing w:after="0" w:line="268"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2" w:lineRule="exact"/>
        <w:rPr>
          <w:rFonts w:ascii="Arial" w:cs="Arial" w:eastAsia="Arial" w:hAnsi="Arial"/>
          <w:sz w:val="16"/>
          <w:szCs w:val="16"/>
          <w:color w:val="auto"/>
        </w:rPr>
      </w:pPr>
    </w:p>
    <w:p>
      <w:pPr>
        <w:ind w:left="1160" w:right="420" w:hanging="585"/>
        <w:spacing w:after="0" w:line="268"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strategic collaborators could decide to move forward with a competing product candidate developed either independently or in collaboration with others, including our competitors; and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600" w:right="359" w:bottom="1440" w:gutter="0" w:footer="0" w:header="0"/>
        </w:sectPr>
      </w:pPr>
    </w:p>
    <w:bookmarkStart w:id="32" w:name="page33"/>
    <w:bookmarkEnd w:id="32"/>
    <w:p>
      <w:pPr>
        <w:ind w:left="1160" w:right="60" w:hanging="585"/>
        <w:spacing w:after="0" w:line="268" w:lineRule="auto"/>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strategic collaborators could terminate the arrangement or allow it to expire, which would delay the development and may increase the cost of developing, our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explore strategic collaborations that may never materialize or may fail.</w:t>
      </w:r>
    </w:p>
    <w:p>
      <w:pPr>
        <w:spacing w:after="0" w:line="100" w:lineRule="exact"/>
        <w:rPr>
          <w:sz w:val="20"/>
          <w:szCs w:val="20"/>
          <w:color w:val="auto"/>
        </w:rPr>
      </w:pPr>
    </w:p>
    <w:p>
      <w:pPr>
        <w:ind w:right="20" w:firstLine="669"/>
        <w:spacing w:after="0" w:line="273" w:lineRule="auto"/>
        <w:rPr>
          <w:sz w:val="20"/>
          <w:szCs w:val="20"/>
          <w:color w:val="auto"/>
        </w:rPr>
      </w:pPr>
      <w:r>
        <w:rPr>
          <w:rFonts w:ascii="Arial" w:cs="Arial" w:eastAsia="Arial" w:hAnsi="Arial"/>
          <w:sz w:val="15"/>
          <w:szCs w:val="15"/>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250"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3" w:lineRule="exact"/>
        <w:rPr>
          <w:sz w:val="20"/>
          <w:szCs w:val="20"/>
          <w:color w:val="auto"/>
        </w:rPr>
      </w:pPr>
    </w:p>
    <w:p>
      <w:pPr>
        <w:ind w:firstLine="669"/>
        <w:spacing w:after="0" w:line="252"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76" w:lineRule="exact"/>
        <w:rPr>
          <w:sz w:val="20"/>
          <w:szCs w:val="20"/>
          <w:color w:val="auto"/>
        </w:rPr>
      </w:pPr>
    </w:p>
    <w:p>
      <w:pPr>
        <w:ind w:firstLine="669"/>
        <w:spacing w:after="0" w:line="252" w:lineRule="auto"/>
        <w:rPr>
          <w:sz w:val="20"/>
          <w:szCs w:val="20"/>
          <w:color w:val="auto"/>
        </w:rPr>
      </w:pPr>
      <w:r>
        <w:rPr>
          <w:rFonts w:ascii="Arial" w:cs="Arial" w:eastAsia="Arial" w:hAnsi="Arial"/>
          <w:sz w:val="16"/>
          <w:szCs w:val="16"/>
          <w:color w:val="auto"/>
        </w:rPr>
        <w:t>Due to the ongoing COVID-19 pandemic, it is possible that we could experience delays in the timing of our interactions with regulatory authorities due to absenteeism by governmental employees, inability to conduct planned physical inspections related to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In addition, our product candidates could fail to receive regulatory approval from the FDA or foreign regulatory authorities for other reasons, including but not limited to:</w:t>
      </w:r>
    </w:p>
    <w:p>
      <w:pPr>
        <w:spacing w:after="0" w:line="76" w:lineRule="exact"/>
        <w:rPr>
          <w:sz w:val="20"/>
          <w:szCs w:val="20"/>
          <w:color w:val="auto"/>
        </w:rPr>
      </w:pPr>
    </w:p>
    <w:p>
      <w:pPr>
        <w:ind w:left="1160" w:hanging="585"/>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to demonstrate that our product candidates are safe and effective;</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of clinical trials to meet the primary endpoints or level of statistical significance required for approval;</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to demonstrate that the clinical and other benefits of a product candidate outweigh any of its safety risks;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disagreement with our interpretation of data from preclinical studies or clinical trials;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disagreement with the design or implementation of our or our collaborators’ trials;</w:t>
      </w:r>
    </w:p>
    <w:p>
      <w:pPr>
        <w:spacing w:after="0" w:line="123" w:lineRule="exact"/>
        <w:rPr>
          <w:rFonts w:ascii="Arial" w:cs="Arial" w:eastAsia="Arial" w:hAnsi="Arial"/>
          <w:sz w:val="16"/>
          <w:szCs w:val="16"/>
          <w:color w:val="auto"/>
        </w:rPr>
      </w:pPr>
    </w:p>
    <w:p>
      <w:pPr>
        <w:ind w:left="1160" w:right="460" w:hanging="585"/>
        <w:spacing w:after="0" w:line="268" w:lineRule="auto"/>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insufficiency of data collected from trials of our product candidates to support the submission and filing of an NDA or other submission or to obtain regulatory approval;</w:t>
      </w:r>
    </w:p>
    <w:p>
      <w:pPr>
        <w:spacing w:after="0" w:line="62" w:lineRule="exact"/>
        <w:rPr>
          <w:rFonts w:ascii="Arial" w:cs="Arial" w:eastAsia="Arial" w:hAnsi="Arial"/>
          <w:sz w:val="16"/>
          <w:szCs w:val="16"/>
          <w:color w:val="auto"/>
        </w:rPr>
      </w:pPr>
    </w:p>
    <w:p>
      <w:pPr>
        <w:ind w:left="1160" w:right="620" w:hanging="585"/>
        <w:spacing w:after="0" w:line="268" w:lineRule="auto"/>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to obtain approval of the manufacturing and testing processes or facilities of third-party manufacturers with whom we contract for clinical and commercial supplies;</w:t>
      </w:r>
    </w:p>
    <w:p>
      <w:pPr>
        <w:spacing w:after="0" w:line="62" w:lineRule="exact"/>
        <w:rPr>
          <w:rFonts w:ascii="Arial" w:cs="Arial" w:eastAsia="Arial" w:hAnsi="Arial"/>
          <w:sz w:val="16"/>
          <w:szCs w:val="16"/>
          <w:color w:val="auto"/>
        </w:rPr>
      </w:pPr>
    </w:p>
    <w:p>
      <w:pPr>
        <w:ind w:left="1160" w:hanging="585"/>
        <w:spacing w:after="0"/>
        <w:tabs>
          <w:tab w:leader="none" w:pos="11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receipt of a negative opinion from an advisory committee due to a change in the standard of care regardless of the outcome of the clinical trials; or</w:t>
      </w:r>
    </w:p>
    <w:p>
      <w:pPr>
        <w:spacing w:after="0" w:line="135" w:lineRule="exact"/>
        <w:rPr>
          <w:rFonts w:ascii="Arial" w:cs="Arial" w:eastAsia="Arial" w:hAnsi="Arial"/>
          <w:sz w:val="15"/>
          <w:szCs w:val="15"/>
          <w:color w:val="auto"/>
        </w:rPr>
      </w:pPr>
    </w:p>
    <w:p>
      <w:pPr>
        <w:ind w:left="1160" w:hanging="585"/>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the approval policies or regulations that render our preclinical and clinical data insufficient for approval.</w:t>
      </w:r>
    </w:p>
    <w:p>
      <w:pPr>
        <w:spacing w:after="0" w:line="124" w:lineRule="exact"/>
        <w:rPr>
          <w:sz w:val="20"/>
          <w:szCs w:val="20"/>
          <w:color w:val="auto"/>
        </w:rPr>
      </w:pPr>
    </w:p>
    <w:p>
      <w:pPr>
        <w:ind w:right="200" w:firstLine="669"/>
        <w:spacing w:after="0" w:line="341" w:lineRule="auto"/>
        <w:rPr>
          <w:sz w:val="20"/>
          <w:szCs w:val="20"/>
          <w:color w:val="auto"/>
        </w:rPr>
      </w:pPr>
      <w:r>
        <w:rPr>
          <w:rFonts w:ascii="Arial" w:cs="Arial" w:eastAsia="Arial" w:hAnsi="Arial"/>
          <w:sz w:val="14"/>
          <w:szCs w:val="14"/>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sectPr>
      </w:pPr>
    </w:p>
    <w:bookmarkStart w:id="33" w:name="page34"/>
    <w:bookmarkEnd w:id="33"/>
    <w:p>
      <w:pPr>
        <w:spacing w:after="0" w:line="252" w:lineRule="auto"/>
        <w:rPr>
          <w:sz w:val="20"/>
          <w:szCs w:val="20"/>
          <w:color w:val="auto"/>
        </w:rPr>
      </w:pPr>
      <w:r>
        <w:rPr>
          <w:rFonts w:ascii="Arial" w:cs="Arial" w:eastAsia="Arial" w:hAnsi="Arial"/>
          <w:sz w:val="16"/>
          <w:szCs w:val="16"/>
          <w:color w:val="auto"/>
        </w:rPr>
        <w:t>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w:t>
      </w:r>
    </w:p>
    <w:p>
      <w:pPr>
        <w:spacing w:after="0" w:line="265" w:lineRule="exact"/>
        <w:rPr>
          <w:sz w:val="20"/>
          <w:szCs w:val="20"/>
          <w:color w:val="auto"/>
        </w:rPr>
      </w:pPr>
    </w:p>
    <w:p>
      <w:pPr>
        <w:ind w:right="880"/>
        <w:spacing w:after="0" w:line="268" w:lineRule="auto"/>
        <w:rPr>
          <w:sz w:val="20"/>
          <w:szCs w:val="20"/>
          <w:color w:val="auto"/>
        </w:rPr>
      </w:pPr>
      <w:r>
        <w:rPr>
          <w:rFonts w:ascii="Arial" w:cs="Arial" w:eastAsia="Arial" w:hAnsi="Arial"/>
          <w:sz w:val="16"/>
          <w:szCs w:val="16"/>
          <w:b w:val="1"/>
          <w:bCs w:val="1"/>
          <w:i w:val="1"/>
          <w:iCs w:val="1"/>
          <w:color w:val="auto"/>
        </w:rPr>
        <w:t>Our product candidates may not achieve adequate market acceptance among physicians, patients, healthcare payors and others in the medical community to be commercially successful</w:t>
      </w:r>
      <w:r>
        <w:rPr>
          <w:rFonts w:ascii="Arial" w:cs="Arial" w:eastAsia="Arial" w:hAnsi="Arial"/>
          <w:sz w:val="16"/>
          <w:szCs w:val="16"/>
          <w:i w:val="1"/>
          <w:iCs w:val="1"/>
          <w:color w:val="auto"/>
        </w:rPr>
        <w:t>.</w:t>
      </w:r>
    </w:p>
    <w:p>
      <w:pPr>
        <w:spacing w:after="0" w:line="63" w:lineRule="exact"/>
        <w:rPr>
          <w:sz w:val="20"/>
          <w:szCs w:val="20"/>
          <w:color w:val="auto"/>
        </w:rPr>
      </w:pPr>
    </w:p>
    <w:p>
      <w:pPr>
        <w:ind w:firstLine="669"/>
        <w:spacing w:after="0" w:line="254" w:lineRule="auto"/>
        <w:rPr>
          <w:sz w:val="20"/>
          <w:szCs w:val="20"/>
          <w:color w:val="auto"/>
        </w:rPr>
      </w:pPr>
      <w:r>
        <w:rPr>
          <w:rFonts w:ascii="Arial" w:cs="Arial" w:eastAsia="Arial" w:hAnsi="Arial"/>
          <w:sz w:val="16"/>
          <w:szCs w:val="16"/>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74" w:lineRule="exact"/>
        <w:rPr>
          <w:sz w:val="20"/>
          <w:szCs w:val="20"/>
          <w:color w:val="auto"/>
        </w:rPr>
      </w:pPr>
    </w:p>
    <w:p>
      <w:pPr>
        <w:ind w:left="1160" w:hanging="585"/>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efficacy and safety profile as demonstrated in trials;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of market introduction as well as competitive products;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clinical indications for which the product candidate is approved;</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acceptance of the product candidate as a safe and effective treatment by physicians, clinics and patients;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potential and perceived advantages of our product candidates over alternative treatments;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 of treatment in relation to alternative treatments;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pricing and the availability of coverage and adequate reimbursement by third-party payors, including government authorities;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relative convenience and ease of administration;</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frequency and severity of adverse events;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effectiveness of sales and marketing; and</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unfavorable publicity relating to our product candidates.</w:t>
      </w:r>
    </w:p>
    <w:p>
      <w:pPr>
        <w:spacing w:after="0" w:line="124" w:lineRule="exact"/>
        <w:rPr>
          <w:sz w:val="20"/>
          <w:szCs w:val="20"/>
          <w:color w:val="auto"/>
        </w:rPr>
      </w:pPr>
    </w:p>
    <w:p>
      <w:pPr>
        <w:ind w:right="540" w:firstLine="669"/>
        <w:spacing w:after="0" w:line="268" w:lineRule="auto"/>
        <w:rPr>
          <w:sz w:val="20"/>
          <w:szCs w:val="20"/>
          <w:color w:val="auto"/>
        </w:rPr>
      </w:pPr>
      <w:r>
        <w:rPr>
          <w:rFonts w:ascii="Arial" w:cs="Arial" w:eastAsia="Arial" w:hAnsi="Arial"/>
          <w:sz w:val="16"/>
          <w:szCs w:val="16"/>
          <w:color w:val="auto"/>
        </w:rPr>
        <w:t>If our product candidates are approved but do not achieve an adequate level of acceptance by physicians, hospitals, healthcare payors and patients, we may not generate sufficient revenue to become or remain profitable.</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2" w:lineRule="exact"/>
        <w:rPr>
          <w:sz w:val="20"/>
          <w:szCs w:val="20"/>
          <w:color w:val="auto"/>
        </w:rPr>
      </w:pPr>
    </w:p>
    <w:p>
      <w:pPr>
        <w:ind w:right="140" w:firstLine="669"/>
        <w:spacing w:after="0" w:line="252"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In additional, public health epidemics, such as the worldwide COVID-19 pandemic, may impact the ability of our existing or future manufacturers to perform their obligations to us.</w:t>
      </w:r>
    </w:p>
    <w:p>
      <w:pPr>
        <w:spacing w:after="0" w:line="76" w:lineRule="exact"/>
        <w:rPr>
          <w:sz w:val="20"/>
          <w:szCs w:val="20"/>
          <w:color w:val="auto"/>
        </w:rPr>
      </w:pPr>
    </w:p>
    <w:p>
      <w:pPr>
        <w:ind w:right="320" w:firstLine="669"/>
        <w:spacing w:after="0" w:line="257" w:lineRule="auto"/>
        <w:rPr>
          <w:sz w:val="20"/>
          <w:szCs w:val="20"/>
          <w:color w:val="auto"/>
        </w:rPr>
      </w:pPr>
      <w:r>
        <w:rPr>
          <w:rFonts w:ascii="Arial" w:cs="Arial" w:eastAsia="Arial" w:hAnsi="Arial"/>
          <w:sz w:val="16"/>
          <w:szCs w:val="16"/>
          <w:color w:val="auto"/>
        </w:rPr>
        <w:t>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34" w:name="page35"/>
    <w:bookmarkEnd w:id="34"/>
    <w:p>
      <w:pPr>
        <w:ind w:right="20"/>
        <w:spacing w:after="0" w:line="270" w:lineRule="auto"/>
        <w:rPr>
          <w:sz w:val="20"/>
          <w:szCs w:val="20"/>
          <w:color w:val="auto"/>
        </w:rPr>
      </w:pPr>
      <w:r>
        <w:rPr>
          <w:rFonts w:ascii="Arial" w:cs="Arial" w:eastAsia="Arial" w:hAnsi="Arial"/>
          <w:sz w:val="15"/>
          <w:szCs w:val="15"/>
          <w:color w:val="auto"/>
        </w:rPr>
        <w:t>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our product candidates receive regulatory approval, they may still face future development and regulatory difficulties.</w:t>
      </w:r>
    </w:p>
    <w:p>
      <w:pPr>
        <w:spacing w:after="0" w:line="100" w:lineRule="exact"/>
        <w:rPr>
          <w:sz w:val="20"/>
          <w:szCs w:val="20"/>
          <w:color w:val="auto"/>
        </w:rPr>
      </w:pPr>
    </w:p>
    <w:p>
      <w:pPr>
        <w:ind w:firstLine="669"/>
        <w:spacing w:after="0" w:line="251"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77" w:lineRule="exact"/>
        <w:rPr>
          <w:sz w:val="20"/>
          <w:szCs w:val="20"/>
          <w:color w:val="auto"/>
        </w:rPr>
      </w:pPr>
    </w:p>
    <w:p>
      <w:pPr>
        <w:ind w:right="60" w:firstLine="669"/>
        <w:spacing w:after="0" w:line="273" w:lineRule="auto"/>
        <w:rPr>
          <w:sz w:val="20"/>
          <w:szCs w:val="20"/>
          <w:color w:val="auto"/>
        </w:rPr>
      </w:pPr>
      <w:r>
        <w:rPr>
          <w:rFonts w:ascii="Arial" w:cs="Arial" w:eastAsia="Arial" w:hAnsi="Arial"/>
          <w:sz w:val="15"/>
          <w:szCs w:val="15"/>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61" w:lineRule="exact"/>
        <w:rPr>
          <w:sz w:val="20"/>
          <w:szCs w:val="20"/>
          <w:color w:val="auto"/>
        </w:rPr>
      </w:pPr>
    </w:p>
    <w:p>
      <w:pPr>
        <w:ind w:left="1160" w:hanging="585"/>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issue warning letters or untitled letters;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mandate modifications to promotional materials or require us to provide corrective information to healthcare practitioners;</w:t>
      </w:r>
    </w:p>
    <w:p>
      <w:pPr>
        <w:spacing w:after="0" w:line="123" w:lineRule="exact"/>
        <w:rPr>
          <w:rFonts w:ascii="Arial" w:cs="Arial" w:eastAsia="Arial" w:hAnsi="Arial"/>
          <w:sz w:val="16"/>
          <w:szCs w:val="16"/>
          <w:color w:val="auto"/>
        </w:rPr>
      </w:pPr>
    </w:p>
    <w:p>
      <w:pPr>
        <w:ind w:left="1160" w:right="280" w:hanging="585"/>
        <w:spacing w:after="0" w:line="268" w:lineRule="auto"/>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6"/>
          <w:szCs w:val="16"/>
          <w:color w:val="auto"/>
        </w:rPr>
      </w:pPr>
    </w:p>
    <w:p>
      <w:pPr>
        <w:ind w:left="1160" w:hanging="585"/>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seek an injunction or impose civil or criminal penalties or monetary fines;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suspend or withdraw regulatory approval;</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suspend any ongoing clinical trials;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refuse to approve pending applications or supplements to applications filed by us;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suspend or impose restrictions on operations, including costly new manufacturing requirements; or</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seize or detain products, or refuse to permit the import or export of products.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occurrence of any event or penalty described above may inhibit our ability to commercialize and generate revenue from the sale of our product candidates.</w:t>
      </w:r>
    </w:p>
    <w:p>
      <w:pPr>
        <w:spacing w:after="0" w:line="112" w:lineRule="exact"/>
        <w:rPr>
          <w:sz w:val="20"/>
          <w:szCs w:val="20"/>
          <w:color w:val="auto"/>
        </w:rPr>
      </w:pPr>
    </w:p>
    <w:p>
      <w:pPr>
        <w:ind w:right="160" w:firstLine="669"/>
        <w:spacing w:after="0" w:line="254" w:lineRule="auto"/>
        <w:rPr>
          <w:sz w:val="20"/>
          <w:szCs w:val="20"/>
          <w:color w:val="auto"/>
        </w:rPr>
      </w:pPr>
      <w:r>
        <w:rPr>
          <w:rFonts w:ascii="Arial" w:cs="Arial" w:eastAsia="Arial" w:hAnsi="Arial"/>
          <w:sz w:val="16"/>
          <w:szCs w:val="16"/>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While physicians may prescribe products for off-label uses as the FDA and other regulatory agencies do not regulate a physician’s choice of drug treatment made in the physician’s independent medical judgment, they do restrict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35" w:name="page36"/>
    <w:bookmarkEnd w:id="35"/>
    <w:p>
      <w:pPr>
        <w:ind w:right="160"/>
        <w:spacing w:after="0" w:line="302" w:lineRule="auto"/>
        <w:rPr>
          <w:sz w:val="20"/>
          <w:szCs w:val="20"/>
          <w:color w:val="auto"/>
        </w:rPr>
      </w:pPr>
      <w:r>
        <w:rPr>
          <w:rFonts w:ascii="Arial" w:cs="Arial" w:eastAsia="Arial" w:hAnsi="Arial"/>
          <w:sz w:val="14"/>
          <w:szCs w:val="14"/>
          <w:color w:val="auto"/>
        </w:rPr>
        <w:t>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42" w:lineRule="exact"/>
        <w:rPr>
          <w:sz w:val="20"/>
          <w:szCs w:val="20"/>
          <w:color w:val="auto"/>
        </w:rPr>
      </w:pPr>
    </w:p>
    <w:p>
      <w:pPr>
        <w:ind w:firstLine="669"/>
        <w:spacing w:after="0" w:line="288" w:lineRule="auto"/>
        <w:rPr>
          <w:sz w:val="20"/>
          <w:szCs w:val="20"/>
          <w:color w:val="auto"/>
        </w:rPr>
      </w:pPr>
      <w:r>
        <w:rPr>
          <w:rFonts w:ascii="Arial" w:cs="Arial" w:eastAsia="Arial" w:hAnsi="Arial"/>
          <w:sz w:val="14"/>
          <w:szCs w:val="14"/>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p>
    <w:p>
      <w:pPr>
        <w:spacing w:after="0" w:line="24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63" w:lineRule="exact"/>
        <w:rPr>
          <w:sz w:val="20"/>
          <w:szCs w:val="20"/>
          <w:color w:val="auto"/>
        </w:rPr>
      </w:pPr>
    </w:p>
    <w:p>
      <w:pPr>
        <w:ind w:firstLine="669"/>
        <w:spacing w:after="0" w:line="273" w:lineRule="auto"/>
        <w:rPr>
          <w:sz w:val="20"/>
          <w:szCs w:val="20"/>
          <w:color w:val="auto"/>
        </w:rPr>
      </w:pPr>
      <w:r>
        <w:rPr>
          <w:rFonts w:ascii="Arial" w:cs="Arial" w:eastAsia="Arial" w:hAnsi="Arial"/>
          <w:sz w:val="15"/>
          <w:szCs w:val="15"/>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61" w:lineRule="exact"/>
        <w:rPr>
          <w:sz w:val="20"/>
          <w:szCs w:val="20"/>
          <w:color w:val="auto"/>
        </w:rPr>
      </w:pPr>
    </w:p>
    <w:p>
      <w:pPr>
        <w:ind w:right="20" w:firstLine="669"/>
        <w:spacing w:after="0" w:line="268" w:lineRule="auto"/>
        <w:rPr>
          <w:sz w:val="20"/>
          <w:szCs w:val="20"/>
          <w:color w:val="auto"/>
        </w:rPr>
      </w:pPr>
      <w:r>
        <w:rPr>
          <w:rFonts w:ascii="Arial" w:cs="Arial" w:eastAsia="Arial" w:hAnsi="Arial"/>
          <w:sz w:val="16"/>
          <w:szCs w:val="16"/>
          <w:color w:val="auto"/>
        </w:rPr>
        <w:t>Additionally, if our product candidates receive marketing approval, and we or others later identify undesirable side effects, a number of potentially significant negative consequences could result, including:</w:t>
      </w:r>
    </w:p>
    <w:p>
      <w:pPr>
        <w:spacing w:after="0" w:line="63" w:lineRule="exact"/>
        <w:rPr>
          <w:sz w:val="20"/>
          <w:szCs w:val="20"/>
          <w:color w:val="auto"/>
        </w:rPr>
      </w:pPr>
    </w:p>
    <w:p>
      <w:pPr>
        <w:ind w:left="1160" w:hanging="585"/>
        <w:spacing w:after="0"/>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suspend marketing of, or withdraw or recall, the product;</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regulatory authorities may withdraw approvals;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product labels;</w:t>
      </w:r>
    </w:p>
    <w:p>
      <w:pPr>
        <w:spacing w:after="0" w:line="123" w:lineRule="exact"/>
        <w:rPr>
          <w:rFonts w:ascii="Arial" w:cs="Arial" w:eastAsia="Arial" w:hAnsi="Arial"/>
          <w:sz w:val="16"/>
          <w:szCs w:val="16"/>
          <w:color w:val="auto"/>
        </w:rPr>
      </w:pPr>
    </w:p>
    <w:p>
      <w:pPr>
        <w:ind w:left="1160" w:right="120" w:hanging="585"/>
        <w:spacing w:after="0" w:line="268" w:lineRule="auto"/>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FDA or other regulatory authorities may issue safety alerts, Dear Healthcare Provider letters, press releases or other communications containing warnings about the product;</w:t>
      </w:r>
    </w:p>
    <w:p>
      <w:pPr>
        <w:spacing w:after="0" w:line="62" w:lineRule="exact"/>
        <w:rPr>
          <w:rFonts w:ascii="Arial" w:cs="Arial" w:eastAsia="Arial" w:hAnsi="Arial"/>
          <w:sz w:val="16"/>
          <w:szCs w:val="16"/>
          <w:color w:val="auto"/>
        </w:rPr>
      </w:pPr>
    </w:p>
    <w:p>
      <w:pPr>
        <w:ind w:left="1160" w:right="40" w:hanging="585"/>
        <w:spacing w:after="0" w:line="302" w:lineRule="auto"/>
        <w:tabs>
          <w:tab w:leader="none" w:pos="11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39" w:lineRule="exact"/>
        <w:rPr>
          <w:rFonts w:ascii="Arial" w:cs="Arial" w:eastAsia="Arial" w:hAnsi="Arial"/>
          <w:sz w:val="15"/>
          <w:szCs w:val="15"/>
          <w:color w:val="auto"/>
        </w:rPr>
      </w:pPr>
    </w:p>
    <w:p>
      <w:pPr>
        <w:ind w:left="1160" w:hanging="585"/>
        <w:spacing w:after="0"/>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regulatory authorities may require that we conduct post-marketing studies;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subjects or patients; and</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reputation may suffer.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36" w:name="page37"/>
    <w:bookmarkEnd w:id="36"/>
    <w:p>
      <w:pPr>
        <w:ind w:right="20" w:firstLine="669"/>
        <w:spacing w:after="0" w:line="268" w:lineRule="auto"/>
        <w:rPr>
          <w:sz w:val="20"/>
          <w:szCs w:val="20"/>
          <w:color w:val="auto"/>
        </w:rPr>
      </w:pPr>
      <w:r>
        <w:rPr>
          <w:rFonts w:ascii="Arial" w:cs="Arial" w:eastAsia="Arial" w:hAnsi="Arial"/>
          <w:sz w:val="16"/>
          <w:szCs w:val="16"/>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failure to obtain regulatory approval in international jurisdictions would prevent us from marketing our product candidates outside the United States.</w:t>
      </w:r>
    </w:p>
    <w:p>
      <w:pPr>
        <w:spacing w:after="0" w:line="112" w:lineRule="exact"/>
        <w:rPr>
          <w:sz w:val="20"/>
          <w:szCs w:val="20"/>
          <w:color w:val="auto"/>
        </w:rPr>
      </w:pPr>
    </w:p>
    <w:p>
      <w:pPr>
        <w:ind w:right="80" w:firstLine="669"/>
        <w:spacing w:after="0" w:line="267" w:lineRule="auto"/>
        <w:rPr>
          <w:sz w:val="20"/>
          <w:szCs w:val="20"/>
          <w:color w:val="auto"/>
        </w:rPr>
      </w:pPr>
      <w:r>
        <w:rPr>
          <w:rFonts w:ascii="Arial" w:cs="Arial" w:eastAsia="Arial" w:hAnsi="Arial"/>
          <w:sz w:val="15"/>
          <w:szCs w:val="15"/>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significant competition from other biotechnology and pharmaceutical companies, and our operating results will suffer if we fail to compete effectively.</w:t>
      </w:r>
    </w:p>
    <w:p>
      <w:pPr>
        <w:spacing w:after="0" w:line="123" w:lineRule="exact"/>
        <w:rPr>
          <w:sz w:val="20"/>
          <w:szCs w:val="20"/>
          <w:color w:val="auto"/>
        </w:rPr>
      </w:pPr>
    </w:p>
    <w:p>
      <w:pPr>
        <w:ind w:firstLine="669"/>
        <w:spacing w:after="0" w:line="276" w:lineRule="auto"/>
        <w:rPr>
          <w:sz w:val="20"/>
          <w:szCs w:val="20"/>
          <w:color w:val="auto"/>
        </w:rPr>
      </w:pPr>
      <w:r>
        <w:rPr>
          <w:rFonts w:ascii="Arial" w:cs="Arial" w:eastAsia="Arial" w:hAnsi="Arial"/>
          <w:sz w:val="15"/>
          <w:szCs w:val="15"/>
          <w:color w:val="auto"/>
        </w:rPr>
        <w:t>Even if any of our product candidates received regulatory approval, such product candidates would face competition from other therapies in the relevant indication. For example, chronic graft versus host disease has historically been managed by off-label treatments. However, in 2017 ibrutinib (</w:t>
      </w:r>
      <w:r>
        <w:rPr>
          <w:rFonts w:ascii="Arial" w:cs="Arial" w:eastAsia="Arial" w:hAnsi="Arial"/>
          <w:sz w:val="15"/>
          <w:szCs w:val="15"/>
          <w:i w:val="1"/>
          <w:iCs w:val="1"/>
          <w:color w:val="auto"/>
        </w:rPr>
        <w:t>Imbruvica®</w:t>
      </w:r>
      <w:r>
        <w:rPr>
          <w:rFonts w:ascii="Arial" w:cs="Arial" w:eastAsia="Arial" w:hAnsi="Arial"/>
          <w:sz w:val="15"/>
          <w:szCs w:val="15"/>
          <w:color w:val="auto"/>
        </w:rPr>
        <w:t>) became the first drug approved for use patients with cGVHD after failure of one or more lines of systemic therapy. KD-025 and Ruxolitinib (</w:t>
      </w:r>
      <w:r>
        <w:rPr>
          <w:rFonts w:ascii="Arial" w:cs="Arial" w:eastAsia="Arial" w:hAnsi="Arial"/>
          <w:sz w:val="15"/>
          <w:szCs w:val="15"/>
          <w:i w:val="1"/>
          <w:iCs w:val="1"/>
          <w:color w:val="auto"/>
        </w:rPr>
        <w:t>Jakafi</w:t>
      </w:r>
      <w:r>
        <w:rPr>
          <w:rFonts w:ascii="Arial" w:cs="Arial" w:eastAsia="Arial" w:hAnsi="Arial"/>
          <w:sz w:val="15"/>
          <w:szCs w:val="15"/>
          <w:color w:val="auto"/>
        </w:rPr>
        <w:t>®), have recently shared positive results on registration-directed trials to treat steroid refractory cGVHD patients and, if approved, may also compete with axatilimab.</w:t>
      </w:r>
    </w:p>
    <w:p>
      <w:pPr>
        <w:spacing w:after="0" w:line="59" w:lineRule="exact"/>
        <w:rPr>
          <w:sz w:val="20"/>
          <w:szCs w:val="20"/>
          <w:color w:val="auto"/>
        </w:rPr>
      </w:pPr>
    </w:p>
    <w:p>
      <w:pPr>
        <w:ind w:right="220" w:firstLine="669"/>
        <w:spacing w:after="0" w:line="254" w:lineRule="auto"/>
        <w:rPr>
          <w:sz w:val="20"/>
          <w:szCs w:val="20"/>
          <w:color w:val="auto"/>
        </w:rPr>
      </w:pPr>
      <w:r>
        <w:rPr>
          <w:rFonts w:ascii="Arial" w:cs="Arial" w:eastAsia="Arial" w:hAnsi="Arial"/>
          <w:sz w:val="16"/>
          <w:szCs w:val="16"/>
          <w:color w:val="auto"/>
        </w:rPr>
        <w:t>SNDX-5613 is being developed for the treatment of adult and pediatric patients with MLL-r ALL,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SNDX-5613 has the potential to be the first defined therapy for patients with MLLr ALL, MLLr AML and/or NPM1 mutant AML.</w:t>
      </w:r>
    </w:p>
    <w:p>
      <w:pPr>
        <w:spacing w:after="0" w:line="74" w:lineRule="exact"/>
        <w:rPr>
          <w:sz w:val="20"/>
          <w:szCs w:val="20"/>
          <w:color w:val="auto"/>
        </w:rPr>
      </w:pPr>
    </w:p>
    <w:p>
      <w:pPr>
        <w:ind w:right="20" w:firstLine="669"/>
        <w:spacing w:after="0" w:line="294" w:lineRule="auto"/>
        <w:rPr>
          <w:sz w:val="20"/>
          <w:szCs w:val="20"/>
          <w:color w:val="auto"/>
        </w:rPr>
      </w:pPr>
      <w:r>
        <w:rPr>
          <w:rFonts w:ascii="Arial" w:cs="Arial" w:eastAsia="Arial" w:hAnsi="Arial"/>
          <w:sz w:val="14"/>
          <w:szCs w:val="14"/>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ability to successfully compete will depend on, among other things:</w:t>
      </w:r>
    </w:p>
    <w:p>
      <w:pPr>
        <w:spacing w:after="0" w:line="100" w:lineRule="exact"/>
        <w:rPr>
          <w:sz w:val="20"/>
          <w:szCs w:val="20"/>
          <w:color w:val="auto"/>
        </w:rPr>
      </w:pPr>
    </w:p>
    <w:p>
      <w:pPr>
        <w:ind w:left="1160" w:hanging="585"/>
        <w:spacing w:after="0"/>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21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37" w:name="page38"/>
    <w:bookmarkEnd w:id="37"/>
    <w:p>
      <w:pPr>
        <w:ind w:left="1160" w:hanging="585"/>
        <w:spacing w:after="0"/>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time it takes for our product candidates to complete clinical development and receive marketing approval;</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commercialize our product candidates if they receive regulatory approval;</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price of our product candidates, including in comparison to branded or generic competitors;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whether coverage and adequate levels of reimbursement are available under private and governmental health insurance plans, including Medicare; and</w:t>
      </w:r>
    </w:p>
    <w:p>
      <w:pPr>
        <w:spacing w:after="0" w:line="146" w:lineRule="exact"/>
        <w:rPr>
          <w:rFonts w:ascii="Arial" w:cs="Arial" w:eastAsia="Arial" w:hAnsi="Arial"/>
          <w:sz w:val="14"/>
          <w:szCs w:val="14"/>
          <w:color w:val="auto"/>
        </w:rPr>
      </w:pPr>
    </w:p>
    <w:p>
      <w:pPr>
        <w:ind w:left="1160" w:hanging="585"/>
        <w:spacing w:after="0"/>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manufacture commercial quantities of our product candidates if they receive regulatory approval.</w:t>
      </w:r>
    </w:p>
    <w:p>
      <w:pPr>
        <w:spacing w:after="0" w:line="124" w:lineRule="exact"/>
        <w:rPr>
          <w:sz w:val="20"/>
          <w:szCs w:val="20"/>
          <w:color w:val="auto"/>
        </w:rPr>
      </w:pPr>
    </w:p>
    <w:p>
      <w:pPr>
        <w:ind w:right="20" w:firstLine="669"/>
        <w:spacing w:after="0" w:line="311" w:lineRule="auto"/>
        <w:rPr>
          <w:sz w:val="20"/>
          <w:szCs w:val="20"/>
          <w:color w:val="auto"/>
        </w:rPr>
      </w:pPr>
      <w:r>
        <w:rPr>
          <w:rFonts w:ascii="Arial" w:cs="Arial" w:eastAsia="Arial" w:hAnsi="Arial"/>
          <w:sz w:val="14"/>
          <w:szCs w:val="14"/>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227"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3" w:lineRule="exact"/>
        <w:rPr>
          <w:sz w:val="20"/>
          <w:szCs w:val="20"/>
          <w:color w:val="auto"/>
        </w:rPr>
      </w:pPr>
    </w:p>
    <w:p>
      <w:pPr>
        <w:ind w:firstLine="669"/>
        <w:spacing w:after="0" w:line="286" w:lineRule="auto"/>
        <w:rPr>
          <w:sz w:val="20"/>
          <w:szCs w:val="20"/>
          <w:color w:val="auto"/>
        </w:rPr>
      </w:pPr>
      <w:r>
        <w:rPr>
          <w:rFonts w:ascii="Arial" w:cs="Arial" w:eastAsia="Arial" w:hAnsi="Arial"/>
          <w:sz w:val="14"/>
          <w:szCs w:val="14"/>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must attract and retain additional highly skilled employees in order to succeed.</w:t>
      </w:r>
    </w:p>
    <w:p>
      <w:pPr>
        <w:spacing w:after="0" w:line="100" w:lineRule="exact"/>
        <w:rPr>
          <w:sz w:val="20"/>
          <w:szCs w:val="20"/>
          <w:color w:val="auto"/>
        </w:rPr>
      </w:pPr>
    </w:p>
    <w:p>
      <w:pPr>
        <w:ind w:right="140" w:firstLine="669"/>
        <w:spacing w:after="0" w:line="273" w:lineRule="auto"/>
        <w:rPr>
          <w:sz w:val="20"/>
          <w:szCs w:val="20"/>
          <w:color w:val="auto"/>
        </w:rPr>
      </w:pPr>
      <w:r>
        <w:rPr>
          <w:rFonts w:ascii="Arial" w:cs="Arial" w:eastAsia="Arial" w:hAnsi="Arial"/>
          <w:sz w:val="15"/>
          <w:szCs w:val="15"/>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sectPr>
      </w:pPr>
    </w:p>
    <w:bookmarkStart w:id="38" w:name="page39"/>
    <w:bookmarkEnd w:id="38"/>
    <w:p>
      <w:pPr>
        <w:ind w:right="160" w:firstLine="669"/>
        <w:spacing w:after="0" w:line="254"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3"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3" w:lineRule="exact"/>
        <w:rPr>
          <w:sz w:val="20"/>
          <w:szCs w:val="20"/>
          <w:color w:val="auto"/>
        </w:rPr>
      </w:pPr>
    </w:p>
    <w:p>
      <w:pPr>
        <w:ind w:right="100" w:firstLine="669"/>
        <w:spacing w:after="0" w:line="297" w:lineRule="auto"/>
        <w:rPr>
          <w:sz w:val="20"/>
          <w:szCs w:val="20"/>
          <w:color w:val="auto"/>
        </w:rPr>
      </w:pPr>
      <w:r>
        <w:rPr>
          <w:rFonts w:ascii="Arial" w:cs="Arial" w:eastAsia="Arial" w:hAnsi="Arial"/>
          <w:sz w:val="14"/>
          <w:szCs w:val="14"/>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46" w:lineRule="exact"/>
        <w:rPr>
          <w:sz w:val="20"/>
          <w:szCs w:val="20"/>
          <w:color w:val="auto"/>
        </w:rPr>
      </w:pPr>
    </w:p>
    <w:p>
      <w:pPr>
        <w:ind w:right="380" w:firstLine="669"/>
        <w:spacing w:after="0" w:line="257" w:lineRule="auto"/>
        <w:rPr>
          <w:sz w:val="20"/>
          <w:szCs w:val="20"/>
          <w:color w:val="auto"/>
        </w:rPr>
      </w:pPr>
      <w:r>
        <w:rPr>
          <w:rFonts w:ascii="Arial" w:cs="Arial" w:eastAsia="Arial" w:hAnsi="Arial"/>
          <w:sz w:val="16"/>
          <w:szCs w:val="16"/>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p>
    <w:p>
      <w:pPr>
        <w:spacing w:after="0" w:line="72" w:lineRule="exact"/>
        <w:rPr>
          <w:sz w:val="20"/>
          <w:szCs w:val="20"/>
          <w:color w:val="auto"/>
        </w:rPr>
      </w:pPr>
    </w:p>
    <w:p>
      <w:pPr>
        <w:ind w:firstLine="669"/>
        <w:spacing w:after="0" w:line="270" w:lineRule="auto"/>
        <w:rPr>
          <w:sz w:val="20"/>
          <w:szCs w:val="20"/>
          <w:color w:val="auto"/>
        </w:rPr>
      </w:pPr>
      <w:r>
        <w:rPr>
          <w:rFonts w:ascii="Arial" w:cs="Arial" w:eastAsia="Arial" w:hAnsi="Arial"/>
          <w:sz w:val="15"/>
          <w:szCs w:val="15"/>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62" w:lineRule="exact"/>
        <w:rPr>
          <w:sz w:val="20"/>
          <w:szCs w:val="20"/>
          <w:color w:val="auto"/>
        </w:rPr>
      </w:pPr>
    </w:p>
    <w:p>
      <w:pPr>
        <w:ind w:right="300" w:firstLine="669"/>
        <w:spacing w:after="0" w:line="294" w:lineRule="auto"/>
        <w:rPr>
          <w:sz w:val="20"/>
          <w:szCs w:val="20"/>
          <w:color w:val="auto"/>
        </w:rPr>
      </w:pPr>
      <w:r>
        <w:rPr>
          <w:rFonts w:ascii="Arial" w:cs="Arial" w:eastAsia="Arial" w:hAnsi="Arial"/>
          <w:sz w:val="14"/>
          <w:szCs w:val="14"/>
          <w:color w:val="auto"/>
        </w:rPr>
        <w:t>Private payors often follow decisions by the Centers for Medicare &amp; Medicaid Services, or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48" w:lineRule="exact"/>
        <w:rPr>
          <w:sz w:val="20"/>
          <w:szCs w:val="20"/>
          <w:color w:val="auto"/>
        </w:rPr>
      </w:pPr>
    </w:p>
    <w:p>
      <w:pPr>
        <w:ind w:firstLine="669"/>
        <w:spacing w:after="0" w:line="270" w:lineRule="auto"/>
        <w:rPr>
          <w:sz w:val="20"/>
          <w:szCs w:val="20"/>
          <w:color w:val="auto"/>
        </w:rPr>
      </w:pPr>
      <w:r>
        <w:rPr>
          <w:rFonts w:ascii="Arial" w:cs="Arial" w:eastAsia="Arial" w:hAnsi="Arial"/>
          <w:sz w:val="15"/>
          <w:szCs w:val="15"/>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39" w:name="page40"/>
    <w:bookmarkEnd w:id="39"/>
    <w:p>
      <w:pPr>
        <w:jc w:val="both"/>
        <w:ind w:right="100" w:firstLine="669"/>
        <w:spacing w:after="0" w:line="283" w:lineRule="auto"/>
        <w:rPr>
          <w:sz w:val="20"/>
          <w:szCs w:val="20"/>
          <w:color w:val="auto"/>
        </w:rPr>
      </w:pPr>
      <w:r>
        <w:rPr>
          <w:rFonts w:ascii="Arial" w:cs="Arial" w:eastAsia="Arial" w:hAnsi="Arial"/>
          <w:sz w:val="15"/>
          <w:szCs w:val="15"/>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12" w:lineRule="exact"/>
        <w:rPr>
          <w:sz w:val="20"/>
          <w:szCs w:val="20"/>
          <w:color w:val="auto"/>
        </w:rPr>
      </w:pPr>
    </w:p>
    <w:p>
      <w:pPr>
        <w:ind w:firstLine="669"/>
        <w:spacing w:after="0" w:line="285" w:lineRule="auto"/>
        <w:rPr>
          <w:sz w:val="20"/>
          <w:szCs w:val="20"/>
          <w:color w:val="auto"/>
        </w:rPr>
      </w:pPr>
      <w:r>
        <w:rPr>
          <w:rFonts w:ascii="Arial" w:cs="Arial" w:eastAsia="Arial" w:hAnsi="Arial"/>
          <w:sz w:val="14"/>
          <w:szCs w:val="14"/>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There have been executive, judicial and Congressional challenges, as well as recent efforts by the Trump administration to repeal or replace certain aspects of the Affordable Care Act. 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Additionally, the 2020 federal spending package permanently eliminated, effective January 1, 2020, the Affordable Care Act’s mandated “Cadillac” tax on high-cost employer-sponsored health coverage and medical device tax and, effective January 1, 2021, also eliminated the health insurer tax. Further, the Bipartisan Budget Act of 2018, or the BBA, among other things, amended the Affordable Care Act, effective January 1, 2019, to increase from 50% to 70% the point-of-sale discount that is owed by pharmaceutical manufacturers who participate in Medicare Part D and to close the coverage gap in most Medicare drug plans, commonly referred to as the “donut hole.” On December 14, 2018, a Texas U.S. District Court Judge ruled that the Affordable Care Act is unconstitutional in its entirety because the “individual mandate” was repealed by the U.S. Congress as part of the Tax Cuts and Jobs Act of 2017 Act. Additionally,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The U.S. Supreme Court is currently reviewing the case, although it is unknown when a decision will be made. Further, although the U.S. Supreme Court has not yet ruled on the constitutionality of the Affordable Care Act, on January 28, 2021, President Biden issued an executive order to initiate a special enrollment period from February 15, 2021 through May 15, 2021 for purposes of obtaining health insurance coverage through the Affordable Care Act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the Supreme Court ruling, other such litigation, and the healthcare reform measures of the Biden administration will impact the Affordable Care Act and our business.</w:t>
      </w:r>
    </w:p>
    <w:p>
      <w:pPr>
        <w:spacing w:after="0" w:line="56" w:lineRule="exact"/>
        <w:rPr>
          <w:sz w:val="20"/>
          <w:szCs w:val="20"/>
          <w:color w:val="auto"/>
        </w:rPr>
      </w:pPr>
    </w:p>
    <w:p>
      <w:pPr>
        <w:ind w:right="20" w:firstLine="669"/>
        <w:spacing w:after="0" w:line="290" w:lineRule="auto"/>
        <w:rPr>
          <w:sz w:val="20"/>
          <w:szCs w:val="20"/>
          <w:color w:val="auto"/>
        </w:rPr>
      </w:pPr>
      <w:r>
        <w:rPr>
          <w:rFonts w:ascii="Arial" w:cs="Arial" w:eastAsia="Arial" w:hAnsi="Arial"/>
          <w:sz w:val="14"/>
          <w:szCs w:val="14"/>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legislation’s automatic reduction to several government programs. This included aggregate reductions to Medicare payments to providers of up to 2% per fiscal year, effective as of 2013. Further legislation, including the BBA, has extended the 2% reduction to 2030 with the exception of a temporary suspension from May 1, 2020 through March 31, 2021, unless additional congressional action is taken. The Coronavirus Aid, Relief and Economic Security Act, or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In January 2013, then President Obama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0" w:name="page41"/>
    <w:bookmarkEnd w:id="40"/>
    <w:p>
      <w:pPr>
        <w:ind w:left="5" w:right="340"/>
        <w:spacing w:after="0" w:line="268" w:lineRule="auto"/>
        <w:rPr>
          <w:sz w:val="20"/>
          <w:szCs w:val="20"/>
          <w:color w:val="auto"/>
        </w:rPr>
      </w:pPr>
      <w:r>
        <w:rPr>
          <w:rFonts w:ascii="Arial" w:cs="Arial" w:eastAsia="Arial" w:hAnsi="Arial"/>
          <w:sz w:val="16"/>
          <w:szCs w:val="16"/>
          <w:color w:val="auto"/>
        </w:rPr>
        <w:t>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63" w:lineRule="exact"/>
        <w:rPr>
          <w:sz w:val="20"/>
          <w:szCs w:val="20"/>
          <w:color w:val="auto"/>
        </w:rPr>
      </w:pPr>
    </w:p>
    <w:p>
      <w:pPr>
        <w:ind w:left="5" w:firstLine="669"/>
        <w:spacing w:after="0" w:line="284" w:lineRule="auto"/>
        <w:rPr>
          <w:sz w:val="20"/>
          <w:szCs w:val="20"/>
          <w:color w:val="auto"/>
        </w:rPr>
      </w:pPr>
      <w:r>
        <w:rPr>
          <w:rFonts w:ascii="Arial" w:cs="Arial" w:eastAsia="Arial" w:hAnsi="Arial"/>
          <w:sz w:val="14"/>
          <w:szCs w:val="14"/>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w:t>
      </w:r>
    </w:p>
    <w:p>
      <w:pPr>
        <w:spacing w:after="0" w:line="4" w:lineRule="exact"/>
        <w:rPr>
          <w:sz w:val="20"/>
          <w:szCs w:val="20"/>
          <w:color w:val="auto"/>
        </w:rPr>
      </w:pPr>
    </w:p>
    <w:p>
      <w:pPr>
        <w:ind w:left="5" w:hanging="5"/>
        <w:spacing w:after="0" w:line="265" w:lineRule="auto"/>
        <w:tabs>
          <w:tab w:leader="none" w:pos="1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the Centers for Medicare &amp; Medicaid Services, or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72" w:lineRule="exact"/>
        <w:rPr>
          <w:sz w:val="20"/>
          <w:szCs w:val="20"/>
          <w:color w:val="auto"/>
        </w:rPr>
      </w:pPr>
    </w:p>
    <w:p>
      <w:pPr>
        <w:ind w:left="5" w:right="80" w:firstLine="669"/>
        <w:spacing w:after="0" w:line="251" w:lineRule="auto"/>
        <w:rPr>
          <w:sz w:val="20"/>
          <w:szCs w:val="20"/>
          <w:color w:val="auto"/>
        </w:rPr>
      </w:pPr>
      <w:r>
        <w:rPr>
          <w:rFonts w:ascii="Arial" w:cs="Arial" w:eastAsia="Arial" w:hAnsi="Arial"/>
          <w:sz w:val="16"/>
          <w:szCs w:val="16"/>
          <w:color w:val="auto"/>
        </w:rPr>
        <w:t>It is also possible that additional governmental action is taken in response to address the COVID-19 pandemic. We cannot predict the likelihood, nature or extent of government regulations that may arise from future legislation, administrative or executive action. 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66"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We do not currently have any sales, marketing or distribution experience or infrastructure.</w:t>
      </w:r>
    </w:p>
    <w:p>
      <w:pPr>
        <w:spacing w:after="0" w:line="100" w:lineRule="exact"/>
        <w:rPr>
          <w:sz w:val="20"/>
          <w:szCs w:val="20"/>
          <w:color w:val="auto"/>
        </w:rPr>
      </w:pPr>
    </w:p>
    <w:p>
      <w:pPr>
        <w:ind w:left="5" w:right="480" w:firstLine="669"/>
        <w:spacing w:after="0" w:line="254" w:lineRule="auto"/>
        <w:rPr>
          <w:sz w:val="20"/>
          <w:szCs w:val="20"/>
          <w:color w:val="auto"/>
        </w:rPr>
      </w:pPr>
      <w:r>
        <w:rPr>
          <w:rFonts w:ascii="Arial" w:cs="Arial" w:eastAsia="Arial" w:hAnsi="Arial"/>
          <w:sz w:val="16"/>
          <w:szCs w:val="16"/>
          <w:color w:val="auto"/>
        </w:rPr>
        <w:t>In order to market any approved product candidate in the future, we must build our sales, marketing, managerial and other non-technical capabilities or make arrangements with third parties to perform these services, as we do not presently have all of these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74" w:lineRule="exact"/>
        <w:rPr>
          <w:sz w:val="20"/>
          <w:szCs w:val="20"/>
          <w:color w:val="auto"/>
        </w:rPr>
      </w:pPr>
    </w:p>
    <w:p>
      <w:pPr>
        <w:ind w:left="1165" w:hanging="585"/>
        <w:spacing w:after="0"/>
        <w:tabs>
          <w:tab w:leader="none" w:pos="11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not be able to attract and build an effective marketing or sales force;</w:t>
      </w:r>
    </w:p>
    <w:p>
      <w:pPr>
        <w:spacing w:after="0" w:line="123" w:lineRule="exact"/>
        <w:rPr>
          <w:rFonts w:ascii="Arial" w:cs="Arial" w:eastAsia="Arial" w:hAnsi="Arial"/>
          <w:sz w:val="16"/>
          <w:szCs w:val="16"/>
          <w:color w:val="auto"/>
        </w:rPr>
      </w:pPr>
    </w:p>
    <w:p>
      <w:pPr>
        <w:ind w:left="1165" w:right="180" w:hanging="585"/>
        <w:spacing w:after="0" w:line="268" w:lineRule="auto"/>
        <w:tabs>
          <w:tab w:leader="none" w:pos="11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cost of establishing, training and providing regulatory oversight for a marketing or sales force may not be justifiable in light of the revenues generated by any particular product;</w:t>
      </w:r>
    </w:p>
    <w:p>
      <w:pPr>
        <w:spacing w:after="0" w:line="62" w:lineRule="exact"/>
        <w:rPr>
          <w:rFonts w:ascii="Arial" w:cs="Arial" w:eastAsia="Arial" w:hAnsi="Arial"/>
          <w:sz w:val="16"/>
          <w:szCs w:val="16"/>
          <w:color w:val="auto"/>
        </w:rPr>
      </w:pPr>
    </w:p>
    <w:p>
      <w:pPr>
        <w:ind w:left="1165" w:hanging="585"/>
        <w:spacing w:after="0"/>
        <w:tabs>
          <w:tab w:leader="none" w:pos="11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direct or indirect sales and marketing efforts may not be successful; and</w:t>
      </w:r>
    </w:p>
    <w:p>
      <w:pPr>
        <w:spacing w:after="0" w:line="21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946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5"/>
          </w:cols>
          <w:pgMar w:left="315" w:top="411" w:right="339" w:bottom="1440" w:gutter="0" w:footer="0" w:header="0"/>
        </w:sectPr>
      </w:pPr>
    </w:p>
    <w:bookmarkStart w:id="41" w:name="page42"/>
    <w:bookmarkEnd w:id="41"/>
    <w:p>
      <w:pPr>
        <w:ind w:left="1160" w:right="20" w:hanging="585"/>
        <w:spacing w:after="0" w:line="257" w:lineRule="auto"/>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spacing w:after="0" w:line="72" w:lineRule="exact"/>
        <w:rPr>
          <w:sz w:val="20"/>
          <w:szCs w:val="20"/>
          <w:color w:val="auto"/>
        </w:rPr>
      </w:pPr>
    </w:p>
    <w:p>
      <w:pPr>
        <w:ind w:right="100" w:firstLine="669"/>
        <w:spacing w:after="0" w:line="254" w:lineRule="auto"/>
        <w:rPr>
          <w:sz w:val="20"/>
          <w:szCs w:val="20"/>
          <w:color w:val="auto"/>
        </w:rPr>
      </w:pPr>
      <w:r>
        <w:rPr>
          <w:rFonts w:ascii="Arial" w:cs="Arial" w:eastAsia="Arial" w:hAnsi="Arial"/>
          <w:sz w:val="16"/>
          <w:szCs w:val="16"/>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our product candidates.</w:t>
      </w:r>
    </w:p>
    <w:p>
      <w:pPr>
        <w:spacing w:after="0" w:line="100" w:lineRule="exact"/>
        <w:rPr>
          <w:sz w:val="20"/>
          <w:szCs w:val="20"/>
          <w:color w:val="auto"/>
        </w:rPr>
      </w:pPr>
    </w:p>
    <w:p>
      <w:pPr>
        <w:ind w:right="80" w:firstLine="669"/>
        <w:spacing w:after="0" w:line="276" w:lineRule="auto"/>
        <w:rPr>
          <w:sz w:val="20"/>
          <w:szCs w:val="20"/>
          <w:color w:val="auto"/>
        </w:rPr>
      </w:pPr>
      <w:r>
        <w:rPr>
          <w:rFonts w:ascii="Arial" w:cs="Arial" w:eastAsia="Arial" w:hAnsi="Arial"/>
          <w:sz w:val="15"/>
          <w:szCs w:val="15"/>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59" w:lineRule="exact"/>
        <w:rPr>
          <w:sz w:val="20"/>
          <w:szCs w:val="20"/>
          <w:color w:val="auto"/>
        </w:rPr>
      </w:pPr>
    </w:p>
    <w:p>
      <w:pPr>
        <w:ind w:left="1160" w:hanging="585"/>
        <w:spacing w:after="0"/>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decreased demand for our product candidates;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termination of clinical trial sites or entire trial programs;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injury to our reputation and significant negative media attention;</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withdrawal of trial participants;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significant costs to defend the related litigation;</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substantial monetary awards to trial subjects or patients;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diversion of management and scientific resources from our business operations; and</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inability to commercialize any products that we may develop.</w:t>
      </w:r>
    </w:p>
    <w:p>
      <w:pPr>
        <w:spacing w:after="0" w:line="124" w:lineRule="exact"/>
        <w:rPr>
          <w:sz w:val="20"/>
          <w:szCs w:val="20"/>
          <w:color w:val="auto"/>
        </w:rPr>
      </w:pPr>
    </w:p>
    <w:p>
      <w:pPr>
        <w:ind w:right="240" w:firstLine="669"/>
        <w:spacing w:after="0" w:line="273" w:lineRule="auto"/>
        <w:rPr>
          <w:sz w:val="20"/>
          <w:szCs w:val="20"/>
          <w:color w:val="auto"/>
        </w:rPr>
      </w:pPr>
      <w:r>
        <w:rPr>
          <w:rFonts w:ascii="Arial" w:cs="Arial" w:eastAsia="Arial" w:hAnsi="Arial"/>
          <w:sz w:val="15"/>
          <w:szCs w:val="15"/>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250"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74" w:lineRule="exact"/>
        <w:rPr>
          <w:sz w:val="20"/>
          <w:szCs w:val="20"/>
          <w:color w:val="auto"/>
        </w:rPr>
      </w:pPr>
    </w:p>
    <w:p>
      <w:pPr>
        <w:ind w:firstLine="669"/>
        <w:spacing w:after="0" w:line="252" w:lineRule="auto"/>
        <w:rPr>
          <w:sz w:val="20"/>
          <w:szCs w:val="20"/>
          <w:color w:val="auto"/>
        </w:rPr>
      </w:pPr>
      <w:r>
        <w:rPr>
          <w:rFonts w:ascii="Arial" w:cs="Arial" w:eastAsia="Arial" w:hAnsi="Arial"/>
          <w:sz w:val="16"/>
          <w:szCs w:val="16"/>
          <w:color w:val="auto"/>
        </w:rPr>
        <w:t>Healthcare providers, including physicians and third-party payors play a primary role in the recommendation and prescription of any product candidates for which we obtain marketing approval. Our current and future arrangements with physicians,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42" w:name="page43"/>
    <w:bookmarkEnd w:id="42"/>
    <w:p>
      <w:pPr>
        <w:ind w:left="1160" w:right="100" w:hanging="585"/>
        <w:spacing w:after="0" w:line="254" w:lineRule="auto"/>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73" w:lineRule="exact"/>
        <w:rPr>
          <w:rFonts w:ascii="Arial" w:cs="Arial" w:eastAsia="Arial" w:hAnsi="Arial"/>
          <w:sz w:val="16"/>
          <w:szCs w:val="16"/>
          <w:color w:val="auto"/>
        </w:rPr>
      </w:pPr>
    </w:p>
    <w:p>
      <w:pPr>
        <w:ind w:left="1160" w:right="20" w:hanging="585"/>
        <w:spacing w:after="0" w:line="283" w:lineRule="auto"/>
        <w:tabs>
          <w:tab w:leader="none" w:pos="11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52" w:lineRule="exact"/>
        <w:rPr>
          <w:rFonts w:ascii="Arial" w:cs="Arial" w:eastAsia="Arial" w:hAnsi="Arial"/>
          <w:sz w:val="15"/>
          <w:szCs w:val="15"/>
          <w:color w:val="auto"/>
        </w:rPr>
      </w:pPr>
    </w:p>
    <w:p>
      <w:pPr>
        <w:ind w:left="1160" w:right="20" w:hanging="585"/>
        <w:spacing w:after="0" w:line="252" w:lineRule="auto"/>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as amended by the Health Information Technology for Economic and Clinical Health Act of 2009, or HITECH, also imposes obligations on certain covered entity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spacing w:after="0" w:line="75" w:lineRule="exact"/>
        <w:rPr>
          <w:rFonts w:ascii="Arial" w:cs="Arial" w:eastAsia="Arial" w:hAnsi="Arial"/>
          <w:sz w:val="16"/>
          <w:szCs w:val="16"/>
          <w:color w:val="auto"/>
        </w:rPr>
      </w:pPr>
    </w:p>
    <w:p>
      <w:pPr>
        <w:ind w:left="1160" w:right="40" w:hanging="585"/>
        <w:spacing w:after="0" w:line="270" w:lineRule="auto"/>
        <w:tabs>
          <w:tab w:leader="none" w:pos="11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(as defined above) and their immediate family members. Beginning in 2022, applicable manufacturers also will be required to report information regarding payments and transfers of value provided during the previous year to physician assistants, nurse practitioners, clinical nurse specialists, certified nurse anesthetists, anesthesiologist assistants and certified nurse-midwives; and</w:t>
      </w:r>
    </w:p>
    <w:p>
      <w:pPr>
        <w:spacing w:after="0" w:line="62" w:lineRule="exact"/>
        <w:rPr>
          <w:rFonts w:ascii="Arial" w:cs="Arial" w:eastAsia="Arial" w:hAnsi="Arial"/>
          <w:sz w:val="15"/>
          <w:szCs w:val="15"/>
          <w:color w:val="auto"/>
        </w:rPr>
      </w:pPr>
    </w:p>
    <w:p>
      <w:pPr>
        <w:ind w:left="1160" w:hanging="585"/>
        <w:spacing w:after="0" w:line="267" w:lineRule="auto"/>
        <w:tabs>
          <w:tab w:leader="none" w:pos="11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68" w:lineRule="exact"/>
        <w:rPr>
          <w:sz w:val="20"/>
          <w:szCs w:val="20"/>
          <w:color w:val="auto"/>
        </w:rPr>
      </w:pPr>
    </w:p>
    <w:p>
      <w:pPr>
        <w:ind w:right="40" w:firstLine="669"/>
        <w:spacing w:after="0" w:line="294" w:lineRule="auto"/>
        <w:rPr>
          <w:sz w:val="20"/>
          <w:szCs w:val="20"/>
          <w:color w:val="auto"/>
        </w:rPr>
      </w:pPr>
      <w:r>
        <w:rPr>
          <w:rFonts w:ascii="Arial" w:cs="Arial" w:eastAsia="Arial" w:hAnsi="Arial"/>
          <w:sz w:val="14"/>
          <w:szCs w:val="14"/>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3" w:name="page44"/>
    <w:bookmarkEnd w:id="43"/>
    <w:p>
      <w:pPr>
        <w:ind w:right="80"/>
        <w:spacing w:after="0" w:line="254" w:lineRule="auto"/>
        <w:rPr>
          <w:sz w:val="20"/>
          <w:szCs w:val="20"/>
          <w:color w:val="auto"/>
        </w:rPr>
      </w:pPr>
      <w:r>
        <w:rPr>
          <w:rFonts w:ascii="Arial" w:cs="Arial" w:eastAsia="Arial" w:hAnsi="Arial"/>
          <w:sz w:val="16"/>
          <w:szCs w:val="16"/>
          <w:color w:val="auto"/>
        </w:rPr>
        <w:t>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63"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3" w:lineRule="exact"/>
        <w:rPr>
          <w:sz w:val="20"/>
          <w:szCs w:val="20"/>
          <w:color w:val="auto"/>
        </w:rPr>
      </w:pPr>
    </w:p>
    <w:p>
      <w:pPr>
        <w:ind w:firstLine="669"/>
        <w:spacing w:after="0" w:line="266" w:lineRule="auto"/>
        <w:rPr>
          <w:sz w:val="20"/>
          <w:szCs w:val="20"/>
          <w:color w:val="auto"/>
        </w:rPr>
      </w:pPr>
      <w:r>
        <w:rPr>
          <w:rFonts w:ascii="Arial" w:cs="Arial" w:eastAsia="Arial" w:hAnsi="Arial"/>
          <w:sz w:val="15"/>
          <w:szCs w:val="15"/>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 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In addition, due to the COVID-19 pandemic, we have enabled substantially all of our employees to work remotely, which may make us more vulnerable to cyberattacks.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68" w:lineRule="exact"/>
        <w:rPr>
          <w:sz w:val="20"/>
          <w:szCs w:val="20"/>
          <w:color w:val="auto"/>
        </w:rPr>
      </w:pPr>
    </w:p>
    <w:p>
      <w:pPr>
        <w:ind w:right="80" w:firstLine="669"/>
        <w:spacing w:after="0" w:line="271" w:lineRule="auto"/>
        <w:rPr>
          <w:sz w:val="20"/>
          <w:szCs w:val="20"/>
          <w:color w:val="auto"/>
        </w:rPr>
      </w:pPr>
      <w:r>
        <w:rPr>
          <w:rFonts w:ascii="Arial" w:cs="Arial" w:eastAsia="Arial" w:hAnsi="Arial"/>
          <w:sz w:val="15"/>
          <w:szCs w:val="15"/>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63" w:lineRule="exact"/>
        <w:rPr>
          <w:sz w:val="20"/>
          <w:szCs w:val="20"/>
          <w:color w:val="auto"/>
        </w:rPr>
      </w:pPr>
    </w:p>
    <w:p>
      <w:pPr>
        <w:ind w:right="40" w:firstLine="669"/>
        <w:spacing w:after="0" w:line="289" w:lineRule="auto"/>
        <w:rPr>
          <w:sz w:val="20"/>
          <w:szCs w:val="20"/>
          <w:color w:val="auto"/>
        </w:rPr>
      </w:pPr>
      <w:r>
        <w:rPr>
          <w:rFonts w:ascii="Arial" w:cs="Arial" w:eastAsia="Arial" w:hAnsi="Arial"/>
          <w:sz w:val="14"/>
          <w:szCs w:val="14"/>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411" w:right="319" w:bottom="1440" w:gutter="0" w:footer="0" w:header="0"/>
        </w:sectPr>
      </w:pPr>
    </w:p>
    <w:bookmarkStart w:id="44" w:name="page45"/>
    <w:bookmarkEnd w:id="44"/>
    <w:p>
      <w:pPr>
        <w:ind w:right="40"/>
        <w:spacing w:after="0" w:line="250" w:lineRule="auto"/>
        <w:rPr>
          <w:sz w:val="20"/>
          <w:szCs w:val="20"/>
          <w:color w:val="auto"/>
        </w:rPr>
      </w:pPr>
      <w:r>
        <w:rPr>
          <w:rFonts w:ascii="Arial" w:cs="Arial" w:eastAsia="Arial" w:hAnsi="Arial"/>
          <w:sz w:val="16"/>
          <w:szCs w:val="16"/>
          <w:color w:val="auto"/>
        </w:rPr>
        <w:t>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 Further, because of the work-from-home policies we implemented due to COVID-19, information that is normally protected, including company confidential information, may be less secure.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Risks Related to Our Financial Position and Capital Needs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net losses since our inception and anticipate that we will continue to incur net losses for the foreseeable future.</w:t>
      </w:r>
    </w:p>
    <w:p>
      <w:pPr>
        <w:spacing w:after="0" w:line="100" w:lineRule="exact"/>
        <w:rPr>
          <w:sz w:val="20"/>
          <w:szCs w:val="20"/>
          <w:color w:val="auto"/>
        </w:rPr>
      </w:pPr>
    </w:p>
    <w:p>
      <w:pPr>
        <w:ind w:right="80" w:firstLine="669"/>
        <w:spacing w:after="0" w:line="273" w:lineRule="auto"/>
        <w:rPr>
          <w:sz w:val="20"/>
          <w:szCs w:val="20"/>
          <w:color w:val="auto"/>
        </w:rPr>
      </w:pPr>
      <w:r>
        <w:rPr>
          <w:rFonts w:ascii="Arial" w:cs="Arial" w:eastAsia="Arial" w:hAnsi="Arial"/>
          <w:sz w:val="15"/>
          <w:szCs w:val="15"/>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w:t>
      </w:r>
    </w:p>
    <w:p>
      <w:pPr>
        <w:spacing w:after="0" w:line="156" w:lineRule="exact"/>
        <w:rPr>
          <w:sz w:val="20"/>
          <w:szCs w:val="20"/>
          <w:color w:val="auto"/>
        </w:rPr>
      </w:pPr>
    </w:p>
    <w:p>
      <w:pPr>
        <w:ind w:firstLine="590"/>
        <w:spacing w:after="0" w:line="270" w:lineRule="auto"/>
        <w:rPr>
          <w:sz w:val="20"/>
          <w:szCs w:val="20"/>
          <w:color w:val="auto"/>
        </w:rPr>
      </w:pPr>
      <w:r>
        <w:rPr>
          <w:rFonts w:ascii="Arial" w:cs="Arial" w:eastAsia="Arial" w:hAnsi="Arial"/>
          <w:sz w:val="15"/>
          <w:szCs w:val="15"/>
          <w:color w:val="auto"/>
        </w:rPr>
        <w:t>For the year ended December 31, 2020, we reported a net loss of $73.2 million. We reported a net loss attributable to stockholders of $77.1 million for the year ended December 31, 2020. As of December 31, 2020, we had an accumulated deficit of $568.6 million, which included non-cash charges for stock-based compensation, preferred stock accretion and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have no source of product revenue and may never achieve or maintain profitability.</w:t>
      </w:r>
    </w:p>
    <w:p>
      <w:pPr>
        <w:spacing w:after="0" w:line="100" w:lineRule="exact"/>
        <w:rPr>
          <w:sz w:val="20"/>
          <w:szCs w:val="20"/>
          <w:color w:val="auto"/>
        </w:rPr>
      </w:pPr>
    </w:p>
    <w:p>
      <w:pPr>
        <w:ind w:right="200" w:firstLine="669"/>
        <w:spacing w:after="0" w:line="257" w:lineRule="auto"/>
        <w:rPr>
          <w:sz w:val="20"/>
          <w:szCs w:val="20"/>
          <w:color w:val="auto"/>
        </w:rPr>
      </w:pPr>
      <w:r>
        <w:rPr>
          <w:rFonts w:ascii="Arial" w:cs="Arial" w:eastAsia="Arial" w:hAnsi="Arial"/>
          <w:sz w:val="16"/>
          <w:szCs w:val="16"/>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2" w:lineRule="exact"/>
        <w:rPr>
          <w:sz w:val="20"/>
          <w:szCs w:val="20"/>
          <w:color w:val="auto"/>
        </w:rPr>
      </w:pPr>
    </w:p>
    <w:p>
      <w:pPr>
        <w:ind w:left="1160" w:hanging="585"/>
        <w:spacing w:after="0"/>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successfully complete the research and clinical development of, and receive regulatory approval for, our product candidates;</w:t>
      </w:r>
    </w:p>
    <w:p>
      <w:pPr>
        <w:spacing w:after="0" w:line="123" w:lineRule="exact"/>
        <w:rPr>
          <w:rFonts w:ascii="Arial" w:cs="Arial" w:eastAsia="Arial" w:hAnsi="Arial"/>
          <w:sz w:val="16"/>
          <w:szCs w:val="16"/>
          <w:color w:val="auto"/>
        </w:rPr>
      </w:pPr>
    </w:p>
    <w:p>
      <w:pPr>
        <w:ind w:left="1160" w:right="120" w:hanging="585"/>
        <w:spacing w:after="0" w:line="268" w:lineRule="auto"/>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launch, commercialize and achieve market acceptance of our product candidates, and if launched independently, successfully establish a sales, marketing and distribution infrastructure;</w:t>
      </w:r>
    </w:p>
    <w:p>
      <w:pPr>
        <w:spacing w:after="0" w:line="62" w:lineRule="exact"/>
        <w:rPr>
          <w:rFonts w:ascii="Arial" w:cs="Arial" w:eastAsia="Arial" w:hAnsi="Arial"/>
          <w:sz w:val="16"/>
          <w:szCs w:val="16"/>
          <w:color w:val="auto"/>
        </w:rPr>
      </w:pPr>
    </w:p>
    <w:p>
      <w:pPr>
        <w:ind w:left="1160" w:hanging="585"/>
        <w:spacing w:after="0"/>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continue to build a portfolio of product candidates through the acquisition or in-license of products, product candidates or technologies;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initiate preclinical and clinical trials for any additional product candidates that we may pursue in the future;</w:t>
      </w:r>
    </w:p>
    <w:p>
      <w:pPr>
        <w:spacing w:after="0" w:line="123" w:lineRule="exact"/>
        <w:rPr>
          <w:rFonts w:ascii="Arial" w:cs="Arial" w:eastAsia="Arial" w:hAnsi="Arial"/>
          <w:sz w:val="16"/>
          <w:szCs w:val="16"/>
          <w:color w:val="auto"/>
        </w:rPr>
      </w:pPr>
    </w:p>
    <w:p>
      <w:pPr>
        <w:ind w:left="1160" w:right="360" w:hanging="585"/>
        <w:spacing w:after="0" w:line="268" w:lineRule="auto"/>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establish and maintain supplier and manufacturing relationships with third parties, and ensure adequate and legally compliant manufacturing of bulk drug substances and drug products to maintain that supply;</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sectPr>
      </w:pPr>
    </w:p>
    <w:bookmarkStart w:id="45" w:name="page46"/>
    <w:bookmarkEnd w:id="45"/>
    <w:p>
      <w:pPr>
        <w:ind w:left="1160" w:hanging="585"/>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obtain coverage and adequate product reimbursement from third-party payors, including government payors;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establish, maintain, expand and protect our intellectual property rights; and</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attract, hire and retain additional qualified personnel.</w:t>
      </w:r>
    </w:p>
    <w:p>
      <w:pPr>
        <w:spacing w:after="0" w:line="124" w:lineRule="exact"/>
        <w:rPr>
          <w:sz w:val="20"/>
          <w:szCs w:val="20"/>
          <w:color w:val="auto"/>
        </w:rPr>
      </w:pPr>
    </w:p>
    <w:p>
      <w:pPr>
        <w:ind w:firstLine="669"/>
        <w:spacing w:after="0" w:line="302" w:lineRule="auto"/>
        <w:rPr>
          <w:sz w:val="20"/>
          <w:szCs w:val="20"/>
          <w:color w:val="auto"/>
        </w:rPr>
      </w:pPr>
      <w:r>
        <w:rPr>
          <w:rFonts w:ascii="Arial" w:cs="Arial" w:eastAsia="Arial" w:hAnsi="Arial"/>
          <w:sz w:val="14"/>
          <w:szCs w:val="14"/>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42" w:lineRule="exact"/>
        <w:rPr>
          <w:sz w:val="20"/>
          <w:szCs w:val="20"/>
          <w:color w:val="auto"/>
        </w:rPr>
      </w:pPr>
    </w:p>
    <w:p>
      <w:pPr>
        <w:ind w:right="60" w:firstLine="669"/>
        <w:spacing w:after="0" w:line="283" w:lineRule="auto"/>
        <w:rPr>
          <w:sz w:val="20"/>
          <w:szCs w:val="20"/>
          <w:color w:val="auto"/>
        </w:rPr>
      </w:pPr>
      <w:r>
        <w:rPr>
          <w:rFonts w:ascii="Arial" w:cs="Arial" w:eastAsia="Arial" w:hAnsi="Arial"/>
          <w:sz w:val="15"/>
          <w:szCs w:val="15"/>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242" w:lineRule="exact"/>
        <w:rPr>
          <w:sz w:val="20"/>
          <w:szCs w:val="20"/>
          <w:color w:val="auto"/>
        </w:rPr>
      </w:pPr>
    </w:p>
    <w:p>
      <w:pPr>
        <w:ind w:right="280"/>
        <w:spacing w:after="0" w:line="341" w:lineRule="auto"/>
        <w:rPr>
          <w:sz w:val="20"/>
          <w:szCs w:val="20"/>
          <w:color w:val="auto"/>
        </w:rPr>
      </w:pPr>
      <w:r>
        <w:rPr>
          <w:rFonts w:ascii="Arial" w:cs="Arial" w:eastAsia="Arial" w:hAnsi="Arial"/>
          <w:sz w:val="14"/>
          <w:szCs w:val="14"/>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16" w:lineRule="exact"/>
        <w:rPr>
          <w:sz w:val="20"/>
          <w:szCs w:val="20"/>
          <w:color w:val="auto"/>
        </w:rPr>
      </w:pPr>
    </w:p>
    <w:p>
      <w:pPr>
        <w:ind w:right="20" w:firstLine="669"/>
        <w:spacing w:after="0" w:line="273" w:lineRule="auto"/>
        <w:rPr>
          <w:sz w:val="20"/>
          <w:szCs w:val="20"/>
          <w:color w:val="auto"/>
        </w:rPr>
      </w:pPr>
      <w:r>
        <w:rPr>
          <w:rFonts w:ascii="Arial" w:cs="Arial" w:eastAsia="Arial" w:hAnsi="Arial"/>
          <w:sz w:val="15"/>
          <w:szCs w:val="15"/>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COVID-19 pandemic. For example, we may discover that we need to conduct additional activities that exceed our current budget to achieve appropriate rates of patient enrollment, which would increase our development costs.</w:t>
      </w:r>
    </w:p>
    <w:p>
      <w:pPr>
        <w:spacing w:after="0" w:line="61" w:lineRule="exact"/>
        <w:rPr>
          <w:sz w:val="20"/>
          <w:szCs w:val="20"/>
          <w:color w:val="auto"/>
        </w:rPr>
      </w:pPr>
    </w:p>
    <w:p>
      <w:pPr>
        <w:ind w:right="140" w:firstLine="669"/>
        <w:spacing w:after="0" w:line="273" w:lineRule="auto"/>
        <w:rPr>
          <w:sz w:val="20"/>
          <w:szCs w:val="20"/>
          <w:color w:val="auto"/>
        </w:rPr>
      </w:pPr>
      <w:r>
        <w:rPr>
          <w:rFonts w:ascii="Arial" w:cs="Arial" w:eastAsia="Arial" w:hAnsi="Arial"/>
          <w:sz w:val="15"/>
          <w:szCs w:val="15"/>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The COVID-19 pandemic has already resulted in a significant disruption of global financial markets. If the disruption persists and deepens, we could experience an inability to access additional capital. We cannot guarantee that future financing will be available in sufficient amounts or on terms acceptable to us, if at all. If we do not raise additional capital when required or on acceptable terms, we may need to:</w:t>
      </w:r>
    </w:p>
    <w:p>
      <w:pPr>
        <w:spacing w:after="0" w:line="61" w:lineRule="exact"/>
        <w:rPr>
          <w:sz w:val="20"/>
          <w:szCs w:val="20"/>
          <w:color w:val="auto"/>
        </w:rPr>
      </w:pPr>
    </w:p>
    <w:p>
      <w:pPr>
        <w:ind w:left="1160" w:hanging="585"/>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delay, scale back or discontinue the development or commercialization of our product candidates or cease operations altogether;</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seek strategic alliances for our existing product candidates on terms less favorable than might otherwise be available; or</w:t>
      </w:r>
    </w:p>
    <w:p>
      <w:pPr>
        <w:spacing w:after="0" w:line="123" w:lineRule="exact"/>
        <w:rPr>
          <w:rFonts w:ascii="Arial" w:cs="Arial" w:eastAsia="Arial" w:hAnsi="Arial"/>
          <w:sz w:val="16"/>
          <w:szCs w:val="16"/>
          <w:color w:val="auto"/>
        </w:rPr>
      </w:pPr>
    </w:p>
    <w:p>
      <w:pPr>
        <w:ind w:left="1160" w:right="840" w:hanging="585"/>
        <w:spacing w:after="0" w:line="268" w:lineRule="auto"/>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relinquish, or license on unfavorable terms, our rights to technologies or any future product candidates that we otherwise would seek to develop or commercialize ourselves.</w:t>
      </w:r>
    </w:p>
    <w:p>
      <w:pPr>
        <w:spacing w:after="0" w:line="63" w:lineRule="exact"/>
        <w:rPr>
          <w:sz w:val="20"/>
          <w:szCs w:val="20"/>
          <w:color w:val="auto"/>
        </w:rPr>
      </w:pPr>
    </w:p>
    <w:p>
      <w:pPr>
        <w:ind w:right="220" w:firstLine="669"/>
        <w:spacing w:after="0" w:line="268" w:lineRule="auto"/>
        <w:rPr>
          <w:sz w:val="20"/>
          <w:szCs w:val="20"/>
          <w:color w:val="auto"/>
        </w:rPr>
      </w:pPr>
      <w:r>
        <w:rPr>
          <w:rFonts w:ascii="Arial" w:cs="Arial" w:eastAsia="Arial" w:hAnsi="Arial"/>
          <w:sz w:val="16"/>
          <w:szCs w:val="16"/>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future funding requirements, both short- and long-term, will depend on many factors, including:</w:t>
      </w:r>
    </w:p>
    <w:p>
      <w:pPr>
        <w:spacing w:after="0" w:line="100" w:lineRule="exact"/>
        <w:rPr>
          <w:sz w:val="20"/>
          <w:szCs w:val="20"/>
          <w:color w:val="auto"/>
        </w:rPr>
      </w:pPr>
    </w:p>
    <w:p>
      <w:pPr>
        <w:ind w:left="5540" w:right="4340" w:hanging="4965"/>
        <w:spacing w:after="0" w:line="546" w:lineRule="auto"/>
        <w:tabs>
          <w:tab w:leader="none" w:pos="115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initiation, progress, timing, costs and results of clinical trials of our product candidates;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946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6" w:name="page47"/>
    <w:bookmarkEnd w:id="46"/>
    <w:p>
      <w:pPr>
        <w:ind w:left="1160" w:right="540" w:hanging="585"/>
        <w:spacing w:after="0" w:line="268" w:lineRule="auto"/>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62" w:lineRule="exact"/>
        <w:rPr>
          <w:rFonts w:ascii="Arial" w:cs="Arial" w:eastAsia="Arial" w:hAnsi="Arial"/>
          <w:sz w:val="16"/>
          <w:szCs w:val="16"/>
          <w:color w:val="auto"/>
        </w:rPr>
      </w:pPr>
    </w:p>
    <w:p>
      <w:pPr>
        <w:jc w:val="both"/>
        <w:ind w:left="1160" w:right="20" w:hanging="585"/>
        <w:spacing w:after="0" w:line="257" w:lineRule="auto"/>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1" w:lineRule="exact"/>
        <w:rPr>
          <w:rFonts w:ascii="Arial" w:cs="Arial" w:eastAsia="Arial" w:hAnsi="Arial"/>
          <w:sz w:val="16"/>
          <w:szCs w:val="16"/>
          <w:color w:val="auto"/>
        </w:rPr>
      </w:pPr>
    </w:p>
    <w:p>
      <w:pPr>
        <w:ind w:left="1160" w:hanging="585"/>
        <w:spacing w:after="0"/>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market acceptance of our product candidates;</w:t>
      </w:r>
    </w:p>
    <w:p>
      <w:pPr>
        <w:spacing w:after="0" w:line="123" w:lineRule="exact"/>
        <w:rPr>
          <w:rFonts w:ascii="Arial" w:cs="Arial" w:eastAsia="Arial" w:hAnsi="Arial"/>
          <w:sz w:val="16"/>
          <w:szCs w:val="16"/>
          <w:color w:val="auto"/>
        </w:rPr>
      </w:pPr>
    </w:p>
    <w:p>
      <w:pPr>
        <w:ind w:left="1160" w:right="420" w:hanging="585"/>
        <w:spacing w:after="0" w:line="268" w:lineRule="auto"/>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6"/>
          <w:szCs w:val="16"/>
          <w:color w:val="auto"/>
        </w:rPr>
      </w:pPr>
    </w:p>
    <w:p>
      <w:pPr>
        <w:ind w:left="1160" w:right="1020" w:hanging="585"/>
        <w:spacing w:after="0" w:line="268" w:lineRule="auto"/>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 and timing for obtaining pricing, and coverage and reimbursement by third-party payors, which may require additional trials to address pharmacoeconomic benefit;</w:t>
      </w:r>
    </w:p>
    <w:p>
      <w:pPr>
        <w:spacing w:after="0" w:line="62" w:lineRule="exact"/>
        <w:rPr>
          <w:rFonts w:ascii="Arial" w:cs="Arial" w:eastAsia="Arial" w:hAnsi="Arial"/>
          <w:sz w:val="16"/>
          <w:szCs w:val="16"/>
          <w:color w:val="auto"/>
        </w:rPr>
      </w:pPr>
    </w:p>
    <w:p>
      <w:pPr>
        <w:ind w:left="1160" w:right="20" w:hanging="585"/>
        <w:spacing w:after="0" w:line="268" w:lineRule="auto"/>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 of establishing sales, marketing and distribution capabilities for our product candidates if any candidate receives regulatory approval and we determine to commercialize it ourselves;</w:t>
      </w:r>
    </w:p>
    <w:p>
      <w:pPr>
        <w:spacing w:after="0" w:line="62" w:lineRule="exact"/>
        <w:rPr>
          <w:rFonts w:ascii="Arial" w:cs="Arial" w:eastAsia="Arial" w:hAnsi="Arial"/>
          <w:sz w:val="16"/>
          <w:szCs w:val="16"/>
          <w:color w:val="auto"/>
        </w:rPr>
      </w:pPr>
    </w:p>
    <w:p>
      <w:pPr>
        <w:ind w:left="1160" w:hanging="585"/>
        <w:spacing w:after="0"/>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costs of acquiring, licensing or investing in additional businesses, products, product candidates and technologies;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effect of competing technological and market developments;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grow our company; and</w:t>
      </w:r>
    </w:p>
    <w:p>
      <w:pPr>
        <w:spacing w:after="0" w:line="123" w:lineRule="exact"/>
        <w:rPr>
          <w:rFonts w:ascii="Arial" w:cs="Arial" w:eastAsia="Arial" w:hAnsi="Arial"/>
          <w:sz w:val="16"/>
          <w:szCs w:val="16"/>
          <w:color w:val="auto"/>
        </w:rPr>
      </w:pPr>
    </w:p>
    <w:p>
      <w:pPr>
        <w:ind w:left="1160" w:right="380" w:hanging="585"/>
        <w:spacing w:after="0" w:line="268" w:lineRule="auto"/>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business interruptions resulting from pandemics and public health emergencies, including those related to the ongoing COVID-19 pandemic, geopolitical actions, including war and terrorism or natural disasters including earthquakes, typhoons, floods and fires.</w:t>
      </w:r>
    </w:p>
    <w:p>
      <w:pPr>
        <w:spacing w:after="0" w:line="63" w:lineRule="exact"/>
        <w:rPr>
          <w:sz w:val="20"/>
          <w:szCs w:val="20"/>
          <w:color w:val="auto"/>
        </w:rPr>
      </w:pPr>
    </w:p>
    <w:p>
      <w:pPr>
        <w:ind w:right="80" w:firstLine="669"/>
        <w:spacing w:after="0" w:line="268" w:lineRule="auto"/>
        <w:rPr>
          <w:sz w:val="20"/>
          <w:szCs w:val="20"/>
          <w:color w:val="auto"/>
        </w:rPr>
      </w:pPr>
      <w:r>
        <w:rPr>
          <w:rFonts w:ascii="Arial" w:cs="Arial" w:eastAsia="Arial" w:hAnsi="Arial"/>
          <w:sz w:val="16"/>
          <w:szCs w:val="16"/>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i w:val="1"/>
          <w:iCs w:val="1"/>
          <w:color w:val="auto"/>
        </w:rPr>
        <w:t>The terms of our loan and security agreements place restrictions on our operating and financial flexibility. If we raise additional capital through debt financing, the terms of any new debt could further restrict our ability to operate our business.</w:t>
      </w:r>
    </w:p>
    <w:p>
      <w:pPr>
        <w:spacing w:after="0" w:line="63" w:lineRule="exact"/>
        <w:rPr>
          <w:sz w:val="20"/>
          <w:szCs w:val="20"/>
          <w:color w:val="auto"/>
        </w:rPr>
      </w:pPr>
    </w:p>
    <w:p>
      <w:pPr>
        <w:jc w:val="both"/>
        <w:ind w:right="100" w:firstLine="669"/>
        <w:spacing w:after="0" w:line="302" w:lineRule="auto"/>
        <w:rPr>
          <w:sz w:val="20"/>
          <w:szCs w:val="20"/>
          <w:color w:val="auto"/>
        </w:rPr>
      </w:pPr>
      <w:r>
        <w:rPr>
          <w:rFonts w:ascii="Arial" w:cs="Arial" w:eastAsia="Arial" w:hAnsi="Arial"/>
          <w:sz w:val="14"/>
          <w:szCs w:val="14"/>
          <w:color w:val="auto"/>
        </w:rPr>
        <w:t>Our loan and security agreement, or the Loan Agreement, with Hercules Capital, Inc., or Hercules, for aggregate maximum borrowings of up to $30.0 million, or the Credit Facility, is collateralized by substantially all of our and our subsidiaries personal property and other assets, other than our intellectual property. As of December 31, 2020, the outstanding principal balance under the Credit Facility was $20.0 million, resulting from the closing of the first tranche of funding which occurred on February 7, 2020. The Credit Facility contains customary representations, warranties, affirmative and negative covenants and events of default applicable to us and our subsidiaries.</w:t>
      </w:r>
    </w:p>
    <w:p>
      <w:pPr>
        <w:spacing w:after="0" w:line="42" w:lineRule="exact"/>
        <w:rPr>
          <w:sz w:val="20"/>
          <w:szCs w:val="20"/>
          <w:color w:val="auto"/>
        </w:rPr>
      </w:pPr>
    </w:p>
    <w:p>
      <w:pPr>
        <w:ind w:right="100" w:firstLine="669"/>
        <w:spacing w:after="0" w:line="270" w:lineRule="auto"/>
        <w:rPr>
          <w:sz w:val="20"/>
          <w:szCs w:val="20"/>
          <w:color w:val="auto"/>
        </w:rPr>
      </w:pPr>
      <w:r>
        <w:rPr>
          <w:rFonts w:ascii="Arial" w:cs="Arial" w:eastAsia="Arial" w:hAnsi="Arial"/>
          <w:sz w:val="15"/>
          <w:szCs w:val="15"/>
          <w:color w:val="auto"/>
        </w:rPr>
        <w:t>If we default under the Credit Facility, Hercules may accelerate all of our repayment obligations and exercise all of their rights and remedies under the Credit Facility and applicable law, potentially requiring us to renegotiate our agreement on terms less favorable to us. Further, if we are liquidated, the lenders’ right to repayment would be senior to the rights of the holders of our common stock to receive any proceeds from the liquidation. Hercules could declare a default upon the occurrence of any event, among others, that they interpret as a material adverse effect or a change of control as delineated under the Credit Facility, payment defaults, or breaches of covenants thereby requiring us to repay the loan immediately or to attempt to reverse the declaration of default through negotiation or litigation. Any declaration by the lender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regulations could materially adversely affect our company.</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600" w:right="359" w:bottom="1440" w:gutter="0" w:footer="0" w:header="0"/>
        </w:sectPr>
      </w:pPr>
    </w:p>
    <w:bookmarkStart w:id="47" w:name="page48"/>
    <w:bookmarkEnd w:id="47"/>
    <w:p>
      <w:pPr>
        <w:ind w:right="40" w:firstLine="669"/>
        <w:spacing w:after="0" w:line="269" w:lineRule="auto"/>
        <w:rPr>
          <w:sz w:val="20"/>
          <w:szCs w:val="20"/>
          <w:color w:val="auto"/>
        </w:rPr>
      </w:pPr>
      <w:r>
        <w:rPr>
          <w:rFonts w:ascii="Arial" w:cs="Arial" w:eastAsia="Arial" w:hAnsi="Arial"/>
          <w:sz w:val="15"/>
          <w:szCs w:val="15"/>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carryforwards and certain other tax attributes may be limited.</w:t>
      </w:r>
    </w:p>
    <w:p>
      <w:pPr>
        <w:spacing w:after="0" w:line="100" w:lineRule="exact"/>
        <w:rPr>
          <w:sz w:val="20"/>
          <w:szCs w:val="20"/>
          <w:color w:val="auto"/>
        </w:rPr>
      </w:pPr>
    </w:p>
    <w:p>
      <w:pPr>
        <w:ind w:firstLine="669"/>
        <w:spacing w:after="0" w:line="290" w:lineRule="auto"/>
        <w:rPr>
          <w:sz w:val="20"/>
          <w:szCs w:val="20"/>
          <w:color w:val="auto"/>
        </w:rPr>
      </w:pPr>
      <w:r>
        <w:rPr>
          <w:rFonts w:ascii="Arial" w:cs="Arial" w:eastAsia="Arial" w:hAnsi="Arial"/>
          <w:sz w:val="14"/>
          <w:szCs w:val="14"/>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December 31, 2020 and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obtain or protect intellectual property rights, we may not be able to compete effectively in our market.</w:t>
      </w:r>
    </w:p>
    <w:p>
      <w:pPr>
        <w:spacing w:after="0" w:line="100" w:lineRule="exact"/>
        <w:rPr>
          <w:sz w:val="20"/>
          <w:szCs w:val="20"/>
          <w:color w:val="auto"/>
        </w:rPr>
      </w:pPr>
    </w:p>
    <w:p>
      <w:pPr>
        <w:ind w:right="20" w:firstLine="669"/>
        <w:spacing w:after="0" w:line="276" w:lineRule="auto"/>
        <w:rPr>
          <w:sz w:val="20"/>
          <w:szCs w:val="20"/>
          <w:color w:val="auto"/>
        </w:rPr>
      </w:pPr>
      <w:r>
        <w:rPr>
          <w:rFonts w:ascii="Arial" w:cs="Arial" w:eastAsia="Arial" w:hAnsi="Arial"/>
          <w:sz w:val="15"/>
          <w:szCs w:val="15"/>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59" w:lineRule="exact"/>
        <w:rPr>
          <w:sz w:val="20"/>
          <w:szCs w:val="20"/>
          <w:color w:val="auto"/>
        </w:rPr>
      </w:pPr>
    </w:p>
    <w:p>
      <w:pPr>
        <w:ind w:right="80" w:firstLine="669"/>
        <w:spacing w:after="0" w:line="269" w:lineRule="auto"/>
        <w:rPr>
          <w:sz w:val="20"/>
          <w:szCs w:val="20"/>
          <w:color w:val="auto"/>
        </w:rPr>
      </w:pPr>
      <w:r>
        <w:rPr>
          <w:rFonts w:ascii="Arial" w:cs="Arial" w:eastAsia="Arial" w:hAnsi="Arial"/>
          <w:sz w:val="15"/>
          <w:szCs w:val="15"/>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63" w:lineRule="exact"/>
        <w:rPr>
          <w:sz w:val="20"/>
          <w:szCs w:val="20"/>
          <w:color w:val="auto"/>
        </w:rPr>
      </w:pPr>
    </w:p>
    <w:p>
      <w:pPr>
        <w:ind w:right="20" w:firstLine="669"/>
        <w:spacing w:after="0" w:line="257"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48" w:name="page49"/>
    <w:bookmarkEnd w:id="48"/>
    <w:p>
      <w:pPr>
        <w:spacing w:after="0" w:line="266" w:lineRule="auto"/>
        <w:rPr>
          <w:sz w:val="20"/>
          <w:szCs w:val="20"/>
          <w:color w:val="auto"/>
        </w:rPr>
      </w:pPr>
      <w:r>
        <w:rPr>
          <w:rFonts w:ascii="Arial" w:cs="Arial" w:eastAsia="Arial" w:hAnsi="Arial"/>
          <w:sz w:val="15"/>
          <w:szCs w:val="15"/>
          <w:color w:val="auto"/>
        </w:rPr>
        <w:t>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68" w:lineRule="exact"/>
        <w:rPr>
          <w:sz w:val="20"/>
          <w:szCs w:val="20"/>
          <w:color w:val="auto"/>
        </w:rPr>
      </w:pPr>
    </w:p>
    <w:p>
      <w:pPr>
        <w:ind w:right="80" w:firstLine="669"/>
        <w:spacing w:after="0" w:line="276" w:lineRule="auto"/>
        <w:rPr>
          <w:sz w:val="20"/>
          <w:szCs w:val="20"/>
          <w:color w:val="auto"/>
        </w:rPr>
      </w:pPr>
      <w:r>
        <w:rPr>
          <w:rFonts w:ascii="Arial" w:cs="Arial" w:eastAsia="Arial" w:hAnsi="Arial"/>
          <w:sz w:val="15"/>
          <w:szCs w:val="15"/>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59" w:lineRule="exact"/>
        <w:rPr>
          <w:sz w:val="20"/>
          <w:szCs w:val="20"/>
          <w:color w:val="auto"/>
        </w:rPr>
      </w:pPr>
    </w:p>
    <w:p>
      <w:pPr>
        <w:ind w:firstLine="669"/>
        <w:spacing w:after="0" w:line="267" w:lineRule="auto"/>
        <w:rPr>
          <w:sz w:val="20"/>
          <w:szCs w:val="20"/>
          <w:color w:val="auto"/>
        </w:rPr>
      </w:pPr>
      <w:r>
        <w:rPr>
          <w:rFonts w:ascii="Arial" w:cs="Arial" w:eastAsia="Arial" w:hAnsi="Arial"/>
          <w:sz w:val="15"/>
          <w:szCs w:val="15"/>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70" w:lineRule="exact"/>
        <w:rPr>
          <w:sz w:val="20"/>
          <w:szCs w:val="20"/>
          <w:color w:val="auto"/>
        </w:rPr>
      </w:pPr>
    </w:p>
    <w:p>
      <w:pPr>
        <w:ind w:right="60" w:firstLine="669"/>
        <w:spacing w:after="0" w:line="251" w:lineRule="auto"/>
        <w:rPr>
          <w:sz w:val="20"/>
          <w:szCs w:val="20"/>
          <w:color w:val="auto"/>
        </w:rPr>
      </w:pPr>
      <w:r>
        <w:rPr>
          <w:rFonts w:ascii="Arial" w:cs="Arial" w:eastAsia="Arial" w:hAnsi="Arial"/>
          <w:sz w:val="16"/>
          <w:szCs w:val="16"/>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77" w:lineRule="exact"/>
        <w:rPr>
          <w:sz w:val="20"/>
          <w:szCs w:val="20"/>
          <w:color w:val="auto"/>
        </w:rPr>
      </w:pPr>
    </w:p>
    <w:p>
      <w:pPr>
        <w:ind w:right="20" w:firstLine="669"/>
        <w:spacing w:after="0" w:line="341" w:lineRule="auto"/>
        <w:rPr>
          <w:sz w:val="20"/>
          <w:szCs w:val="20"/>
          <w:color w:val="auto"/>
        </w:rPr>
      </w:pPr>
      <w:r>
        <w:rPr>
          <w:rFonts w:ascii="Arial" w:cs="Arial" w:eastAsia="Arial" w:hAnsi="Arial"/>
          <w:sz w:val="14"/>
          <w:szCs w:val="14"/>
          <w:color w:val="auto"/>
        </w:rPr>
        <w:t>The portfolio that we licensed from UCB includes granted patents and applications with pending claims directed to the composition of matter of axatilimab (a humanized, full-length IgG4 (kappa light chain) antibody with high affinity for the CSF-1R) as well as claims directed to methods of use of axatilimab. There is no guarantee that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9" w:name="page50"/>
    <w:bookmarkEnd w:id="49"/>
    <w:p>
      <w:pPr>
        <w:ind w:right="60"/>
        <w:spacing w:after="0" w:line="254" w:lineRule="auto"/>
        <w:rPr>
          <w:sz w:val="20"/>
          <w:szCs w:val="20"/>
          <w:color w:val="auto"/>
        </w:rPr>
      </w:pPr>
      <w:r>
        <w:rPr>
          <w:rFonts w:ascii="Arial" w:cs="Arial" w:eastAsia="Arial" w:hAnsi="Arial"/>
          <w:sz w:val="16"/>
          <w:szCs w:val="16"/>
          <w:color w:val="auto"/>
        </w:rPr>
        <w:t>any further patents will be granted based on the pending applications we licensed from UCB or even if one or more patents are granted that the claims issued in those patents would cover axatilimab or methods of using axatilimab. Based on the priority date and filing date of the applications in the portfolio we licensed from UCB, we expect that additional patents, if any, granted based on the currently pending applications would expire in 2034. The actual term of any patents granted based on the pending applications we licensed from UCB can only be determined after such patents are actually granted.</w:t>
      </w:r>
    </w:p>
    <w:p>
      <w:pPr>
        <w:spacing w:after="0" w:line="74" w:lineRule="exact"/>
        <w:rPr>
          <w:sz w:val="20"/>
          <w:szCs w:val="20"/>
          <w:color w:val="auto"/>
        </w:rPr>
      </w:pPr>
    </w:p>
    <w:p>
      <w:pPr>
        <w:ind w:firstLine="669"/>
        <w:spacing w:after="0" w:line="250" w:lineRule="auto"/>
        <w:rPr>
          <w:sz w:val="20"/>
          <w:szCs w:val="20"/>
          <w:color w:val="auto"/>
        </w:rPr>
      </w:pPr>
      <w:r>
        <w:rPr>
          <w:rFonts w:ascii="Arial" w:cs="Arial" w:eastAsia="Arial" w:hAnsi="Arial"/>
          <w:sz w:val="16"/>
          <w:szCs w:val="16"/>
          <w:color w:val="auto"/>
        </w:rPr>
        <w:t>The portfolio that we licensed from Vitae Pharmaceuticals, a subsidiary of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AbbVie or even if one or more patents are granted that the claims issued in those patents would cover the desired lead compounds, compositions, and methods of use thereof. Based on the priority date and filing date of the applications in the portfolio that we licensed from AbbVie, we expect that a patent, if any, granted based on the currently pending applications would expire in 2037. The actual term of any patents granted based on the pending applications that we licensed from AbbVie can only be determined after such patents are actually granted.</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w:t>
      </w:r>
    </w:p>
    <w:p>
      <w:pPr>
        <w:spacing w:after="0" w:line="100" w:lineRule="exact"/>
        <w:rPr>
          <w:sz w:val="20"/>
          <w:szCs w:val="20"/>
          <w:color w:val="auto"/>
        </w:rPr>
      </w:pPr>
    </w:p>
    <w:p>
      <w:pPr>
        <w:ind w:right="20" w:firstLine="669"/>
        <w:spacing w:after="0" w:line="269" w:lineRule="auto"/>
        <w:rPr>
          <w:sz w:val="20"/>
          <w:szCs w:val="20"/>
          <w:color w:val="auto"/>
        </w:rPr>
      </w:pPr>
      <w:r>
        <w:rPr>
          <w:rFonts w:ascii="Arial" w:cs="Arial" w:eastAsia="Arial" w:hAnsi="Arial"/>
          <w:sz w:val="15"/>
          <w:szCs w:val="15"/>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63" w:lineRule="exact"/>
        <w:rPr>
          <w:sz w:val="20"/>
          <w:szCs w:val="20"/>
          <w:color w:val="auto"/>
        </w:rPr>
      </w:pPr>
    </w:p>
    <w:p>
      <w:pPr>
        <w:ind w:right="20" w:firstLine="669"/>
        <w:spacing w:after="0" w:line="270" w:lineRule="auto"/>
        <w:rPr>
          <w:sz w:val="20"/>
          <w:szCs w:val="20"/>
          <w:color w:val="auto"/>
        </w:rPr>
      </w:pPr>
      <w:r>
        <w:rPr>
          <w:rFonts w:ascii="Arial" w:cs="Arial" w:eastAsia="Arial" w:hAnsi="Arial"/>
          <w:sz w:val="15"/>
          <w:szCs w:val="15"/>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62" w:lineRule="exact"/>
        <w:rPr>
          <w:sz w:val="20"/>
          <w:szCs w:val="20"/>
          <w:color w:val="auto"/>
        </w:rPr>
      </w:pPr>
    </w:p>
    <w:p>
      <w:pPr>
        <w:ind w:right="40" w:firstLine="669"/>
        <w:spacing w:after="0" w:line="250" w:lineRule="auto"/>
        <w:rPr>
          <w:sz w:val="20"/>
          <w:szCs w:val="20"/>
          <w:color w:val="auto"/>
        </w:rPr>
      </w:pPr>
      <w:r>
        <w:rPr>
          <w:rFonts w:ascii="Arial" w:cs="Arial" w:eastAsia="Arial" w:hAnsi="Arial"/>
          <w:sz w:val="16"/>
          <w:szCs w:val="16"/>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50" w:name="page51"/>
    <w:bookmarkEnd w:id="50"/>
    <w:p>
      <w:pPr>
        <w:ind w:right="160"/>
        <w:spacing w:after="0" w:line="268" w:lineRule="auto"/>
        <w:rPr>
          <w:sz w:val="20"/>
          <w:szCs w:val="20"/>
          <w:color w:val="auto"/>
        </w:rPr>
      </w:pPr>
      <w:r>
        <w:rPr>
          <w:rFonts w:ascii="Arial" w:cs="Arial" w:eastAsia="Arial" w:hAnsi="Arial"/>
          <w:sz w:val="16"/>
          <w:szCs w:val="16"/>
          <w:color w:val="auto"/>
        </w:rPr>
        <w:t>and our licensors’ efforts to enforce intellectual property rights around the world may be inadequate to obtain a significant commercial advantage from the intellectual property that we own or license.</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63" w:lineRule="exact"/>
        <w:rPr>
          <w:sz w:val="20"/>
          <w:szCs w:val="20"/>
          <w:color w:val="auto"/>
        </w:rPr>
      </w:pPr>
    </w:p>
    <w:p>
      <w:pPr>
        <w:ind w:firstLine="669"/>
        <w:spacing w:after="0" w:line="273" w:lineRule="auto"/>
        <w:rPr>
          <w:sz w:val="20"/>
          <w:szCs w:val="20"/>
          <w:color w:val="auto"/>
        </w:rPr>
      </w:pPr>
      <w:r>
        <w:rPr>
          <w:rFonts w:ascii="Arial" w:cs="Arial" w:eastAsia="Arial" w:hAnsi="Arial"/>
          <w:sz w:val="15"/>
          <w:szCs w:val="15"/>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61" w:lineRule="exact"/>
        <w:rPr>
          <w:sz w:val="20"/>
          <w:szCs w:val="20"/>
          <w:color w:val="auto"/>
        </w:rPr>
      </w:pPr>
    </w:p>
    <w:p>
      <w:pPr>
        <w:ind w:right="100" w:firstLine="669"/>
        <w:spacing w:after="0" w:line="252" w:lineRule="auto"/>
        <w:rPr>
          <w:sz w:val="20"/>
          <w:szCs w:val="20"/>
          <w:color w:val="auto"/>
        </w:rPr>
      </w:pPr>
      <w:r>
        <w:rPr>
          <w:rFonts w:ascii="Arial" w:cs="Arial" w:eastAsia="Arial" w:hAnsi="Arial"/>
          <w:sz w:val="16"/>
          <w:szCs w:val="16"/>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76" w:lineRule="exact"/>
        <w:rPr>
          <w:sz w:val="20"/>
          <w:szCs w:val="20"/>
          <w:color w:val="auto"/>
        </w:rPr>
      </w:pPr>
    </w:p>
    <w:p>
      <w:pPr>
        <w:ind w:right="40" w:firstLine="669"/>
        <w:spacing w:after="0" w:line="302" w:lineRule="auto"/>
        <w:rPr>
          <w:sz w:val="20"/>
          <w:szCs w:val="20"/>
          <w:color w:val="auto"/>
        </w:rPr>
      </w:pPr>
      <w:r>
        <w:rPr>
          <w:rFonts w:ascii="Arial" w:cs="Arial" w:eastAsia="Arial" w:hAnsi="Arial"/>
          <w:sz w:val="14"/>
          <w:szCs w:val="14"/>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42" w:lineRule="exact"/>
        <w:rPr>
          <w:sz w:val="20"/>
          <w:szCs w:val="20"/>
          <w:color w:val="auto"/>
        </w:rPr>
      </w:pPr>
    </w:p>
    <w:p>
      <w:pPr>
        <w:ind w:right="120" w:firstLine="669"/>
        <w:spacing w:after="0" w:line="268" w:lineRule="auto"/>
        <w:rPr>
          <w:sz w:val="20"/>
          <w:szCs w:val="20"/>
          <w:color w:val="auto"/>
        </w:rPr>
      </w:pPr>
      <w:r>
        <w:rPr>
          <w:rFonts w:ascii="Arial" w:cs="Arial" w:eastAsia="Arial" w:hAnsi="Arial"/>
          <w:sz w:val="16"/>
          <w:szCs w:val="16"/>
          <w:color w:val="auto"/>
        </w:rPr>
        <w:t>If the UCB license agreement is terminated, we would not be able to develop, manufacture, market or sell axatilimab and would need to negotiate a new or reinstated agreement, which may not be available to us on equally favorable terms, or at all.</w:t>
      </w:r>
    </w:p>
    <w:p>
      <w:pPr>
        <w:spacing w:after="0" w:line="252"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b w:val="1"/>
          <w:bCs w:val="1"/>
          <w:i w:val="1"/>
          <w:iCs w:val="1"/>
          <w:color w:val="auto"/>
        </w:rPr>
        <w:t>If we breach the license agreement related to SNDX-5613 or if the license agreement is otherwise terminated, we could lose the ability to continue the development and commercialization of SNDX-5613.</w:t>
      </w:r>
    </w:p>
    <w:p>
      <w:pPr>
        <w:spacing w:after="0" w:line="63" w:lineRule="exact"/>
        <w:rPr>
          <w:sz w:val="20"/>
          <w:szCs w:val="20"/>
          <w:color w:val="auto"/>
        </w:rPr>
      </w:pPr>
    </w:p>
    <w:p>
      <w:pPr>
        <w:ind w:right="120" w:firstLine="669"/>
        <w:spacing w:after="0" w:line="270" w:lineRule="auto"/>
        <w:rPr>
          <w:sz w:val="20"/>
          <w:szCs w:val="20"/>
          <w:color w:val="auto"/>
        </w:rPr>
      </w:pPr>
      <w:r>
        <w:rPr>
          <w:rFonts w:ascii="Arial" w:cs="Arial" w:eastAsia="Arial" w:hAnsi="Arial"/>
          <w:sz w:val="15"/>
          <w:szCs w:val="15"/>
          <w:color w:val="auto"/>
        </w:rPr>
        <w:t>Our commercial success depends upon our ability to develop, manufacture, market and sell SNDX-5613. Subject to the achievement of certain milestone events, we may be required to pay Vitae, a subsidiary of AbbVie, plc., up to $99 million in one-time development and regulatory milestone payments over the term of the AbbVie license agreement. In the event that we or any of our affiliates or sublicensees commercializes SNDX-5613, we will also be obligated to pay AbbVie low single to low double-digit royalties on sales, subject to reduction in certain circumstances, as well as up to an aggregate of $70 million in potential one-time sales-based milestone payments based on achievement of certain annual sales thresholds. Under certain circumstances, we may be required to share a percentage of non-royalty income from sublicensees, subject to certain deductions, with AbbVie. In June 2019, we achieved certain development and regulatory milestones. As a result, in June 2019, we recorded $4.0 million as research and development expense. The amount was paid in 2020</w:t>
      </w:r>
    </w:p>
    <w:p>
      <w:pPr>
        <w:spacing w:after="0" w:line="62" w:lineRule="exact"/>
        <w:rPr>
          <w:sz w:val="20"/>
          <w:szCs w:val="20"/>
          <w:color w:val="auto"/>
        </w:rPr>
      </w:pPr>
    </w:p>
    <w:p>
      <w:pPr>
        <w:jc w:val="both"/>
        <w:ind w:right="20" w:firstLine="669"/>
        <w:spacing w:after="0" w:line="302" w:lineRule="auto"/>
        <w:rPr>
          <w:sz w:val="20"/>
          <w:szCs w:val="20"/>
          <w:color w:val="auto"/>
        </w:rPr>
      </w:pPr>
      <w:r>
        <w:rPr>
          <w:rFonts w:ascii="Arial" w:cs="Arial" w:eastAsia="Arial" w:hAnsi="Arial"/>
          <w:sz w:val="14"/>
          <w:szCs w:val="14"/>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AbbVie may terminate the license agreement if we seek to revoke or challenge the validity of any patent licensed to us by AbbVie under the license agreement or if we procure or assist a third party to take any such action.</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Unless terminated earlier in accordance with its terms, the license agreement will continue on a country-by-country and product-by-product basis until the later of:</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(i) the expiration of all of the licensed patent rights in such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51" w:name="page52"/>
    <w:bookmarkEnd w:id="51"/>
    <w:p>
      <w:pPr>
        <w:ind w:right="180"/>
        <w:spacing w:after="0" w:line="257" w:lineRule="auto"/>
        <w:rPr>
          <w:sz w:val="20"/>
          <w:szCs w:val="20"/>
          <w:color w:val="auto"/>
        </w:rPr>
      </w:pPr>
      <w:r>
        <w:rPr>
          <w:rFonts w:ascii="Arial" w:cs="Arial" w:eastAsia="Arial" w:hAnsi="Arial"/>
          <w:sz w:val="16"/>
          <w:szCs w:val="16"/>
          <w:color w:val="auto"/>
        </w:rPr>
        <w:t>country; (ii) the expiration of all regulatory exclusivity applicable to the product in such country; and (iii) 10 years from the date of the first commercial sale of the product in such country. We cannot determine the date on which our royalty payment obligations to AbbVie would expire because no commercial sales of SNDX-5613 have occurred and the last-to-expire relevant patent covering SNDX-5613 in a given country may change in the future.</w:t>
      </w:r>
    </w:p>
    <w:p>
      <w:pPr>
        <w:spacing w:after="0" w:line="72" w:lineRule="exact"/>
        <w:rPr>
          <w:sz w:val="20"/>
          <w:szCs w:val="20"/>
          <w:color w:val="auto"/>
        </w:rPr>
      </w:pPr>
    </w:p>
    <w:p>
      <w:pPr>
        <w:ind w:right="380" w:firstLine="669"/>
        <w:spacing w:after="0" w:line="268" w:lineRule="auto"/>
        <w:rPr>
          <w:sz w:val="20"/>
          <w:szCs w:val="20"/>
          <w:color w:val="auto"/>
        </w:rPr>
      </w:pPr>
      <w:r>
        <w:rPr>
          <w:rFonts w:ascii="Arial" w:cs="Arial" w:eastAsia="Arial" w:hAnsi="Arial"/>
          <w:sz w:val="16"/>
          <w:szCs w:val="16"/>
          <w:color w:val="auto"/>
        </w:rPr>
        <w:t>If the license agreement is terminated, we would not be able to develop, manufacture, market or sell SNDX-5613 and would need to negotiate a new or reinstated agreement, which may not be available to us on equally favorable terms, or at all.</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3" w:lineRule="exact"/>
        <w:rPr>
          <w:sz w:val="20"/>
          <w:szCs w:val="20"/>
          <w:color w:val="auto"/>
        </w:rPr>
      </w:pPr>
    </w:p>
    <w:p>
      <w:pPr>
        <w:ind w:right="40" w:firstLine="669"/>
        <w:spacing w:after="0" w:line="276" w:lineRule="auto"/>
        <w:rPr>
          <w:sz w:val="20"/>
          <w:szCs w:val="20"/>
          <w:color w:val="auto"/>
        </w:rPr>
      </w:pPr>
      <w:r>
        <w:rPr>
          <w:rFonts w:ascii="Arial" w:cs="Arial" w:eastAsia="Arial" w:hAnsi="Arial"/>
          <w:sz w:val="15"/>
          <w:szCs w:val="15"/>
          <w:color w:val="auto"/>
        </w:rPr>
        <w:t>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59" w:lineRule="exact"/>
        <w:rPr>
          <w:sz w:val="20"/>
          <w:szCs w:val="20"/>
          <w:color w:val="auto"/>
        </w:rPr>
      </w:pPr>
    </w:p>
    <w:p>
      <w:pPr>
        <w:ind w:firstLine="669"/>
        <w:spacing w:after="0" w:line="250"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79" w:lineRule="exact"/>
        <w:rPr>
          <w:sz w:val="20"/>
          <w:szCs w:val="20"/>
          <w:color w:val="auto"/>
        </w:rPr>
      </w:pPr>
    </w:p>
    <w:p>
      <w:pPr>
        <w:ind w:right="100" w:firstLine="669"/>
        <w:spacing w:after="0" w:line="297" w:lineRule="auto"/>
        <w:rPr>
          <w:sz w:val="20"/>
          <w:szCs w:val="20"/>
          <w:color w:val="auto"/>
        </w:rPr>
      </w:pPr>
      <w:r>
        <w:rPr>
          <w:rFonts w:ascii="Arial" w:cs="Arial" w:eastAsia="Arial" w:hAnsi="Arial"/>
          <w:sz w:val="14"/>
          <w:szCs w:val="14"/>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46" w:lineRule="exact"/>
        <w:rPr>
          <w:sz w:val="20"/>
          <w:szCs w:val="20"/>
          <w:color w:val="auto"/>
        </w:rPr>
      </w:pPr>
    </w:p>
    <w:p>
      <w:pPr>
        <w:ind w:right="140" w:firstLine="669"/>
        <w:spacing w:after="0" w:line="268" w:lineRule="auto"/>
        <w:rPr>
          <w:sz w:val="20"/>
          <w:szCs w:val="20"/>
          <w:color w:val="auto"/>
        </w:rPr>
      </w:pPr>
      <w:r>
        <w:rPr>
          <w:rFonts w:ascii="Arial" w:cs="Arial" w:eastAsia="Arial" w:hAnsi="Arial"/>
          <w:sz w:val="16"/>
          <w:szCs w:val="16"/>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 candidates.</w:t>
      </w:r>
    </w:p>
    <w:p>
      <w:pPr>
        <w:spacing w:after="0" w:line="100" w:lineRule="exact"/>
        <w:rPr>
          <w:sz w:val="20"/>
          <w:szCs w:val="20"/>
          <w:color w:val="auto"/>
        </w:rPr>
      </w:pPr>
    </w:p>
    <w:p>
      <w:pPr>
        <w:ind w:firstLine="669"/>
        <w:spacing w:after="0" w:line="290" w:lineRule="auto"/>
        <w:rPr>
          <w:sz w:val="20"/>
          <w:szCs w:val="20"/>
          <w:color w:val="auto"/>
        </w:rPr>
      </w:pPr>
      <w:r>
        <w:rPr>
          <w:rFonts w:ascii="Arial" w:cs="Arial" w:eastAsia="Arial" w:hAnsi="Arial"/>
          <w:sz w:val="14"/>
          <w:szCs w:val="14"/>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52" w:name="page53"/>
    <w:bookmarkEnd w:id="52"/>
    <w:p>
      <w:pPr>
        <w:ind w:right="100"/>
        <w:spacing w:after="0" w:line="268" w:lineRule="auto"/>
        <w:rPr>
          <w:sz w:val="20"/>
          <w:szCs w:val="20"/>
          <w:color w:val="auto"/>
        </w:rPr>
      </w:pPr>
      <w:r>
        <w:rPr>
          <w:rFonts w:ascii="Arial" w:cs="Arial" w:eastAsia="Arial" w:hAnsi="Arial"/>
          <w:sz w:val="16"/>
          <w:szCs w:val="16"/>
          <w:color w:val="auto"/>
        </w:rPr>
        <w:t>patent claims or if we are successful in obtaining allowance of our biomarker based patient selection claims, we or our licensor may be unsuccessful in defending the validity of such claims if challenged before a competent court.</w:t>
      </w:r>
    </w:p>
    <w:p>
      <w:pPr>
        <w:spacing w:after="0" w:line="63" w:lineRule="exact"/>
        <w:rPr>
          <w:sz w:val="20"/>
          <w:szCs w:val="20"/>
          <w:color w:val="auto"/>
        </w:rPr>
      </w:pPr>
    </w:p>
    <w:p>
      <w:pPr>
        <w:ind w:firstLine="669"/>
        <w:spacing w:after="0" w:line="269" w:lineRule="auto"/>
        <w:rPr>
          <w:sz w:val="20"/>
          <w:szCs w:val="20"/>
          <w:color w:val="auto"/>
        </w:rPr>
      </w:pPr>
      <w:r>
        <w:rPr>
          <w:rFonts w:ascii="Arial" w:cs="Arial" w:eastAsia="Arial" w:hAnsi="Arial"/>
          <w:sz w:val="15"/>
          <w:szCs w:val="15"/>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253" w:lineRule="exact"/>
        <w:rPr>
          <w:sz w:val="20"/>
          <w:szCs w:val="20"/>
          <w:color w:val="auto"/>
        </w:rPr>
      </w:pPr>
    </w:p>
    <w:p>
      <w:pPr>
        <w:ind w:right="220"/>
        <w:spacing w:after="0" w:line="341"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 w:lineRule="exact"/>
        <w:rPr>
          <w:sz w:val="20"/>
          <w:szCs w:val="20"/>
          <w:color w:val="auto"/>
        </w:rPr>
      </w:pPr>
    </w:p>
    <w:p>
      <w:pPr>
        <w:ind w:right="100" w:firstLine="669"/>
        <w:spacing w:after="0" w:line="292" w:lineRule="auto"/>
        <w:rPr>
          <w:sz w:val="20"/>
          <w:szCs w:val="20"/>
          <w:color w:val="auto"/>
        </w:rPr>
      </w:pPr>
      <w:r>
        <w:rPr>
          <w:rFonts w:ascii="Arial" w:cs="Arial" w:eastAsia="Arial" w:hAnsi="Arial"/>
          <w:sz w:val="14"/>
          <w:szCs w:val="14"/>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239"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3" w:lineRule="exact"/>
        <w:rPr>
          <w:sz w:val="20"/>
          <w:szCs w:val="20"/>
          <w:color w:val="auto"/>
        </w:rPr>
      </w:pPr>
    </w:p>
    <w:p>
      <w:pPr>
        <w:ind w:firstLine="669"/>
        <w:spacing w:after="0" w:line="288" w:lineRule="auto"/>
        <w:rPr>
          <w:sz w:val="20"/>
          <w:szCs w:val="20"/>
          <w:color w:val="auto"/>
        </w:rPr>
      </w:pPr>
      <w:r>
        <w:rPr>
          <w:rFonts w:ascii="Arial" w:cs="Arial" w:eastAsia="Arial" w:hAnsi="Arial"/>
          <w:sz w:val="14"/>
          <w:szCs w:val="14"/>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57" w:lineRule="exact"/>
        <w:rPr>
          <w:sz w:val="20"/>
          <w:szCs w:val="20"/>
          <w:color w:val="auto"/>
        </w:rPr>
      </w:pPr>
    </w:p>
    <w:p>
      <w:pPr>
        <w:ind w:right="120" w:firstLine="669"/>
        <w:spacing w:after="0" w:line="257"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53" w:name="page54"/>
    <w:bookmarkEnd w:id="53"/>
    <w:p>
      <w:pPr>
        <w:spacing w:after="0" w:line="250" w:lineRule="auto"/>
        <w:rPr>
          <w:sz w:val="20"/>
          <w:szCs w:val="20"/>
          <w:color w:val="auto"/>
        </w:rPr>
      </w:pPr>
      <w:r>
        <w:rPr>
          <w:rFonts w:ascii="Arial" w:cs="Arial" w:eastAsia="Arial" w:hAnsi="Arial"/>
          <w:sz w:val="16"/>
          <w:szCs w:val="16"/>
          <w:color w:val="auto"/>
        </w:rPr>
        <w:t>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79" w:lineRule="exact"/>
        <w:rPr>
          <w:sz w:val="20"/>
          <w:szCs w:val="20"/>
          <w:color w:val="auto"/>
        </w:rPr>
      </w:pPr>
    </w:p>
    <w:p>
      <w:pPr>
        <w:ind w:right="120" w:firstLine="669"/>
        <w:spacing w:after="0" w:line="311"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227"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right="20" w:firstLine="669"/>
        <w:spacing w:after="0" w:line="273" w:lineRule="auto"/>
        <w:rPr>
          <w:sz w:val="20"/>
          <w:szCs w:val="20"/>
          <w:color w:val="auto"/>
        </w:rPr>
      </w:pPr>
      <w:r>
        <w:rPr>
          <w:rFonts w:ascii="Arial" w:cs="Arial" w:eastAsia="Arial" w:hAnsi="Arial"/>
          <w:sz w:val="15"/>
          <w:szCs w:val="15"/>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61" w:lineRule="exact"/>
        <w:rPr>
          <w:sz w:val="20"/>
          <w:szCs w:val="20"/>
          <w:color w:val="auto"/>
        </w:rPr>
      </w:pPr>
    </w:p>
    <w:p>
      <w:pPr>
        <w:ind w:right="20" w:firstLine="669"/>
        <w:spacing w:after="0" w:line="25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66"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3" w:lineRule="exact"/>
        <w:rPr>
          <w:sz w:val="20"/>
          <w:szCs w:val="20"/>
          <w:color w:val="auto"/>
        </w:rPr>
      </w:pPr>
    </w:p>
    <w:p>
      <w:pPr>
        <w:ind w:right="20" w:firstLine="669"/>
        <w:spacing w:after="0" w:line="252"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76" w:lineRule="exact"/>
        <w:rPr>
          <w:sz w:val="20"/>
          <w:szCs w:val="20"/>
          <w:color w:val="auto"/>
        </w:rPr>
      </w:pPr>
    </w:p>
    <w:p>
      <w:pPr>
        <w:ind w:right="60" w:firstLine="669"/>
        <w:spacing w:after="0" w:line="302" w:lineRule="auto"/>
        <w:rPr>
          <w:sz w:val="20"/>
          <w:szCs w:val="20"/>
          <w:color w:val="auto"/>
        </w:rPr>
      </w:pPr>
      <w:r>
        <w:rPr>
          <w:rFonts w:ascii="Arial" w:cs="Arial" w:eastAsia="Arial" w:hAnsi="Arial"/>
          <w:sz w:val="15"/>
          <w:szCs w:val="15"/>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39" w:lineRule="exact"/>
        <w:rPr>
          <w:sz w:val="20"/>
          <w:szCs w:val="20"/>
          <w:color w:val="auto"/>
        </w:rPr>
      </w:pPr>
    </w:p>
    <w:p>
      <w:pPr>
        <w:ind w:right="380" w:firstLine="669"/>
        <w:spacing w:after="0" w:line="341" w:lineRule="auto"/>
        <w:rPr>
          <w:sz w:val="20"/>
          <w:szCs w:val="20"/>
          <w:color w:val="auto"/>
        </w:rPr>
      </w:pPr>
      <w:r>
        <w:rPr>
          <w:rFonts w:ascii="Arial" w:cs="Arial" w:eastAsia="Arial" w:hAnsi="Arial"/>
          <w:sz w:val="14"/>
          <w:szCs w:val="14"/>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54" w:name="page55"/>
    <w:bookmarkEnd w:id="54"/>
    <w:p>
      <w:pPr>
        <w:ind w:right="580"/>
        <w:spacing w:after="0" w:line="268" w:lineRule="auto"/>
        <w:rPr>
          <w:sz w:val="20"/>
          <w:szCs w:val="20"/>
          <w:color w:val="auto"/>
        </w:rPr>
      </w:pPr>
      <w:r>
        <w:rPr>
          <w:rFonts w:ascii="Arial" w:cs="Arial" w:eastAsia="Arial" w:hAnsi="Arial"/>
          <w:sz w:val="16"/>
          <w:szCs w:val="16"/>
          <w:color w:val="auto"/>
        </w:rPr>
        <w:t>technology or products. Such a license may not be available on commercially reasonable terms or at all. Even if we successfully prosecute or defend against such claims, litigation could result in substantial costs and distract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protect our confidential information and trade secrets would harm our business and competitive position.</w:t>
      </w:r>
    </w:p>
    <w:p>
      <w:pPr>
        <w:spacing w:after="0" w:line="100" w:lineRule="exact"/>
        <w:rPr>
          <w:sz w:val="20"/>
          <w:szCs w:val="20"/>
          <w:color w:val="auto"/>
        </w:rPr>
      </w:pPr>
    </w:p>
    <w:p>
      <w:pPr>
        <w:ind w:firstLine="669"/>
        <w:spacing w:after="0" w:line="290" w:lineRule="auto"/>
        <w:rPr>
          <w:sz w:val="20"/>
          <w:szCs w:val="20"/>
          <w:color w:val="auto"/>
        </w:rPr>
      </w:pPr>
      <w:r>
        <w:rPr>
          <w:rFonts w:ascii="Arial" w:cs="Arial" w:eastAsia="Arial" w:hAnsi="Arial"/>
          <w:sz w:val="14"/>
          <w:szCs w:val="14"/>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Ownership of Our Common Stock and Other General Matters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stock may be volatile and you could lose all or part of your investment.</w:t>
      </w:r>
    </w:p>
    <w:p>
      <w:pPr>
        <w:spacing w:after="0" w:line="100" w:lineRule="exact"/>
        <w:rPr>
          <w:sz w:val="20"/>
          <w:szCs w:val="20"/>
          <w:color w:val="auto"/>
        </w:rPr>
      </w:pPr>
    </w:p>
    <w:p>
      <w:pPr>
        <w:ind w:right="140" w:firstLine="669"/>
        <w:spacing w:after="0" w:line="268" w:lineRule="auto"/>
        <w:rPr>
          <w:sz w:val="20"/>
          <w:szCs w:val="20"/>
          <w:color w:val="auto"/>
        </w:rPr>
      </w:pPr>
      <w:r>
        <w:rPr>
          <w:rFonts w:ascii="Arial" w:cs="Arial" w:eastAsia="Arial" w:hAnsi="Arial"/>
          <w:sz w:val="16"/>
          <w:szCs w:val="16"/>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63" w:lineRule="exact"/>
        <w:rPr>
          <w:sz w:val="20"/>
          <w:szCs w:val="20"/>
          <w:color w:val="auto"/>
        </w:rPr>
      </w:pPr>
    </w:p>
    <w:p>
      <w:pPr>
        <w:ind w:left="1160" w:hanging="585"/>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success of competitive products or technologies;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regulatory actions with respect to our products or our competitors’ products;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our competitors;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acquisitions, strategic collaborations, joint ventures, collaborations or capital commitments;</w:t>
      </w:r>
    </w:p>
    <w:p>
      <w:pPr>
        <w:spacing w:after="0" w:line="135" w:lineRule="exact"/>
        <w:rPr>
          <w:rFonts w:ascii="Arial" w:cs="Arial" w:eastAsia="Arial" w:hAnsi="Arial"/>
          <w:sz w:val="15"/>
          <w:szCs w:val="15"/>
          <w:color w:val="auto"/>
        </w:rPr>
      </w:pPr>
    </w:p>
    <w:p>
      <w:pPr>
        <w:ind w:left="1160" w:hanging="585"/>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results of trials of our product candidates or those of our competitors;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proprietary rights;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recruitment or departure of key personnel;</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level of expenses related to our product candidates or clinical development programs;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variations in our financial results or those of companies that are perceived to be similar to us;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share price and volume fluctuations attributable to inconsistent trading volume levels of our shares;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announcement or expectation of additional financing efforts;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sales of our common stock by us, our insiders or our other stockholders;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the structure of healthcare payment systems;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411" w:right="319" w:bottom="1440" w:gutter="0" w:footer="0" w:header="0"/>
        </w:sectPr>
      </w:pPr>
    </w:p>
    <w:bookmarkStart w:id="55" w:name="page56"/>
    <w:bookmarkEnd w:id="55"/>
    <w:p>
      <w:pPr>
        <w:ind w:left="1160" w:hanging="585"/>
        <w:spacing w:after="0"/>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market conditions in the pharmaceutical and biotechnology sectors; and</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general economic, industry, political and market conditions, including, but not limited to the ongoing impact of the COVID-19 pandemic.</w:t>
      </w:r>
    </w:p>
    <w:p>
      <w:pPr>
        <w:spacing w:after="0" w:line="124" w:lineRule="exact"/>
        <w:rPr>
          <w:sz w:val="20"/>
          <w:szCs w:val="20"/>
          <w:color w:val="auto"/>
        </w:rPr>
      </w:pPr>
    </w:p>
    <w:p>
      <w:pPr>
        <w:ind w:right="20" w:firstLine="669"/>
        <w:spacing w:after="0" w:line="301" w:lineRule="auto"/>
        <w:rPr>
          <w:sz w:val="20"/>
          <w:szCs w:val="20"/>
          <w:color w:val="auto"/>
        </w:rPr>
      </w:pPr>
      <w:r>
        <w:rPr>
          <w:rFonts w:ascii="Arial" w:cs="Arial" w:eastAsia="Arial" w:hAnsi="Arial"/>
          <w:sz w:val="14"/>
          <w:szCs w:val="14"/>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233" w:lineRule="exact"/>
        <w:rPr>
          <w:sz w:val="20"/>
          <w:szCs w:val="20"/>
          <w:color w:val="auto"/>
        </w:rPr>
      </w:pPr>
    </w:p>
    <w:p>
      <w:pPr>
        <w:ind w:right="580"/>
        <w:spacing w:after="0" w:line="268" w:lineRule="auto"/>
        <w:rPr>
          <w:sz w:val="20"/>
          <w:szCs w:val="20"/>
          <w:color w:val="auto"/>
        </w:rPr>
      </w:pPr>
      <w:r>
        <w:rPr>
          <w:rFonts w:ascii="Arial" w:cs="Arial" w:eastAsia="Arial" w:hAnsi="Arial"/>
          <w:sz w:val="16"/>
          <w:szCs w:val="16"/>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3" w:lineRule="exact"/>
        <w:rPr>
          <w:sz w:val="20"/>
          <w:szCs w:val="20"/>
          <w:color w:val="auto"/>
        </w:rPr>
      </w:pPr>
    </w:p>
    <w:p>
      <w:pPr>
        <w:ind w:right="20" w:firstLine="669"/>
        <w:spacing w:after="0" w:line="268" w:lineRule="auto"/>
        <w:rPr>
          <w:sz w:val="20"/>
          <w:szCs w:val="20"/>
          <w:color w:val="auto"/>
        </w:rPr>
      </w:pPr>
      <w:r>
        <w:rPr>
          <w:rFonts w:ascii="Arial" w:cs="Arial" w:eastAsia="Arial" w:hAnsi="Arial"/>
          <w:sz w:val="15"/>
          <w:szCs w:val="15"/>
          <w:color w:val="auto"/>
        </w:rPr>
        <w:t>Until we can generate a sufficient amount of revenue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In December 2020, we completed a public offering in which we sold 6,250,000 shares of our common stock at a price per share of $23.00 with net proceeds of approximately $135.0 million. Further, in May 2020, we sold 6,388,889 shares of our common stock at a price per share of $18.00 with net proceeds of approximately $107.9 million. In January 2020, we sold 3,036,719 shares of our common stock at a price per share of $8.00 and pre-funded warrants to purchase 1,338,287 shares of our common stock for net proceeds of approximately $34.9 million. Upon the completion of the January 2020 offering, we had 5,838,287 pre-funded warrant shares outstanding. The pre-funded warrants are exercisable into shares of common stock for $0.0001 per share. The shares of common stock into which the warrants may be exercised are considered outstanding for the purposes of computing earnings per share. As of December 31, 2020, we had 3,557,952 pre-funded warrants outstanding. All Series 1 warrants and Series 2 warrants were exercised prior to the December 31, 2020 expiration date.</w:t>
      </w:r>
    </w:p>
    <w:p>
      <w:pPr>
        <w:spacing w:after="0" w:line="66" w:lineRule="exact"/>
        <w:rPr>
          <w:sz w:val="20"/>
          <w:szCs w:val="20"/>
          <w:color w:val="auto"/>
        </w:rPr>
      </w:pPr>
    </w:p>
    <w:p>
      <w:pPr>
        <w:ind w:firstLine="669"/>
        <w:spacing w:after="0" w:line="267" w:lineRule="auto"/>
        <w:rPr>
          <w:sz w:val="20"/>
          <w:szCs w:val="20"/>
          <w:color w:val="auto"/>
        </w:rPr>
      </w:pPr>
      <w:r>
        <w:rPr>
          <w:rFonts w:ascii="Arial" w:cs="Arial" w:eastAsia="Arial" w:hAnsi="Arial"/>
          <w:sz w:val="15"/>
          <w:szCs w:val="15"/>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For example, on February 7, 2020, we entered into the Loan Agreement with Hercules, which provided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We did not request the available additional borrowing by the due date. Borrowings under the Loan Agreement are collateralized by substantially all of our and our subsidiaries personal property and other assets, other than our intellectual property.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65" w:lineRule="exact"/>
        <w:rPr>
          <w:sz w:val="20"/>
          <w:szCs w:val="20"/>
          <w:color w:val="auto"/>
        </w:rPr>
      </w:pPr>
    </w:p>
    <w:p>
      <w:pPr>
        <w:ind w:right="80" w:firstLine="669"/>
        <w:spacing w:after="0" w:line="341" w:lineRule="auto"/>
        <w:rPr>
          <w:sz w:val="20"/>
          <w:szCs w:val="20"/>
          <w:color w:val="auto"/>
        </w:rPr>
      </w:pPr>
      <w:r>
        <w:rPr>
          <w:rFonts w:ascii="Arial" w:cs="Arial" w:eastAsia="Arial" w:hAnsi="Arial"/>
          <w:sz w:val="14"/>
          <w:szCs w:val="14"/>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600" w:right="319" w:bottom="1440" w:gutter="0" w:footer="0" w:header="0"/>
        </w:sectPr>
      </w:pPr>
    </w:p>
    <w:bookmarkStart w:id="56" w:name="page57"/>
    <w:bookmarkEnd w:id="56"/>
    <w:p>
      <w:pPr>
        <w:spacing w:after="0" w:line="268"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3" w:lineRule="exact"/>
        <w:rPr>
          <w:sz w:val="20"/>
          <w:szCs w:val="20"/>
          <w:color w:val="auto"/>
        </w:rPr>
      </w:pPr>
    </w:p>
    <w:p>
      <w:pPr>
        <w:ind w:right="300" w:firstLine="590"/>
        <w:spacing w:after="0" w:line="273" w:lineRule="auto"/>
        <w:rPr>
          <w:sz w:val="20"/>
          <w:szCs w:val="20"/>
          <w:color w:val="auto"/>
        </w:rPr>
      </w:pPr>
      <w:r>
        <w:rPr>
          <w:rFonts w:ascii="Arial" w:cs="Arial" w:eastAsia="Arial" w:hAnsi="Arial"/>
          <w:sz w:val="15"/>
          <w:szCs w:val="15"/>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250"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and will be able to exert significant influence control over matters subject to stockholder approval.</w:t>
      </w:r>
    </w:p>
    <w:p>
      <w:pPr>
        <w:spacing w:after="0" w:line="63" w:lineRule="exact"/>
        <w:rPr>
          <w:sz w:val="20"/>
          <w:szCs w:val="20"/>
          <w:color w:val="auto"/>
        </w:rPr>
      </w:pPr>
    </w:p>
    <w:p>
      <w:pPr>
        <w:ind w:firstLine="590"/>
        <w:spacing w:after="0" w:line="250" w:lineRule="auto"/>
        <w:rPr>
          <w:sz w:val="20"/>
          <w:szCs w:val="20"/>
          <w:color w:val="auto"/>
        </w:rPr>
      </w:pPr>
      <w:r>
        <w:rPr>
          <w:rFonts w:ascii="Arial" w:cs="Arial" w:eastAsia="Arial" w:hAnsi="Arial"/>
          <w:sz w:val="16"/>
          <w:szCs w:val="16"/>
          <w:color w:val="auto"/>
        </w:rPr>
        <w:t>As of December 31, 2020, our executive officers, directors, holders of 5% or more of our capital stock and their respective affiliates beneficially owned approximately 29.2%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68" w:lineRule="exact"/>
        <w:rPr>
          <w:sz w:val="20"/>
          <w:szCs w:val="20"/>
          <w:color w:val="auto"/>
        </w:rPr>
      </w:pPr>
    </w:p>
    <w:p>
      <w:pPr>
        <w:ind w:right="540"/>
        <w:spacing w:after="0" w:line="411" w:lineRule="auto"/>
        <w:rPr>
          <w:sz w:val="20"/>
          <w:szCs w:val="20"/>
          <w:color w:val="auto"/>
        </w:rPr>
      </w:pPr>
      <w:r>
        <w:rPr>
          <w:rFonts w:ascii="Arial" w:cs="Arial" w:eastAsia="Arial" w:hAnsi="Arial"/>
          <w:sz w:val="12"/>
          <w:szCs w:val="12"/>
          <w:b w:val="1"/>
          <w:bCs w:val="1"/>
          <w:i w:val="1"/>
          <w:iCs w:val="1"/>
          <w:color w:val="auto"/>
        </w:rPr>
        <w:t>We are an “emerging growth company” as defined in the JOBS Act and a “smaller reporting company” and may avail ourselves of reduced disclosure requirements applicable to such companies, which could make our common stock less attractive to investors and adversely affect the market price of our common stock.</w:t>
      </w:r>
    </w:p>
    <w:p>
      <w:pPr>
        <w:spacing w:after="0" w:line="1" w:lineRule="exact"/>
        <w:rPr>
          <w:sz w:val="20"/>
          <w:szCs w:val="20"/>
          <w:color w:val="auto"/>
        </w:rPr>
      </w:pPr>
    </w:p>
    <w:p>
      <w:pPr>
        <w:ind w:right="540" w:firstLine="590"/>
        <w:spacing w:after="0" w:line="268" w:lineRule="auto"/>
        <w:rPr>
          <w:sz w:val="20"/>
          <w:szCs w:val="20"/>
          <w:color w:val="auto"/>
        </w:rPr>
      </w:pPr>
      <w:r>
        <w:rPr>
          <w:rFonts w:ascii="Arial" w:cs="Arial" w:eastAsia="Arial" w:hAnsi="Arial"/>
          <w:sz w:val="16"/>
          <w:szCs w:val="16"/>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63" w:lineRule="exact"/>
        <w:rPr>
          <w:sz w:val="20"/>
          <w:szCs w:val="20"/>
          <w:color w:val="auto"/>
        </w:rPr>
      </w:pPr>
    </w:p>
    <w:p>
      <w:pPr>
        <w:ind w:left="1160" w:right="200" w:hanging="585"/>
        <w:spacing w:after="0" w:line="268" w:lineRule="auto"/>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62" w:lineRule="exact"/>
        <w:rPr>
          <w:rFonts w:ascii="Arial" w:cs="Arial" w:eastAsia="Arial" w:hAnsi="Arial"/>
          <w:sz w:val="16"/>
          <w:szCs w:val="16"/>
          <w:color w:val="auto"/>
        </w:rPr>
      </w:pPr>
    </w:p>
    <w:p>
      <w:pPr>
        <w:ind w:left="1160" w:right="200" w:hanging="585"/>
        <w:spacing w:after="0" w:line="254" w:lineRule="auto"/>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73" w:lineRule="exact"/>
        <w:rPr>
          <w:rFonts w:ascii="Arial" w:cs="Arial" w:eastAsia="Arial" w:hAnsi="Arial"/>
          <w:sz w:val="16"/>
          <w:szCs w:val="16"/>
          <w:color w:val="auto"/>
        </w:rPr>
      </w:pPr>
    </w:p>
    <w:p>
      <w:pPr>
        <w:ind w:left="1160" w:right="100" w:hanging="585"/>
        <w:spacing w:after="0" w:line="302" w:lineRule="auto"/>
        <w:tabs>
          <w:tab w:leader="none" w:pos="11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39" w:lineRule="exact"/>
        <w:rPr>
          <w:rFonts w:ascii="Arial" w:cs="Arial" w:eastAsia="Arial" w:hAnsi="Arial"/>
          <w:sz w:val="15"/>
          <w:szCs w:val="15"/>
          <w:color w:val="auto"/>
        </w:rPr>
      </w:pPr>
    </w:p>
    <w:p>
      <w:pPr>
        <w:ind w:left="1160" w:right="120" w:hanging="585"/>
        <w:spacing w:after="0" w:line="268" w:lineRule="auto"/>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rules that the Public Company Accounting Oversight Board may adopt requiring mandatory audit firm rotation or a supplement to the auditor’s report on the financial statements.</w:t>
      </w:r>
    </w:p>
    <w:p>
      <w:pPr>
        <w:spacing w:after="0" w:line="157" w:lineRule="exact"/>
        <w:rPr>
          <w:sz w:val="20"/>
          <w:szCs w:val="20"/>
          <w:color w:val="auto"/>
        </w:rPr>
      </w:pPr>
    </w:p>
    <w:p>
      <w:pPr>
        <w:ind w:right="80" w:firstLine="590"/>
        <w:spacing w:after="0" w:line="254" w:lineRule="auto"/>
        <w:rPr>
          <w:sz w:val="20"/>
          <w:szCs w:val="20"/>
          <w:color w:val="auto"/>
        </w:rPr>
      </w:pPr>
      <w:r>
        <w:rPr>
          <w:rFonts w:ascii="Arial" w:cs="Arial" w:eastAsia="Arial" w:hAnsi="Arial"/>
          <w:sz w:val="16"/>
          <w:szCs w:val="16"/>
          <w:color w:val="auto"/>
        </w:rPr>
        <w:t>We may take advantage of these exemptions until we are no longer an “emerging growth company.” We would cease to be an “emerging growth company” upon the earliest of: (i) December 31, 2021; (ii) the first fiscal year after our annual gross revenues are $1.07 billion or more; (iii) the date on which we have, during the previous three-year period, issued more than $1.0 billion in non-convertible debt securities; or (iv) as of the end of any fiscal year in which the market value of our common stock held by non-affiliates exceeded $700 million as of the end of the second quarter of that fiscal year.</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600" w:right="379" w:bottom="1440" w:gutter="0" w:footer="0" w:header="0"/>
        </w:sectPr>
      </w:pPr>
    </w:p>
    <w:bookmarkStart w:id="57" w:name="page58"/>
    <w:bookmarkEnd w:id="57"/>
    <w:p>
      <w:pPr>
        <w:ind w:right="40" w:firstLine="590"/>
        <w:spacing w:after="0" w:line="289" w:lineRule="auto"/>
        <w:rPr>
          <w:sz w:val="20"/>
          <w:szCs w:val="20"/>
          <w:color w:val="auto"/>
        </w:rPr>
      </w:pPr>
      <w:r>
        <w:rPr>
          <w:rFonts w:ascii="Arial" w:cs="Arial" w:eastAsia="Arial" w:hAnsi="Arial"/>
          <w:sz w:val="14"/>
          <w:szCs w:val="14"/>
          <w:color w:val="auto"/>
        </w:rPr>
        <w:t>We currently take advantage of some, but not all, of the reduced regulatory and reporting requirements that are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is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149" w:lineRule="exact"/>
        <w:rPr>
          <w:sz w:val="20"/>
          <w:szCs w:val="20"/>
          <w:color w:val="auto"/>
        </w:rPr>
      </w:pPr>
    </w:p>
    <w:p>
      <w:pPr>
        <w:ind w:right="40" w:firstLine="590"/>
        <w:spacing w:after="0" w:line="297" w:lineRule="auto"/>
        <w:rPr>
          <w:sz w:val="20"/>
          <w:szCs w:val="20"/>
          <w:color w:val="auto"/>
        </w:rPr>
      </w:pPr>
      <w:r>
        <w:rPr>
          <w:rFonts w:ascii="Arial" w:cs="Arial" w:eastAsia="Arial" w:hAnsi="Arial"/>
          <w:sz w:val="14"/>
          <w:szCs w:val="14"/>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will continue to incur significant costs as a result of operating as a public company, and our management will devote substantial time to compliance initiatives.</w:t>
      </w:r>
    </w:p>
    <w:p>
      <w:pPr>
        <w:spacing w:after="0" w:line="123" w:lineRule="exact"/>
        <w:rPr>
          <w:sz w:val="20"/>
          <w:szCs w:val="20"/>
          <w:color w:val="auto"/>
        </w:rPr>
      </w:pPr>
    </w:p>
    <w:p>
      <w:pPr>
        <w:jc w:val="both"/>
        <w:ind w:right="180" w:firstLine="590"/>
        <w:spacing w:after="0" w:line="283" w:lineRule="auto"/>
        <w:rPr>
          <w:sz w:val="20"/>
          <w:szCs w:val="20"/>
          <w:color w:val="auto"/>
        </w:rPr>
      </w:pPr>
      <w:r>
        <w:rPr>
          <w:rFonts w:ascii="Arial" w:cs="Arial" w:eastAsia="Arial" w:hAnsi="Arial"/>
          <w:sz w:val="15"/>
          <w:szCs w:val="15"/>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100" w:lineRule="exact"/>
        <w:rPr>
          <w:sz w:val="20"/>
          <w:szCs w:val="20"/>
          <w:color w:val="auto"/>
        </w:rPr>
      </w:pPr>
    </w:p>
    <w:p>
      <w:pPr>
        <w:jc w:val="both"/>
        <w:ind w:right="180" w:firstLine="590"/>
        <w:spacing w:after="0" w:line="268"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100" w:lineRule="exact"/>
        <w:rPr>
          <w:sz w:val="20"/>
          <w:szCs w:val="20"/>
          <w:color w:val="auto"/>
        </w:rPr>
      </w:pPr>
    </w:p>
    <w:p>
      <w:pPr>
        <w:ind w:firstLine="590"/>
        <w:spacing w:after="0" w:line="257"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61" w:lineRule="exact"/>
        <w:rPr>
          <w:sz w:val="20"/>
          <w:szCs w:val="20"/>
          <w:color w:val="auto"/>
        </w:rPr>
      </w:pPr>
    </w:p>
    <w:p>
      <w:pPr>
        <w:ind w:right="100"/>
        <w:spacing w:after="0" w:line="302"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39" w:lineRule="exact"/>
        <w:rPr>
          <w:sz w:val="20"/>
          <w:szCs w:val="20"/>
          <w:color w:val="auto"/>
        </w:rPr>
      </w:pPr>
    </w:p>
    <w:p>
      <w:pPr>
        <w:ind w:right="120" w:firstLine="590"/>
        <w:spacing w:after="0" w:line="257"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Commencing after the filing of our initial annual report on Form 10-K, we have been required, under Section 404 of the Sarbanes-Oxley Act, to furnish a report by management on, among other things, the effectiveness of our internal control over financial reporting. This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58" w:name="page59"/>
    <w:bookmarkEnd w:id="58"/>
    <w:p>
      <w:pPr>
        <w:ind w:right="80"/>
        <w:spacing w:after="0" w:line="266" w:lineRule="auto"/>
        <w:rPr>
          <w:sz w:val="20"/>
          <w:szCs w:val="20"/>
          <w:color w:val="auto"/>
        </w:rPr>
      </w:pPr>
      <w:r>
        <w:rPr>
          <w:rFonts w:ascii="Arial" w:cs="Arial" w:eastAsia="Arial" w:hAnsi="Arial"/>
          <w:sz w:val="15"/>
          <w:szCs w:val="15"/>
          <w:color w:val="auto"/>
        </w:rPr>
        <w:t>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 Our compliance with Section 404 requires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54" w:lineRule="exact"/>
        <w:rPr>
          <w:sz w:val="20"/>
          <w:szCs w:val="20"/>
          <w:color w:val="auto"/>
        </w:rPr>
      </w:pPr>
    </w:p>
    <w:p>
      <w:pPr>
        <w:ind w:right="380"/>
        <w:spacing w:after="0" w:line="302"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39" w:lineRule="exact"/>
        <w:rPr>
          <w:sz w:val="20"/>
          <w:szCs w:val="20"/>
          <w:color w:val="auto"/>
        </w:rPr>
      </w:pPr>
    </w:p>
    <w:p>
      <w:pPr>
        <w:ind w:firstLine="590"/>
        <w:spacing w:after="0" w:line="267" w:lineRule="auto"/>
        <w:rPr>
          <w:sz w:val="20"/>
          <w:szCs w:val="20"/>
          <w:color w:val="auto"/>
        </w:rPr>
      </w:pPr>
      <w:r>
        <w:rPr>
          <w:rFonts w:ascii="Arial" w:cs="Arial" w:eastAsia="Arial" w:hAnsi="Arial"/>
          <w:sz w:val="15"/>
          <w:szCs w:val="15"/>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04" w:lineRule="exact"/>
        <w:rPr>
          <w:sz w:val="20"/>
          <w:szCs w:val="20"/>
          <w:color w:val="auto"/>
        </w:rPr>
      </w:pPr>
    </w:p>
    <w:p>
      <w:pPr>
        <w:ind w:right="100" w:firstLine="590"/>
        <w:spacing w:after="0" w:line="341" w:lineRule="auto"/>
        <w:rPr>
          <w:sz w:val="20"/>
          <w:szCs w:val="20"/>
          <w:color w:val="auto"/>
        </w:rPr>
      </w:pPr>
      <w:r>
        <w:rPr>
          <w:rFonts w:ascii="Arial" w:cs="Arial" w:eastAsia="Arial" w:hAnsi="Arial"/>
          <w:sz w:val="14"/>
          <w:szCs w:val="14"/>
          <w:color w:val="auto"/>
        </w:rPr>
        <w:t>Our headquarters is currently located in Waltham, Massachusetts, and consists of 12,207 square feet of leased office space under a lease that expires on March 1, 2022. We also have 4,039 square feet of leased office space in New York, New York, under a recently renewed lease that expires on August 31, 2022. We believe that our existing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59" w:name="page60"/>
    <w:bookmarkEnd w:id="59"/>
    <w:p>
      <w:pPr>
        <w:spacing w:after="0" w:line="268" w:lineRule="auto"/>
        <w:rPr>
          <w:sz w:val="20"/>
          <w:szCs w:val="20"/>
          <w:color w:val="auto"/>
        </w:rPr>
      </w:pPr>
      <w:r>
        <w:rPr>
          <w:rFonts w:ascii="Arial" w:cs="Arial" w:eastAsia="Arial" w:hAnsi="Arial"/>
          <w:sz w:val="16"/>
          <w:szCs w:val="16"/>
          <w:color w:val="auto"/>
        </w:rPr>
        <w:t>facilities are sufficient for our needs for the foreseeable future. If we determine that additional or new facilities are needed in the future, we believe that sufficient options would be available to us on commercially reasonable terms.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are not currently a party to any material legal proceedings.</w:t>
      </w:r>
    </w:p>
    <w:p>
      <w:pPr>
        <w:spacing w:after="0" w:line="286" w:lineRule="exact"/>
        <w:rPr>
          <w:sz w:val="20"/>
          <w:szCs w:val="20"/>
          <w:color w:val="auto"/>
        </w:rPr>
      </w:pPr>
    </w:p>
    <w:p>
      <w:pPr>
        <w:jc w:val="center"/>
        <w:ind w:right="9000"/>
        <w:spacing w:after="0"/>
        <w:rPr>
          <w:sz w:val="20"/>
          <w:szCs w:val="20"/>
          <w:color w:val="auto"/>
        </w:rPr>
      </w:pPr>
      <w:r>
        <w:rPr>
          <w:rFonts w:ascii="Arial" w:cs="Arial" w:eastAsia="Arial" w:hAnsi="Arial"/>
          <w:sz w:val="14"/>
          <w:szCs w:val="14"/>
          <w:b w:val="1"/>
          <w:bCs w:val="1"/>
          <w:color w:val="auto"/>
        </w:rPr>
        <w:t>Item 4. Mine Safety Disclosures</w:t>
      </w:r>
    </w:p>
    <w:p>
      <w:pPr>
        <w:spacing w:after="0" w:line="127" w:lineRule="exact"/>
        <w:rPr>
          <w:sz w:val="20"/>
          <w:szCs w:val="20"/>
          <w:color w:val="auto"/>
        </w:rPr>
      </w:pPr>
    </w:p>
    <w:p>
      <w:pPr>
        <w:jc w:val="center"/>
        <w:ind w:right="89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120"/>
          </w:cols>
          <w:pgMar w:left="320" w:top="411" w:right="45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6"/>
          <w:szCs w:val="16"/>
          <w:b w:val="1"/>
          <w:bCs w:val="1"/>
          <w:color w:val="auto"/>
        </w:rPr>
        <w:t>PART II</w:t>
      </w:r>
    </w:p>
    <w:p>
      <w:pPr>
        <w:spacing w:after="0" w:line="195" w:lineRule="exact"/>
        <w:rPr>
          <w:sz w:val="20"/>
          <w:szCs w:val="20"/>
          <w:color w:val="auto"/>
        </w:rPr>
      </w:pPr>
    </w:p>
    <w:p>
      <w:pPr>
        <w:ind w:right="3080"/>
        <w:spacing w:after="0" w:line="373"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 Market Information</w:t>
      </w:r>
    </w:p>
    <w:p>
      <w:pPr>
        <w:ind w:right="60" w:firstLine="590"/>
        <w:spacing w:after="0" w:line="268" w:lineRule="auto"/>
        <w:rPr>
          <w:sz w:val="20"/>
          <w:szCs w:val="20"/>
          <w:color w:val="auto"/>
        </w:rPr>
      </w:pPr>
      <w:r>
        <w:rPr>
          <w:rFonts w:ascii="Arial" w:cs="Arial" w:eastAsia="Arial" w:hAnsi="Arial"/>
          <w:sz w:val="16"/>
          <w:szCs w:val="16"/>
          <w:color w:val="auto"/>
        </w:rPr>
        <w:t>Our common stock began trading on the Nasdaq Global Select Market on March 2, 2016, under the symbol “SNDX.” Prior to that time, there was no public market for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Record</w:t>
      </w:r>
    </w:p>
    <w:p>
      <w:pPr>
        <w:spacing w:after="0" w:line="104" w:lineRule="exact"/>
        <w:rPr>
          <w:sz w:val="20"/>
          <w:szCs w:val="20"/>
          <w:color w:val="auto"/>
        </w:rPr>
      </w:pPr>
    </w:p>
    <w:p>
      <w:pPr>
        <w:ind w:right="240" w:firstLine="590"/>
        <w:spacing w:after="0" w:line="257" w:lineRule="auto"/>
        <w:rPr>
          <w:sz w:val="20"/>
          <w:szCs w:val="20"/>
          <w:color w:val="auto"/>
        </w:rPr>
      </w:pPr>
      <w:r>
        <w:rPr>
          <w:rFonts w:ascii="Arial" w:cs="Arial" w:eastAsia="Arial" w:hAnsi="Arial"/>
          <w:sz w:val="16"/>
          <w:szCs w:val="16"/>
          <w:color w:val="auto"/>
        </w:rPr>
        <w:t>As of March 10, 2021, we had approximately 17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04" w:lineRule="exact"/>
        <w:rPr>
          <w:sz w:val="20"/>
          <w:szCs w:val="20"/>
          <w:color w:val="auto"/>
        </w:rPr>
      </w:pPr>
    </w:p>
    <w:p>
      <w:pPr>
        <w:ind w:firstLine="590"/>
        <w:spacing w:after="0" w:line="254" w:lineRule="auto"/>
        <w:rPr>
          <w:sz w:val="20"/>
          <w:szCs w:val="20"/>
          <w:color w:val="auto"/>
        </w:rPr>
      </w:pPr>
      <w:r>
        <w:rPr>
          <w:rFonts w:ascii="Arial" w:cs="Arial" w:eastAsia="Arial" w:hAnsi="Arial"/>
          <w:sz w:val="16"/>
          <w:szCs w:val="16"/>
          <w:color w:val="auto"/>
        </w:rPr>
        <w:t>We have never declared or paid any cash dividends on our common stock. We currently intend to retain future earnings to fund the development and growth of our business. We do not expect to pay any cash dividends in the foreseeable future. Any future determination to pay dividends will be made at the discretion of our board of directors and will depend on then-existing conditions, including our financial conditions, operating results, contractual restrictions, capital requirements, business prospects and other factors our board of directors may deem relevant.</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312" w:right="379" w:bottom="1440" w:gutter="0" w:footer="0" w:header="0"/>
        </w:sectPr>
      </w:pPr>
    </w:p>
    <w:bookmarkStart w:id="61" w:name="page62"/>
    <w:bookmarkEnd w:id="61"/>
    <w:p>
      <w:pPr>
        <w:ind w:left="5"/>
        <w:spacing w:after="0"/>
        <w:rPr>
          <w:sz w:val="20"/>
          <w:szCs w:val="20"/>
          <w:color w:val="auto"/>
        </w:rPr>
      </w:pPr>
      <w:r>
        <w:rPr>
          <w:rFonts w:ascii="Arial" w:cs="Arial" w:eastAsia="Arial" w:hAnsi="Arial"/>
          <w:sz w:val="16"/>
          <w:szCs w:val="16"/>
          <w:b w:val="1"/>
          <w:bCs w:val="1"/>
          <w:color w:val="auto"/>
        </w:rPr>
        <w:t>Item 6. Selected Financial Data</w:t>
      </w:r>
    </w:p>
    <w:p>
      <w:pPr>
        <w:spacing w:after="0" w:line="104" w:lineRule="exact"/>
        <w:rPr>
          <w:sz w:val="20"/>
          <w:szCs w:val="20"/>
          <w:color w:val="auto"/>
        </w:rPr>
      </w:pPr>
    </w:p>
    <w:p>
      <w:pPr>
        <w:ind w:left="5" w:right="40" w:firstLine="590"/>
        <w:spacing w:after="0" w:line="269" w:lineRule="auto"/>
        <w:rPr>
          <w:sz w:val="20"/>
          <w:szCs w:val="20"/>
          <w:color w:val="auto"/>
        </w:rPr>
      </w:pPr>
      <w:r>
        <w:rPr>
          <w:rFonts w:ascii="Arial" w:cs="Arial" w:eastAsia="Arial" w:hAnsi="Arial"/>
          <w:sz w:val="15"/>
          <w:szCs w:val="15"/>
          <w:i w:val="1"/>
          <w:iCs w:val="1"/>
          <w:color w:val="auto"/>
        </w:rPr>
        <w:t>The following table sets forth our selected consolidated financial data. We derived the consolidated statement of operations data for the years ended December 31, 2020, 2019, and 2018 and the consolidated balance sheet data as of December 31, 2020 and 2019, from our audited consolidated financial statements, included elsewhere in this Annual Report on Form 10-K. The following selected consolidated statements of operations data for the years ended December 31, 2017 and 2016 and the selected consolidated balance sheet data as of December 31, 2018, 2017 and 2016 are derived from our audited consolidated financial statements not included in this Annual Report on Form 10-K. Our historical results are not necessarily indicative of results to be expected for any period in the future. The selected consolidated financial data presented below should be read in conjunction with “Management’s Discussion and Analysis of Financial Condition and Results of Operations” and our consolidated financial statements and the related notes thereto, included elsewhere in this Annual Report on Form 10-K. The selected consolidated financial data in this section is not intended to replace our consolidated financial statements and the related notes thereto.</w:t>
      </w:r>
    </w:p>
    <w:p>
      <w:pPr>
        <w:spacing w:after="0" w:line="249" w:lineRule="exact"/>
        <w:rPr>
          <w:sz w:val="20"/>
          <w:szCs w:val="20"/>
          <w:color w:val="auto"/>
        </w:rPr>
      </w:pPr>
    </w:p>
    <w:p>
      <w:pPr>
        <w:ind w:left="5"/>
        <w:spacing w:after="0"/>
        <w:rPr>
          <w:sz w:val="20"/>
          <w:szCs w:val="20"/>
          <w:color w:val="auto"/>
        </w:rPr>
      </w:pPr>
      <w:r>
        <w:rPr>
          <w:rFonts w:ascii="Arial" w:cs="Arial" w:eastAsia="Arial" w:hAnsi="Arial"/>
          <w:sz w:val="16"/>
          <w:szCs w:val="16"/>
          <w:b w:val="1"/>
          <w:bCs w:val="1"/>
          <w:u w:val="single" w:color="auto"/>
          <w:color w:val="auto"/>
        </w:rPr>
        <w:t>Consolidated Statement of Operations Data:</w:t>
      </w:r>
    </w:p>
    <w:p>
      <w:pPr>
        <w:spacing w:after="0" w:line="274"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414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(In thousands, except share and per share data)</w:t>
            </w:r>
          </w:p>
        </w:tc>
        <w:tc>
          <w:tcPr>
            <w:tcW w:w="1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3"/>
                <w:szCs w:val="13"/>
                <w:b w:val="1"/>
                <w:bCs w:val="1"/>
                <w:color w:val="auto"/>
                <w:w w:val="86"/>
              </w:rPr>
              <w:t>Years Ended December 31,</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140" w:type="dxa"/>
            <w:vAlign w:val="bottom"/>
            <w:tcBorders>
              <w:bottom w:val="single" w:sz="8" w:color="CFF0FC"/>
            </w:tcBorders>
            <w:gridSpan w:val="2"/>
            <w:vMerge w:val="continue"/>
          </w:tcPr>
          <w:p>
            <w:pPr>
              <w:spacing w:after="0"/>
              <w:rPr>
                <w:sz w:val="11"/>
                <w:szCs w:val="11"/>
                <w:color w:val="auto"/>
              </w:rPr>
            </w:pPr>
          </w:p>
        </w:tc>
        <w:tc>
          <w:tcPr>
            <w:tcW w:w="134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82"/>
              <w:spacing w:after="0" w:line="134"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32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2"/>
          </w:tcPr>
          <w:p>
            <w:pPr>
              <w:jc w:val="right"/>
              <w:ind w:right="60"/>
              <w:spacing w:after="0" w:line="134" w:lineRule="exact"/>
              <w:rPr>
                <w:sz w:val="20"/>
                <w:szCs w:val="20"/>
                <w:color w:val="auto"/>
              </w:rPr>
            </w:pPr>
            <w:r>
              <w:rPr>
                <w:rFonts w:ascii="Arial" w:cs="Arial" w:eastAsia="Arial" w:hAnsi="Arial"/>
                <w:sz w:val="13"/>
                <w:szCs w:val="13"/>
                <w:b w:val="1"/>
                <w:bCs w:val="1"/>
                <w:color w:val="auto"/>
                <w:w w:val="89"/>
              </w:rPr>
              <w:t>2019</w:t>
            </w: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3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3"/>
          </w:tcPr>
          <w:p>
            <w:pPr>
              <w:jc w:val="right"/>
              <w:ind w:right="223"/>
              <w:spacing w:after="0" w:line="134" w:lineRule="exact"/>
              <w:rPr>
                <w:sz w:val="20"/>
                <w:szCs w:val="20"/>
                <w:color w:val="auto"/>
              </w:rPr>
            </w:pPr>
            <w:r>
              <w:rPr>
                <w:rFonts w:ascii="Arial" w:cs="Arial" w:eastAsia="Arial" w:hAnsi="Arial"/>
                <w:sz w:val="13"/>
                <w:szCs w:val="13"/>
                <w:b w:val="1"/>
                <w:bCs w:val="1"/>
                <w:color w:val="auto"/>
              </w:rPr>
              <w:t>2018</w:t>
            </w:r>
          </w:p>
        </w:tc>
        <w:tc>
          <w:tcPr>
            <w:tcW w:w="30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23"/>
              <w:spacing w:after="0" w:line="134" w:lineRule="exact"/>
              <w:rPr>
                <w:sz w:val="20"/>
                <w:szCs w:val="20"/>
                <w:color w:val="auto"/>
              </w:rPr>
            </w:pPr>
            <w:r>
              <w:rPr>
                <w:rFonts w:ascii="Arial" w:cs="Arial" w:eastAsia="Arial" w:hAnsi="Arial"/>
                <w:sz w:val="13"/>
                <w:szCs w:val="13"/>
                <w:b w:val="1"/>
                <w:bCs w:val="1"/>
                <w:color w:val="auto"/>
                <w:w w:val="82"/>
              </w:rPr>
              <w:t>2017</w:t>
            </w:r>
          </w:p>
        </w:tc>
        <w:tc>
          <w:tcPr>
            <w:tcW w:w="14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03"/>
              <w:spacing w:after="0" w:line="134" w:lineRule="exact"/>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Revenue</w:t>
            </w:r>
          </w:p>
        </w:tc>
        <w:tc>
          <w:tcPr>
            <w:tcW w:w="134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1,517</w:t>
            </w: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1,517</w:t>
            </w: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1,517</w:t>
            </w:r>
          </w:p>
        </w:tc>
        <w:tc>
          <w:tcPr>
            <w:tcW w:w="3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2,108</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Research and development</w:t>
            </w: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50,435</w:t>
            </w:r>
          </w:p>
        </w:tc>
        <w:tc>
          <w:tcPr>
            <w:tcW w:w="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42,994</w:t>
            </w:r>
          </w:p>
        </w:tc>
        <w:tc>
          <w:tcPr>
            <w:tcW w:w="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60,106</w:t>
            </w: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48,201</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31,665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40" w:type="dxa"/>
            <w:vAlign w:val="bottom"/>
            <w:tcBorders>
              <w:bottom w:val="single" w:sz="8" w:color="CFF0FC"/>
            </w:tcBorders>
            <w:gridSpan w:val="2"/>
          </w:tcPr>
          <w:p>
            <w:pPr>
              <w:ind w:left="220"/>
              <w:spacing w:after="0"/>
              <w:rPr>
                <w:sz w:val="20"/>
                <w:szCs w:val="20"/>
                <w:color w:val="auto"/>
              </w:rPr>
            </w:pPr>
            <w:r>
              <w:rPr>
                <w:rFonts w:ascii="Arial" w:cs="Arial" w:eastAsia="Arial" w:hAnsi="Arial"/>
                <w:sz w:val="16"/>
                <w:szCs w:val="16"/>
                <w:color w:val="auto"/>
              </w:rPr>
              <w:t>General and administrative</w:t>
            </w:r>
          </w:p>
        </w:tc>
        <w:tc>
          <w:tcPr>
            <w:tcW w:w="13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22,505</w:t>
            </w:r>
          </w:p>
        </w:tc>
        <w:tc>
          <w:tcPr>
            <w:tcW w:w="6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16,062</w:t>
            </w:r>
          </w:p>
        </w:tc>
        <w:tc>
          <w:tcPr>
            <w:tcW w:w="6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17,287</w:t>
            </w:r>
          </w:p>
        </w:tc>
        <w:tc>
          <w:tcPr>
            <w:tcW w:w="3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15,861</w:t>
            </w: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34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72,940</w:t>
            </w: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59,056</w:t>
            </w: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77,393</w:t>
            </w:r>
          </w:p>
        </w:tc>
        <w:tc>
          <w:tcPr>
            <w:tcW w:w="3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64,062</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44,986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gridSpan w:val="2"/>
          </w:tcPr>
          <w:p>
            <w:pPr>
              <w:spacing w:after="0"/>
              <w:rPr>
                <w:sz w:val="20"/>
                <w:szCs w:val="20"/>
                <w:color w:val="auto"/>
              </w:rPr>
            </w:pPr>
            <w:r>
              <w:rPr>
                <w:rFonts w:ascii="Arial" w:cs="Arial" w:eastAsia="Arial" w:hAnsi="Arial"/>
                <w:sz w:val="16"/>
                <w:szCs w:val="16"/>
                <w:color w:val="auto"/>
              </w:rPr>
              <w:t>Loss from operations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(71,423)</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w w:val="90"/>
              </w:rPr>
              <w:t>(57,539)</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(75,876)</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0"/>
              </w:rPr>
              <w:t>(61,954)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(43,766)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income (expense)</w:t>
            </w: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(1,516)</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1,571</w:t>
            </w:r>
          </w:p>
        </w:tc>
        <w:tc>
          <w:tcPr>
            <w:tcW w:w="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1,942</w:t>
            </w: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1,421</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40" w:type="dxa"/>
            <w:vAlign w:val="bottom"/>
            <w:gridSpan w:val="2"/>
          </w:tcPr>
          <w:p>
            <w:pPr>
              <w:spacing w:after="0"/>
              <w:rPr>
                <w:sz w:val="20"/>
                <w:szCs w:val="20"/>
                <w:color w:val="auto"/>
              </w:rPr>
            </w:pPr>
            <w:r>
              <w:rPr>
                <w:rFonts w:ascii="Arial" w:cs="Arial" w:eastAsia="Arial" w:hAnsi="Arial"/>
                <w:sz w:val="16"/>
                <w:szCs w:val="16"/>
                <w:color w:val="auto"/>
              </w:rPr>
              <w:t>Other expense, net</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(219)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w w:val="91"/>
              </w:rPr>
              <w:t>(79)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21"/>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193"/>
        </w:trPr>
        <w:tc>
          <w:tcPr>
            <w:tcW w:w="41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Net loss</w:t>
            </w:r>
          </w:p>
        </w:tc>
        <w:tc>
          <w:tcPr>
            <w:tcW w:w="134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(73,158</w:t>
            </w:r>
          </w:p>
        </w:tc>
        <w:tc>
          <w:tcPr>
            <w:tcW w:w="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320" w:type="dxa"/>
            <w:vAlign w:val="bottom"/>
            <w:tcBorders>
              <w:top w:val="single" w:sz="8" w:color="CFF0FC"/>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w w:val="99"/>
              </w:rPr>
              <w:t>(56,047</w:t>
            </w:r>
          </w:p>
        </w:tc>
        <w:tc>
          <w:tcPr>
            <w:tcW w:w="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spacing w:after="0"/>
              <w:rPr>
                <w:sz w:val="16"/>
                <w:szCs w:val="16"/>
                <w:color w:val="auto"/>
              </w:rPr>
            </w:pPr>
          </w:p>
        </w:tc>
        <w:tc>
          <w:tcPr>
            <w:tcW w:w="6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(73,961</w:t>
            </w:r>
          </w:p>
        </w:tc>
        <w:tc>
          <w:tcPr>
            <w:tcW w:w="300" w:type="dxa"/>
            <w:vAlign w:val="bottom"/>
            <w:tcBorders>
              <w:top w:val="single" w:sz="8" w:color="CFF0FC"/>
              <w:bottom w:val="single" w:sz="8" w:color="CFF0FC"/>
            </w:tcBorders>
            <w:shd w:val="clear" w:color="auto" w:fill="CFF0FC"/>
          </w:tcPr>
          <w:p>
            <w:pPr>
              <w:jc w:val="right"/>
              <w:ind w:right="221"/>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shd w:val="clear" w:color="auto" w:fill="CFF0FC"/>
          </w:tcPr>
          <w:p>
            <w:pPr>
              <w:spacing w:after="0"/>
              <w:rPr>
                <w:sz w:val="16"/>
                <w:szCs w:val="16"/>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5"/>
              </w:rPr>
              <w:t>(60,802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(44,472</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6"/>
                <w:szCs w:val="16"/>
                <w:color w:val="auto"/>
              </w:rPr>
              <w:t>Net loss attributable to common</w:t>
            </w: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40" w:type="dxa"/>
            <w:vAlign w:val="bottom"/>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140" w:type="dxa"/>
            <w:vAlign w:val="bottom"/>
            <w:gridSpan w:val="2"/>
          </w:tcPr>
          <w:p>
            <w:pPr>
              <w:ind w:left="120"/>
              <w:spacing w:after="0"/>
              <w:rPr>
                <w:sz w:val="20"/>
                <w:szCs w:val="20"/>
                <w:color w:val="auto"/>
              </w:rPr>
            </w:pPr>
            <w:r>
              <w:rPr>
                <w:rFonts w:ascii="Arial" w:cs="Arial" w:eastAsia="Arial" w:hAnsi="Arial"/>
                <w:sz w:val="16"/>
                <w:szCs w:val="16"/>
                <w:color w:val="auto"/>
              </w:rPr>
              <w:t xml:space="preserve">stockholders </w:t>
            </w:r>
            <w:r>
              <w:rPr>
                <w:rFonts w:ascii="Arial" w:cs="Arial" w:eastAsia="Arial" w:hAnsi="Arial"/>
                <w:sz w:val="13"/>
                <w:szCs w:val="13"/>
                <w:color w:val="auto"/>
              </w:rPr>
              <w:t>(1)</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(77,064)</w:t>
            </w:r>
          </w:p>
        </w:tc>
        <w:tc>
          <w:tcPr>
            <w:tcW w:w="58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620" w:type="dxa"/>
            <w:vAlign w:val="bottom"/>
            <w:gridSpan w:val="4"/>
          </w:tcPr>
          <w:p>
            <w:pPr>
              <w:jc w:val="right"/>
              <w:spacing w:after="0"/>
              <w:rPr>
                <w:sz w:val="20"/>
                <w:szCs w:val="20"/>
                <w:color w:val="auto"/>
              </w:rPr>
            </w:pPr>
            <w:r>
              <w:rPr>
                <w:rFonts w:ascii="Arial" w:cs="Arial" w:eastAsia="Arial" w:hAnsi="Arial"/>
                <w:sz w:val="16"/>
                <w:szCs w:val="16"/>
                <w:color w:val="auto"/>
              </w:rPr>
              <w:t>(56,047)</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20" w:type="dxa"/>
            <w:vAlign w:val="bottom"/>
            <w:gridSpan w:val="4"/>
          </w:tcPr>
          <w:p>
            <w:pPr>
              <w:jc w:val="right"/>
              <w:ind w:right="221"/>
              <w:spacing w:after="0"/>
              <w:rPr>
                <w:sz w:val="20"/>
                <w:szCs w:val="20"/>
                <w:color w:val="auto"/>
              </w:rPr>
            </w:pPr>
            <w:r>
              <w:rPr>
                <w:rFonts w:ascii="Arial" w:cs="Arial" w:eastAsia="Arial" w:hAnsi="Arial"/>
                <w:sz w:val="16"/>
                <w:szCs w:val="16"/>
                <w:color w:val="auto"/>
              </w:rPr>
              <w:t>(73,961)</w:t>
            </w:r>
          </w:p>
        </w:tc>
        <w:tc>
          <w:tcPr>
            <w:tcW w:w="60" w:type="dxa"/>
            <w:vAlign w:val="bottom"/>
          </w:tcPr>
          <w:p>
            <w:pPr>
              <w:spacing w:after="0"/>
              <w:rPr>
                <w:sz w:val="21"/>
                <w:szCs w:val="21"/>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(60,802)</w:t>
            </w:r>
          </w:p>
        </w:tc>
        <w:tc>
          <w:tcPr>
            <w:tcW w:w="1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(47,070)</w:t>
            </w:r>
          </w:p>
        </w:tc>
        <w:tc>
          <w:tcPr>
            <w:tcW w:w="0" w:type="dxa"/>
            <w:vAlign w:val="bottom"/>
          </w:tcPr>
          <w:p>
            <w:pPr>
              <w:spacing w:after="0"/>
              <w:rPr>
                <w:sz w:val="1"/>
                <w:szCs w:val="1"/>
                <w:color w:val="auto"/>
              </w:rPr>
            </w:pPr>
          </w:p>
        </w:tc>
      </w:tr>
      <w:tr>
        <w:trPr>
          <w:trHeight w:val="164"/>
        </w:trPr>
        <w:tc>
          <w:tcPr>
            <w:tcW w:w="4140" w:type="dxa"/>
            <w:vAlign w:val="bottom"/>
            <w:tcBorders>
              <w:top w:val="single" w:sz="8" w:color="CFF0FC"/>
            </w:tcBorders>
            <w:gridSpan w:val="2"/>
            <w:shd w:val="clear" w:color="auto" w:fill="CFF0FC"/>
          </w:tcPr>
          <w:p>
            <w:pPr>
              <w:spacing w:after="0" w:line="165" w:lineRule="exact"/>
              <w:rPr>
                <w:sz w:val="20"/>
                <w:szCs w:val="20"/>
                <w:color w:val="auto"/>
              </w:rPr>
            </w:pPr>
            <w:r>
              <w:rPr>
                <w:rFonts w:ascii="Arial" w:cs="Arial" w:eastAsia="Arial" w:hAnsi="Arial"/>
                <w:sz w:val="16"/>
                <w:szCs w:val="16"/>
                <w:color w:val="auto"/>
              </w:rPr>
              <w:t>Net loss per share attributable to common</w:t>
            </w:r>
          </w:p>
        </w:tc>
        <w:tc>
          <w:tcPr>
            <w:tcW w:w="13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 xml:space="preserve">stockholders--basic and diluted </w:t>
            </w:r>
            <w:r>
              <w:rPr>
                <w:rFonts w:ascii="Arial" w:cs="Arial" w:eastAsia="Arial" w:hAnsi="Arial"/>
                <w:sz w:val="13"/>
                <w:szCs w:val="13"/>
                <w:color w:val="auto"/>
              </w:rPr>
              <w:t>(1)</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58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color w:val="auto"/>
              </w:rPr>
              <w:t>$</w:t>
            </w:r>
          </w:p>
        </w:tc>
        <w:tc>
          <w:tcPr>
            <w:tcW w:w="62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21"/>
              <w:spacing w:after="0"/>
              <w:rPr>
                <w:sz w:val="20"/>
                <w:szCs w:val="20"/>
                <w:color w:val="auto"/>
              </w:rPr>
            </w:pPr>
            <w:r>
              <w:rPr>
                <w:rFonts w:ascii="Arial" w:cs="Arial" w:eastAsia="Arial" w:hAnsi="Arial"/>
                <w:sz w:val="16"/>
                <w:szCs w:val="16"/>
                <w:color w:val="auto"/>
              </w:rPr>
              <w:t>(2.92)</w:t>
            </w:r>
          </w:p>
        </w:tc>
        <w:tc>
          <w:tcPr>
            <w:tcW w:w="6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(2.90)</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6"/>
                <w:szCs w:val="16"/>
                <w:color w:val="auto"/>
              </w:rPr>
              <w:t>Weighted-average common shares</w:t>
            </w:r>
          </w:p>
        </w:tc>
        <w:tc>
          <w:tcPr>
            <w:tcW w:w="1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40" w:type="dxa"/>
            <w:vAlign w:val="bottom"/>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140" w:type="dxa"/>
            <w:vAlign w:val="bottom"/>
            <w:gridSpan w:val="2"/>
          </w:tcPr>
          <w:p>
            <w:pPr>
              <w:ind w:left="120"/>
              <w:spacing w:after="0"/>
              <w:rPr>
                <w:sz w:val="20"/>
                <w:szCs w:val="20"/>
                <w:color w:val="auto"/>
              </w:rPr>
            </w:pPr>
            <w:r>
              <w:rPr>
                <w:rFonts w:ascii="Arial" w:cs="Arial" w:eastAsia="Arial" w:hAnsi="Arial"/>
                <w:sz w:val="16"/>
                <w:szCs w:val="16"/>
                <w:color w:val="auto"/>
              </w:rPr>
              <w:t xml:space="preserve">outstanding--basic and diluted </w:t>
            </w:r>
            <w:r>
              <w:rPr>
                <w:rFonts w:ascii="Arial" w:cs="Arial" w:eastAsia="Arial" w:hAnsi="Arial"/>
                <w:sz w:val="13"/>
                <w:szCs w:val="13"/>
                <w:color w:val="auto"/>
              </w:rPr>
              <w:t>(1)</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w w:val="87"/>
              </w:rPr>
              <w:t>41,308,242</w:t>
            </w:r>
          </w:p>
        </w:tc>
        <w:tc>
          <w:tcPr>
            <w:tcW w:w="60" w:type="dxa"/>
            <w:vAlign w:val="bottom"/>
          </w:tcPr>
          <w:p>
            <w:pPr>
              <w:spacing w:after="0"/>
              <w:rPr>
                <w:sz w:val="17"/>
                <w:szCs w:val="17"/>
                <w:color w:val="auto"/>
              </w:rPr>
            </w:pPr>
          </w:p>
        </w:tc>
        <w:tc>
          <w:tcPr>
            <w:tcW w:w="1140" w:type="dxa"/>
            <w:vAlign w:val="bottom"/>
            <w:gridSpan w:val="5"/>
          </w:tcPr>
          <w:p>
            <w:pPr>
              <w:jc w:val="right"/>
              <w:spacing w:after="0"/>
              <w:rPr>
                <w:sz w:val="20"/>
                <w:szCs w:val="20"/>
                <w:color w:val="auto"/>
              </w:rPr>
            </w:pPr>
            <w:r>
              <w:rPr>
                <w:rFonts w:ascii="Arial" w:cs="Arial" w:eastAsia="Arial" w:hAnsi="Arial"/>
                <w:sz w:val="16"/>
                <w:szCs w:val="16"/>
                <w:color w:val="auto"/>
              </w:rPr>
              <w:t>30,490,783</w:t>
            </w:r>
          </w:p>
        </w:tc>
        <w:tc>
          <w:tcPr>
            <w:tcW w:w="60" w:type="dxa"/>
            <w:vAlign w:val="bottom"/>
          </w:tcPr>
          <w:p>
            <w:pPr>
              <w:spacing w:after="0"/>
              <w:rPr>
                <w:sz w:val="17"/>
                <w:szCs w:val="17"/>
                <w:color w:val="auto"/>
              </w:rPr>
            </w:pPr>
          </w:p>
        </w:tc>
        <w:tc>
          <w:tcPr>
            <w:tcW w:w="1160" w:type="dxa"/>
            <w:vAlign w:val="bottom"/>
            <w:gridSpan w:val="6"/>
          </w:tcPr>
          <w:p>
            <w:pPr>
              <w:jc w:val="right"/>
              <w:spacing w:after="0"/>
              <w:rPr>
                <w:sz w:val="20"/>
                <w:szCs w:val="20"/>
                <w:color w:val="auto"/>
              </w:rPr>
            </w:pPr>
            <w:r>
              <w:rPr>
                <w:rFonts w:ascii="Arial" w:cs="Arial" w:eastAsia="Arial" w:hAnsi="Arial"/>
                <w:sz w:val="16"/>
                <w:szCs w:val="16"/>
                <w:color w:val="auto"/>
              </w:rPr>
              <w:t>25,371,511</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spacing w:after="0"/>
              <w:rPr>
                <w:sz w:val="20"/>
                <w:szCs w:val="20"/>
                <w:color w:val="auto"/>
              </w:rPr>
            </w:pPr>
            <w:r>
              <w:rPr>
                <w:rFonts w:ascii="Arial" w:cs="Arial" w:eastAsia="Arial" w:hAnsi="Arial"/>
                <w:sz w:val="16"/>
                <w:szCs w:val="16"/>
                <w:color w:val="auto"/>
                <w:w w:val="99"/>
              </w:rPr>
              <w:t>20,997,211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14,619,716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6"/>
                <w:szCs w:val="16"/>
                <w:b w:val="1"/>
                <w:bCs w:val="1"/>
                <w:color w:val="auto"/>
                <w:w w:val="87"/>
              </w:rPr>
              <w:t>Consolidated Balance Sheet Data:</w:t>
            </w:r>
          </w:p>
        </w:tc>
        <w:tc>
          <w:tcPr>
            <w:tcW w:w="186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2280" w:type="dxa"/>
            <w:vAlign w:val="bottom"/>
            <w:tcBorders>
              <w:bottom w:val="single" w:sz="8" w:color="auto"/>
            </w:tcBorders>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14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89"/>
              </w:rPr>
              <w:t>December 31,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140" w:type="dxa"/>
            <w:vAlign w:val="bottom"/>
            <w:tcBorders>
              <w:bottom w:val="single" w:sz="8" w:color="CFF0FC"/>
            </w:tcBorders>
            <w:gridSpan w:val="2"/>
            <w:vMerge w:val="continue"/>
          </w:tcPr>
          <w:p>
            <w:pPr>
              <w:spacing w:after="0"/>
              <w:rPr>
                <w:sz w:val="11"/>
                <w:szCs w:val="11"/>
                <w:color w:val="auto"/>
              </w:rPr>
            </w:pPr>
          </w:p>
        </w:tc>
        <w:tc>
          <w:tcPr>
            <w:tcW w:w="13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60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187"/>
              <w:spacing w:after="0" w:line="134" w:lineRule="exact"/>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jc w:val="right"/>
              <w:ind w:right="105"/>
              <w:spacing w:after="0" w:line="134"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241"/>
              <w:spacing w:after="0" w:line="134" w:lineRule="exact"/>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63"/>
              <w:spacing w:after="0" w:line="134" w:lineRule="exact"/>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03"/>
              <w:spacing w:after="0" w:line="134" w:lineRule="exact"/>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140" w:type="dxa"/>
            <w:vAlign w:val="bottom"/>
            <w:gridSpan w:val="2"/>
            <w:shd w:val="clear" w:color="auto" w:fill="CFF0FC"/>
          </w:tcPr>
          <w:p>
            <w:pPr>
              <w:spacing w:after="0" w:line="181" w:lineRule="exact"/>
              <w:rPr>
                <w:sz w:val="20"/>
                <w:szCs w:val="20"/>
                <w:color w:val="auto"/>
              </w:rPr>
            </w:pPr>
            <w:r>
              <w:rPr>
                <w:rFonts w:ascii="Arial" w:cs="Arial" w:eastAsia="Arial" w:hAnsi="Arial"/>
                <w:sz w:val="16"/>
                <w:szCs w:val="16"/>
                <w:color w:val="auto"/>
              </w:rPr>
              <w:t>Cash, cash equivalents, short-term and long-</w:t>
            </w: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term investments</w:t>
            </w: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6"/>
              </w:rPr>
              <w:t>293,065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59,775</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80,911</w:t>
            </w:r>
          </w:p>
        </w:tc>
        <w:tc>
          <w:tcPr>
            <w:tcW w:w="60" w:type="dxa"/>
            <w:vAlign w:val="bottom"/>
            <w:shd w:val="clear" w:color="auto" w:fill="CFF0FC"/>
          </w:tcPr>
          <w:p>
            <w:pPr>
              <w:spacing w:after="0"/>
              <w:rPr>
                <w:sz w:val="17"/>
                <w:szCs w:val="17"/>
                <w:color w:val="auto"/>
              </w:rPr>
            </w:pPr>
          </w:p>
        </w:tc>
        <w:tc>
          <w:tcPr>
            <w:tcW w:w="2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133,220</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105,330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40" w:type="dxa"/>
            <w:vAlign w:val="bottom"/>
            <w:gridSpan w:val="2"/>
          </w:tcPr>
          <w:p>
            <w:pPr>
              <w:spacing w:after="0"/>
              <w:rPr>
                <w:sz w:val="20"/>
                <w:szCs w:val="20"/>
                <w:color w:val="auto"/>
              </w:rPr>
            </w:pPr>
            <w:r>
              <w:rPr>
                <w:rFonts w:ascii="Arial" w:cs="Arial" w:eastAsia="Arial" w:hAnsi="Arial"/>
                <w:sz w:val="16"/>
                <w:szCs w:val="16"/>
                <w:color w:val="auto"/>
              </w:rPr>
              <w:t>Working capital</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w w:val="96"/>
              </w:rPr>
              <w:t>279,992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43,963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67,241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117,644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98,144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assets</w:t>
            </w: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6"/>
              </w:rPr>
              <w:t>300,613</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63,525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83,938</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137,186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109,013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40" w:type="dxa"/>
            <w:vAlign w:val="bottom"/>
            <w:gridSpan w:val="2"/>
          </w:tcPr>
          <w:p>
            <w:pPr>
              <w:spacing w:after="0"/>
              <w:rPr>
                <w:sz w:val="20"/>
                <w:szCs w:val="20"/>
                <w:color w:val="auto"/>
              </w:rPr>
            </w:pPr>
            <w:r>
              <w:rPr>
                <w:rFonts w:ascii="Arial" w:cs="Arial" w:eastAsia="Arial" w:hAnsi="Arial"/>
                <w:sz w:val="16"/>
                <w:szCs w:val="16"/>
                <w:color w:val="auto"/>
              </w:rPr>
              <w:t xml:space="preserve">Accumulated deficit </w:t>
            </w:r>
            <w:r>
              <w:rPr>
                <w:rFonts w:ascii="Arial" w:cs="Arial" w:eastAsia="Arial" w:hAnsi="Arial"/>
                <w:sz w:val="13"/>
                <w:szCs w:val="13"/>
                <w:color w:val="auto"/>
              </w:rPr>
              <w:t>(2)</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ind w:right="123"/>
              <w:spacing w:after="0"/>
              <w:rPr>
                <w:sz w:val="20"/>
                <w:szCs w:val="20"/>
                <w:color w:val="auto"/>
              </w:rPr>
            </w:pPr>
            <w:r>
              <w:rPr>
                <w:rFonts w:ascii="Arial" w:cs="Arial" w:eastAsia="Arial" w:hAnsi="Arial"/>
                <w:sz w:val="16"/>
                <w:szCs w:val="16"/>
                <w:color w:val="auto"/>
                <w:w w:val="90"/>
              </w:rPr>
              <w:t>(568,628)</w:t>
            </w:r>
          </w:p>
        </w:tc>
        <w:tc>
          <w:tcPr>
            <w:tcW w:w="80" w:type="dxa"/>
            <w:vAlign w:val="bottom"/>
          </w:tcPr>
          <w:p>
            <w:pPr>
              <w:spacing w:after="0"/>
              <w:rPr>
                <w:sz w:val="17"/>
                <w:szCs w:val="17"/>
                <w:color w:val="auto"/>
              </w:rPr>
            </w:pPr>
          </w:p>
        </w:tc>
        <w:tc>
          <w:tcPr>
            <w:tcW w:w="820" w:type="dxa"/>
            <w:vAlign w:val="bottom"/>
            <w:gridSpan w:val="5"/>
          </w:tcPr>
          <w:p>
            <w:pPr>
              <w:jc w:val="right"/>
              <w:ind w:right="60"/>
              <w:spacing w:after="0"/>
              <w:rPr>
                <w:sz w:val="20"/>
                <w:szCs w:val="20"/>
                <w:color w:val="auto"/>
              </w:rPr>
            </w:pPr>
            <w:r>
              <w:rPr>
                <w:rFonts w:ascii="Arial" w:cs="Arial" w:eastAsia="Arial" w:hAnsi="Arial"/>
                <w:sz w:val="16"/>
                <w:szCs w:val="16"/>
                <w:color w:val="auto"/>
              </w:rPr>
              <w:t>(495,470)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(439,423)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(366,111)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6"/>
                <w:szCs w:val="16"/>
                <w:color w:val="auto"/>
              </w:rPr>
              <w:t>(305,293)</w:t>
            </w:r>
          </w:p>
        </w:tc>
        <w:tc>
          <w:tcPr>
            <w:tcW w:w="0" w:type="dxa"/>
            <w:vAlign w:val="bottom"/>
          </w:tcPr>
          <w:p>
            <w:pPr>
              <w:spacing w:after="0"/>
              <w:rPr>
                <w:sz w:val="1"/>
                <w:szCs w:val="1"/>
                <w:color w:val="auto"/>
              </w:rPr>
            </w:pPr>
          </w:p>
        </w:tc>
      </w:tr>
      <w:tr>
        <w:trPr>
          <w:trHeight w:val="202"/>
        </w:trPr>
        <w:tc>
          <w:tcPr>
            <w:tcW w:w="4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stockholders' equity (deficit)</w:t>
            </w: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6"/>
              </w:rPr>
              <w:t>252,188</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31,600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53,047</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104,319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84,139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103759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37590" cy="7620"/>
                    </a:xfrm>
                    <a:prstGeom prst="rect">
                      <a:avLst/>
                    </a:prstGeom>
                    <a:noFill/>
                  </pic:spPr>
                </pic:pic>
              </a:graphicData>
            </a:graphic>
          </wp:anchor>
        </w:drawing>
      </w:r>
    </w:p>
    <w:p>
      <w:pPr>
        <w:spacing w:after="0" w:line="133" w:lineRule="exact"/>
        <w:rPr>
          <w:sz w:val="20"/>
          <w:szCs w:val="20"/>
          <w:color w:val="auto"/>
        </w:rPr>
      </w:pPr>
    </w:p>
    <w:p>
      <w:pPr>
        <w:ind w:left="585" w:right="180" w:hanging="585"/>
        <w:spacing w:after="0" w:line="208" w:lineRule="auto"/>
        <w:tabs>
          <w:tab w:leader="none" w:pos="585" w:val="left"/>
        </w:tabs>
        <w:numPr>
          <w:ilvl w:val="0"/>
          <w:numId w:val="39"/>
        </w:numPr>
        <w:rPr>
          <w:rFonts w:ascii="Arial" w:cs="Arial" w:eastAsia="Arial" w:hAnsi="Arial"/>
          <w:sz w:val="23"/>
          <w:szCs w:val="23"/>
          <w:color w:val="auto"/>
          <w:vertAlign w:val="superscript"/>
        </w:rPr>
      </w:pPr>
      <w:r>
        <w:rPr>
          <w:rFonts w:ascii="Arial" w:cs="Arial" w:eastAsia="Arial" w:hAnsi="Arial"/>
          <w:sz w:val="16"/>
          <w:szCs w:val="16"/>
          <w:color w:val="auto"/>
        </w:rPr>
        <w:t>See Note 6 to our consolidated financial statements included elsewhere herein for an explanation of the method used to compute basic and diluted net loss and net loss per share and the weighted-average number of shares used in the computation of the per share amounts.</w:t>
      </w:r>
    </w:p>
    <w:p>
      <w:pPr>
        <w:spacing w:after="0" w:line="25" w:lineRule="exact"/>
        <w:rPr>
          <w:rFonts w:ascii="Arial" w:cs="Arial" w:eastAsia="Arial" w:hAnsi="Arial"/>
          <w:sz w:val="23"/>
          <w:szCs w:val="23"/>
          <w:color w:val="auto"/>
          <w:vertAlign w:val="superscript"/>
        </w:rPr>
      </w:pPr>
    </w:p>
    <w:p>
      <w:pPr>
        <w:ind w:left="585" w:right="240" w:hanging="585"/>
        <w:spacing w:after="0" w:line="208" w:lineRule="auto"/>
        <w:tabs>
          <w:tab w:leader="none" w:pos="585" w:val="left"/>
        </w:tabs>
        <w:numPr>
          <w:ilvl w:val="0"/>
          <w:numId w:val="39"/>
        </w:numPr>
        <w:rPr>
          <w:rFonts w:ascii="Arial" w:cs="Arial" w:eastAsia="Arial" w:hAnsi="Arial"/>
          <w:sz w:val="23"/>
          <w:szCs w:val="23"/>
          <w:color w:val="auto"/>
          <w:vertAlign w:val="superscript"/>
        </w:rPr>
      </w:pPr>
      <w:r>
        <w:rPr>
          <w:rFonts w:ascii="Arial" w:cs="Arial" w:eastAsia="Arial" w:hAnsi="Arial"/>
          <w:sz w:val="16"/>
          <w:szCs w:val="16"/>
          <w:color w:val="auto"/>
        </w:rPr>
        <w:t xml:space="preserve">Accumulated deficit for 2018 includes the impact of the adoption of Accounting Standard Update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The impact on Accumulated deficit was an increase of $648,000.</w:t>
      </w:r>
    </w:p>
    <w:p>
      <w:pPr>
        <w:spacing w:after="0" w:line="18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946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312" w:right="31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04" w:lineRule="exact"/>
        <w:rPr>
          <w:sz w:val="20"/>
          <w:szCs w:val="20"/>
          <w:color w:val="auto"/>
        </w:rPr>
      </w:pPr>
    </w:p>
    <w:p>
      <w:pPr>
        <w:ind w:right="100" w:firstLine="590"/>
        <w:spacing w:after="0" w:line="270" w:lineRule="auto"/>
        <w:rPr>
          <w:sz w:val="20"/>
          <w:szCs w:val="20"/>
          <w:color w:val="auto"/>
        </w:rPr>
      </w:pPr>
      <w:r>
        <w:rPr>
          <w:rFonts w:ascii="Arial" w:cs="Arial" w:eastAsia="Arial" w:hAnsi="Arial"/>
          <w:sz w:val="15"/>
          <w:szCs w:val="15"/>
          <w:i w:val="1"/>
          <w:iCs w:val="1"/>
          <w:color w:val="auto"/>
        </w:rPr>
        <w:t>The following discussion and analysis should be read in conjunction with “Selected Financial Data” and our consolidated financial statements and related notes included elsewhere in this Annual Report on Form 10-K. This discussion and analysis and other parts of this Annual Report on Form 10-K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Annual Report on Form 10-K. You should carefully read the “Risk Factors” section of this Annual Report on Form 10-K to gain an understanding of the important factors that could cause actual results to differ materially from our forward-looking statements. Please also see the section entitled “Special Note Regarding Forward-Looking Statements.”</w:t>
      </w:r>
    </w:p>
    <w:p>
      <w:pPr>
        <w:spacing w:after="0" w:line="62" w:lineRule="exact"/>
        <w:rPr>
          <w:sz w:val="20"/>
          <w:szCs w:val="20"/>
          <w:color w:val="auto"/>
        </w:rPr>
      </w:pPr>
    </w:p>
    <w:p>
      <w:pPr>
        <w:ind w:right="160" w:firstLine="590"/>
        <w:spacing w:after="0" w:line="257" w:lineRule="auto"/>
        <w:rPr>
          <w:sz w:val="20"/>
          <w:szCs w:val="20"/>
          <w:color w:val="auto"/>
        </w:rPr>
      </w:pPr>
      <w:r>
        <w:rPr>
          <w:rFonts w:ascii="Arial" w:cs="Arial" w:eastAsia="Arial" w:hAnsi="Arial"/>
          <w:sz w:val="16"/>
          <w:szCs w:val="16"/>
          <w:i w:val="1"/>
          <w:iCs w:val="1"/>
          <w:color w:val="auto"/>
        </w:rPr>
        <w:t>For the discussion of the financial condition and results of operations for the year ended December 31, 2019 compared to the year ended December 31, 2018, refer to "Management's Discussion and Analysis of Financial Condition and Results of Operations—Results of Operations" and "—Liquidity and Capital Resources" included in the Annual Report on Form 10-K filed with the SEC on March 5, 2020.</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04" w:lineRule="exact"/>
        <w:rPr>
          <w:sz w:val="20"/>
          <w:szCs w:val="20"/>
          <w:color w:val="auto"/>
        </w:rPr>
      </w:pPr>
    </w:p>
    <w:p>
      <w:pPr>
        <w:ind w:firstLine="590"/>
        <w:spacing w:after="0" w:line="271" w:lineRule="auto"/>
        <w:rPr>
          <w:sz w:val="20"/>
          <w:szCs w:val="20"/>
          <w:color w:val="auto"/>
        </w:rPr>
      </w:pPr>
      <w:r>
        <w:rPr>
          <w:rFonts w:ascii="Arial" w:cs="Arial" w:eastAsia="Arial" w:hAnsi="Arial"/>
          <w:sz w:val="15"/>
          <w:szCs w:val="15"/>
          <w:color w:val="auto"/>
        </w:rPr>
        <w:t>We are a clinical stage biopharmaceutical company developing an innovative pipeline of cancer therapies. Our two lead product candidates are, SNDX-5613 and SNDX-6352, or axatilimab. We are developing SNDX-5613, targeting the binding interaction of menin with the mixed lineage leukemia 1 (MLL1) protein for the treatment of MLL-rearranged, or MLLr, acute leukemias and nucleophosmin 1, or NPM1, mutant acute myeloid leukemia (AML), as well as axatilimab, a monoclonal antibody that blocks the colony stimulating factor 1, or CSF-1 receptor. We have deprioritized the development of entinostat, our once-weekly, oral, small molecule, Class I HDAC inhibitor, to focus resources on advancing the remainder of our pipeline. We plan to continue to leverage the technical and business expertise of our management team and scientific collaborators to license, acquire and develop additional therapeutics to expand our pipeline.</w:t>
      </w:r>
    </w:p>
    <w:p>
      <w:pPr>
        <w:spacing w:after="0" w:line="157" w:lineRule="exact"/>
        <w:rPr>
          <w:sz w:val="20"/>
          <w:szCs w:val="20"/>
          <w:color w:val="auto"/>
        </w:rPr>
      </w:pPr>
    </w:p>
    <w:p>
      <w:pPr>
        <w:ind w:right="180" w:firstLine="590"/>
        <w:spacing w:after="0" w:line="294" w:lineRule="auto"/>
        <w:rPr>
          <w:sz w:val="20"/>
          <w:szCs w:val="20"/>
          <w:color w:val="auto"/>
        </w:rPr>
      </w:pPr>
      <w:r>
        <w:rPr>
          <w:rFonts w:ascii="Arial" w:cs="Arial" w:eastAsia="Arial" w:hAnsi="Arial"/>
          <w:sz w:val="14"/>
          <w:szCs w:val="14"/>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years ended December 31, 2020, 2019, and 2018, we reported a net loss of $73.2 million, $56.0 million and $74.0 million, respectively. For the year ended December 31, 2020, 2019, and 2018, we reported a net loss attributable to common stockholders of $77.1 million, $56.0 million and $74.0 million, respectively. As of December 31, 2020, we had an accumulated deficit of $568.6 million, which included non-cash charges for stock-based compensation, preferred stock accretion and extinguishment charges. As of December 31, 2020, we had cash, cash equivalents and short-term investments of $293.1 million.</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Pipeline Updates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SNDX-5613</w:t>
      </w:r>
    </w:p>
    <w:p>
      <w:pPr>
        <w:spacing w:after="0" w:line="104" w:lineRule="exact"/>
        <w:rPr>
          <w:sz w:val="20"/>
          <w:szCs w:val="20"/>
          <w:color w:val="auto"/>
        </w:rPr>
      </w:pPr>
    </w:p>
    <w:p>
      <w:pPr>
        <w:ind w:right="20" w:firstLine="590"/>
        <w:spacing w:after="0" w:line="252" w:lineRule="auto"/>
        <w:rPr>
          <w:sz w:val="20"/>
          <w:szCs w:val="20"/>
          <w:color w:val="auto"/>
        </w:rPr>
      </w:pPr>
      <w:r>
        <w:rPr>
          <w:rFonts w:ascii="Arial" w:cs="Arial" w:eastAsia="Arial" w:hAnsi="Arial"/>
          <w:sz w:val="16"/>
          <w:szCs w:val="16"/>
          <w:color w:val="auto"/>
        </w:rPr>
        <w:t>We plan to share data from the Phase 1 AUGMENT-101 trial of SNDX-5613, our highly selective, oral menin inhibitor, in patients with mixed lineage leukemia rearranged (MLL-r) and nucleophosmin (NPM1) mutant acute leukemias late in the first quarter or early in the second quarter of 2021. Additional details regarding the presentation, which will feature the trial’s principal investigator, Eytan M. Stein, M.D. Assistant Attending Physician and Director, Program for Drug Development in Leukemia, Department of Medicine at Memorial Sloan Kettering Cancer Center, will be announced in the coming weeks. We remain on track to initiate the Phase 2 portion of the trial in the second quarter of 2021, which could potentially serve as the basis for a regulatory filing.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Axatilimab</w:t>
      </w:r>
    </w:p>
    <w:p>
      <w:pPr>
        <w:spacing w:after="0" w:line="104" w:lineRule="exact"/>
        <w:rPr>
          <w:sz w:val="20"/>
          <w:szCs w:val="20"/>
          <w:color w:val="auto"/>
        </w:rPr>
      </w:pPr>
    </w:p>
    <w:p>
      <w:pPr>
        <w:jc w:val="both"/>
        <w:ind w:right="60" w:firstLine="595"/>
        <w:spacing w:after="0" w:line="258" w:lineRule="auto"/>
        <w:rPr>
          <w:sz w:val="20"/>
          <w:szCs w:val="20"/>
          <w:color w:val="auto"/>
        </w:rPr>
      </w:pPr>
      <w:r>
        <w:rPr>
          <w:rFonts w:ascii="Arial" w:cs="Arial" w:eastAsia="Arial" w:hAnsi="Arial"/>
          <w:sz w:val="16"/>
          <w:szCs w:val="16"/>
          <w:color w:val="auto"/>
        </w:rPr>
        <w:t>At the 62</w:t>
      </w:r>
      <w:r>
        <w:rPr>
          <w:rFonts w:ascii="Arial" w:cs="Arial" w:eastAsia="Arial" w:hAnsi="Arial"/>
          <w:sz w:val="13"/>
          <w:szCs w:val="13"/>
          <w:color w:val="auto"/>
        </w:rPr>
        <w:t>nd</w:t>
      </w:r>
      <w:r>
        <w:rPr>
          <w:rFonts w:ascii="Arial" w:cs="Arial" w:eastAsia="Arial" w:hAnsi="Arial"/>
          <w:sz w:val="16"/>
          <w:szCs w:val="16"/>
          <w:color w:val="auto"/>
        </w:rPr>
        <w:t xml:space="preserve"> American Society of Hematology (ASH) Annual Meeting and Exposition in December 2020, we reported updated data from its Phase 1 trial of axatilimab, its anti-CSF-1R monoclonal antibody, in patients with chronic graft versus host disease (cGVHD). Data demonstrated deep, durable responses and multiorgan clinical benefit in patients refractory to multiple therapeutic agents.</w:t>
      </w:r>
    </w:p>
    <w:p>
      <w:pPr>
        <w:spacing w:after="0" w:line="165" w:lineRule="exact"/>
        <w:rPr>
          <w:sz w:val="20"/>
          <w:szCs w:val="20"/>
          <w:color w:val="auto"/>
        </w:rPr>
      </w:pPr>
    </w:p>
    <w:p>
      <w:pPr>
        <w:ind w:right="80" w:firstLine="595"/>
        <w:spacing w:after="0" w:line="283" w:lineRule="auto"/>
        <w:rPr>
          <w:sz w:val="20"/>
          <w:szCs w:val="20"/>
          <w:color w:val="auto"/>
        </w:rPr>
      </w:pPr>
      <w:r>
        <w:rPr>
          <w:rFonts w:ascii="Arial" w:cs="Arial" w:eastAsia="Arial" w:hAnsi="Arial"/>
          <w:sz w:val="15"/>
          <w:szCs w:val="15"/>
          <w:color w:val="auto"/>
        </w:rPr>
        <w:t>We announced that the pivotal Phase 2 AGAVE-201 trial, which will evaluate the safety and efficacy of three doses and schedules of axatilimab in patients with cGVHD, began enrolling earlier this quarter. The primary endpoint will assess objective response rate based on the 2014 NIH consensus criteria for GVHD, with key secondary endpoints including duration of response and improvement in modified Lee Symptom Scale score. We expect to report topline data in 2023.</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Business Update</w:t>
      </w:r>
    </w:p>
    <w:p>
      <w:pPr>
        <w:spacing w:after="0" w:line="104" w:lineRule="exact"/>
        <w:rPr>
          <w:sz w:val="20"/>
          <w:szCs w:val="20"/>
          <w:color w:val="auto"/>
        </w:rPr>
      </w:pPr>
    </w:p>
    <w:p>
      <w:pPr>
        <w:ind w:right="120" w:firstLine="595"/>
        <w:spacing w:after="0" w:line="271" w:lineRule="auto"/>
        <w:rPr>
          <w:sz w:val="20"/>
          <w:szCs w:val="20"/>
          <w:color w:val="auto"/>
        </w:rPr>
      </w:pPr>
      <w:r>
        <w:rPr>
          <w:rFonts w:ascii="Arial" w:cs="Arial" w:eastAsia="Arial" w:hAnsi="Arial"/>
          <w:sz w:val="15"/>
          <w:szCs w:val="15"/>
          <w:color w:val="auto"/>
        </w:rPr>
        <w:t>We have implemented business continuity plans designed to address and mitigate the impact of the ongoing COVID-19 pandemic on our employees and our business. While we are not experiencing financial impacts at this time, given the global economic slowdown, the overall disruption of global healthcare systems and the other risks and uncertainties associated with the pandemic, our business, financial condition, results of operations and growth prospects could be materially adversely affected. We continue to closely monitor the COVID-19 situation as we evolve our business continuity plans and response strategy. In March 2020, our workforce transitioned to working remotely. We are currently considering plans to reopen our offices to allow employees to return to the office, which will be based on an approach that is principles-based and local in design, with a focus on employee safety and optimal work environment.</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Supply Chain</w:t>
      </w:r>
    </w:p>
    <w:p>
      <w:pPr>
        <w:spacing w:after="0" w:line="100" w:lineRule="exact"/>
        <w:rPr>
          <w:sz w:val="20"/>
          <w:szCs w:val="20"/>
          <w:color w:val="auto"/>
        </w:rPr>
      </w:pPr>
    </w:p>
    <w:p>
      <w:pPr>
        <w:ind w:firstLine="595"/>
        <w:spacing w:after="0" w:line="252" w:lineRule="auto"/>
        <w:rPr>
          <w:sz w:val="20"/>
          <w:szCs w:val="20"/>
          <w:color w:val="auto"/>
        </w:rPr>
      </w:pPr>
      <w:r>
        <w:rPr>
          <w:rFonts w:ascii="Arial" w:cs="Arial" w:eastAsia="Arial" w:hAnsi="Arial"/>
          <w:sz w:val="16"/>
          <w:szCs w:val="16"/>
          <w:color w:val="auto"/>
        </w:rPr>
        <w:t>We are working closely our third-party manufacturers, distributors and other partners to manage our supply chain activities and mitigate potential disruptions to our product supplies as a result of the COVID-19 pandemic. We currently expect to have adequate supplies of SNDX-5613 and axatilimab. If the COVID-19 pandemic continues to persist for an extended period of time and begins to impact essential distribution systems such as FedEx and postal delivery or if it results in facility closures facility closures for cleaning and/or insufficient staff, we could experience disruptions to our supply chain and operations, and associated delays in the manufacturing and supply of our products, and to continue our clinical trial operations.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Clinical Development</w:t>
      </w:r>
    </w:p>
    <w:p>
      <w:pPr>
        <w:spacing w:after="0" w:line="100" w:lineRule="exact"/>
        <w:rPr>
          <w:sz w:val="20"/>
          <w:szCs w:val="20"/>
          <w:color w:val="auto"/>
        </w:rPr>
      </w:pPr>
    </w:p>
    <w:p>
      <w:pPr>
        <w:ind w:firstLine="595"/>
        <w:spacing w:after="0" w:line="269" w:lineRule="auto"/>
        <w:rPr>
          <w:sz w:val="20"/>
          <w:szCs w:val="20"/>
          <w:color w:val="auto"/>
        </w:rPr>
      </w:pPr>
      <w:r>
        <w:rPr>
          <w:rFonts w:ascii="Arial" w:cs="Arial" w:eastAsia="Arial" w:hAnsi="Arial"/>
          <w:sz w:val="15"/>
          <w:szCs w:val="15"/>
          <w:color w:val="auto"/>
        </w:rPr>
        <w:t>With respect to clinical development, we have taken measures to implement remote and virtual approaches, including remote patient monitoring where possible, to maintain patient safety and trial continuity and to preserve study integrity. We have not yet, but may experience, a disruption or delay in our ability to initiate trial sites and enroll and assess patients. As the COVID-19 pandemic continues, we anticipate a potential impact on our ability to maintain patient enrollment in the AUGMENT-101 and cGVHD trials.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COVID-19 pandemic. If the COVID-19 pandemic continues and persists for an extended period of time, we could experience significant disruptions to our clinical development timelines, which would adversely affect our business, financial condition, results of operations and growth prospects.</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Corporate Development</w:t>
      </w:r>
    </w:p>
    <w:p>
      <w:pPr>
        <w:spacing w:after="0" w:line="100" w:lineRule="exact"/>
        <w:rPr>
          <w:sz w:val="20"/>
          <w:szCs w:val="20"/>
          <w:color w:val="auto"/>
        </w:rPr>
      </w:pPr>
    </w:p>
    <w:p>
      <w:pPr>
        <w:ind w:right="60" w:firstLine="595"/>
        <w:spacing w:after="0" w:line="294" w:lineRule="auto"/>
        <w:rPr>
          <w:sz w:val="20"/>
          <w:szCs w:val="20"/>
          <w:color w:val="auto"/>
        </w:rPr>
      </w:pPr>
      <w:r>
        <w:rPr>
          <w:rFonts w:ascii="Arial" w:cs="Arial" w:eastAsia="Arial" w:hAnsi="Arial"/>
          <w:sz w:val="14"/>
          <w:szCs w:val="14"/>
          <w:color w:val="auto"/>
        </w:rPr>
        <w:t>With our strong cash balance, we anticipate having sufficient liquidity to make planned investments in our business this year in support of our long-term growth strategy. We believe that our cash, cash equivalents and marketable securities as of March 11, 2021 will fund our current operating plans through at least the next 12 months. However, our operating plan may change as a result of many factors currently unknown to us, and we may need to seek additional funds sooner than planned, through public or private equity or debt financings, third-party funding, marketing and distribution arrangements, as well as other collaborations, strategic alliances and licensing arrangements, or any combination of these approaches. However, 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502" w:right="379" w:bottom="1440" w:gutter="0" w:footer="0" w:header="0"/>
        </w:sectPr>
      </w:pPr>
    </w:p>
    <w:bookmarkStart w:id="64" w:name="page65"/>
    <w:bookmarkEnd w:id="64"/>
    <w:p>
      <w:pPr>
        <w:ind w:left="580"/>
        <w:spacing w:after="0"/>
        <w:rPr>
          <w:sz w:val="20"/>
          <w:szCs w:val="20"/>
          <w:color w:val="auto"/>
        </w:rPr>
      </w:pPr>
      <w:r>
        <w:rPr>
          <w:rFonts w:ascii="Arial" w:cs="Arial" w:eastAsia="Arial" w:hAnsi="Arial"/>
          <w:sz w:val="16"/>
          <w:szCs w:val="16"/>
          <w:b w:val="1"/>
          <w:bCs w:val="1"/>
          <w:i w:val="1"/>
          <w:iCs w:val="1"/>
          <w:color w:val="auto"/>
        </w:rPr>
        <w:t>Other Financial and Corporate Impacts</w:t>
      </w:r>
    </w:p>
    <w:p>
      <w:pPr>
        <w:spacing w:after="0" w:line="100" w:lineRule="exact"/>
        <w:rPr>
          <w:sz w:val="20"/>
          <w:szCs w:val="20"/>
          <w:color w:val="auto"/>
        </w:rPr>
      </w:pPr>
    </w:p>
    <w:p>
      <w:pPr>
        <w:ind w:right="260" w:firstLine="590"/>
        <w:spacing w:after="0" w:line="251" w:lineRule="auto"/>
        <w:rPr>
          <w:sz w:val="20"/>
          <w:szCs w:val="20"/>
          <w:color w:val="auto"/>
        </w:rPr>
      </w:pPr>
      <w:r>
        <w:rPr>
          <w:rFonts w:ascii="Arial" w:cs="Arial" w:eastAsia="Arial" w:hAnsi="Arial"/>
          <w:sz w:val="16"/>
          <w:szCs w:val="16"/>
          <w:color w:val="auto"/>
        </w:rPr>
        <w:t>While we continue to evaluate whether the COVID-19 pandemic will adversely affect our business operations and financial results, our clinical development and regulatory efforts, our corporate development objectives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United States, Europe and other countries, and the effectiveness of actions taken globally to contain and treat the disease. For example, if remote work policies for certain portions of our business, or that of our business partners, are extended longer than we currently expect, we may need to reassess our priorities and our corporate objectives for the year.</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Overview</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00" w:lineRule="exact"/>
        <w:rPr>
          <w:sz w:val="20"/>
          <w:szCs w:val="20"/>
          <w:color w:val="auto"/>
        </w:rPr>
      </w:pPr>
    </w:p>
    <w:p>
      <w:pPr>
        <w:ind w:firstLine="590"/>
        <w:spacing w:after="0" w:line="271" w:lineRule="auto"/>
        <w:rPr>
          <w:sz w:val="20"/>
          <w:szCs w:val="20"/>
          <w:color w:val="auto"/>
        </w:rPr>
      </w:pPr>
      <w:r>
        <w:rPr>
          <w:rFonts w:ascii="Arial" w:cs="Arial" w:eastAsia="Arial" w:hAnsi="Arial"/>
          <w:sz w:val="15"/>
          <w:szCs w:val="15"/>
          <w:color w:val="auto"/>
        </w:rPr>
        <w:t>To date, we have not generated any product revenues. Our ability to generate revenue and become profitable depends upon our ability to obtain marketing approval of and successfully commercialize our product candidates. Our revenues for the years ended December 31, 2020 and 2019 have been solely derived from our license agreement with Kyowa Kirin Co., Ltd., or KKC, under which we granted KKC an exclusive license to develop and commercialize entinostat in Japan and Korea, or the KKC license agreement. In 2015, we received a $25.0 million upfront payment from KKC, inclusive of an equity investment. We allocated $17.3 million of the upfront payment to the license fee, and such fee is being recognized as revenue ratably over our expected performance period (currently expected to be through 2029). The balance of the upfront payment of $7.7 million was allocated to KKC purchase of shares of our convertible preferred stock.</w:t>
      </w:r>
    </w:p>
    <w:p>
      <w:pPr>
        <w:spacing w:after="0" w:line="157" w:lineRule="exact"/>
        <w:rPr>
          <w:sz w:val="20"/>
          <w:szCs w:val="20"/>
          <w:color w:val="auto"/>
        </w:rPr>
      </w:pPr>
    </w:p>
    <w:p>
      <w:pPr>
        <w:ind w:right="20" w:firstLine="590"/>
        <w:spacing w:after="0" w:line="257" w:lineRule="auto"/>
        <w:rPr>
          <w:sz w:val="20"/>
          <w:szCs w:val="20"/>
          <w:color w:val="auto"/>
        </w:rPr>
      </w:pPr>
      <w:r>
        <w:rPr>
          <w:rFonts w:ascii="Arial" w:cs="Arial" w:eastAsia="Arial" w:hAnsi="Arial"/>
          <w:sz w:val="16"/>
          <w:szCs w:val="16"/>
          <w:color w:val="auto"/>
        </w:rPr>
        <w:t>In October 2017, KKC enrolled the first Japanese patient into a local pivotal study of entinostat for the treatment of hormone receptor positive, human epidermal growth factor receptor 2 negative breast cancer. In accordance with the terms of the KKC License Agreement, in December 2017 we received a $5.0 million milestone payment from KKC for achievement of the development milestone.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00" w:lineRule="exact"/>
        <w:rPr>
          <w:sz w:val="20"/>
          <w:szCs w:val="20"/>
          <w:color w:val="auto"/>
        </w:rPr>
      </w:pPr>
    </w:p>
    <w:p>
      <w:pPr>
        <w:ind w:right="200" w:firstLine="590"/>
        <w:spacing w:after="0" w:line="268" w:lineRule="auto"/>
        <w:rPr>
          <w:sz w:val="20"/>
          <w:szCs w:val="20"/>
          <w:color w:val="auto"/>
        </w:rPr>
      </w:pPr>
      <w:r>
        <w:rPr>
          <w:rFonts w:ascii="Arial" w:cs="Arial" w:eastAsia="Arial" w:hAnsi="Arial"/>
          <w:sz w:val="16"/>
          <w:szCs w:val="16"/>
          <w:color w:val="auto"/>
        </w:rPr>
        <w:t>Since our inception, we have primarily focused on our clinical development programs. Research and development expenses consist primarily of costs incurred for the development of our product candidates and include:</w:t>
      </w:r>
    </w:p>
    <w:p>
      <w:pPr>
        <w:spacing w:after="0" w:line="63" w:lineRule="exact"/>
        <w:rPr>
          <w:sz w:val="20"/>
          <w:szCs w:val="20"/>
          <w:color w:val="auto"/>
        </w:rPr>
      </w:pPr>
    </w:p>
    <w:p>
      <w:pPr>
        <w:ind w:left="1160" w:right="180" w:hanging="585"/>
        <w:spacing w:after="0" w:line="268" w:lineRule="auto"/>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expenses incurred under agreements related to our clinical trials, including the costs for investigative sites and contract research organizations, or CROs, that conduct our clinical trials;</w:t>
      </w:r>
    </w:p>
    <w:p>
      <w:pPr>
        <w:spacing w:after="0" w:line="62" w:lineRule="exact"/>
        <w:rPr>
          <w:rFonts w:ascii="Arial" w:cs="Arial" w:eastAsia="Arial" w:hAnsi="Arial"/>
          <w:sz w:val="16"/>
          <w:szCs w:val="16"/>
          <w:color w:val="auto"/>
        </w:rPr>
      </w:pPr>
    </w:p>
    <w:p>
      <w:pPr>
        <w:ind w:left="1160" w:right="40" w:hanging="585"/>
        <w:spacing w:after="0" w:line="268" w:lineRule="auto"/>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employee-related expenses associated with our research and development activities, including salaries, benefits, travel and non-cash stock-based compensation expenses;</w:t>
      </w:r>
    </w:p>
    <w:p>
      <w:pPr>
        <w:spacing w:after="0" w:line="62" w:lineRule="exact"/>
        <w:rPr>
          <w:rFonts w:ascii="Arial" w:cs="Arial" w:eastAsia="Arial" w:hAnsi="Arial"/>
          <w:sz w:val="16"/>
          <w:szCs w:val="16"/>
          <w:color w:val="auto"/>
        </w:rPr>
      </w:pPr>
    </w:p>
    <w:p>
      <w:pPr>
        <w:ind w:left="1160" w:hanging="585"/>
        <w:spacing w:after="0"/>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manufacturing process-development, clinical supplies and technology-transfer expenses;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license fees and milestone payments under our license agreements;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consulting fees paid to third parties;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allocated facilities and overhead expenses; and</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costs associated with regulatory operations and regulatory compliance requirements.</w:t>
      </w:r>
    </w:p>
    <w:p>
      <w:pPr>
        <w:spacing w:after="0" w:line="219" w:lineRule="exact"/>
        <w:rPr>
          <w:sz w:val="20"/>
          <w:szCs w:val="20"/>
          <w:color w:val="auto"/>
        </w:rPr>
      </w:pPr>
    </w:p>
    <w:p>
      <w:pPr>
        <w:jc w:val="both"/>
        <w:ind w:right="80" w:firstLine="590"/>
        <w:spacing w:after="0" w:line="257" w:lineRule="auto"/>
        <w:rPr>
          <w:sz w:val="20"/>
          <w:szCs w:val="20"/>
          <w:color w:val="auto"/>
        </w:rPr>
      </w:pPr>
      <w:r>
        <w:rPr>
          <w:rFonts w:ascii="Arial" w:cs="Arial" w:eastAsia="Arial" w:hAnsi="Arial"/>
          <w:sz w:val="16"/>
          <w:szCs w:val="16"/>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65" w:name="page66"/>
    <w:bookmarkEnd w:id="65"/>
    <w:p>
      <w:pPr>
        <w:ind w:firstLine="590"/>
        <w:spacing w:after="0" w:line="252" w:lineRule="auto"/>
        <w:rPr>
          <w:sz w:val="20"/>
          <w:szCs w:val="20"/>
          <w:color w:val="auto"/>
        </w:rPr>
      </w:pPr>
      <w:r>
        <w:rPr>
          <w:rFonts w:ascii="Arial" w:cs="Arial" w:eastAsia="Arial" w:hAnsi="Arial"/>
          <w:sz w:val="16"/>
          <w:szCs w:val="16"/>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 From inception through December 31, 2020, we have incurred $305.2 million in research and development expenses.</w:t>
      </w:r>
    </w:p>
    <w:p>
      <w:pPr>
        <w:spacing w:after="0" w:line="171" w:lineRule="exact"/>
        <w:rPr>
          <w:sz w:val="20"/>
          <w:szCs w:val="20"/>
          <w:color w:val="auto"/>
        </w:rPr>
      </w:pPr>
    </w:p>
    <w:p>
      <w:pPr>
        <w:ind w:right="400" w:firstLine="590"/>
        <w:spacing w:after="0" w:line="257" w:lineRule="auto"/>
        <w:rPr>
          <w:sz w:val="20"/>
          <w:szCs w:val="20"/>
          <w:color w:val="auto"/>
        </w:rPr>
      </w:pPr>
      <w:r>
        <w:rPr>
          <w:rFonts w:ascii="Arial" w:cs="Arial" w:eastAsia="Arial" w:hAnsi="Arial"/>
          <w:sz w:val="16"/>
          <w:szCs w:val="16"/>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2" w:lineRule="exact"/>
        <w:rPr>
          <w:sz w:val="20"/>
          <w:szCs w:val="20"/>
          <w:color w:val="auto"/>
        </w:rPr>
      </w:pPr>
    </w:p>
    <w:p>
      <w:pPr>
        <w:ind w:left="1160" w:hanging="585"/>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per patient costs;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number of patients that participate;</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number of sites;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countries in which the studies and trials are conducted;</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length of time required to enroll eligible patients;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potential additional safety monitoring or other studies requested by regulatory agencies;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duration of patient monitoring;</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efficacy and safety profile of the product candidates; and</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timing and receipt of any regulatory approvals.</w:t>
      </w:r>
    </w:p>
    <w:p>
      <w:pPr>
        <w:spacing w:after="0" w:line="219" w:lineRule="exact"/>
        <w:rPr>
          <w:sz w:val="20"/>
          <w:szCs w:val="20"/>
          <w:color w:val="auto"/>
        </w:rPr>
      </w:pPr>
    </w:p>
    <w:p>
      <w:pPr>
        <w:ind w:right="300" w:firstLine="590"/>
        <w:spacing w:after="0" w:line="302" w:lineRule="auto"/>
        <w:rPr>
          <w:sz w:val="20"/>
          <w:szCs w:val="20"/>
          <w:color w:val="auto"/>
        </w:rPr>
      </w:pPr>
      <w:r>
        <w:rPr>
          <w:rFonts w:ascii="Arial" w:cs="Arial" w:eastAsia="Arial" w:hAnsi="Arial"/>
          <w:sz w:val="14"/>
          <w:szCs w:val="14"/>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00" w:lineRule="exact"/>
        <w:rPr>
          <w:sz w:val="20"/>
          <w:szCs w:val="20"/>
          <w:color w:val="auto"/>
        </w:rPr>
      </w:pPr>
    </w:p>
    <w:p>
      <w:pPr>
        <w:ind w:firstLine="590"/>
        <w:spacing w:after="0" w:line="271" w:lineRule="auto"/>
        <w:rPr>
          <w:sz w:val="20"/>
          <w:szCs w:val="20"/>
          <w:color w:val="auto"/>
        </w:rPr>
      </w:pPr>
      <w:r>
        <w:rPr>
          <w:rFonts w:ascii="Arial" w:cs="Arial" w:eastAsia="Arial" w:hAnsi="Arial"/>
          <w:sz w:val="15"/>
          <w:szCs w:val="15"/>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Interest Income</w:t>
      </w:r>
    </w:p>
    <w:p>
      <w:pPr>
        <w:spacing w:after="0" w:line="100" w:lineRule="exact"/>
        <w:rPr>
          <w:sz w:val="20"/>
          <w:szCs w:val="20"/>
          <w:color w:val="auto"/>
        </w:rPr>
      </w:pPr>
    </w:p>
    <w:p>
      <w:pPr>
        <w:ind w:right="400" w:firstLine="590"/>
        <w:spacing w:after="0" w:line="268" w:lineRule="auto"/>
        <w:rPr>
          <w:sz w:val="20"/>
          <w:szCs w:val="20"/>
          <w:color w:val="auto"/>
        </w:rPr>
      </w:pPr>
      <w:r>
        <w:rPr>
          <w:rFonts w:ascii="Arial" w:cs="Arial" w:eastAsia="Arial" w:hAnsi="Arial"/>
          <w:sz w:val="16"/>
          <w:szCs w:val="16"/>
          <w:color w:val="auto"/>
        </w:rPr>
        <w:t>Interest income consists of interest income earned on our cash, cash equivalents and short-term investment balances. Interest expense consists primarily of interest expense on operating and capital leases.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Interest expense consists primarily of interest expense on our term loan, operational and capital leases.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66" w:name="page67"/>
    <w:bookmarkEnd w:id="66"/>
    <w:p>
      <w:pPr>
        <w:ind w:left="580"/>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00" w:lineRule="exact"/>
        <w:rPr>
          <w:sz w:val="20"/>
          <w:szCs w:val="20"/>
          <w:color w:val="auto"/>
        </w:rPr>
      </w:pPr>
    </w:p>
    <w:p>
      <w:pPr>
        <w:ind w:right="80" w:firstLine="590"/>
        <w:spacing w:after="0" w:line="311" w:lineRule="auto"/>
        <w:rPr>
          <w:sz w:val="20"/>
          <w:szCs w:val="20"/>
          <w:color w:val="auto"/>
        </w:rPr>
      </w:pPr>
      <w:r>
        <w:rPr>
          <w:rFonts w:ascii="Arial" w:cs="Arial" w:eastAsia="Arial" w:hAnsi="Arial"/>
          <w:sz w:val="14"/>
          <w:szCs w:val="14"/>
          <w:color w:val="auto"/>
        </w:rPr>
        <w:t>From time to time, new accounting pronouncements are issued by the Financial Accounting Standards Board, or FASB, or other standard setting bodies and adopted by us as of the specified effective date. Unless otherwise discussed in Note 3 to our audited consolidated financial statements included in this Annual Report on Form 10-K, we believe that the impact of recently issued standards that are not yet effective will not have a material impact on our financial position or results of operations upon adoption.</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Critical Accounting Policies and Use of Estimates</w:t>
      </w:r>
    </w:p>
    <w:p>
      <w:pPr>
        <w:spacing w:after="0" w:line="100" w:lineRule="exact"/>
        <w:rPr>
          <w:sz w:val="20"/>
          <w:szCs w:val="20"/>
          <w:color w:val="auto"/>
        </w:rPr>
      </w:pPr>
    </w:p>
    <w:p>
      <w:pPr>
        <w:ind w:right="60" w:firstLine="590"/>
        <w:spacing w:after="0" w:line="271" w:lineRule="auto"/>
        <w:rPr>
          <w:sz w:val="20"/>
          <w:szCs w:val="20"/>
          <w:color w:val="auto"/>
        </w:rPr>
      </w:pPr>
      <w:r>
        <w:rPr>
          <w:rFonts w:ascii="Arial" w:cs="Arial" w:eastAsia="Arial" w:hAnsi="Arial"/>
          <w:sz w:val="15"/>
          <w:szCs w:val="15"/>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and liabilities, revenues and expenses, and other financial information.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57" w:lineRule="exact"/>
        <w:rPr>
          <w:sz w:val="20"/>
          <w:szCs w:val="20"/>
          <w:color w:val="auto"/>
        </w:rPr>
      </w:pPr>
    </w:p>
    <w:p>
      <w:pPr>
        <w:jc w:val="both"/>
        <w:ind w:right="60" w:firstLine="590"/>
        <w:spacing w:after="0" w:line="257" w:lineRule="auto"/>
        <w:rPr>
          <w:sz w:val="20"/>
          <w:szCs w:val="20"/>
          <w:color w:val="auto"/>
        </w:rPr>
      </w:pPr>
      <w:r>
        <w:rPr>
          <w:rFonts w:ascii="Arial" w:cs="Arial" w:eastAsia="Arial" w:hAnsi="Arial"/>
          <w:sz w:val="16"/>
          <w:szCs w:val="16"/>
          <w:color w:val="auto"/>
        </w:rPr>
        <w:t>While our significant accounting policies are more fully described in Note 3 to our consolidated financial statements included elsewhere in this Annual Report on Form 10-K, we believe that the following accounting policies are critical to the process of making significant judgments and estimates in the preparation of our consolidated financial statements and understanding and evaluating our reported financial results.</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Revenue from Contracts with Customers</w:t>
      </w:r>
    </w:p>
    <w:p>
      <w:pPr>
        <w:spacing w:after="0" w:line="195" w:lineRule="exact"/>
        <w:rPr>
          <w:sz w:val="20"/>
          <w:szCs w:val="20"/>
          <w:color w:val="auto"/>
        </w:rPr>
      </w:pPr>
    </w:p>
    <w:p>
      <w:pPr>
        <w:ind w:right="40" w:firstLine="590"/>
        <w:spacing w:after="0" w:line="269" w:lineRule="auto"/>
        <w:rPr>
          <w:sz w:val="20"/>
          <w:szCs w:val="20"/>
          <w:color w:val="auto"/>
        </w:rPr>
      </w:pPr>
      <w:r>
        <w:rPr>
          <w:rFonts w:ascii="Arial" w:cs="Arial" w:eastAsia="Arial" w:hAnsi="Arial"/>
          <w:sz w:val="15"/>
          <w:szCs w:val="15"/>
          <w:color w:val="auto"/>
        </w:rPr>
        <w:t>For license fee revenues, we applied and may continue to apply significant judgment to our KKC Agreement. We evaluated whether our contractual obligations represented distinct performance obligations. Such evaluation required judgment since it was made from the customer’s perspective. We determined that our performance obligations under the collaboration at contract inception were not distinct and represented a single performance obligation. The KKC agreement also includes variable consideration. We assess variable consideration at each reporting period as to whether it is not subject to significant future reversal and, therefore, should be included in the transaction price. For development milestones related to the KKC Agreement, we do not take a substantive role or control the research, development or commercialization of any products generated by KKC. Therefore, we are not able to reasonably estimate when, if at all, any development milestone payments may be payable to us. As such, the development milestone payments associated with the KKC Agreement involve a substantial degree of uncertainty and risk that they may never be received. Sales-based milestones and royalties will be recognized as royalty revenue in the period the related sale occurred.</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Accrued Research and Development Expenses</w:t>
      </w:r>
    </w:p>
    <w:p>
      <w:pPr>
        <w:spacing w:after="0" w:line="100" w:lineRule="exact"/>
        <w:rPr>
          <w:sz w:val="20"/>
          <w:szCs w:val="20"/>
          <w:color w:val="auto"/>
        </w:rPr>
      </w:pPr>
    </w:p>
    <w:p>
      <w:pPr>
        <w:ind w:firstLine="590"/>
        <w:spacing w:after="0" w:line="271" w:lineRule="auto"/>
        <w:rPr>
          <w:sz w:val="20"/>
          <w:szCs w:val="20"/>
          <w:color w:val="auto"/>
        </w:rPr>
      </w:pPr>
      <w:r>
        <w:rPr>
          <w:rFonts w:ascii="Arial" w:cs="Arial" w:eastAsia="Arial" w:hAnsi="Arial"/>
          <w:sz w:val="15"/>
          <w:szCs w:val="15"/>
          <w:color w:val="auto"/>
        </w:rPr>
        <w:t>As part of the process of preparing our consolidated financial statements, we are required to estimate our accrued research and development expenses. This process involves reviewing contracts and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We make estimates of our accrued expenses as of each balance sheet date in our consolidated financial statements based on facts and circumstances known to us at that time. Examples of estimated accrued research and development expenses include fees paid to contract research organizations, or CROs, and investigative sites in connection with clinical studies and to vendors related to product manufacturing and development of clinical supplies.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67" w:name="page68"/>
    <w:bookmarkEnd w:id="67"/>
    <w:p>
      <w:pPr>
        <w:ind w:right="80" w:firstLine="590"/>
        <w:spacing w:after="0" w:line="250"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out of our control,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we have not experienced any significant adjustments to our estimates.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summarizes our results of operations for the years ended December 31, 2020, 2019 and 2018:</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Years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4"/>
          </w:tcPr>
          <w:p>
            <w:pPr>
              <w:jc w:val="center"/>
              <w:ind w:left="24"/>
              <w:spacing w:after="0"/>
              <w:rPr>
                <w:sz w:val="20"/>
                <w:szCs w:val="20"/>
                <w:color w:val="auto"/>
              </w:rPr>
            </w:pPr>
            <w:r>
              <w:rPr>
                <w:rFonts w:ascii="Arial" w:cs="Arial" w:eastAsia="Arial" w:hAnsi="Arial"/>
                <w:sz w:val="13"/>
                <w:szCs w:val="13"/>
                <w:b w:val="1"/>
                <w:bCs w:val="1"/>
                <w:color w:val="auto"/>
                <w:w w:val="87"/>
              </w:rPr>
              <w:t>2020 - 2019 Increase</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5"/>
          </w:tcPr>
          <w:p>
            <w:pPr>
              <w:jc w:val="center"/>
              <w:ind w:right="440"/>
              <w:spacing w:after="0"/>
              <w:rPr>
                <w:sz w:val="20"/>
                <w:szCs w:val="20"/>
                <w:color w:val="auto"/>
              </w:rPr>
            </w:pPr>
            <w:r>
              <w:rPr>
                <w:rFonts w:ascii="Arial" w:cs="Arial" w:eastAsia="Arial" w:hAnsi="Arial"/>
                <w:sz w:val="13"/>
                <w:szCs w:val="13"/>
                <w:b w:val="1"/>
                <w:bCs w:val="1"/>
                <w:color w:val="auto"/>
                <w:w w:val="85"/>
              </w:rPr>
              <w:t>2019 - 2018 Increase</w:t>
            </w:r>
          </w:p>
        </w:tc>
        <w:tc>
          <w:tcPr>
            <w:tcW w:w="0" w:type="dxa"/>
            <w:vAlign w:val="bottom"/>
          </w:tcPr>
          <w:p>
            <w:pPr>
              <w:spacing w:after="0"/>
              <w:rPr>
                <w:sz w:val="1"/>
                <w:szCs w:val="1"/>
                <w:color w:val="auto"/>
              </w:rPr>
            </w:pPr>
          </w:p>
        </w:tc>
      </w:tr>
      <w:tr>
        <w:trPr>
          <w:trHeight w:val="150"/>
        </w:trPr>
        <w:tc>
          <w:tcPr>
            <w:tcW w:w="286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8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3"/>
                <w:szCs w:val="13"/>
                <w:b w:val="1"/>
                <w:bCs w:val="1"/>
                <w:color w:val="auto"/>
                <w:w w:val="85"/>
              </w:rPr>
              <w:t>December 31,</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left="244"/>
              <w:spacing w:after="0"/>
              <w:rPr>
                <w:sz w:val="20"/>
                <w:szCs w:val="20"/>
                <w:color w:val="auto"/>
              </w:rPr>
            </w:pPr>
            <w:r>
              <w:rPr>
                <w:rFonts w:ascii="Arial" w:cs="Arial" w:eastAsia="Arial" w:hAnsi="Arial"/>
                <w:sz w:val="13"/>
                <w:szCs w:val="13"/>
                <w:b w:val="1"/>
                <w:bCs w:val="1"/>
                <w:color w:val="auto"/>
                <w:w w:val="84"/>
              </w:rPr>
              <w:t>(Decrease)</w:t>
            </w: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left="284"/>
              <w:spacing w:after="0"/>
              <w:rPr>
                <w:sz w:val="20"/>
                <w:szCs w:val="20"/>
                <w:color w:val="auto"/>
              </w:rPr>
            </w:pPr>
            <w:r>
              <w:rPr>
                <w:rFonts w:ascii="Arial" w:cs="Arial" w:eastAsia="Arial" w:hAnsi="Arial"/>
                <w:sz w:val="13"/>
                <w:szCs w:val="13"/>
                <w:b w:val="1"/>
                <w:bCs w:val="1"/>
                <w:color w:val="auto"/>
                <w:w w:val="84"/>
              </w:rPr>
              <w:t>(Decrease)</w:t>
            </w: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860" w:type="dxa"/>
            <w:vAlign w:val="bottom"/>
            <w:tcBorders>
              <w:bottom w:val="single" w:sz="8" w:color="CFF0FC"/>
            </w:tcBorders>
            <w:vMerge w:val="continue"/>
          </w:tcPr>
          <w:p>
            <w:pPr>
              <w:spacing w:after="0"/>
              <w:rPr>
                <w:sz w:val="11"/>
                <w:szCs w:val="11"/>
                <w:color w:val="auto"/>
              </w:rPr>
            </w:pPr>
          </w:p>
        </w:tc>
        <w:tc>
          <w:tcPr>
            <w:tcW w:w="86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2"/>
              <w:spacing w:after="0" w:line="134" w:lineRule="exact"/>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22"/>
              <w:spacing w:after="0" w:line="134" w:lineRule="exact"/>
              <w:rPr>
                <w:sz w:val="20"/>
                <w:szCs w:val="20"/>
                <w:color w:val="auto"/>
              </w:rPr>
            </w:pPr>
            <w:r>
              <w:rPr>
                <w:rFonts w:ascii="Arial" w:cs="Arial" w:eastAsia="Arial" w:hAnsi="Arial"/>
                <w:sz w:val="13"/>
                <w:szCs w:val="13"/>
                <w:b w:val="1"/>
                <w:bCs w:val="1"/>
                <w:color w:val="auto"/>
                <w:w w:val="82"/>
              </w:rPr>
              <w:t>2019</w:t>
            </w:r>
          </w:p>
        </w:tc>
        <w:tc>
          <w:tcPr>
            <w:tcW w:w="1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2"/>
              <w:spacing w:after="0" w:line="134"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304"/>
              <w:spacing w:after="0" w:line="134"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CFF0FC"/>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304"/>
              <w:spacing w:after="0" w:line="134"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82"/>
              <w:spacing w:after="0" w:line="134"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60" w:type="dxa"/>
            <w:vAlign w:val="bottom"/>
          </w:tcPr>
          <w:p>
            <w:pPr>
              <w:ind w:left="220"/>
              <w:spacing w:after="0"/>
              <w:rPr>
                <w:sz w:val="20"/>
                <w:szCs w:val="20"/>
                <w:color w:val="auto"/>
              </w:rPr>
            </w:pPr>
            <w:r>
              <w:rPr>
                <w:rFonts w:ascii="Arial" w:cs="Arial" w:eastAsia="Arial" w:hAnsi="Arial"/>
                <w:sz w:val="16"/>
                <w:szCs w:val="16"/>
                <w:color w:val="auto"/>
              </w:rPr>
              <w:t>License fees</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1,517</w:t>
            </w:r>
          </w:p>
        </w:tc>
        <w:tc>
          <w:tcPr>
            <w:tcW w:w="260" w:type="dxa"/>
            <w:vAlign w:val="bottom"/>
          </w:tcPr>
          <w:p>
            <w:pPr>
              <w:spacing w:after="0"/>
              <w:rPr>
                <w:sz w:val="18"/>
                <w:szCs w:val="18"/>
                <w:color w:val="auto"/>
              </w:rPr>
            </w:pPr>
          </w:p>
        </w:tc>
        <w:tc>
          <w:tcPr>
            <w:tcW w:w="180" w:type="dxa"/>
            <w:vAlign w:val="bottom"/>
          </w:tcPr>
          <w:p>
            <w:pPr>
              <w:jc w:val="right"/>
              <w:ind w:right="32"/>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1,517</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1,517</w:t>
            </w:r>
          </w:p>
        </w:tc>
        <w:tc>
          <w:tcPr>
            <w:tcW w:w="1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2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8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860" w:type="dxa"/>
            <w:vAlign w:val="bottom"/>
            <w:vMerge w:val="continue"/>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1,517</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w:t>
            </w:r>
          </w:p>
        </w:tc>
        <w:tc>
          <w:tcPr>
            <w:tcW w:w="20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8"/>
        </w:trPr>
        <w:tc>
          <w:tcPr>
            <w:tcW w:w="2860" w:type="dxa"/>
            <w:vAlign w:val="bottom"/>
          </w:tcPr>
          <w:p>
            <w:pPr>
              <w:spacing w:after="0"/>
              <w:rPr>
                <w:sz w:val="20"/>
                <w:szCs w:val="20"/>
                <w:color w:val="auto"/>
              </w:rPr>
            </w:pPr>
            <w:r>
              <w:rPr>
                <w:rFonts w:ascii="Arial" w:cs="Arial" w:eastAsia="Arial" w:hAnsi="Arial"/>
                <w:sz w:val="16"/>
                <w:szCs w:val="16"/>
                <w:color w:val="auto"/>
              </w:rPr>
              <w:t>Operating expenses:</w:t>
            </w:r>
          </w:p>
        </w:tc>
        <w:tc>
          <w:tcPr>
            <w:tcW w:w="8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Research and development</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50,435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(17,112)</w:t>
            </w: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2"/>
        </w:trPr>
        <w:tc>
          <w:tcPr>
            <w:tcW w:w="286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22,505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16,062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17,287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6,443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(1,225)</w:t>
            </w: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2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8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860" w:type="dxa"/>
            <w:vAlign w:val="bottom"/>
            <w:vMerge w:val="continue"/>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72,940</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59,056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77,393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13,884</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(18,337)</w:t>
            </w:r>
          </w:p>
        </w:tc>
        <w:tc>
          <w:tcPr>
            <w:tcW w:w="2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6"/>
                <w:szCs w:val="16"/>
                <w:color w:val="auto"/>
              </w:rPr>
              <w:t>Loss from operations</w:t>
            </w: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(71,423)</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(57,539)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(75,876)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13,884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(18,337)</w:t>
            </w:r>
          </w:p>
        </w:tc>
        <w:tc>
          <w:tcPr>
            <w:tcW w:w="2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4"/>
        </w:trPr>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Other (expense) income:</w:t>
            </w: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(730)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(371)</w:t>
            </w: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4"/>
        </w:trPr>
        <w:tc>
          <w:tcPr>
            <w:tcW w:w="28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Interest expense</w:t>
            </w: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(2,357)</w:t>
            </w: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(2,357)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2"/>
        </w:trPr>
        <w:tc>
          <w:tcPr>
            <w:tcW w:w="2860" w:type="dxa"/>
            <w:vAlign w:val="bottom"/>
          </w:tcPr>
          <w:p>
            <w:pPr>
              <w:ind w:left="220"/>
              <w:spacing w:after="0"/>
              <w:rPr>
                <w:sz w:val="20"/>
                <w:szCs w:val="20"/>
                <w:color w:val="auto"/>
              </w:rPr>
            </w:pPr>
            <w:r>
              <w:rPr>
                <w:rFonts w:ascii="Arial" w:cs="Arial" w:eastAsia="Arial" w:hAnsi="Arial"/>
                <w:sz w:val="16"/>
                <w:szCs w:val="16"/>
                <w:color w:val="auto"/>
              </w:rPr>
              <w:t>Other (expense) income, net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(219)</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(140)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w w:val="96"/>
              </w:rPr>
              <w:t>(177)%</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
        </w:trPr>
        <w:tc>
          <w:tcPr>
            <w:tcW w:w="2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other income</w:t>
            </w:r>
          </w:p>
        </w:tc>
        <w:tc>
          <w:tcPr>
            <w:tcW w:w="8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860" w:type="dxa"/>
            <w:vAlign w:val="bottom"/>
            <w:vMerge w:val="continue"/>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(1,735)</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1,915</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(3,227)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6"/>
              </w:rPr>
              <w:t>(216)%</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(423)</w:t>
            </w:r>
          </w:p>
        </w:tc>
        <w:tc>
          <w:tcPr>
            <w:tcW w:w="2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vMerge w:val="continue"/>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(73,158)</w:t>
            </w:r>
          </w:p>
        </w:tc>
        <w:tc>
          <w:tcPr>
            <w:tcW w:w="180" w:type="dxa"/>
            <w:vAlign w:val="bottom"/>
          </w:tcPr>
          <w:p>
            <w:pPr>
              <w:jc w:val="right"/>
              <w:ind w:right="32"/>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(56,047)</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(73,961)</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17,111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31%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(17,914)</w:t>
            </w:r>
          </w:p>
        </w:tc>
        <w:tc>
          <w:tcPr>
            <w:tcW w:w="2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right="340"/>
        <w:spacing w:after="0" w:line="233" w:lineRule="auto"/>
        <w:rPr>
          <w:sz w:val="20"/>
          <w:szCs w:val="20"/>
          <w:color w:val="auto"/>
        </w:rPr>
      </w:pPr>
      <w:r>
        <w:rPr>
          <w:rFonts w:ascii="Arial" w:cs="Arial" w:eastAsia="Arial" w:hAnsi="Arial"/>
          <w:sz w:val="13"/>
          <w:szCs w:val="13"/>
          <w:i w:val="1"/>
          <w:iCs w:val="1"/>
          <w:color w:val="auto"/>
        </w:rPr>
        <w:t>For a comparison of our results of operations for the fiscal years ended December 31, 2019 and December 31, 2018, see “Part II, Item 7. Management’s Discussion and Analysis of Financial Condition and Results of Operations” of our Annual Report on Form 10-K for the fiscal year ended December 31, 2019, filed with the SEC on March 7, 2020.</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years ended December 31, 2020 and 2019:</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License Fees</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the years ended December 31, 2020 and 2019, we recognized license fees of $1.5 million, derived from the KKC license agreement.</w:t>
      </w:r>
    </w:p>
    <w:p>
      <w:pPr>
        <w:spacing w:after="0" w:line="29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00" w:lineRule="exact"/>
        <w:rPr>
          <w:sz w:val="20"/>
          <w:szCs w:val="20"/>
          <w:color w:val="auto"/>
        </w:rPr>
      </w:pPr>
    </w:p>
    <w:p>
      <w:pPr>
        <w:ind w:right="100" w:firstLine="590"/>
        <w:spacing w:after="0" w:line="254" w:lineRule="auto"/>
        <w:rPr>
          <w:sz w:val="20"/>
          <w:szCs w:val="20"/>
          <w:color w:val="auto"/>
        </w:rPr>
      </w:pPr>
      <w:r>
        <w:rPr>
          <w:rFonts w:ascii="Arial" w:cs="Arial" w:eastAsia="Arial" w:hAnsi="Arial"/>
          <w:sz w:val="16"/>
          <w:szCs w:val="16"/>
          <w:color w:val="auto"/>
        </w:rPr>
        <w:t>For the year ended December 31, 2020, our total research and development expenses increased by $7.4 million, or 17%, to $50.4 million from $43.0 million for the prior year due to increases in clinical trial activities expenses of $5.9 million, professional expenses of $1.4 million, and employee related expenses of $0.1 million. The increase in clinical activities expenses was due to increased study activities related to SNDX-5613 of $5.3 million, increased study activity related to axatilimab of $3.7 million, and in SNDX-5613 CMC activities of $3.7 million. In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68" w:name="page69"/>
    <w:bookmarkEnd w:id="68"/>
    <w:p>
      <w:pPr>
        <w:ind w:right="60"/>
        <w:spacing w:after="0" w:line="276" w:lineRule="auto"/>
        <w:rPr>
          <w:sz w:val="20"/>
          <w:szCs w:val="20"/>
          <w:color w:val="auto"/>
        </w:rPr>
      </w:pPr>
      <w:r>
        <w:rPr>
          <w:rFonts w:ascii="Arial" w:cs="Arial" w:eastAsia="Arial" w:hAnsi="Arial"/>
          <w:sz w:val="15"/>
          <w:szCs w:val="15"/>
          <w:color w:val="auto"/>
        </w:rPr>
        <w:t>2020, we also recognized a $2.0 million expense upon the achievement of a certain milestone in connection with the axatilimab program. These increases were partially offset by the $4.0 million expense for achievement of certain milestones in connection with the menin program in 2019, reduced activities associated with our entinostat programs of $3.8 million, and decreased axatilimab CMC activities of $1.0 million. The increase in professional fees is primarily due to increased clinical consulting of $0.5 million, increased medical affairs activities of $0.5 million, increase in biostatistic activities of $0.2 million, and quality assurance consulting of $0.2 million.</w:t>
      </w:r>
    </w:p>
    <w:p>
      <w:pPr>
        <w:spacing w:after="0" w:line="154" w:lineRule="exact"/>
        <w:rPr>
          <w:sz w:val="20"/>
          <w:szCs w:val="20"/>
          <w:color w:val="auto"/>
        </w:rPr>
      </w:pPr>
    </w:p>
    <w:p>
      <w:pPr>
        <w:ind w:right="200" w:firstLine="590"/>
        <w:spacing w:after="0" w:line="268" w:lineRule="auto"/>
        <w:rPr>
          <w:sz w:val="20"/>
          <w:szCs w:val="20"/>
          <w:color w:val="auto"/>
        </w:rPr>
      </w:pPr>
      <w:r>
        <w:rPr>
          <w:rFonts w:ascii="Arial" w:cs="Arial" w:eastAsia="Arial" w:hAnsi="Arial"/>
          <w:sz w:val="16"/>
          <w:szCs w:val="16"/>
          <w:color w:val="auto"/>
        </w:rPr>
        <w:t>We expect research and development expenses to fluctuate from quarter to quarter depending on the timing of clinical trial activities, clinical manufacturing and other development activities.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Research and development expenses consisted of the following:</w:t>
      </w:r>
    </w:p>
    <w:tbl>
      <w:tblPr>
        <w:tblLayout w:type="fixed"/>
        <w:tblInd w:w="0" w:type="dxa"/>
        <w:tblCellMar>
          <w:top w:w="0" w:type="dxa"/>
          <w:left w:w="0" w:type="dxa"/>
          <w:bottom w:w="0" w:type="dxa"/>
          <w:right w:w="0" w:type="dxa"/>
        </w:tblCellMar>
      </w:tblPr>
      <w:tr>
        <w:trPr>
          <w:trHeight w:val="140"/>
        </w:trPr>
        <w:tc>
          <w:tcPr>
            <w:tcW w:w="4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right"/>
              <w:ind w:right="47"/>
              <w:spacing w:after="0" w:line="140" w:lineRule="exact"/>
              <w:rPr>
                <w:sz w:val="20"/>
                <w:szCs w:val="20"/>
                <w:color w:val="auto"/>
              </w:rPr>
            </w:pPr>
            <w:r>
              <w:rPr>
                <w:rFonts w:ascii="Arial" w:cs="Arial" w:eastAsia="Arial" w:hAnsi="Arial"/>
                <w:sz w:val="13"/>
                <w:szCs w:val="13"/>
                <w:b w:val="1"/>
                <w:bCs w:val="1"/>
                <w:color w:val="auto"/>
              </w:rPr>
              <w:t>Years Ended</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left="349"/>
              <w:spacing w:after="0" w:line="140" w:lineRule="exact"/>
              <w:rPr>
                <w:sz w:val="20"/>
                <w:szCs w:val="20"/>
                <w:color w:val="auto"/>
              </w:rPr>
            </w:pPr>
            <w:r>
              <w:rPr>
                <w:rFonts w:ascii="Arial" w:cs="Arial" w:eastAsia="Arial" w:hAnsi="Arial"/>
                <w:sz w:val="13"/>
                <w:szCs w:val="13"/>
                <w:b w:val="1"/>
                <w:bCs w:val="1"/>
                <w:color w:val="auto"/>
                <w:w w:val="83"/>
              </w:rPr>
              <w:t>Increase</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50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1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3"/>
                <w:szCs w:val="13"/>
                <w:b w:val="1"/>
                <w:bCs w:val="1"/>
                <w:color w:val="auto"/>
              </w:rPr>
              <w:t>December 31,</w:t>
            </w: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ind w:left="349"/>
              <w:spacing w:after="0"/>
              <w:rPr>
                <w:sz w:val="20"/>
                <w:szCs w:val="20"/>
                <w:color w:val="auto"/>
              </w:rPr>
            </w:pPr>
            <w:r>
              <w:rPr>
                <w:rFonts w:ascii="Arial" w:cs="Arial" w:eastAsia="Arial" w:hAnsi="Arial"/>
                <w:sz w:val="13"/>
                <w:szCs w:val="13"/>
                <w:b w:val="1"/>
                <w:bCs w:val="1"/>
                <w:color w:val="auto"/>
                <w:w w:val="84"/>
              </w:rPr>
              <w:t>(Decrease)</w:t>
            </w: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500" w:type="dxa"/>
            <w:vAlign w:val="bottom"/>
            <w:tcBorders>
              <w:bottom w:val="single" w:sz="8" w:color="CFF0FC"/>
            </w:tcBorders>
            <w:vMerge w:val="continue"/>
          </w:tcPr>
          <w:p>
            <w:pPr>
              <w:spacing w:after="0"/>
              <w:rPr>
                <w:sz w:val="11"/>
                <w:szCs w:val="11"/>
                <w:color w:val="auto"/>
              </w:rPr>
            </w:pPr>
          </w:p>
        </w:tc>
        <w:tc>
          <w:tcPr>
            <w:tcW w:w="166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69"/>
              <w:spacing w:after="0" w:line="134"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5"/>
              <w:spacing w:after="0" w:line="134" w:lineRule="exact"/>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69"/>
              <w:spacing w:after="0" w:line="134" w:lineRule="exact"/>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CFF0FC"/>
            </w:tcBorders>
          </w:tcPr>
          <w:p>
            <w:pPr>
              <w:spacing w:after="0"/>
              <w:rPr>
                <w:sz w:val="11"/>
                <w:szCs w:val="11"/>
                <w:color w:val="auto"/>
              </w:rPr>
            </w:pPr>
          </w:p>
        </w:tc>
        <w:tc>
          <w:tcPr>
            <w:tcW w:w="740" w:type="dxa"/>
            <w:vAlign w:val="bottom"/>
            <w:tcBorders>
              <w:bottom w:val="single" w:sz="8" w:color="auto"/>
            </w:tcBorders>
          </w:tcPr>
          <w:p>
            <w:pPr>
              <w:jc w:val="right"/>
              <w:ind w:right="245"/>
              <w:spacing w:after="0" w:line="134" w:lineRule="exact"/>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External research and development expenses</w:t>
            </w:r>
          </w:p>
        </w:tc>
        <w:tc>
          <w:tcPr>
            <w:tcW w:w="166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36,303</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28,990</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7,313</w:t>
            </w:r>
          </w:p>
        </w:tc>
        <w:tc>
          <w:tcPr>
            <w:tcW w:w="2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20"/>
                <w:szCs w:val="20"/>
                <w:color w:val="auto"/>
              </w:rPr>
            </w:pPr>
            <w:r>
              <w:rPr>
                <w:rFonts w:ascii="Arial" w:cs="Arial" w:eastAsia="Arial" w:hAnsi="Arial"/>
                <w:sz w:val="16"/>
                <w:szCs w:val="16"/>
                <w:color w:val="auto"/>
              </w:rPr>
              <w:t>Internal research and development expenses</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14,132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14,004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w:t>
            </w:r>
          </w:p>
        </w:tc>
        <w:tc>
          <w:tcPr>
            <w:tcW w:w="2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research and development expenses</w:t>
            </w:r>
          </w:p>
        </w:tc>
        <w:tc>
          <w:tcPr>
            <w:tcW w:w="1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00" w:type="dxa"/>
            <w:vAlign w:val="bottom"/>
            <w:vMerge w:val="continue"/>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50,435</w:t>
            </w:r>
          </w:p>
        </w:tc>
        <w:tc>
          <w:tcPr>
            <w:tcW w:w="600" w:type="dxa"/>
            <w:vAlign w:val="bottom"/>
            <w:gridSpan w:val="2"/>
            <w:shd w:val="clear" w:color="auto" w:fill="CFF0FC"/>
          </w:tcPr>
          <w:p>
            <w:pPr>
              <w:jc w:val="right"/>
              <w:ind w:right="167"/>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42,994</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7,441</w:t>
            </w: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00" w:lineRule="exact"/>
        <w:rPr>
          <w:sz w:val="20"/>
          <w:szCs w:val="20"/>
          <w:color w:val="auto"/>
        </w:rPr>
      </w:pPr>
    </w:p>
    <w:p>
      <w:pPr>
        <w:ind w:right="120" w:firstLine="590"/>
        <w:spacing w:after="0" w:line="294" w:lineRule="auto"/>
        <w:rPr>
          <w:sz w:val="20"/>
          <w:szCs w:val="20"/>
          <w:color w:val="auto"/>
        </w:rPr>
      </w:pPr>
      <w:r>
        <w:rPr>
          <w:rFonts w:ascii="Arial" w:cs="Arial" w:eastAsia="Arial" w:hAnsi="Arial"/>
          <w:sz w:val="14"/>
          <w:szCs w:val="14"/>
          <w:color w:val="2E2E2E"/>
        </w:rPr>
        <w:t>For the year ended December 31, 2020, our total general and administrative expenses increased by $6.4 million, or 40%, to $22.5 million, from $16.1 million for the prior year. The increase in general and administrative expenses was primarily due to increased employee related expenses of $3.7 million and increased professional fees of $2.7 million. The increase in employee related expenses is primarily due to an increase in stock compensation expense of $2.7 million and $1.2 million for salary and benefits due to increased headcount, partially offset by reduced travel of $0.2 million. The increased stock compensation expense includes $1.0 million related to the modification of option agreements in connection with the retirement of a certain employee. The increase in professional fees was primarily due to increased pre-commercialization activities of $1.3 million in anticipation of our entinostat readout, increased director’s’ and officers’ insurance of $0.9 million, increased legal fees of $0.4 and audit fees of $0.1 million.</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Interest Income</w:t>
      </w:r>
    </w:p>
    <w:p>
      <w:pPr>
        <w:spacing w:after="0" w:line="100" w:lineRule="exact"/>
        <w:rPr>
          <w:sz w:val="20"/>
          <w:szCs w:val="20"/>
          <w:color w:val="auto"/>
        </w:rPr>
      </w:pPr>
    </w:p>
    <w:p>
      <w:pPr>
        <w:ind w:right="520" w:firstLine="590"/>
        <w:spacing w:after="0" w:line="268" w:lineRule="auto"/>
        <w:rPr>
          <w:sz w:val="20"/>
          <w:szCs w:val="20"/>
          <w:color w:val="auto"/>
        </w:rPr>
      </w:pPr>
      <w:r>
        <w:rPr>
          <w:rFonts w:ascii="Arial" w:cs="Arial" w:eastAsia="Arial" w:hAnsi="Arial"/>
          <w:sz w:val="16"/>
          <w:szCs w:val="16"/>
          <w:color w:val="auto"/>
        </w:rPr>
        <w:t>For the year ended December 31, 2020, interest income, decreased $0.7 million from the prior year. This decrease was primarily due to a lower average cash and investment balance and lower interest rates on our investments.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Interest expense consists primarily of interest expense on our term loan, operational and capital leases. The increase is primarily due to our term loan.</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00" w:lineRule="exact"/>
        <w:rPr>
          <w:sz w:val="20"/>
          <w:szCs w:val="20"/>
          <w:color w:val="auto"/>
        </w:rPr>
      </w:pPr>
    </w:p>
    <w:p>
      <w:pPr>
        <w:ind w:right="120" w:firstLine="590"/>
        <w:spacing w:after="0" w:line="292" w:lineRule="auto"/>
        <w:rPr>
          <w:sz w:val="20"/>
          <w:szCs w:val="20"/>
          <w:color w:val="auto"/>
        </w:rPr>
      </w:pPr>
      <w:r>
        <w:rPr>
          <w:rFonts w:ascii="Arial" w:cs="Arial" w:eastAsia="Arial" w:hAnsi="Arial"/>
          <w:sz w:val="14"/>
          <w:szCs w:val="14"/>
          <w:color w:val="auto"/>
        </w:rPr>
        <w:t>As of December 31, 2020, we had cash, cash equivalents and short-term investments totaling $293.1 million. Since our inception, our operations have been primarily financed by net proceeds from our IPO, our follow-on stock offerings, our term loan, sale of convertible preferred stock and convertible debt securities and proceeds from our license agreements. We believe that our cash, cash equivalents and short-term investments as of December 31, 2020,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411" w:right="319" w:bottom="1440" w:gutter="0" w:footer="0" w:header="0"/>
        </w:sectPr>
      </w:pPr>
    </w:p>
    <w:bookmarkStart w:id="69" w:name="page70"/>
    <w:bookmarkEnd w:id="69"/>
    <w:p>
      <w:pPr>
        <w:ind w:left="580"/>
        <w:spacing w:after="0"/>
        <w:rPr>
          <w:sz w:val="20"/>
          <w:szCs w:val="20"/>
          <w:color w:val="auto"/>
        </w:rPr>
      </w:pPr>
      <w:r>
        <w:rPr>
          <w:rFonts w:ascii="Arial" w:cs="Arial" w:eastAsia="Arial" w:hAnsi="Arial"/>
          <w:sz w:val="16"/>
          <w:szCs w:val="16"/>
          <w:color w:val="auto"/>
        </w:rPr>
        <w:t>In December 2020, we sold 6,250,000 shares of our common stock at a price per share of $23.00 for net proceeds of approximately $135.0 million.</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May 2020, we sold 6,388,889 shares of our common stock at a price per share of $18.00 for net proceeds of approximately $107.9 million.</w:t>
      </w:r>
    </w:p>
    <w:p>
      <w:pPr>
        <w:spacing w:after="0" w:line="195" w:lineRule="exact"/>
        <w:rPr>
          <w:sz w:val="20"/>
          <w:szCs w:val="20"/>
          <w:color w:val="auto"/>
        </w:rPr>
      </w:pPr>
    </w:p>
    <w:p>
      <w:pPr>
        <w:jc w:val="both"/>
        <w:ind w:right="200" w:firstLine="590"/>
        <w:spacing w:after="0" w:line="254" w:lineRule="auto"/>
        <w:rPr>
          <w:sz w:val="20"/>
          <w:szCs w:val="20"/>
          <w:color w:val="auto"/>
        </w:rPr>
      </w:pPr>
      <w:r>
        <w:rPr>
          <w:rFonts w:ascii="Arial" w:cs="Arial" w:eastAsia="Arial" w:hAnsi="Arial"/>
          <w:sz w:val="16"/>
          <w:szCs w:val="16"/>
          <w:color w:val="auto"/>
        </w:rPr>
        <w:t>In January 2020, we sold 3,036,719 shares of our common stock at a price per share of $8.00 and pre-funded warrants to purchase 1,338,287 shares of our common stock for gross proceeds of approximately $35.0 million. Upon the completion of the 2020 offering, we had 5,838,287 pre-funded warrant shares outstanding. The pre-funded warrants are exercisable into shares of common stock for $0.0001 per share. The shares of common stock into which the warrants may be exercised are considered outstanding for the purposes of computing earnings per share.</w:t>
      </w:r>
    </w:p>
    <w:p>
      <w:pPr>
        <w:spacing w:after="0" w:line="168" w:lineRule="exact"/>
        <w:rPr>
          <w:sz w:val="20"/>
          <w:szCs w:val="20"/>
          <w:color w:val="auto"/>
        </w:rPr>
      </w:pPr>
    </w:p>
    <w:p>
      <w:pPr>
        <w:ind w:firstLine="590"/>
        <w:spacing w:after="0" w:line="286" w:lineRule="auto"/>
        <w:rPr>
          <w:sz w:val="20"/>
          <w:szCs w:val="20"/>
          <w:color w:val="auto"/>
        </w:rPr>
      </w:pPr>
      <w:r>
        <w:rPr>
          <w:rFonts w:ascii="Arial" w:cs="Arial" w:eastAsia="Arial" w:hAnsi="Arial"/>
          <w:sz w:val="14"/>
          <w:szCs w:val="14"/>
          <w:color w:val="auto"/>
        </w:rPr>
        <w:t>In March 2019, we issued to certain investors an aggregate of 2,095,039 shares of our common stock and 2,500,000 pre-funded warrants to purchase shares of our common stock, at a price of $6.00 per share of common stock and $5.9999 for each pre-funded warrant. We sold the shares of common stock and prefunded warrants together with two series of warrants, Series 1 warrants and Series 2 warrants, to purchase an aggregate of 4,595,039 shares of our common stock. The pre-funded warrants enable the holder to make a cash investment in our common stock without increasing their beneficial ownership in our common stock because the shares of common stock underlying the pre-funded warrant are not issued or issuable until the warrant is actually exercised or becomes exercisable without exceeding the ownership limitations set forth in the pre-funded warrant. Each Series 1 warrant has an initial exercise price of $12.00 per share of common stock and each Series 2 warrant has an initial exercise price of $18.00 per share of common stock, in each case subject to certain adjustments. The Series 1 warrants and Series 2 warrants contain a one-time exercise price adjustment. If we sell shares or share equivalents at less than $12.00 per share at a time when our Series 1 warrants and Series 2 warrants are outstanding, then an exercise price for those warrants would be adjusted downward, which will result in us receiving less proceeds than we otherwise would and could result in further dilution to our stockholders if such warrants were then exercised. As a result of the January 2020 offering, the initial exercise price of the Series 1 warrants was reduced to $10.00 per share and the initial exercise price of the Series 2 warrants was reduced to $13.00 per share. In May 2020, holders of 3,489,131 Series 1 warrants and Series 2 warrants received 1,512,229 shares of common stock in a cashless exercise. In August 2020, a holder of 416,666 Series 1 warrants and Series 2 warrants received 130,151 shares of common stock in a cashless exercise. In November 2020, a holder of 228,373 Series 1 warrants and Series 2 warrants received 100,035 shares of common stock in a cashless exercise and in December 2020, holders of 460,869 Series 1 warrants and Series 2 warrants received 253,526 shares of common stock in a cashless exercise. As of December 31, 2020 all Series 1 warrants and Series 2 warrants have been exercised.</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 and Security Agreement</w:t>
      </w:r>
    </w:p>
    <w:p>
      <w:pPr>
        <w:spacing w:after="0" w:line="100" w:lineRule="exact"/>
        <w:rPr>
          <w:sz w:val="20"/>
          <w:szCs w:val="20"/>
          <w:color w:val="auto"/>
        </w:rPr>
      </w:pPr>
    </w:p>
    <w:p>
      <w:pPr>
        <w:ind w:right="60" w:firstLine="590"/>
        <w:spacing w:after="0" w:line="252" w:lineRule="auto"/>
        <w:rPr>
          <w:sz w:val="20"/>
          <w:szCs w:val="20"/>
          <w:color w:val="auto"/>
        </w:rPr>
      </w:pPr>
      <w:r>
        <w:rPr>
          <w:rFonts w:ascii="Arial" w:cs="Arial" w:eastAsia="Arial" w:hAnsi="Arial"/>
          <w:sz w:val="16"/>
          <w:szCs w:val="16"/>
          <w:color w:val="auto"/>
        </w:rPr>
        <w:t>On February 7, 2020, we entered into a loan and security agreement, or the Loan Agreement, with Hercules Capital, Inc., or Hercules, which provides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which we refer to as the Tranche 2 Advance. We did not request the available additional borrowing by the due date. Borrowings under the Loan Agreement bear interest at an annual rate equal to the greater of (i) 9.85% or (ii) 5.10% plus the Wall Street Journal prime rate.</w:t>
      </w:r>
    </w:p>
    <w:p>
      <w:pPr>
        <w:spacing w:after="0" w:line="171" w:lineRule="exact"/>
        <w:rPr>
          <w:sz w:val="20"/>
          <w:szCs w:val="20"/>
          <w:color w:val="auto"/>
        </w:rPr>
      </w:pPr>
    </w:p>
    <w:p>
      <w:pPr>
        <w:ind w:right="100" w:firstLine="590"/>
        <w:spacing w:after="0" w:line="292" w:lineRule="auto"/>
        <w:rPr>
          <w:sz w:val="20"/>
          <w:szCs w:val="20"/>
          <w:color w:val="auto"/>
        </w:rPr>
      </w:pPr>
      <w:r>
        <w:rPr>
          <w:rFonts w:ascii="Arial" w:cs="Arial" w:eastAsia="Arial" w:hAnsi="Arial"/>
          <w:sz w:val="14"/>
          <w:szCs w:val="14"/>
          <w:color w:val="auto"/>
        </w:rPr>
        <w:t>Borrowings under the Loan Agreement are repayable in monthly interest-only payments through October 1, 2021. After the interest-only payment period, borrowings under the Loan Agreement are repayable in equal monthly payments of principal and accrued interest until the maturity date of the loan, which is September 1, 2023, or the Maturity Date. At our option, we may prepay all, but not less than all, of the outstanding borrowings, subject to a prepayment premium equal to (i) 2.0% of the principal amount outstanding if the prepayment occurs during the first year following the applicable loan being funded, (ii) 1.5% of the principal amount outstanding if the prepayment occurs during the second year following the applicable loan being funded, and (iii) 1.0% of the principal amount outstanding at any time thereafter but prior to the Maturity Date. In addition, we paid a $100,000 facility charge upon closing and will pay a $50,000 facility charge in connection with the Tranche 2 Advance. The Loan Agreement also provides for a final payment, payable upon maturity or the repayment in full of all obligations under the agreement, of up to $998,000.</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70" w:name="page71"/>
    <w:bookmarkEnd w:id="70"/>
    <w:p>
      <w:pPr>
        <w:ind w:right="40" w:firstLine="590"/>
        <w:spacing w:after="0" w:line="288" w:lineRule="auto"/>
        <w:rPr>
          <w:sz w:val="20"/>
          <w:szCs w:val="20"/>
          <w:color w:val="auto"/>
        </w:rPr>
      </w:pPr>
      <w:r>
        <w:rPr>
          <w:rFonts w:ascii="Arial" w:cs="Arial" w:eastAsia="Arial" w:hAnsi="Arial"/>
          <w:sz w:val="14"/>
          <w:szCs w:val="14"/>
          <w:color w:val="auto"/>
        </w:rPr>
        <w:t>Borrowings under the Loan Agreement are collateralized by substantially all of our and our subsidiaries personal property and other assets, other than our intellectual property. The Loan Agreement includes a minimum cash covenant of $12.5 million that has applied commencing on September 30, 2020, subject to reduction upon satisfaction of certain conditions as set forth in the Loan Agreement. As of December 31, 2020, the conditions set forth in the Loan Agreement were met. The cash covenant of $12.5 million was waived.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The Loan Agreement also includes customary events of default, including payment defaults, breaches of covenants following any applicable cure period, the occurrence of certain events that could reasonably be expected to have a “material adverse effect” as set forth in the Loan Agreement, cross acceleration to third-party indebtedness and certain events relating to bankruptcy or insolvency. Upon the occurrence of an event of default, a default interest rate of an additional 5.0% may be applied to the outstanding principal balance, and Hercules may declare all outstanding obligations immediately due and payable and take such other actions as set forth in the Loan Agreement.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At-the-Market Offering Program</w:t>
      </w:r>
    </w:p>
    <w:p>
      <w:pPr>
        <w:spacing w:after="0" w:line="100" w:lineRule="exact"/>
        <w:rPr>
          <w:sz w:val="20"/>
          <w:szCs w:val="20"/>
          <w:color w:val="auto"/>
        </w:rPr>
      </w:pPr>
    </w:p>
    <w:p>
      <w:pPr>
        <w:ind w:firstLine="590"/>
        <w:spacing w:after="0" w:line="252" w:lineRule="auto"/>
        <w:rPr>
          <w:sz w:val="20"/>
          <w:szCs w:val="20"/>
          <w:color w:val="auto"/>
        </w:rPr>
      </w:pPr>
      <w:r>
        <w:rPr>
          <w:rFonts w:ascii="Arial" w:cs="Arial" w:eastAsia="Arial" w:hAnsi="Arial"/>
          <w:sz w:val="16"/>
          <w:szCs w:val="16"/>
          <w:color w:val="auto"/>
        </w:rPr>
        <w:t>In April 2017, we entered into a sales agreement with Cowen, under which we had the ability issue and sell shares of our common stock having aggregate sales proceeds of up to $50.0 million from time to time, or the 2017 ATM Program. Shares sold pursuant to the sales agreement were sold pursuant to a shelf registration statement on Form S-3 (Registration No. 333-217172), which was declared effective on April 20, 2017. The proceeds from the offerings, if any, were used for general corporate purposes, including expenditures for research and development of our drug products. In 2019, prior to the effectiveness of the 2019 ATM Program, we sold 140,819 shares of common stock, with net proceeds of $0.9 million.</w:t>
      </w:r>
    </w:p>
    <w:p>
      <w:pPr>
        <w:spacing w:after="0" w:line="171" w:lineRule="exact"/>
        <w:rPr>
          <w:sz w:val="20"/>
          <w:szCs w:val="20"/>
          <w:color w:val="auto"/>
        </w:rPr>
      </w:pPr>
    </w:p>
    <w:p>
      <w:pPr>
        <w:jc w:val="both"/>
        <w:ind w:right="40" w:firstLine="590"/>
        <w:spacing w:after="0" w:line="287" w:lineRule="auto"/>
        <w:rPr>
          <w:sz w:val="20"/>
          <w:szCs w:val="20"/>
          <w:color w:val="auto"/>
        </w:rPr>
      </w:pPr>
      <w:r>
        <w:rPr>
          <w:rFonts w:ascii="Arial" w:cs="Arial" w:eastAsia="Arial" w:hAnsi="Arial"/>
          <w:sz w:val="14"/>
          <w:szCs w:val="14"/>
          <w:color w:val="auto"/>
        </w:rPr>
        <w:t>In August 2019, we entered into a new sales agreement with Cowen under which we had the ability to issue and sell shares of our common stock having aggregate sales proceeds of up to $50.0 million from time to time pursuant to the ATM program, or the 2019 ATM Program. Cowen was not required to sell any specific amount but acted as our sales agent using commercially reasonable efforts consistent with their normal trading and sales practices. This agreement replaced the sales agreement signed in April 2017.</w:t>
      </w:r>
    </w:p>
    <w:p>
      <w:pPr>
        <w:spacing w:after="0" w:line="2"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Shares sold pursuant to the sales agreement were to be sold pursuant to a shelf registration statement on Form S-3 (Registration No. 333-233564), which was declared effective on September 10, 2019. Our common stock would be sold at prevailing market prices at the time of the sale; and as a result, prices may vary. We agreed to pay Cowen up to 3% of the gross proceeds from any common stock sold through the sales agreement. In the fourth quarter of 2020, the 2019 ATM Program was cancelled in connection with the public offering in December 2020.</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Funding Requirements</w:t>
      </w:r>
    </w:p>
    <w:p>
      <w:pPr>
        <w:spacing w:after="0" w:line="100" w:lineRule="exact"/>
        <w:rPr>
          <w:sz w:val="20"/>
          <w:szCs w:val="20"/>
          <w:color w:val="auto"/>
        </w:rPr>
      </w:pPr>
    </w:p>
    <w:p>
      <w:pPr>
        <w:jc w:val="both"/>
        <w:ind w:right="140" w:firstLine="590"/>
        <w:spacing w:after="0" w:line="257" w:lineRule="auto"/>
        <w:rPr>
          <w:sz w:val="20"/>
          <w:szCs w:val="20"/>
          <w:color w:val="auto"/>
        </w:rPr>
      </w:pPr>
      <w:r>
        <w:rPr>
          <w:rFonts w:ascii="Arial" w:cs="Arial" w:eastAsia="Arial" w:hAnsi="Arial"/>
          <w:sz w:val="16"/>
          <w:szCs w:val="16"/>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167" w:lineRule="exact"/>
        <w:rPr>
          <w:sz w:val="20"/>
          <w:szCs w:val="20"/>
          <w:color w:val="auto"/>
        </w:rPr>
      </w:pPr>
    </w:p>
    <w:p>
      <w:pPr>
        <w:ind w:right="320" w:firstLine="590"/>
        <w:spacing w:after="0" w:line="257" w:lineRule="auto"/>
        <w:rPr>
          <w:sz w:val="20"/>
          <w:szCs w:val="20"/>
          <w:color w:val="auto"/>
        </w:rPr>
      </w:pPr>
      <w:r>
        <w:rPr>
          <w:rFonts w:ascii="Arial" w:cs="Arial" w:eastAsia="Arial" w:hAnsi="Arial"/>
          <w:sz w:val="16"/>
          <w:szCs w:val="16"/>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72" w:lineRule="exact"/>
        <w:rPr>
          <w:sz w:val="20"/>
          <w:szCs w:val="20"/>
          <w:color w:val="auto"/>
        </w:rPr>
      </w:pPr>
    </w:p>
    <w:p>
      <w:pPr>
        <w:ind w:left="1160" w:hanging="585"/>
        <w:spacing w:after="0"/>
        <w:tabs>
          <w:tab w:leader="none" w:pos="11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initiation, progress, timing, costs and results of clinical trials of our product candidates;</w:t>
      </w:r>
    </w:p>
    <w:p>
      <w:pPr>
        <w:spacing w:after="0" w:line="123" w:lineRule="exact"/>
        <w:rPr>
          <w:rFonts w:ascii="Arial" w:cs="Arial" w:eastAsia="Arial" w:hAnsi="Arial"/>
          <w:sz w:val="16"/>
          <w:szCs w:val="16"/>
          <w:color w:val="auto"/>
        </w:rPr>
      </w:pPr>
    </w:p>
    <w:p>
      <w:pPr>
        <w:ind w:left="1160" w:right="560" w:hanging="585"/>
        <w:spacing w:after="0" w:line="268" w:lineRule="auto"/>
        <w:tabs>
          <w:tab w:leader="none" w:pos="11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71" w:name="page72"/>
    <w:bookmarkEnd w:id="71"/>
    <w:p>
      <w:pPr>
        <w:jc w:val="both"/>
        <w:ind w:left="1160" w:right="40" w:hanging="585"/>
        <w:spacing w:after="0" w:line="257" w:lineRule="auto"/>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1" w:lineRule="exact"/>
        <w:rPr>
          <w:rFonts w:ascii="Arial" w:cs="Arial" w:eastAsia="Arial" w:hAnsi="Arial"/>
          <w:sz w:val="16"/>
          <w:szCs w:val="16"/>
          <w:color w:val="auto"/>
        </w:rPr>
      </w:pPr>
    </w:p>
    <w:p>
      <w:pPr>
        <w:ind w:left="1160" w:hanging="585"/>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market acceptance of our product candidates;</w:t>
      </w:r>
    </w:p>
    <w:p>
      <w:pPr>
        <w:spacing w:after="0" w:line="123" w:lineRule="exact"/>
        <w:rPr>
          <w:rFonts w:ascii="Arial" w:cs="Arial" w:eastAsia="Arial" w:hAnsi="Arial"/>
          <w:sz w:val="16"/>
          <w:szCs w:val="16"/>
          <w:color w:val="auto"/>
        </w:rPr>
      </w:pPr>
    </w:p>
    <w:p>
      <w:pPr>
        <w:ind w:left="1160" w:right="440" w:hanging="585"/>
        <w:spacing w:after="0" w:line="268" w:lineRule="auto"/>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6"/>
          <w:szCs w:val="16"/>
          <w:color w:val="auto"/>
        </w:rPr>
      </w:pPr>
    </w:p>
    <w:p>
      <w:pPr>
        <w:ind w:left="1160" w:hanging="585"/>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cost and timing for obtaining pricing and reimbursement, which may require additional trials to address pharmacoeconomic benefit;</w:t>
      </w:r>
    </w:p>
    <w:p>
      <w:pPr>
        <w:spacing w:after="0" w:line="123" w:lineRule="exact"/>
        <w:rPr>
          <w:rFonts w:ascii="Arial" w:cs="Arial" w:eastAsia="Arial" w:hAnsi="Arial"/>
          <w:sz w:val="16"/>
          <w:szCs w:val="16"/>
          <w:color w:val="auto"/>
        </w:rPr>
      </w:pPr>
    </w:p>
    <w:p>
      <w:pPr>
        <w:ind w:left="1160" w:right="180" w:hanging="585"/>
        <w:spacing w:after="0" w:line="268" w:lineRule="auto"/>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cost of establishing sales, marketing and distribution capabilities for our product candidates if any product candidate receives regulatory approval and we determine to commercialize it ourselves;</w:t>
      </w:r>
    </w:p>
    <w:p>
      <w:pPr>
        <w:spacing w:after="0" w:line="62" w:lineRule="exact"/>
        <w:rPr>
          <w:rFonts w:ascii="Arial" w:cs="Arial" w:eastAsia="Arial" w:hAnsi="Arial"/>
          <w:sz w:val="16"/>
          <w:szCs w:val="16"/>
          <w:color w:val="auto"/>
        </w:rPr>
      </w:pPr>
    </w:p>
    <w:p>
      <w:pPr>
        <w:ind w:left="1160" w:hanging="585"/>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costs of acquiring, licensing or investing in additional businesses, products, product candidates and technologies;</w:t>
      </w:r>
    </w:p>
    <w:p>
      <w:pPr>
        <w:spacing w:after="0" w:line="123" w:lineRule="exact"/>
        <w:rPr>
          <w:rFonts w:ascii="Arial" w:cs="Arial" w:eastAsia="Arial" w:hAnsi="Arial"/>
          <w:sz w:val="16"/>
          <w:szCs w:val="16"/>
          <w:color w:val="auto"/>
        </w:rPr>
      </w:pPr>
    </w:p>
    <w:p>
      <w:pPr>
        <w:ind w:left="1160" w:right="520" w:hanging="585"/>
        <w:spacing w:after="0" w:line="268" w:lineRule="auto"/>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62" w:lineRule="exact"/>
        <w:rPr>
          <w:rFonts w:ascii="Arial" w:cs="Arial" w:eastAsia="Arial" w:hAnsi="Arial"/>
          <w:sz w:val="16"/>
          <w:szCs w:val="16"/>
          <w:color w:val="auto"/>
        </w:rPr>
      </w:pPr>
    </w:p>
    <w:p>
      <w:pPr>
        <w:ind w:left="1160" w:right="440" w:hanging="585"/>
        <w:spacing w:after="0" w:line="302" w:lineRule="auto"/>
        <w:tabs>
          <w:tab w:leader="none" w:pos="11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39" w:lineRule="exact"/>
        <w:rPr>
          <w:rFonts w:ascii="Arial" w:cs="Arial" w:eastAsia="Arial" w:hAnsi="Arial"/>
          <w:sz w:val="15"/>
          <w:szCs w:val="15"/>
          <w:color w:val="auto"/>
        </w:rPr>
      </w:pPr>
    </w:p>
    <w:p>
      <w:pPr>
        <w:ind w:left="1160" w:right="40" w:hanging="585"/>
        <w:spacing w:after="0" w:line="268" w:lineRule="auto"/>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cost of disruption to our supply chain and operations, and associated delays in the manufacturing and supply of our products, whichwould adversely impact our ability to continue our clinical trial operations;</w:t>
      </w:r>
    </w:p>
    <w:p>
      <w:pPr>
        <w:spacing w:after="0" w:line="62" w:lineRule="exact"/>
        <w:rPr>
          <w:rFonts w:ascii="Arial" w:cs="Arial" w:eastAsia="Arial" w:hAnsi="Arial"/>
          <w:sz w:val="16"/>
          <w:szCs w:val="16"/>
          <w:color w:val="auto"/>
        </w:rPr>
      </w:pPr>
    </w:p>
    <w:p>
      <w:pPr>
        <w:ind w:left="1160" w:hanging="585"/>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effect of competing technological and market developments; and</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grow our company..</w:t>
      </w:r>
    </w:p>
    <w:p>
      <w:pPr>
        <w:spacing w:after="0" w:line="219" w:lineRule="exact"/>
        <w:rPr>
          <w:sz w:val="20"/>
          <w:szCs w:val="20"/>
          <w:color w:val="auto"/>
        </w:rPr>
      </w:pPr>
    </w:p>
    <w:p>
      <w:pPr>
        <w:ind w:right="40" w:firstLine="590"/>
        <w:spacing w:after="0" w:line="254"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w:t>
      </w:r>
    </w:p>
    <w:p>
      <w:pPr>
        <w:spacing w:after="0" w:line="168" w:lineRule="exact"/>
        <w:rPr>
          <w:sz w:val="20"/>
          <w:szCs w:val="20"/>
          <w:color w:val="auto"/>
        </w:rPr>
      </w:pPr>
    </w:p>
    <w:p>
      <w:pPr>
        <w:ind w:firstLine="590"/>
        <w:spacing w:after="0" w:line="268" w:lineRule="auto"/>
        <w:rPr>
          <w:sz w:val="20"/>
          <w:szCs w:val="20"/>
          <w:color w:val="auto"/>
        </w:rPr>
      </w:pPr>
      <w:r>
        <w:rPr>
          <w:rFonts w:ascii="Arial" w:cs="Arial" w:eastAsia="Arial" w:hAnsi="Arial"/>
          <w:sz w:val="15"/>
          <w:szCs w:val="15"/>
          <w:color w:val="auto"/>
        </w:rPr>
        <w:t>We have incurred losses and cumulative negative cash flows from operations since our inception. As of December 31, 2020, we had an accumulated deficit of $568.6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is a summary of cash flows:</w:t>
      </w:r>
    </w:p>
    <w:p>
      <w:pPr>
        <w:spacing w:after="0" w:line="200" w:lineRule="exact"/>
        <w:rPr>
          <w:sz w:val="20"/>
          <w:szCs w:val="20"/>
          <w:color w:val="auto"/>
        </w:rPr>
      </w:pPr>
    </w:p>
    <w:p>
      <w:pPr>
        <w:spacing w:after="0" w:line="228" w:lineRule="exact"/>
        <w:rPr>
          <w:sz w:val="20"/>
          <w:szCs w:val="20"/>
          <w:color w:val="auto"/>
        </w:rPr>
      </w:pPr>
    </w:p>
    <w:p>
      <w:pPr>
        <w:ind w:left="1120"/>
        <w:spacing w:after="0"/>
        <w:rPr>
          <w:sz w:val="20"/>
          <w:szCs w:val="20"/>
          <w:color w:val="auto"/>
        </w:rPr>
      </w:pPr>
      <w:r>
        <w:rPr>
          <w:rFonts w:ascii="Arial" w:cs="Arial" w:eastAsia="Arial" w:hAnsi="Arial"/>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-1270</wp:posOffset>
            </wp:positionV>
            <wp:extent cx="5713095" cy="135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13095" cy="13525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6"/>
          <w:szCs w:val="16"/>
          <w:color w:val="auto"/>
        </w:rPr>
        <w:t>Net cash used in operating activities</w:t>
      </w:r>
    </w:p>
    <w:p>
      <w:pPr>
        <w:spacing w:after="0" w:line="14"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Net cash provided by (used in) investing activities</w:t>
      </w:r>
    </w:p>
    <w:p>
      <w:pPr>
        <w:spacing w:after="0" w:line="4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-115570</wp:posOffset>
            </wp:positionV>
            <wp:extent cx="5713095" cy="135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13095" cy="135255"/>
                    </a:xfrm>
                    <a:prstGeom prst="rect">
                      <a:avLst/>
                    </a:prstGeom>
                    <a:noFill/>
                  </pic:spPr>
                </pic:pic>
              </a:graphicData>
            </a:graphic>
          </wp:anchor>
        </w:drawing>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Net (decrease) increase in cash and cash equivalents</w:t>
      </w:r>
    </w:p>
    <w:p>
      <w:pPr>
        <w:spacing w:after="0" w:line="28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181927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19275" cy="7620"/>
                    </a:xfrm>
                    <a:prstGeom prst="rect">
                      <a:avLst/>
                    </a:prstGeom>
                    <a:noFill/>
                  </pic:spPr>
                </pic:pic>
              </a:graphicData>
            </a:graphic>
          </wp:anchor>
        </w:drawing>
      </w:r>
    </w:p>
    <w:p>
      <w:pPr>
        <w:ind w:left="280"/>
        <w:spacing w:after="0"/>
        <w:tabs>
          <w:tab w:leader="none" w:pos="1280" w:val="left"/>
          <w:tab w:leader="none" w:pos="232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9"/>
          <w:szCs w:val="9"/>
          <w:b w:val="1"/>
          <w:bCs w:val="1"/>
          <w:color w:val="auto"/>
        </w:rPr>
        <w:t>2018</w:t>
      </w:r>
    </w:p>
    <w:p>
      <w:pPr>
        <w:spacing w:after="0" w:line="4" w:lineRule="exact"/>
        <w:rPr>
          <w:sz w:val="20"/>
          <w:szCs w:val="20"/>
          <w:color w:val="auto"/>
        </w:rPr>
      </w:pPr>
    </w:p>
    <w:p>
      <w:pPr>
        <w:ind w:left="320" w:hanging="317"/>
        <w:spacing w:after="0"/>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(71,260)  $   (50,612)  $   (68,531)</w:t>
      </w:r>
    </w:p>
    <w:p>
      <w:pPr>
        <w:spacing w:after="0" w:line="25"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(142,530)12,781</w:t>
      </w:r>
      <w:r>
        <w:rPr>
          <w:rFonts w:ascii="Arial" w:cs="Arial" w:eastAsia="Arial" w:hAnsi="Arial"/>
          <w:sz w:val="14"/>
          <w:szCs w:val="14"/>
          <w:color w:val="auto"/>
        </w:rPr>
        <w:t>51,398</w:t>
      </w:r>
    </w:p>
    <w:p>
      <w:pPr>
        <w:spacing w:after="0" w:line="29"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6"/>
          <w:szCs w:val="16"/>
          <w:u w:val="single" w:color="auto"/>
          <w:color w:val="auto"/>
        </w:rPr>
        <w:t>304,424</w:t>
      </w:r>
      <w:r>
        <w:rPr>
          <w:rFonts w:ascii="Arial" w:cs="Arial" w:eastAsia="Arial" w:hAnsi="Arial"/>
          <w:sz w:val="16"/>
          <w:szCs w:val="16"/>
          <w:color w:val="auto"/>
        </w:rPr>
        <w:t>28,570</w:t>
      </w:r>
      <w:r>
        <w:rPr>
          <w:rFonts w:ascii="Arial" w:cs="Arial" w:eastAsia="Arial" w:hAnsi="Arial"/>
          <w:sz w:val="14"/>
          <w:szCs w:val="14"/>
          <w:color w:val="auto"/>
        </w:rPr>
        <w:t>15,729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11430</wp:posOffset>
            </wp:positionV>
            <wp:extent cx="116522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65225" cy="7620"/>
                    </a:xfrm>
                    <a:prstGeom prst="rect">
                      <a:avLst/>
                    </a:prstGeom>
                    <a:noFill/>
                  </pic:spPr>
                </pic:pic>
              </a:graphicData>
            </a:graphic>
          </wp:anchor>
        </w:drawing>
      </w:r>
    </w:p>
    <w:p>
      <w:pPr>
        <w:spacing w:after="0" w:line="21" w:lineRule="exact"/>
        <w:rPr>
          <w:sz w:val="20"/>
          <w:szCs w:val="20"/>
          <w:color w:val="auto"/>
        </w:rPr>
      </w:pPr>
    </w:p>
    <w:p>
      <w:pPr>
        <w:spacing w:after="0"/>
        <w:tabs>
          <w:tab w:leader="none" w:pos="340" w:val="left"/>
          <w:tab w:leader="none" w:pos="1020" w:val="left"/>
          <w:tab w:leader="none" w:pos="1400" w:val="left"/>
          <w:tab w:leader="none" w:pos="2040" w:val="left"/>
          <w:tab w:leader="none" w:pos="2420" w:val="left"/>
        </w:tabs>
        <w:rPr>
          <w:sz w:val="20"/>
          <w:szCs w:val="20"/>
          <w:color w:val="auto"/>
        </w:rPr>
      </w:pPr>
      <w:r>
        <w:rPr>
          <w:rFonts w:ascii="Arial" w:cs="Arial" w:eastAsia="Arial" w:hAnsi="Arial"/>
          <w:sz w:val="16"/>
          <w:szCs w:val="16"/>
          <w:u w:val="single" w:color="auto"/>
          <w:color w:val="auto"/>
        </w:rPr>
        <w:t>$</w:t>
      </w:r>
      <w:r>
        <w:rPr>
          <w:sz w:val="20"/>
          <w:szCs w:val="20"/>
          <w:color w:val="auto"/>
        </w:rPr>
        <w:tab/>
      </w:r>
      <w:r>
        <w:rPr>
          <w:rFonts w:ascii="Arial" w:cs="Arial" w:eastAsia="Arial" w:hAnsi="Arial"/>
          <w:sz w:val="16"/>
          <w:szCs w:val="16"/>
          <w:u w:val="single" w:color="auto"/>
          <w:color w:val="auto"/>
        </w:rPr>
        <w:t>90,634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(9,261)</w:t>
        <w:tab/>
        <w:t>$</w:t>
      </w:r>
      <w:r>
        <w:rPr>
          <w:sz w:val="20"/>
          <w:szCs w:val="20"/>
          <w:color w:val="auto"/>
        </w:rPr>
        <w:tab/>
      </w:r>
      <w:r>
        <w:rPr>
          <w:rFonts w:ascii="Arial" w:cs="Arial" w:eastAsia="Arial" w:hAnsi="Arial"/>
          <w:sz w:val="15"/>
          <w:szCs w:val="15"/>
          <w:color w:val="auto"/>
        </w:rPr>
        <w:t>(1,404)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1819275" cy="228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19275" cy="22860"/>
                    </a:xfrm>
                    <a:prstGeom prst="rect">
                      <a:avLst/>
                    </a:prstGeom>
                    <a:noFill/>
                  </pic:spPr>
                </pic:pic>
              </a:graphicData>
            </a:graphic>
          </wp:anchor>
        </w:drawing>
      </w:r>
    </w:p>
    <w:p>
      <w:pPr>
        <w:spacing w:after="0" w:line="514" w:lineRule="exact"/>
        <w:rPr>
          <w:sz w:val="20"/>
          <w:szCs w:val="20"/>
          <w:color w:val="auto"/>
        </w:rPr>
      </w:pPr>
    </w:p>
    <w:p>
      <w:pPr>
        <w:sectPr>
          <w:pgSz w:w="11900" w:h="16838" w:orient="portrait"/>
          <w:cols w:equalWidth="0" w:num="2">
            <w:col w:w="6440" w:space="720"/>
            <w:col w:w="4060"/>
          </w:cols>
          <w:pgMar w:left="320" w:top="600" w:right="359" w:bottom="1440" w:gutter="0" w:footer="0" w:header="0"/>
        </w:sectPr>
      </w:pPr>
    </w:p>
    <w:p>
      <w:pPr>
        <w:ind w:right="20" w:firstLine="590"/>
        <w:spacing w:after="0" w:line="273" w:lineRule="auto"/>
        <w:rPr>
          <w:sz w:val="20"/>
          <w:szCs w:val="20"/>
          <w:color w:val="auto"/>
        </w:rPr>
      </w:pPr>
      <w:r>
        <w:rPr>
          <w:rFonts w:ascii="Arial" w:cs="Arial" w:eastAsia="Arial" w:hAnsi="Arial"/>
          <w:sz w:val="15"/>
          <w:szCs w:val="15"/>
          <w:color w:val="auto"/>
        </w:rPr>
        <w:t>Net cash used in operating activities for the year ended December 31, 2020 was $71.3 million and primarily consisted of our net loss of $73.2 million adjusted for non-cash items including stock-based compensation of $9.1 million, non-cash interest expense associated with the term loan of $0.4 million, non-cash operating lease expense of $0.4 million, an investment amortization of $0.1 million and a net decrease in operating assets and liabilities of $7.9 million. The significant items in the decrease in operating assets and liabilities include a decrease in prepaid expenses and other assets of $4.3 million, a decrease in accounts payable of $2.7 million, and a decrease in deferred revenue of $1.5 million partially offset by increases in accrued expenses and other liabilities of $0.6 million.</w:t>
      </w:r>
    </w:p>
    <w:p>
      <w:pPr>
        <w:spacing w:after="0" w:line="61" w:lineRule="exact"/>
        <w:rPr>
          <w:sz w:val="20"/>
          <w:szCs w:val="20"/>
          <w:color w:val="auto"/>
        </w:rPr>
      </w:pPr>
    </w:p>
    <w:p>
      <w:pPr>
        <w:ind w:right="80" w:firstLine="590"/>
        <w:spacing w:after="0" w:line="276" w:lineRule="auto"/>
        <w:rPr>
          <w:sz w:val="20"/>
          <w:szCs w:val="20"/>
          <w:color w:val="auto"/>
        </w:rPr>
      </w:pPr>
      <w:r>
        <w:rPr>
          <w:rFonts w:ascii="Arial" w:cs="Arial" w:eastAsia="Arial" w:hAnsi="Arial"/>
          <w:sz w:val="15"/>
          <w:szCs w:val="15"/>
          <w:color w:val="auto"/>
        </w:rPr>
        <w:t>Net cash used in operating activities for the year ended December 31, 2019 was $50.6 million and primarily consisted of our net loss of $56.0 million adjusted for non-cash items including stock-based compensation of $6.0 million and a net increase in operating assets and liabilities of $0.1 million. The significant items in the increase in operating assets and liabilities include an increase in prepaid expenses and other assets of $0.3 million and a decrease in deferred revenue of $1.5 million partially offset by increases in accounts payable of $4.7 million and decease in accrued expenses and other liabilities of $3.4 million.</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Net Cash (Used in) Provided by Investing Activities</w:t>
      </w:r>
    </w:p>
    <w:p>
      <w:pPr>
        <w:spacing w:after="0" w:line="100" w:lineRule="exact"/>
        <w:rPr>
          <w:sz w:val="20"/>
          <w:szCs w:val="20"/>
          <w:color w:val="auto"/>
        </w:rPr>
      </w:pPr>
    </w:p>
    <w:p>
      <w:pPr>
        <w:ind w:firstLine="590"/>
        <w:spacing w:after="0" w:line="268" w:lineRule="auto"/>
        <w:rPr>
          <w:sz w:val="20"/>
          <w:szCs w:val="20"/>
          <w:color w:val="auto"/>
        </w:rPr>
      </w:pPr>
      <w:r>
        <w:rPr>
          <w:rFonts w:ascii="Arial" w:cs="Arial" w:eastAsia="Arial" w:hAnsi="Arial"/>
          <w:sz w:val="16"/>
          <w:szCs w:val="16"/>
          <w:color w:val="auto"/>
        </w:rPr>
        <w:t>Net cash used in investing activities for the year ended December 31, 2020 was $142.5 million and was primarily due to the purchase of $278.9 million of available-for-sale marketable securities partially offset by $136.4 million in proceeds from the maturities of available-for-sale marketable securities.</w:t>
      </w:r>
    </w:p>
    <w:p>
      <w:pPr>
        <w:spacing w:after="0" w:line="157" w:lineRule="exact"/>
        <w:rPr>
          <w:sz w:val="20"/>
          <w:szCs w:val="20"/>
          <w:color w:val="auto"/>
        </w:rPr>
      </w:pPr>
    </w:p>
    <w:p>
      <w:pPr>
        <w:ind w:right="20" w:firstLine="590"/>
        <w:spacing w:after="0" w:line="268" w:lineRule="auto"/>
        <w:rPr>
          <w:sz w:val="20"/>
          <w:szCs w:val="20"/>
          <w:color w:val="auto"/>
        </w:rPr>
      </w:pPr>
      <w:r>
        <w:rPr>
          <w:rFonts w:ascii="Arial" w:cs="Arial" w:eastAsia="Arial" w:hAnsi="Arial"/>
          <w:sz w:val="16"/>
          <w:szCs w:val="16"/>
          <w:color w:val="auto"/>
        </w:rPr>
        <w:t>Net cash provided by investing activities for the year ended December 31, 2019 was $12.8 million and was primarily due to the purchase of $104.0 million of available-for-sale marketable securities offset by $116.8 million in proceeds from the maturities of available-for-sale marketable securities.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Net Cash Provided by Financing Activities</w:t>
      </w:r>
    </w:p>
    <w:p>
      <w:pPr>
        <w:spacing w:after="0" w:line="100" w:lineRule="exact"/>
        <w:rPr>
          <w:sz w:val="20"/>
          <w:szCs w:val="20"/>
          <w:color w:val="auto"/>
        </w:rPr>
      </w:pPr>
    </w:p>
    <w:p>
      <w:pPr>
        <w:ind w:right="180" w:firstLine="590"/>
        <w:spacing w:after="0" w:line="257" w:lineRule="auto"/>
        <w:rPr>
          <w:sz w:val="20"/>
          <w:szCs w:val="20"/>
          <w:color w:val="auto"/>
        </w:rPr>
      </w:pPr>
      <w:r>
        <w:rPr>
          <w:rFonts w:ascii="Arial" w:cs="Arial" w:eastAsia="Arial" w:hAnsi="Arial"/>
          <w:sz w:val="16"/>
          <w:szCs w:val="16"/>
          <w:color w:val="auto"/>
        </w:rPr>
        <w:t>Net cash provided by financing activities for the year ended December 31, 2020 was $304.4 million and was primarily due to the $242.8 million of proceeds from issuances of common stock, $34.9 million of proceeds from a direct placement offering, $19.7 million of proceeds from the term loan, and $7.0 million of proceeds from stock option exercises and ESPP purchases.</w:t>
      </w:r>
    </w:p>
    <w:p>
      <w:pPr>
        <w:spacing w:after="0" w:line="167" w:lineRule="exact"/>
        <w:rPr>
          <w:sz w:val="20"/>
          <w:szCs w:val="20"/>
          <w:color w:val="auto"/>
        </w:rPr>
      </w:pPr>
    </w:p>
    <w:p>
      <w:pPr>
        <w:ind w:right="60" w:firstLine="590"/>
        <w:spacing w:after="0" w:line="341" w:lineRule="auto"/>
        <w:rPr>
          <w:sz w:val="20"/>
          <w:szCs w:val="20"/>
          <w:color w:val="auto"/>
        </w:rPr>
      </w:pPr>
      <w:r>
        <w:rPr>
          <w:rFonts w:ascii="Arial" w:cs="Arial" w:eastAsia="Arial" w:hAnsi="Arial"/>
          <w:sz w:val="14"/>
          <w:szCs w:val="14"/>
          <w:color w:val="auto"/>
        </w:rPr>
        <w:t>Net cash provided by financing activities for the year ended December 31, 2019 was $28.6 million and was primarily due to the $27.4 million of proceeds from a direct placement offering, the $0.8 million of proceeds from the 2017 ATM Program, and the $0.4 million of proceeds from stock option exercises and ESPP purchases.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600" w:right="359" w:bottom="1440" w:gutter="0" w:footer="0" w:header="0"/>
          <w:type w:val="continuous"/>
        </w:sectPr>
      </w:pPr>
    </w:p>
    <w:bookmarkStart w:id="73" w:name="page74"/>
    <w:bookmarkEnd w:id="73"/>
    <w:p>
      <w:pPr>
        <w:ind w:left="5"/>
        <w:spacing w:after="0"/>
        <w:rPr>
          <w:sz w:val="20"/>
          <w:szCs w:val="20"/>
          <w:color w:val="auto"/>
        </w:rPr>
      </w:pPr>
      <w:r>
        <w:rPr>
          <w:rFonts w:ascii="Arial" w:cs="Arial" w:eastAsia="Arial" w:hAnsi="Arial"/>
          <w:sz w:val="16"/>
          <w:szCs w:val="16"/>
          <w:b w:val="1"/>
          <w:bCs w:val="1"/>
          <w:i w:val="1"/>
          <w:iCs w:val="1"/>
          <w:color w:val="auto"/>
        </w:rPr>
        <w:t>Contractual Obligations and Commitments</w:t>
      </w:r>
    </w:p>
    <w:p>
      <w:pPr>
        <w:spacing w:after="0" w:line="100" w:lineRule="exact"/>
        <w:rPr>
          <w:sz w:val="20"/>
          <w:szCs w:val="20"/>
          <w:color w:val="auto"/>
        </w:rPr>
      </w:pPr>
    </w:p>
    <w:p>
      <w:pPr>
        <w:ind w:left="585"/>
        <w:spacing w:after="0"/>
        <w:rPr>
          <w:sz w:val="20"/>
          <w:szCs w:val="20"/>
          <w:color w:val="auto"/>
        </w:rPr>
      </w:pPr>
      <w:r>
        <w:rPr>
          <w:rFonts w:ascii="Arial" w:cs="Arial" w:eastAsia="Arial" w:hAnsi="Arial"/>
          <w:sz w:val="16"/>
          <w:szCs w:val="16"/>
          <w:color w:val="auto"/>
        </w:rPr>
        <w:t>The following table summarizes our significant contractual obligations as of December 31, 2020:</w:t>
      </w:r>
    </w:p>
    <w:p>
      <w:pPr>
        <w:spacing w:after="0" w:line="180"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c>
          <w:tcPr>
            <w:tcW w:w="680" w:type="dxa"/>
            <w:vAlign w:val="bottom"/>
          </w:tcPr>
          <w:p>
            <w:pPr>
              <w:jc w:val="right"/>
              <w:ind w:right="66"/>
              <w:spacing w:after="0"/>
              <w:rPr>
                <w:sz w:val="20"/>
                <w:szCs w:val="20"/>
                <w:color w:val="auto"/>
              </w:rPr>
            </w:pPr>
            <w:r>
              <w:rPr>
                <w:rFonts w:ascii="Arial" w:cs="Arial" w:eastAsia="Arial" w:hAnsi="Arial"/>
                <w:sz w:val="13"/>
                <w:szCs w:val="13"/>
                <w:b w:val="1"/>
                <w:bCs w:val="1"/>
                <w:color w:val="auto"/>
                <w:w w:val="85"/>
              </w:rPr>
              <w:t>Less than</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3"/>
                <w:szCs w:val="13"/>
                <w:b w:val="1"/>
                <w:bCs w:val="1"/>
                <w:color w:val="auto"/>
              </w:rPr>
              <w:t>1 to 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100"/>
              <w:spacing w:after="0"/>
              <w:rPr>
                <w:sz w:val="20"/>
                <w:szCs w:val="20"/>
                <w:color w:val="auto"/>
              </w:rPr>
            </w:pPr>
            <w:r>
              <w:rPr>
                <w:rFonts w:ascii="Arial" w:cs="Arial" w:eastAsia="Arial" w:hAnsi="Arial"/>
                <w:sz w:val="13"/>
                <w:szCs w:val="13"/>
                <w:b w:val="1"/>
                <w:bCs w:val="1"/>
                <w:color w:val="auto"/>
              </w:rPr>
              <w:t>3 to 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50"/>
        </w:trPr>
        <w:tc>
          <w:tcPr>
            <w:tcW w:w="6180" w:type="dxa"/>
            <w:vAlign w:val="bottom"/>
            <w:gridSpan w:val="2"/>
          </w:tcPr>
          <w:p>
            <w:pPr>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46"/>
              <w:spacing w:after="0"/>
              <w:rPr>
                <w:sz w:val="20"/>
                <w:szCs w:val="20"/>
                <w:color w:val="auto"/>
              </w:rPr>
            </w:pPr>
            <w:r>
              <w:rPr>
                <w:rFonts w:ascii="Arial" w:cs="Arial" w:eastAsia="Arial" w:hAnsi="Arial"/>
                <w:sz w:val="13"/>
                <w:szCs w:val="13"/>
                <w:b w:val="1"/>
                <w:bCs w:val="1"/>
                <w:color w:val="auto"/>
              </w:rPr>
              <w:t>1 Year</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Arial" w:cs="Arial" w:eastAsia="Arial" w:hAnsi="Arial"/>
                <w:sz w:val="13"/>
                <w:szCs w:val="13"/>
                <w:b w:val="1"/>
                <w:bCs w:val="1"/>
                <w:color w:val="auto"/>
              </w:rPr>
              <w:t>Years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3"/>
                <w:szCs w:val="13"/>
                <w:b w:val="1"/>
                <w:bCs w:val="1"/>
                <w:color w:val="auto"/>
              </w:rPr>
              <w:t>Years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93"/>
        </w:trPr>
        <w:tc>
          <w:tcPr>
            <w:tcW w:w="61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 xml:space="preserve">Term loan </w:t>
            </w:r>
            <w:r>
              <w:rPr>
                <w:rFonts w:ascii="Arial" w:cs="Arial" w:eastAsia="Arial" w:hAnsi="Arial"/>
                <w:sz w:val="13"/>
                <w:szCs w:val="13"/>
                <w:color w:val="auto"/>
              </w:rPr>
              <w:t>(1)</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24,474</w:t>
            </w:r>
          </w:p>
        </w:tc>
        <w:tc>
          <w:tcPr>
            <w:tcW w:w="2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4,244</w:t>
            </w:r>
          </w:p>
        </w:tc>
        <w:tc>
          <w:tcPr>
            <w:tcW w:w="2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20,230</w:t>
            </w:r>
          </w:p>
        </w:tc>
        <w:tc>
          <w:tcPr>
            <w:tcW w:w="2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6"/>
                <w:szCs w:val="16"/>
                <w:color w:val="auto"/>
                <w:w w:val="87"/>
              </w:rPr>
              <w:t>—</w:t>
            </w:r>
          </w:p>
        </w:tc>
        <w:tc>
          <w:tcPr>
            <w:tcW w:w="2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180" w:type="dxa"/>
            <w:vAlign w:val="bottom"/>
            <w:gridSpan w:val="2"/>
          </w:tcPr>
          <w:p>
            <w:pPr>
              <w:spacing w:after="0"/>
              <w:rPr>
                <w:sz w:val="20"/>
                <w:szCs w:val="20"/>
                <w:color w:val="auto"/>
              </w:rPr>
            </w:pPr>
            <w:r>
              <w:rPr>
                <w:rFonts w:ascii="Arial" w:cs="Arial" w:eastAsia="Arial" w:hAnsi="Arial"/>
                <w:sz w:val="16"/>
                <w:szCs w:val="16"/>
                <w:color w:val="auto"/>
              </w:rPr>
              <w:t xml:space="preserve">Operating leases for office space </w:t>
            </w:r>
            <w:r>
              <w:rPr>
                <w:rFonts w:ascii="Arial" w:cs="Arial" w:eastAsia="Arial" w:hAnsi="Arial"/>
                <w:sz w:val="13"/>
                <w:szCs w:val="13"/>
                <w:color w:val="auto"/>
              </w:rPr>
              <w:t>(2)</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6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xml:space="preserve">Operating lease for office equipment </w:t>
            </w:r>
            <w:r>
              <w:rPr>
                <w:rFonts w:ascii="Arial" w:cs="Arial" w:eastAsia="Arial" w:hAnsi="Arial"/>
                <w:sz w:val="13"/>
                <w:szCs w:val="13"/>
                <w:color w:val="auto"/>
              </w:rPr>
              <w:t>(3)</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ind w:left="48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180" w:type="dxa"/>
            <w:vAlign w:val="bottom"/>
            <w:gridSpan w:val="2"/>
          </w:tcPr>
          <w:p>
            <w:pPr>
              <w:spacing w:after="0"/>
              <w:rPr>
                <w:sz w:val="20"/>
                <w:szCs w:val="20"/>
                <w:color w:val="auto"/>
              </w:rPr>
            </w:pPr>
            <w:r>
              <w:rPr>
                <w:rFonts w:ascii="Arial" w:cs="Arial" w:eastAsia="Arial" w:hAnsi="Arial"/>
                <w:sz w:val="16"/>
                <w:szCs w:val="16"/>
                <w:color w:val="auto"/>
              </w:rPr>
              <w:t xml:space="preserve">Capital lease for office equipment </w:t>
            </w:r>
            <w:r>
              <w:rPr>
                <w:rFonts w:ascii="Arial" w:cs="Arial" w:eastAsia="Arial" w:hAnsi="Arial"/>
                <w:sz w:val="13"/>
                <w:szCs w:val="13"/>
                <w:color w:val="auto"/>
              </w:rPr>
              <w:t>(4)</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620" w:type="dxa"/>
            <w:vAlign w:val="bottom"/>
            <w:tcBorders>
              <w:top w:val="single" w:sz="8" w:color="CFF0FC"/>
              <w:bottom w:val="single" w:sz="8" w:color="CFF0FC"/>
            </w:tcBorders>
            <w:shd w:val="clear" w:color="auto" w:fill="CFF0FC"/>
          </w:tcPr>
          <w:p>
            <w:pPr>
              <w:spacing w:after="0"/>
              <w:rPr>
                <w:sz w:val="16"/>
                <w:szCs w:val="16"/>
                <w:color w:val="auto"/>
              </w:rPr>
            </w:pPr>
          </w:p>
        </w:tc>
        <w:tc>
          <w:tcPr>
            <w:tcW w:w="456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24,933</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4,643</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20,290</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ind w:left="480"/>
              <w:spacing w:after="0"/>
              <w:rPr>
                <w:sz w:val="20"/>
                <w:szCs w:val="20"/>
                <w:color w:val="auto"/>
              </w:rPr>
            </w:pPr>
            <w:r>
              <w:rPr>
                <w:rFonts w:ascii="Arial" w:cs="Arial" w:eastAsia="Arial" w:hAnsi="Arial"/>
                <w:sz w:val="16"/>
                <w:szCs w:val="16"/>
                <w:color w:val="auto"/>
                <w:w w:val="87"/>
              </w:rPr>
              <w:t>—</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162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585" w:hanging="585"/>
        <w:spacing w:after="0"/>
        <w:tabs>
          <w:tab w:leader="none" w:pos="585" w:val="left"/>
        </w:tabs>
        <w:numPr>
          <w:ilvl w:val="0"/>
          <w:numId w:val="45"/>
        </w:numPr>
        <w:rPr>
          <w:rFonts w:ascii="Arial" w:cs="Arial" w:eastAsia="Arial" w:hAnsi="Arial"/>
          <w:sz w:val="13"/>
          <w:szCs w:val="13"/>
          <w:color w:val="auto"/>
        </w:rPr>
      </w:pPr>
      <w:r>
        <w:rPr>
          <w:rFonts w:ascii="Arial" w:cs="Arial" w:eastAsia="Arial" w:hAnsi="Arial"/>
          <w:sz w:val="16"/>
          <w:szCs w:val="16"/>
          <w:color w:val="auto"/>
        </w:rPr>
        <w:t>Amounts include the estimated interest under our Term loan based on the interest rates in effect as of December 31, 2020.</w:t>
      </w:r>
    </w:p>
    <w:p>
      <w:pPr>
        <w:spacing w:after="0" w:line="40" w:lineRule="exact"/>
        <w:rPr>
          <w:rFonts w:ascii="Arial" w:cs="Arial" w:eastAsia="Arial" w:hAnsi="Arial"/>
          <w:sz w:val="13"/>
          <w:szCs w:val="13"/>
          <w:color w:val="auto"/>
        </w:rPr>
      </w:pPr>
    </w:p>
    <w:p>
      <w:pPr>
        <w:ind w:left="585" w:right="100" w:hanging="585"/>
        <w:spacing w:after="0" w:line="254" w:lineRule="auto"/>
        <w:tabs>
          <w:tab w:leader="none" w:pos="585" w:val="left"/>
        </w:tabs>
        <w:numPr>
          <w:ilvl w:val="0"/>
          <w:numId w:val="45"/>
        </w:numPr>
        <w:rPr>
          <w:rFonts w:ascii="Arial" w:cs="Arial" w:eastAsia="Arial" w:hAnsi="Arial"/>
          <w:sz w:val="13"/>
          <w:szCs w:val="13"/>
          <w:color w:val="auto"/>
        </w:rPr>
      </w:pPr>
      <w:r>
        <w:rPr>
          <w:rFonts w:ascii="Arial" w:cs="Arial" w:eastAsia="Arial" w:hAnsi="Arial"/>
          <w:sz w:val="16"/>
          <w:szCs w:val="16"/>
          <w:color w:val="auto"/>
        </w:rPr>
        <w:t>In September 2016, we entered into a new five-year operating lease for office space in Waltham, Massachusetts, with a lease commencement date of March 1, 2017. In December 2015, we entered into a 62-month building lease for office space in New York, New York, which commenced on January 1, 2016. The minimum lease payments above do not include any related common area maintenance charges or real estate taxes. In February 2021, we extended the lease for a period of 18 months at $15,000 per month.</w:t>
      </w:r>
    </w:p>
    <w:p>
      <w:pPr>
        <w:spacing w:after="0" w:line="73" w:lineRule="exact"/>
        <w:rPr>
          <w:rFonts w:ascii="Arial" w:cs="Arial" w:eastAsia="Arial" w:hAnsi="Arial"/>
          <w:sz w:val="13"/>
          <w:szCs w:val="13"/>
          <w:color w:val="auto"/>
        </w:rPr>
      </w:pPr>
    </w:p>
    <w:p>
      <w:pPr>
        <w:ind w:left="585" w:hanging="585"/>
        <w:spacing w:after="0"/>
        <w:tabs>
          <w:tab w:leader="none" w:pos="585" w:val="left"/>
        </w:tabs>
        <w:numPr>
          <w:ilvl w:val="0"/>
          <w:numId w:val="45"/>
        </w:numPr>
        <w:rPr>
          <w:rFonts w:ascii="Arial" w:cs="Arial" w:eastAsia="Arial" w:hAnsi="Arial"/>
          <w:sz w:val="12"/>
          <w:szCs w:val="12"/>
          <w:color w:val="auto"/>
        </w:rPr>
      </w:pPr>
      <w:r>
        <w:rPr>
          <w:rFonts w:ascii="Arial" w:cs="Arial" w:eastAsia="Arial" w:hAnsi="Arial"/>
          <w:sz w:val="15"/>
          <w:szCs w:val="15"/>
          <w:color w:val="auto"/>
        </w:rPr>
        <w:t>In February 2016, we entered into a five-year non-cancelable operating lease for office equipment. In January 2021, we extended the lease by 12 months.</w:t>
      </w:r>
    </w:p>
    <w:p>
      <w:pPr>
        <w:spacing w:after="0" w:line="111" w:lineRule="exact"/>
        <w:rPr>
          <w:rFonts w:ascii="Arial" w:cs="Arial" w:eastAsia="Arial" w:hAnsi="Arial"/>
          <w:sz w:val="12"/>
          <w:szCs w:val="12"/>
          <w:color w:val="auto"/>
        </w:rPr>
      </w:pPr>
    </w:p>
    <w:p>
      <w:pPr>
        <w:ind w:left="585" w:right="160" w:hanging="585"/>
        <w:spacing w:after="0" w:line="268" w:lineRule="auto"/>
        <w:tabs>
          <w:tab w:leader="none" w:pos="585" w:val="left"/>
        </w:tabs>
        <w:numPr>
          <w:ilvl w:val="0"/>
          <w:numId w:val="45"/>
        </w:numPr>
        <w:rPr>
          <w:rFonts w:ascii="Arial" w:cs="Arial" w:eastAsia="Arial" w:hAnsi="Arial"/>
          <w:sz w:val="13"/>
          <w:szCs w:val="13"/>
          <w:color w:val="auto"/>
        </w:rPr>
      </w:pPr>
      <w:r>
        <w:rPr>
          <w:rFonts w:ascii="Arial" w:cs="Arial" w:eastAsia="Arial" w:hAnsi="Arial"/>
          <w:sz w:val="16"/>
          <w:szCs w:val="16"/>
          <w:color w:val="auto"/>
        </w:rPr>
        <w:t>In April 2018, we entered into a four-year non-cancelable lease for office equipment, which is accounted for as a capital lease. The leased asset is included in property, plant and equipment, at cost.</w:t>
      </w:r>
    </w:p>
    <w:p>
      <w:pPr>
        <w:spacing w:after="0" w:line="157" w:lineRule="exact"/>
        <w:rPr>
          <w:sz w:val="20"/>
          <w:szCs w:val="20"/>
          <w:color w:val="auto"/>
        </w:rPr>
      </w:pPr>
    </w:p>
    <w:p>
      <w:pPr>
        <w:ind w:left="5" w:right="160" w:firstLine="590"/>
        <w:spacing w:after="0" w:line="273" w:lineRule="auto"/>
        <w:rPr>
          <w:sz w:val="20"/>
          <w:szCs w:val="20"/>
          <w:color w:val="auto"/>
        </w:rPr>
      </w:pPr>
      <w:r>
        <w:rPr>
          <w:rFonts w:ascii="Arial" w:cs="Arial" w:eastAsia="Arial" w:hAnsi="Arial"/>
          <w:sz w:val="15"/>
          <w:szCs w:val="15"/>
          <w:color w:val="auto"/>
        </w:rPr>
        <w:t>The contractual obligations table does not include any potential contingent payments upon the achievement by us of clinical, regulatory and commercial events, as applicable, or royalty payments we may be required to make under license or collaboration agreements we have entered into with various entities pursuant to which we have in-licensed certain intellectual property. See “Business—Collaborations,” “Business—License Agreements” and “Business—In-Licensed Intellectual Property” for additional information. The table also excludes potential payments we may be required to make under manufacturing agreements as the timing of when these payments will actually be made is uncertain and the payments are contingent upon the initiation and completion of future activities.</w:t>
      </w:r>
    </w:p>
    <w:p>
      <w:pPr>
        <w:spacing w:after="0" w:line="156" w:lineRule="exact"/>
        <w:rPr>
          <w:sz w:val="20"/>
          <w:szCs w:val="20"/>
          <w:color w:val="auto"/>
        </w:rPr>
      </w:pPr>
    </w:p>
    <w:p>
      <w:pPr>
        <w:ind w:left="5" w:right="100" w:firstLine="590"/>
        <w:spacing w:after="0" w:line="254" w:lineRule="auto"/>
        <w:rPr>
          <w:sz w:val="20"/>
          <w:szCs w:val="20"/>
          <w:color w:val="auto"/>
        </w:rPr>
      </w:pPr>
      <w:r>
        <w:rPr>
          <w:rFonts w:ascii="Arial" w:cs="Arial" w:eastAsia="Arial" w:hAnsi="Arial"/>
          <w:sz w:val="16"/>
          <w:szCs w:val="16"/>
          <w:color w:val="auto"/>
        </w:rPr>
        <w:t>We also have employment agreements with executive officers and certain other key employees that would require us to make severance payments to them if we terminate their employment without cause or the they resign for good cause. The payments are contingent upon the occurrence of various future events, and the amounts payable under these provisions depend upon the level of compensation at the time of termination of employment, are therefore not calculable at this time, and, as a result, we have not included any such amounts in the above table.</w:t>
      </w:r>
    </w:p>
    <w:p>
      <w:pPr>
        <w:spacing w:after="0" w:line="25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Net Operating Loss and Research and Development Tax Credit Carryforwards</w:t>
      </w:r>
    </w:p>
    <w:p>
      <w:pPr>
        <w:spacing w:after="0" w:line="104" w:lineRule="exact"/>
        <w:rPr>
          <w:sz w:val="20"/>
          <w:szCs w:val="20"/>
          <w:color w:val="auto"/>
        </w:rPr>
      </w:pPr>
    </w:p>
    <w:p>
      <w:pPr>
        <w:ind w:left="5" w:right="80" w:firstLine="590"/>
        <w:spacing w:after="0" w:line="252" w:lineRule="auto"/>
        <w:rPr>
          <w:sz w:val="20"/>
          <w:szCs w:val="20"/>
          <w:color w:val="auto"/>
        </w:rPr>
      </w:pPr>
      <w:r>
        <w:rPr>
          <w:rFonts w:ascii="Arial" w:cs="Arial" w:eastAsia="Arial" w:hAnsi="Arial"/>
          <w:sz w:val="16"/>
          <w:szCs w:val="16"/>
          <w:color w:val="auto"/>
        </w:rPr>
        <w:t>At December 31, 2020, we had federal and state tax net operating loss carryforwards of approximately $96.1 million and $41.0 million, respectively. The federal and state net operating loss carryforwards begin to expire at various dates starting in 2025. Any federal net operating loss incurred in 2018 and in future years may now be carried forward indefinitely pursuant to the Tax Cuts and Jobs Act of 2017. At December 31, 2020, we had available income tax credits of approximately $5.3 million, with $3.3 million attributable to Federal R&amp;D Credits and $2.0 million attributable to state R&amp;D Credits, which are available to reduce future income taxes, if any. These income tax credits begin to expire in 2021.</w:t>
      </w:r>
    </w:p>
    <w:p>
      <w:pPr>
        <w:spacing w:after="0" w:line="171" w:lineRule="exact"/>
        <w:rPr>
          <w:sz w:val="20"/>
          <w:szCs w:val="20"/>
          <w:color w:val="auto"/>
        </w:rPr>
      </w:pPr>
    </w:p>
    <w:p>
      <w:pPr>
        <w:ind w:left="5" w:right="20" w:firstLine="590"/>
        <w:spacing w:after="0" w:line="311" w:lineRule="auto"/>
        <w:rPr>
          <w:sz w:val="20"/>
          <w:szCs w:val="20"/>
          <w:color w:val="auto"/>
        </w:rPr>
      </w:pPr>
      <w:r>
        <w:rPr>
          <w:rFonts w:ascii="Arial" w:cs="Arial" w:eastAsia="Arial" w:hAnsi="Arial"/>
          <w:sz w:val="14"/>
          <w:szCs w:val="14"/>
          <w:color w:val="auto"/>
        </w:rPr>
        <w:t>Utilization of the net operating losses and credits may be subject to a substantial annual limitation due to ownership change limitations provided by the Internal Revenue Code of 1986, as amended. The annual limitation may result in the expiration of our net operating losses and credits before we can use them. We have recorded a valuation allowance on all of our deferred tax assets, including our deferred tax assets related to our net operating loss and research and development tax credit carryforwards.</w:t>
      </w:r>
    </w:p>
    <w:p>
      <w:pPr>
        <w:spacing w:after="0" w:line="13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946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600" w:right="31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We did not have during the periods presented, and we do not currently have, any off-balance sheet arrangements, as defined in the rules and regulations of the SEC.</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Emerging Growth Company Status</w:t>
      </w:r>
    </w:p>
    <w:p>
      <w:pPr>
        <w:spacing w:after="0" w:line="104" w:lineRule="exact"/>
        <w:rPr>
          <w:sz w:val="20"/>
          <w:szCs w:val="20"/>
          <w:color w:val="auto"/>
        </w:rPr>
      </w:pPr>
    </w:p>
    <w:p>
      <w:pPr>
        <w:ind w:right="40" w:firstLine="590"/>
        <w:spacing w:after="0" w:line="25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2" w:lineRule="exact"/>
        <w:rPr>
          <w:sz w:val="20"/>
          <w:szCs w:val="20"/>
          <w:color w:val="auto"/>
        </w:rPr>
      </w:pPr>
    </w:p>
    <w:p>
      <w:pPr>
        <w:ind w:left="1160" w:hanging="585"/>
        <w:spacing w:after="0"/>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 non-binding stockholder advisory votes on executive compensation or golden parachute arrangements; and</w:t>
      </w:r>
    </w:p>
    <w:p>
      <w:pPr>
        <w:spacing w:after="0" w:line="123" w:lineRule="exact"/>
        <w:rPr>
          <w:rFonts w:ascii="Arial" w:cs="Arial" w:eastAsia="Arial" w:hAnsi="Arial"/>
          <w:sz w:val="16"/>
          <w:szCs w:val="16"/>
          <w:color w:val="auto"/>
        </w:rPr>
      </w:pPr>
    </w:p>
    <w:p>
      <w:pPr>
        <w:ind w:left="1160" w:hanging="585"/>
        <w:spacing w:after="0"/>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exemption from the auditor attestation requirement in the assessment of our internal control over financial reporting.</w:t>
      </w:r>
    </w:p>
    <w:p>
      <w:pPr>
        <w:spacing w:after="0" w:line="219" w:lineRule="exact"/>
        <w:rPr>
          <w:sz w:val="20"/>
          <w:szCs w:val="20"/>
          <w:color w:val="auto"/>
        </w:rPr>
      </w:pPr>
    </w:p>
    <w:p>
      <w:pPr>
        <w:ind w:firstLine="590"/>
        <w:spacing w:after="0" w:line="290" w:lineRule="auto"/>
        <w:rPr>
          <w:sz w:val="20"/>
          <w:szCs w:val="20"/>
          <w:color w:val="auto"/>
        </w:rPr>
      </w:pPr>
      <w:r>
        <w:rPr>
          <w:rFonts w:ascii="Arial" w:cs="Arial" w:eastAsia="Arial" w:hAnsi="Arial"/>
          <w:sz w:val="14"/>
          <w:szCs w:val="14"/>
          <w:color w:val="auto"/>
        </w:rPr>
        <w:t>We have taken advantage of reduced reporting burdens in this Annual Report on Form 10-K. In particular, in this Annual Report on Form 10-K, we have not included all of the executive compensation related information that would be required if we were not an emerging growth company. We may take advantage of these exemptions for up to five years or such earlier time that we are no longer an emerging growth company. We would cease to be an emerging growth company if we have more than $1.07 billion in annual revenues as of the end of any fiscal year, if we are deemed to be a large accelerated filer under the rules of the Securities and Exchange Commission, or SEC, or if we issue more than $1.0 billion of non-convertible debt over a three-year period. Section 107 of the JOBS Act provides that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04" w:lineRule="exact"/>
        <w:rPr>
          <w:sz w:val="20"/>
          <w:szCs w:val="20"/>
          <w:color w:val="auto"/>
        </w:rPr>
      </w:pPr>
    </w:p>
    <w:p>
      <w:pPr>
        <w:ind w:right="20" w:firstLine="590"/>
        <w:spacing w:after="0" w:line="268" w:lineRule="auto"/>
        <w:rPr>
          <w:sz w:val="20"/>
          <w:szCs w:val="20"/>
          <w:color w:val="auto"/>
        </w:rPr>
      </w:pPr>
      <w:r>
        <w:rPr>
          <w:rFonts w:ascii="Arial" w:cs="Arial" w:eastAsia="Arial" w:hAnsi="Arial"/>
          <w:sz w:val="15"/>
          <w:szCs w:val="15"/>
          <w:color w:val="auto"/>
        </w:rPr>
        <w:t>The market risk inherent in our financial instruments and in our financial position represents the potential loss arising from adverse changes in interest rates. As of December 31, 2020, we had cash and cash equivalents of $115.2 million, consisting of overnight investments, interest-bearing money market funds and highly rated corporate bonds and short-term investments of $177.8 million, consisting of commercial paper, highly rated corporate bonds and treasuries.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66" w:lineRule="exact"/>
        <w:rPr>
          <w:sz w:val="20"/>
          <w:szCs w:val="20"/>
          <w:color w:val="auto"/>
        </w:rPr>
      </w:pPr>
    </w:p>
    <w:p>
      <w:pPr>
        <w:jc w:val="both"/>
        <w:ind w:right="20" w:firstLine="590"/>
        <w:spacing w:after="0" w:line="254" w:lineRule="auto"/>
        <w:rPr>
          <w:sz w:val="20"/>
          <w:szCs w:val="20"/>
          <w:color w:val="auto"/>
        </w:rPr>
      </w:pPr>
      <w:r>
        <w:rPr>
          <w:rFonts w:ascii="Arial" w:cs="Arial" w:eastAsia="Arial" w:hAnsi="Arial"/>
          <w:sz w:val="16"/>
          <w:szCs w:val="16"/>
          <w:color w:val="auto"/>
        </w:rPr>
        <w:t>We also have exposure to market risk on our Loan Agreement with Hercules. Our Loan Agreement accrues interest from its date of issue at a variable interest rate equal to greater of (i) 9.85% and (ii) 5.10% plus the Wall Street Journal prime rate. As of December 31, 2020, $20.0 million was outstanding under the Loan Agreement. The effect of a 100 basis points adverse change in market interest rates on our 2020 Loan Payable, in excess of applicable minimum floors, on our interest expense would be approximately $0.5 million.</w:t>
      </w:r>
    </w:p>
    <w:p>
      <w:pPr>
        <w:spacing w:after="0" w:line="7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do not believe that inflation and changing prices had a significant impact on our results of operations for any periods presented herein.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597" w:right="31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104" w:lineRule="exact"/>
        <w:rPr>
          <w:sz w:val="20"/>
          <w:szCs w:val="20"/>
          <w:color w:val="auto"/>
        </w:rPr>
      </w:pPr>
    </w:p>
    <w:p>
      <w:pPr>
        <w:ind w:right="500" w:firstLine="590"/>
        <w:spacing w:after="0" w:line="268" w:lineRule="auto"/>
        <w:rPr>
          <w:sz w:val="20"/>
          <w:szCs w:val="20"/>
          <w:color w:val="auto"/>
        </w:rPr>
      </w:pPr>
      <w:r>
        <w:rPr>
          <w:rFonts w:ascii="Arial" w:cs="Arial" w:eastAsia="Arial" w:hAnsi="Arial"/>
          <w:sz w:val="16"/>
          <w:szCs w:val="16"/>
          <w:color w:val="auto"/>
        </w:rPr>
        <w:t>Our consolidated financial statements, together with the report of our independent registered public accounting firm, appear in this Annual Report on Form 10-K beginning on page F-1.</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Evaluation of our Disclosure Controls and Procedures</w:t>
      </w:r>
    </w:p>
    <w:p>
      <w:pPr>
        <w:spacing w:after="0" w:line="104" w:lineRule="exact"/>
        <w:rPr>
          <w:sz w:val="20"/>
          <w:szCs w:val="20"/>
          <w:color w:val="auto"/>
        </w:rPr>
      </w:pPr>
    </w:p>
    <w:p>
      <w:pPr>
        <w:ind w:right="40" w:firstLine="590"/>
        <w:spacing w:after="0" w:line="288" w:lineRule="auto"/>
        <w:rPr>
          <w:sz w:val="20"/>
          <w:szCs w:val="20"/>
          <w:color w:val="auto"/>
        </w:rPr>
      </w:pPr>
      <w:r>
        <w:rPr>
          <w:rFonts w:ascii="Arial" w:cs="Arial" w:eastAsia="Arial" w:hAnsi="Arial"/>
          <w:sz w:val="14"/>
          <w:szCs w:val="14"/>
          <w:color w:val="auto"/>
        </w:rPr>
        <w:t>Our management, with the participation of our principal executive officer and our principal financial officer, evaluated, as of the end of the period covered by this Annual Report on Form 10-K, the effectiveness of our disclosure controls and procedures. Based on that evaluation of our disclosure controls and procedures as of December 31, 2020, our principal executive officer and principal financial officer concluded that our disclosure controls and procedures as of such date are effective at the reasonable assurance level.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104" w:lineRule="exact"/>
        <w:rPr>
          <w:sz w:val="20"/>
          <w:szCs w:val="20"/>
          <w:color w:val="auto"/>
        </w:rPr>
      </w:pPr>
    </w:p>
    <w:p>
      <w:pPr>
        <w:ind w:firstLine="590"/>
        <w:spacing w:after="0" w:line="25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Our management, under the supervision and with the participation of our Chief Executive Officer and Chief Financial Officer, conducted an evaluation of the effectiveness of our internal control over financial reporting as of December 31, 2020 based on the framework in Internal Control-Integrated Framework issued by the Committee of Sponsoring Organizations of the Treadway Commission (2013 Framework). Based on the results of its evaluation, management concluded that our internal control over financial reporting was effective as of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Attestation Report of the Registered Public Accounting Firm</w:t>
      </w:r>
    </w:p>
    <w:p>
      <w:pPr>
        <w:spacing w:after="0" w:line="104" w:lineRule="exact"/>
        <w:rPr>
          <w:sz w:val="20"/>
          <w:szCs w:val="20"/>
          <w:color w:val="auto"/>
        </w:rPr>
      </w:pPr>
    </w:p>
    <w:p>
      <w:pPr>
        <w:ind w:right="140" w:firstLine="590"/>
        <w:spacing w:after="0" w:line="268" w:lineRule="auto"/>
        <w:rPr>
          <w:sz w:val="20"/>
          <w:szCs w:val="20"/>
          <w:color w:val="auto"/>
        </w:rPr>
      </w:pPr>
      <w:r>
        <w:rPr>
          <w:rFonts w:ascii="Arial" w:cs="Arial" w:eastAsia="Arial" w:hAnsi="Arial"/>
          <w:sz w:val="16"/>
          <w:szCs w:val="16"/>
          <w:color w:val="auto"/>
        </w:rPr>
        <w:t>This Annual Report on Form 10-K does not include an attestation report of our registered public accounting firm due to an exemption established by the JOBS Act for “emerging growth companies.”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1" w:lineRule="exact"/>
        <w:rPr>
          <w:sz w:val="20"/>
          <w:szCs w:val="20"/>
          <w:color w:val="auto"/>
        </w:rPr>
      </w:pPr>
    </w:p>
    <w:p>
      <w:pPr>
        <w:ind w:right="140" w:firstLine="590"/>
        <w:spacing w:after="0" w:line="249" w:lineRule="auto"/>
        <w:rPr>
          <w:sz w:val="20"/>
          <w:szCs w:val="20"/>
          <w:color w:val="auto"/>
        </w:rPr>
      </w:pPr>
      <w:r>
        <w:rPr>
          <w:rFonts w:ascii="Arial" w:cs="Arial" w:eastAsia="Arial" w:hAnsi="Arial"/>
          <w:sz w:val="16"/>
          <w:szCs w:val="16"/>
          <w:color w:val="auto"/>
        </w:rPr>
        <w:t>There was no change in our internal control over financial reporting that occurred during our most recent fiscal quarter that has materially affected, or is reasonably likely to materially affect, our internal control over financial reporting. We have not experienced any material impact to our internal controls over financial reporting despite the fact that our employees are working remotely due to the COVID-19 pandemic. We are continually monitoring and assessing the COVID-19 situation on our internal controls to minimize the impact on their design and operating effectiveness.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96"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auto"/>
        </w:rPr>
        <w:t>PART III</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04" w:lineRule="exact"/>
        <w:rPr>
          <w:sz w:val="20"/>
          <w:szCs w:val="20"/>
          <w:color w:val="auto"/>
        </w:rPr>
      </w:pPr>
    </w:p>
    <w:p>
      <w:pPr>
        <w:ind w:right="540" w:firstLine="590"/>
        <w:spacing w:after="0" w:line="268" w:lineRule="auto"/>
        <w:rPr>
          <w:sz w:val="20"/>
          <w:szCs w:val="20"/>
          <w:color w:val="auto"/>
        </w:rPr>
      </w:pPr>
      <w:r>
        <w:rPr>
          <w:rFonts w:ascii="Arial" w:cs="Arial" w:eastAsia="Arial" w:hAnsi="Arial"/>
          <w:sz w:val="16"/>
          <w:szCs w:val="16"/>
          <w:color w:val="auto"/>
        </w:rPr>
        <w:t>The information required by this item is incorporated by reference to the information set forth in the sections titled “Information About Our Board of Directors,” “Executive Officers” and “The Board of Directors and Its Committees” in our 2021 Proxy Statement.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04" w:lineRule="exact"/>
        <w:rPr>
          <w:sz w:val="20"/>
          <w:szCs w:val="20"/>
          <w:color w:val="auto"/>
        </w:rPr>
      </w:pPr>
    </w:p>
    <w:p>
      <w:pPr>
        <w:ind w:firstLine="590"/>
        <w:spacing w:after="0" w:line="268" w:lineRule="auto"/>
        <w:rPr>
          <w:sz w:val="20"/>
          <w:szCs w:val="20"/>
          <w:color w:val="auto"/>
        </w:rPr>
      </w:pPr>
      <w:r>
        <w:rPr>
          <w:rFonts w:ascii="Arial" w:cs="Arial" w:eastAsia="Arial" w:hAnsi="Arial"/>
          <w:sz w:val="16"/>
          <w:szCs w:val="16"/>
          <w:color w:val="auto"/>
        </w:rPr>
        <w:t>The information required by this item is incorporated by reference to the information set forth in the section titled “Executive Officer and Director Compensation” in our 2021 Proxy Statement.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04" w:lineRule="exact"/>
        <w:rPr>
          <w:sz w:val="20"/>
          <w:szCs w:val="20"/>
          <w:color w:val="auto"/>
        </w:rPr>
      </w:pPr>
    </w:p>
    <w:p>
      <w:pPr>
        <w:ind w:right="240" w:firstLine="590"/>
        <w:spacing w:after="0" w:line="268" w:lineRule="auto"/>
        <w:rPr>
          <w:sz w:val="20"/>
          <w:szCs w:val="20"/>
          <w:color w:val="auto"/>
        </w:rPr>
      </w:pPr>
      <w:r>
        <w:rPr>
          <w:rFonts w:ascii="Arial" w:cs="Arial" w:eastAsia="Arial" w:hAnsi="Arial"/>
          <w:sz w:val="16"/>
          <w:szCs w:val="16"/>
          <w:color w:val="auto"/>
        </w:rPr>
        <w:t>The information required by this item is incorporated by reference to the information set forth in the section titled “Security Ownership of Certain Beneficial Owners and Management and Related Stockholder Matters” in our 2021 Proxy Statement.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04" w:lineRule="exact"/>
        <w:rPr>
          <w:sz w:val="20"/>
          <w:szCs w:val="20"/>
          <w:color w:val="auto"/>
        </w:rPr>
      </w:pPr>
    </w:p>
    <w:p>
      <w:pPr>
        <w:ind w:right="120" w:firstLine="590"/>
        <w:spacing w:after="0" w:line="268" w:lineRule="auto"/>
        <w:rPr>
          <w:sz w:val="20"/>
          <w:szCs w:val="20"/>
          <w:color w:val="auto"/>
        </w:rPr>
      </w:pPr>
      <w:r>
        <w:rPr>
          <w:rFonts w:ascii="Arial" w:cs="Arial" w:eastAsia="Arial" w:hAnsi="Arial"/>
          <w:sz w:val="16"/>
          <w:szCs w:val="16"/>
          <w:color w:val="auto"/>
        </w:rPr>
        <w:t>The information required by this item is incorporated by reference to the information set forth in the section titled “The Board of Directors and Its Committees – Board Independence” and “Certain Relationships and Related Party Transactions” in our 2021 Proxy Statement.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104" w:lineRule="exact"/>
        <w:rPr>
          <w:sz w:val="20"/>
          <w:szCs w:val="20"/>
          <w:color w:val="auto"/>
        </w:rPr>
      </w:pPr>
    </w:p>
    <w:p>
      <w:pPr>
        <w:ind w:right="340" w:firstLine="590"/>
        <w:spacing w:after="0" w:line="268" w:lineRule="auto"/>
        <w:rPr>
          <w:sz w:val="20"/>
          <w:szCs w:val="20"/>
          <w:color w:val="auto"/>
        </w:rPr>
      </w:pPr>
      <w:r>
        <w:rPr>
          <w:rFonts w:ascii="Arial" w:cs="Arial" w:eastAsia="Arial" w:hAnsi="Arial"/>
          <w:sz w:val="16"/>
          <w:szCs w:val="16"/>
          <w:color w:val="auto"/>
        </w:rPr>
        <w:t>The information required by this item is incorporated by reference to the information set forth in the section titled “Independent Registered Public Accounting Firm Fees” and “Pre-Approval Policies and Procedures” contained in Proposal 2 in our 2021 Proxy Statement.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b w:val="1"/>
          <w:bCs w:val="1"/>
          <w:color w:val="auto"/>
        </w:rPr>
        <w:t>PART IV</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Financial Statements and Schedules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(a)(1) Financial Statements.</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response to this portion of Item 15 is set forth under Item 8 hereof.</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(a)(2) Financial Statement Schedules.</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All schedules have been omitted because they are not required or because the required information is given in the Consolidated Financial Statements or Notes thereto.</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(a)(3)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gridSpan w:val="2"/>
          </w:tcPr>
          <w:p>
            <w:pPr>
              <w:ind w:left="420"/>
              <w:spacing w:after="0"/>
              <w:rPr>
                <w:sz w:val="20"/>
                <w:szCs w:val="20"/>
                <w:color w:val="auto"/>
              </w:rPr>
            </w:pPr>
            <w:r>
              <w:rPr>
                <w:rFonts w:ascii="Arial" w:cs="Arial" w:eastAsia="Arial" w:hAnsi="Arial"/>
                <w:sz w:val="13"/>
                <w:szCs w:val="13"/>
                <w:b w:val="1"/>
                <w:bCs w:val="1"/>
                <w:color w:val="auto"/>
              </w:rPr>
              <w:t>Exhibit</w:t>
            </w:r>
          </w:p>
        </w:tc>
        <w:tc>
          <w:tcPr>
            <w:tcW w:w="1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300" w:type="dxa"/>
            <w:vAlign w:val="bottom"/>
            <w:gridSpan w:val="13"/>
            <w:vMerge w:val="restart"/>
          </w:tcPr>
          <w:p>
            <w:pPr>
              <w:ind w:left="8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50"/>
        </w:trPr>
        <w:tc>
          <w:tcPr>
            <w:tcW w:w="1360" w:type="dxa"/>
            <w:vAlign w:val="bottom"/>
            <w:gridSpan w:val="2"/>
          </w:tcPr>
          <w:p>
            <w:pPr>
              <w:ind w:left="500"/>
              <w:spacing w:after="0"/>
              <w:rPr>
                <w:sz w:val="20"/>
                <w:szCs w:val="20"/>
                <w:color w:val="auto"/>
              </w:rPr>
            </w:pPr>
            <w:r>
              <w:rPr>
                <w:rFonts w:ascii="Arial" w:cs="Arial" w:eastAsia="Arial" w:hAnsi="Arial"/>
                <w:sz w:val="13"/>
                <w:szCs w:val="13"/>
                <w:b w:val="1"/>
                <w:bCs w:val="1"/>
                <w:color w:val="auto"/>
              </w:rPr>
              <w:t>No.</w:t>
            </w:r>
          </w:p>
        </w:tc>
        <w:tc>
          <w:tcPr>
            <w:tcW w:w="1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300" w:type="dxa"/>
            <w:vAlign w:val="bottom"/>
            <w:gridSpan w:val="1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124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1"/>
                <w:szCs w:val="21"/>
                <w:color w:val="auto"/>
              </w:rPr>
            </w:pPr>
          </w:p>
        </w:tc>
        <w:tc>
          <w:tcPr>
            <w:tcW w:w="9680" w:type="dxa"/>
            <w:vAlign w:val="bottom"/>
            <w:tcBorders>
              <w:top w:val="single" w:sz="8" w:color="auto"/>
              <w:bottom w:val="single" w:sz="8" w:color="0000EE"/>
            </w:tcBorders>
            <w:gridSpan w:val="14"/>
          </w:tcPr>
          <w:p>
            <w:pPr>
              <w:spacing w:after="0"/>
              <w:rPr>
                <w:rFonts w:ascii="Arial" w:cs="Arial" w:eastAsia="Arial" w:hAnsi="Arial"/>
                <w:sz w:val="16"/>
                <w:szCs w:val="16"/>
                <w:color w:val="0000EE"/>
                <w:w w:val="89"/>
              </w:rPr>
            </w:pPr>
            <w:hyperlink r:id="rId100">
              <w:r>
                <w:rPr>
                  <w:rFonts w:ascii="Arial" w:cs="Arial" w:eastAsia="Arial" w:hAnsi="Arial"/>
                  <w:sz w:val="16"/>
                  <w:szCs w:val="16"/>
                  <w:color w:val="0000EE"/>
                  <w:w w:val="89"/>
                </w:rPr>
                <w:t>Amended and Restated Certificate of Incorporation of the Company (incorporated herein by reference to Exhibit 3.1 to the Company’s Current Report on</w:t>
              </w:r>
            </w:hyperlink>
          </w:p>
        </w:tc>
        <w:tc>
          <w:tcPr>
            <w:tcW w:w="220" w:type="dxa"/>
            <w:vAlign w:val="bottom"/>
            <w:tcBorders>
              <w:top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18"/>
          </w:tcPr>
          <w:p>
            <w:pPr>
              <w:spacing w:after="0" w:line="169" w:lineRule="exact"/>
              <w:rPr>
                <w:rFonts w:ascii="Arial" w:cs="Arial" w:eastAsia="Arial" w:hAnsi="Arial"/>
                <w:sz w:val="16"/>
                <w:szCs w:val="16"/>
                <w:color w:val="0000EE"/>
              </w:rPr>
            </w:pPr>
            <w:hyperlink r:id="rId100">
              <w:r>
                <w:rPr>
                  <w:rFonts w:ascii="Arial" w:cs="Arial" w:eastAsia="Arial" w:hAnsi="Arial"/>
                  <w:sz w:val="16"/>
                  <w:szCs w:val="16"/>
                  <w:color w:val="0000EE"/>
                </w:rPr>
                <w:t>Form 8-K (File No. 001-37708), as filed with the SEC on March 8,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9700" w:type="dxa"/>
            <w:vAlign w:val="bottom"/>
            <w:tcBorders>
              <w:bottom w:val="single" w:sz="8" w:color="0000EE"/>
            </w:tcBorders>
            <w:gridSpan w:val="15"/>
          </w:tcPr>
          <w:p>
            <w:pPr>
              <w:spacing w:after="0"/>
              <w:rPr>
                <w:rFonts w:ascii="Arial" w:cs="Arial" w:eastAsia="Arial" w:hAnsi="Arial"/>
                <w:sz w:val="16"/>
                <w:szCs w:val="16"/>
                <w:color w:val="0000EE"/>
                <w:w w:val="89"/>
              </w:rPr>
            </w:pPr>
            <w:hyperlink r:id="rId101">
              <w:r>
                <w:rPr>
                  <w:rFonts w:ascii="Arial" w:cs="Arial" w:eastAsia="Arial" w:hAnsi="Arial"/>
                  <w:sz w:val="16"/>
                  <w:szCs w:val="16"/>
                  <w:color w:val="0000EE"/>
                  <w:w w:val="89"/>
                </w:rPr>
                <w:t>Amended and Restated Bylaws of the Company (incorporated herein by reference to Exhibit 3.2 to the Company’s Current Report on Form 8-K (File No.</w:t>
              </w:r>
            </w:hyperlink>
          </w:p>
        </w:tc>
        <w:tc>
          <w:tcPr>
            <w:tcW w:w="20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18"/>
          </w:tcPr>
          <w:p>
            <w:pPr>
              <w:spacing w:after="0" w:line="169" w:lineRule="exact"/>
              <w:rPr>
                <w:rFonts w:ascii="Arial" w:cs="Arial" w:eastAsia="Arial" w:hAnsi="Arial"/>
                <w:sz w:val="16"/>
                <w:szCs w:val="16"/>
                <w:color w:val="0000EE"/>
              </w:rPr>
            </w:pPr>
            <w:hyperlink r:id="rId101">
              <w:r>
                <w:rPr>
                  <w:rFonts w:ascii="Arial" w:cs="Arial" w:eastAsia="Arial" w:hAnsi="Arial"/>
                  <w:sz w:val="16"/>
                  <w:szCs w:val="16"/>
                  <w:color w:val="0000EE"/>
                </w:rPr>
                <w:t>001-37708), as filed with the SEC on March 8,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3"/>
                <w:szCs w:val="23"/>
                <w:color w:val="auto"/>
              </w:rPr>
            </w:pPr>
          </w:p>
        </w:tc>
        <w:tc>
          <w:tcPr>
            <w:tcW w:w="9900" w:type="dxa"/>
            <w:vAlign w:val="bottom"/>
            <w:gridSpan w:val="18"/>
          </w:tcPr>
          <w:p>
            <w:pPr>
              <w:spacing w:after="0"/>
              <w:rPr>
                <w:rFonts w:ascii="Arial" w:cs="Arial" w:eastAsia="Arial" w:hAnsi="Arial"/>
                <w:sz w:val="16"/>
                <w:szCs w:val="16"/>
                <w:color w:val="0000EE"/>
                <w:w w:val="90"/>
              </w:rPr>
            </w:pPr>
            <w:hyperlink r:id="rId102">
              <w:r>
                <w:rPr>
                  <w:rFonts w:ascii="Arial" w:cs="Arial" w:eastAsia="Arial" w:hAnsi="Arial"/>
                  <w:sz w:val="16"/>
                  <w:szCs w:val="16"/>
                  <w:color w:val="0000EE"/>
                  <w:w w:val="90"/>
                </w:rPr>
                <w:t>Specimen Common Stock Certificate of the Company (incorporated herein by reference to Exhibit 4.1 to the Company’s Registration Statement on Form S-</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40" w:type="dxa"/>
            <w:vAlign w:val="bottom"/>
            <w:tcBorders>
              <w:top w:val="single" w:sz="8" w:color="0000EE"/>
            </w:tcBorders>
            <w:gridSpan w:val="17"/>
          </w:tcPr>
          <w:p>
            <w:pPr>
              <w:spacing w:after="0" w:line="169" w:lineRule="exact"/>
              <w:rPr>
                <w:rFonts w:ascii="Arial" w:cs="Arial" w:eastAsia="Arial" w:hAnsi="Arial"/>
                <w:sz w:val="16"/>
                <w:szCs w:val="16"/>
                <w:color w:val="0000EE"/>
              </w:rPr>
            </w:pPr>
            <w:hyperlink r:id="rId102">
              <w:r>
                <w:rPr>
                  <w:rFonts w:ascii="Arial" w:cs="Arial" w:eastAsia="Arial" w:hAnsi="Arial"/>
                  <w:sz w:val="16"/>
                  <w:szCs w:val="16"/>
                  <w:color w:val="0000EE"/>
                </w:rPr>
                <w:t>1/A (File No. 333-208861), as filed with the SEC on February 20, 2016).</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3"/>
                <w:szCs w:val="23"/>
                <w:color w:val="auto"/>
              </w:rPr>
            </w:pPr>
          </w:p>
        </w:tc>
        <w:tc>
          <w:tcPr>
            <w:tcW w:w="9520" w:type="dxa"/>
            <w:vAlign w:val="bottom"/>
            <w:tcBorders>
              <w:bottom w:val="single" w:sz="8" w:color="0000EE"/>
            </w:tcBorders>
            <w:gridSpan w:val="9"/>
          </w:tcPr>
          <w:p>
            <w:pPr>
              <w:spacing w:after="0"/>
              <w:rPr>
                <w:rFonts w:ascii="Arial" w:cs="Arial" w:eastAsia="Arial" w:hAnsi="Arial"/>
                <w:sz w:val="16"/>
                <w:szCs w:val="16"/>
                <w:color w:val="0000EE"/>
                <w:w w:val="88"/>
              </w:rPr>
            </w:pPr>
            <w:hyperlink r:id="rId103">
              <w:r>
                <w:rPr>
                  <w:rFonts w:ascii="Arial" w:cs="Arial" w:eastAsia="Arial" w:hAnsi="Arial"/>
                  <w:sz w:val="16"/>
                  <w:szCs w:val="16"/>
                  <w:color w:val="0000EE"/>
                  <w:w w:val="88"/>
                </w:rPr>
                <w:t>Form of Pre-Funded Warrant to purchase Common Stock issued pursuant to the Exchange Agreement between the Company and Biotechnology Value</w:t>
              </w:r>
            </w:hyperlink>
          </w:p>
        </w:tc>
        <w:tc>
          <w:tcPr>
            <w:tcW w:w="380" w:type="dxa"/>
            <w:vAlign w:val="bottom"/>
            <w:gridSpan w:val="9"/>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18"/>
          </w:tcPr>
          <w:p>
            <w:pPr>
              <w:spacing w:after="0" w:line="169" w:lineRule="exact"/>
              <w:rPr>
                <w:rFonts w:ascii="Arial" w:cs="Arial" w:eastAsia="Arial" w:hAnsi="Arial"/>
                <w:sz w:val="16"/>
                <w:szCs w:val="16"/>
                <w:color w:val="0000EE"/>
                <w:w w:val="91"/>
              </w:rPr>
            </w:pPr>
            <w:hyperlink r:id="rId103">
              <w:r>
                <w:rPr>
                  <w:rFonts w:ascii="Arial" w:cs="Arial" w:eastAsia="Arial" w:hAnsi="Arial"/>
                  <w:sz w:val="16"/>
                  <w:szCs w:val="16"/>
                  <w:color w:val="0000EE"/>
                  <w:w w:val="91"/>
                </w:rPr>
                <w:t>Fund, L.P., Biotechnology Value Fund II, L.P. and Biotechnology Value Trading Fund OS, L.P., dated June 18, 2018 (incorporated by reference to Exhibit</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20" w:type="dxa"/>
            <w:vAlign w:val="bottom"/>
            <w:tcBorders>
              <w:top w:val="single" w:sz="8" w:color="0000EE"/>
              <w:bottom w:val="single" w:sz="8" w:color="0000EE"/>
            </w:tcBorders>
            <w:gridSpan w:val="8"/>
          </w:tcPr>
          <w:p>
            <w:pPr>
              <w:spacing w:after="0" w:line="169" w:lineRule="exact"/>
              <w:rPr>
                <w:rFonts w:ascii="Arial" w:cs="Arial" w:eastAsia="Arial" w:hAnsi="Arial"/>
                <w:sz w:val="16"/>
                <w:szCs w:val="16"/>
                <w:color w:val="0000EE"/>
                <w:w w:val="89"/>
              </w:rPr>
            </w:pPr>
            <w:hyperlink r:id="rId103">
              <w:r>
                <w:rPr>
                  <w:rFonts w:ascii="Arial" w:cs="Arial" w:eastAsia="Arial" w:hAnsi="Arial"/>
                  <w:sz w:val="16"/>
                  <w:szCs w:val="16"/>
                  <w:color w:val="0000EE"/>
                  <w:w w:val="89"/>
                </w:rPr>
                <w:t>4.</w:t>
              </w:r>
              <w:r>
                <w:rPr>
                  <w:rFonts w:ascii="Arial" w:cs="Arial" w:eastAsia="Arial" w:hAnsi="Arial"/>
                  <w:sz w:val="16"/>
                  <w:szCs w:val="16"/>
                  <w:u w:val="single" w:color="auto"/>
                  <w:color w:val="0000EE"/>
                  <w:w w:val="89"/>
                </w:rPr>
                <w:t>1</w:t>
              </w:r>
              <w:r>
                <w:rPr>
                  <w:rFonts w:ascii="Arial" w:cs="Arial" w:eastAsia="Arial" w:hAnsi="Arial"/>
                  <w:sz w:val="16"/>
                  <w:szCs w:val="16"/>
                  <w:color w:val="0000EE"/>
                  <w:w w:val="89"/>
                </w:rPr>
                <w:t xml:space="preserve"> to the Company’s Current Report on Form 8-K (File No. 001-37708), as filed with the SEC on June 20, 2018).</w:t>
              </w:r>
            </w:hyperlink>
          </w:p>
        </w:tc>
        <w:tc>
          <w:tcPr>
            <w:tcW w:w="2480" w:type="dxa"/>
            <w:vAlign w:val="bottom"/>
            <w:tcBorders>
              <w:top w:val="single" w:sz="8" w:color="0000EE"/>
            </w:tcBorders>
            <w:gridSpan w:val="7"/>
          </w:tcPr>
          <w:p>
            <w:pPr>
              <w:spacing w:after="0"/>
              <w:rPr>
                <w:sz w:val="14"/>
                <w:szCs w:val="14"/>
                <w:color w:val="auto"/>
              </w:rPr>
            </w:pPr>
          </w:p>
        </w:tc>
        <w:tc>
          <w:tcPr>
            <w:tcW w:w="2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3"/>
                <w:szCs w:val="23"/>
                <w:color w:val="auto"/>
              </w:rPr>
            </w:pPr>
          </w:p>
        </w:tc>
        <w:tc>
          <w:tcPr>
            <w:tcW w:w="9580" w:type="dxa"/>
            <w:vAlign w:val="bottom"/>
            <w:tcBorders>
              <w:bottom w:val="single" w:sz="8" w:color="0000EE"/>
            </w:tcBorders>
            <w:gridSpan w:val="11"/>
          </w:tcPr>
          <w:p>
            <w:pPr>
              <w:spacing w:after="0"/>
              <w:rPr>
                <w:rFonts w:ascii="Arial" w:cs="Arial" w:eastAsia="Arial" w:hAnsi="Arial"/>
                <w:sz w:val="16"/>
                <w:szCs w:val="16"/>
                <w:color w:val="0000EE"/>
                <w:w w:val="87"/>
              </w:rPr>
            </w:pPr>
            <w:hyperlink r:id="rId104">
              <w:r>
                <w:rPr>
                  <w:rFonts w:ascii="Arial" w:cs="Arial" w:eastAsia="Arial" w:hAnsi="Arial"/>
                  <w:sz w:val="16"/>
                  <w:szCs w:val="16"/>
                  <w:color w:val="0000EE"/>
                  <w:w w:val="87"/>
                </w:rPr>
                <w:t>Form of Pre-Funded Warrant issued pursuant to the securities purchase agreement between the Company and Certain Purchasers, dated March 26, 2019</w:t>
              </w:r>
            </w:hyperlink>
          </w:p>
        </w:tc>
        <w:tc>
          <w:tcPr>
            <w:tcW w:w="32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gridSpan w:val="18"/>
          </w:tcPr>
          <w:p>
            <w:pPr>
              <w:spacing w:after="0"/>
              <w:rPr>
                <w:rFonts w:ascii="Arial" w:cs="Arial" w:eastAsia="Arial" w:hAnsi="Arial"/>
                <w:sz w:val="16"/>
                <w:szCs w:val="16"/>
                <w:u w:val="single" w:color="auto"/>
                <w:color w:val="0000EE"/>
                <w:w w:val="92"/>
              </w:rPr>
            </w:pPr>
            <w:hyperlink r:id="rId104">
              <w:r>
                <w:rPr>
                  <w:rFonts w:ascii="Arial" w:cs="Arial" w:eastAsia="Arial" w:hAnsi="Arial"/>
                  <w:sz w:val="16"/>
                  <w:szCs w:val="16"/>
                  <w:u w:val="single" w:color="auto"/>
                  <w:color w:val="0000EE"/>
                  <w:w w:val="92"/>
                </w:rPr>
                <w:t>(incorporated by reference to Exhibit 4.2 to the Company’s Current Report on Form 8-K (File No. 001-37708), as filed with the SEC on March 29, 2019).</w:t>
              </w:r>
            </w:hyperlink>
          </w:p>
        </w:tc>
        <w:tc>
          <w:tcPr>
            <w:tcW w:w="0" w:type="dxa"/>
            <w:vAlign w:val="bottom"/>
          </w:tcPr>
          <w:p>
            <w:pPr>
              <w:spacing w:after="0"/>
              <w:rPr>
                <w:sz w:val="1"/>
                <w:szCs w:val="1"/>
                <w:color w:val="auto"/>
              </w:rPr>
            </w:pPr>
          </w:p>
        </w:tc>
      </w:tr>
      <w:tr>
        <w:trPr>
          <w:trHeight w:val="262"/>
        </w:trPr>
        <w:tc>
          <w:tcPr>
            <w:tcW w:w="1240" w:type="dxa"/>
            <w:vAlign w:val="bottom"/>
          </w:tcPr>
          <w:p>
            <w:pPr>
              <w:ind w:left="10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9660" w:type="dxa"/>
            <w:vAlign w:val="bottom"/>
            <w:tcBorders>
              <w:bottom w:val="single" w:sz="8" w:color="0000EE"/>
            </w:tcBorders>
            <w:gridSpan w:val="13"/>
          </w:tcPr>
          <w:p>
            <w:pPr>
              <w:spacing w:after="0"/>
              <w:rPr>
                <w:rFonts w:ascii="Arial" w:cs="Arial" w:eastAsia="Arial" w:hAnsi="Arial"/>
                <w:sz w:val="16"/>
                <w:szCs w:val="16"/>
                <w:color w:val="0000EE"/>
                <w:w w:val="87"/>
              </w:rPr>
            </w:pPr>
            <w:hyperlink r:id="rId105">
              <w:r>
                <w:rPr>
                  <w:rFonts w:ascii="Arial" w:cs="Arial" w:eastAsia="Arial" w:hAnsi="Arial"/>
                  <w:sz w:val="16"/>
                  <w:szCs w:val="16"/>
                  <w:color w:val="0000EE"/>
                  <w:w w:val="87"/>
                </w:rPr>
                <w:t>Form of Pre-Funded Warrant issued pursuant to the securities purchase agreement between the Company and Certain Purchasers, dated January 30, 2020</w:t>
              </w:r>
            </w:hyperlink>
          </w:p>
        </w:tc>
        <w:tc>
          <w:tcPr>
            <w:tcW w:w="24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gridSpan w:val="18"/>
          </w:tcPr>
          <w:p>
            <w:pPr>
              <w:spacing w:after="0"/>
              <w:rPr>
                <w:rFonts w:ascii="Arial" w:cs="Arial" w:eastAsia="Arial" w:hAnsi="Arial"/>
                <w:sz w:val="16"/>
                <w:szCs w:val="16"/>
                <w:u w:val="single" w:color="auto"/>
                <w:color w:val="0000EE"/>
                <w:w w:val="91"/>
              </w:rPr>
            </w:pPr>
            <w:hyperlink r:id="rId105">
              <w:r>
                <w:rPr>
                  <w:rFonts w:ascii="Arial" w:cs="Arial" w:eastAsia="Arial" w:hAnsi="Arial"/>
                  <w:sz w:val="16"/>
                  <w:szCs w:val="16"/>
                  <w:u w:val="single" w:color="auto"/>
                  <w:color w:val="0000EE"/>
                  <w:w w:val="91"/>
                </w:rPr>
                <w:t>(incorporated by reference to Exhibit 4.1 to the Company’s Current Report on Form 8-K (File No. 001-37708), as filed with the SEC on February 4, 2020).</w:t>
              </w:r>
            </w:hyperlink>
          </w:p>
        </w:tc>
        <w:tc>
          <w:tcPr>
            <w:tcW w:w="0" w:type="dxa"/>
            <w:vAlign w:val="bottom"/>
          </w:tcPr>
          <w:p>
            <w:pPr>
              <w:spacing w:after="0"/>
              <w:rPr>
                <w:sz w:val="1"/>
                <w:szCs w:val="1"/>
                <w:color w:val="auto"/>
              </w:rPr>
            </w:pPr>
          </w:p>
        </w:tc>
      </w:tr>
      <w:tr>
        <w:trPr>
          <w:trHeight w:val="262"/>
        </w:trPr>
        <w:tc>
          <w:tcPr>
            <w:tcW w:w="1240" w:type="dxa"/>
            <w:vAlign w:val="bottom"/>
          </w:tcPr>
          <w:p>
            <w:pPr>
              <w:ind w:left="10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2"/>
                <w:szCs w:val="22"/>
                <w:color w:val="auto"/>
              </w:rPr>
            </w:pPr>
          </w:p>
        </w:tc>
        <w:tc>
          <w:tcPr>
            <w:tcW w:w="9900" w:type="dxa"/>
            <w:vAlign w:val="bottom"/>
            <w:gridSpan w:val="18"/>
          </w:tcPr>
          <w:p>
            <w:pPr>
              <w:spacing w:after="0"/>
              <w:rPr>
                <w:rFonts w:ascii="Arial" w:cs="Arial" w:eastAsia="Arial" w:hAnsi="Arial"/>
                <w:sz w:val="16"/>
                <w:szCs w:val="16"/>
                <w:color w:val="0000EE"/>
                <w:w w:val="92"/>
              </w:rPr>
            </w:pPr>
            <w:hyperlink r:id="rId106">
              <w:r>
                <w:rPr>
                  <w:rFonts w:ascii="Arial" w:cs="Arial" w:eastAsia="Arial" w:hAnsi="Arial"/>
                  <w:sz w:val="16"/>
                  <w:szCs w:val="16"/>
                  <w:color w:val="0000EE"/>
                  <w:w w:val="92"/>
                </w:rPr>
                <w:t>Description of Capital Stock (incorporated by reference to Exhibit 4.5 to the Company’s Annual Report on Form 10-K (File No. 001-37708), as filed with</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88"/>
              </w:rPr>
            </w:pPr>
            <w:hyperlink r:id="rId106">
              <w:r>
                <w:rPr>
                  <w:rFonts w:ascii="Arial" w:cs="Arial" w:eastAsia="Arial" w:hAnsi="Arial"/>
                  <w:sz w:val="16"/>
                  <w:szCs w:val="16"/>
                  <w:color w:val="0000EE"/>
                  <w:w w:val="88"/>
                </w:rPr>
                <w:t>the SEC on March 5, 2020).</w:t>
              </w:r>
            </w:hyperlink>
          </w:p>
        </w:tc>
        <w:tc>
          <w:tcPr>
            <w:tcW w:w="7940" w:type="dxa"/>
            <w:vAlign w:val="bottom"/>
            <w:tcBorders>
              <w:top w:val="single" w:sz="8" w:color="0000EE"/>
            </w:tcBorders>
            <w:gridSpan w:val="15"/>
          </w:tcPr>
          <w:p>
            <w:pPr>
              <w:spacing w:after="0"/>
              <w:rPr>
                <w:sz w:val="14"/>
                <w:szCs w:val="14"/>
                <w:color w:val="auto"/>
              </w:rPr>
            </w:pPr>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3"/>
                <w:szCs w:val="23"/>
                <w:color w:val="auto"/>
              </w:rPr>
            </w:pPr>
          </w:p>
        </w:tc>
        <w:tc>
          <w:tcPr>
            <w:tcW w:w="9640" w:type="dxa"/>
            <w:vAlign w:val="bottom"/>
            <w:tcBorders>
              <w:bottom w:val="single" w:sz="8" w:color="0000EE"/>
            </w:tcBorders>
            <w:gridSpan w:val="12"/>
          </w:tcPr>
          <w:p>
            <w:pPr>
              <w:spacing w:after="0"/>
              <w:rPr>
                <w:rFonts w:ascii="Arial" w:cs="Arial" w:eastAsia="Arial" w:hAnsi="Arial"/>
                <w:sz w:val="16"/>
                <w:szCs w:val="16"/>
                <w:color w:val="0000EE"/>
                <w:w w:val="89"/>
              </w:rPr>
            </w:pPr>
            <w:hyperlink r:id="rId107">
              <w:r>
                <w:rPr>
                  <w:rFonts w:ascii="Arial" w:cs="Arial" w:eastAsia="Arial" w:hAnsi="Arial"/>
                  <w:sz w:val="16"/>
                  <w:szCs w:val="16"/>
                  <w:color w:val="0000EE"/>
                  <w:w w:val="89"/>
                </w:rPr>
                <w:t>2007 Stock Plan (incorporated herein by reference to Exhibit 10.3 to the Company’s Registration Statement on Form S-1 (File No. 333-208861), as filed</w:t>
              </w:r>
            </w:hyperlink>
          </w:p>
        </w:tc>
        <w:tc>
          <w:tcPr>
            <w:tcW w:w="26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18"/>
          </w:tcPr>
          <w:p>
            <w:pPr>
              <w:spacing w:after="0" w:line="169" w:lineRule="exact"/>
              <w:rPr>
                <w:rFonts w:ascii="Arial" w:cs="Arial" w:eastAsia="Arial" w:hAnsi="Arial"/>
                <w:sz w:val="16"/>
                <w:szCs w:val="16"/>
                <w:color w:val="0000EE"/>
              </w:rPr>
            </w:pPr>
            <w:hyperlink r:id="rId107">
              <w:r>
                <w:rPr>
                  <w:rFonts w:ascii="Arial" w:cs="Arial" w:eastAsia="Arial" w:hAnsi="Arial"/>
                  <w:sz w:val="16"/>
                  <w:szCs w:val="16"/>
                  <w:color w:val="0000EE"/>
                </w:rPr>
                <w:t>with the SEC on January 4,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3"/>
                <w:szCs w:val="23"/>
                <w:color w:val="auto"/>
              </w:rPr>
            </w:pPr>
          </w:p>
        </w:tc>
        <w:tc>
          <w:tcPr>
            <w:tcW w:w="9540" w:type="dxa"/>
            <w:vAlign w:val="bottom"/>
            <w:tcBorders>
              <w:bottom w:val="single" w:sz="8" w:color="0000EE"/>
            </w:tcBorders>
            <w:gridSpan w:val="10"/>
          </w:tcPr>
          <w:p>
            <w:pPr>
              <w:spacing w:after="0"/>
              <w:rPr>
                <w:rFonts w:ascii="Arial" w:cs="Arial" w:eastAsia="Arial" w:hAnsi="Arial"/>
                <w:sz w:val="16"/>
                <w:szCs w:val="16"/>
                <w:color w:val="0000EE"/>
                <w:w w:val="89"/>
              </w:rPr>
            </w:pPr>
            <w:hyperlink r:id="rId108">
              <w:r>
                <w:rPr>
                  <w:rFonts w:ascii="Arial" w:cs="Arial" w:eastAsia="Arial" w:hAnsi="Arial"/>
                  <w:sz w:val="16"/>
                  <w:szCs w:val="16"/>
                  <w:color w:val="0000EE"/>
                  <w:w w:val="89"/>
                </w:rPr>
                <w:t>2007 Stock Plan Amendment, dated as of March 8, 2013 (incorporated herein by reference to Exhibit 10.4 to the Company’s Registration Statement on</w:t>
              </w:r>
            </w:hyperlink>
          </w:p>
        </w:tc>
        <w:tc>
          <w:tcPr>
            <w:tcW w:w="36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20" w:type="dxa"/>
            <w:vAlign w:val="bottom"/>
            <w:tcBorders>
              <w:bottom w:val="single" w:sz="8" w:color="0000EE"/>
            </w:tcBorders>
            <w:gridSpan w:val="7"/>
          </w:tcPr>
          <w:p>
            <w:pPr>
              <w:spacing w:after="0" w:line="169" w:lineRule="exact"/>
              <w:rPr>
                <w:rFonts w:ascii="Arial" w:cs="Arial" w:eastAsia="Arial" w:hAnsi="Arial"/>
                <w:sz w:val="16"/>
                <w:szCs w:val="16"/>
                <w:color w:val="0000EE"/>
                <w:w w:val="89"/>
              </w:rPr>
            </w:pPr>
            <w:hyperlink r:id="rId108">
              <w:r>
                <w:rPr>
                  <w:rFonts w:ascii="Arial" w:cs="Arial" w:eastAsia="Arial" w:hAnsi="Arial"/>
                  <w:sz w:val="16"/>
                  <w:szCs w:val="16"/>
                  <w:color w:val="0000EE"/>
                  <w:w w:val="89"/>
                </w:rPr>
                <w:t>Form S-1 (File No. 333-208861), as filed with the SEC on January 4, 2016).</w:t>
              </w:r>
            </w:hyperlink>
          </w:p>
        </w:tc>
        <w:tc>
          <w:tcPr>
            <w:tcW w:w="50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3"/>
                <w:szCs w:val="23"/>
                <w:color w:val="auto"/>
              </w:rPr>
            </w:pPr>
          </w:p>
        </w:tc>
        <w:tc>
          <w:tcPr>
            <w:tcW w:w="9900" w:type="dxa"/>
            <w:vAlign w:val="bottom"/>
            <w:gridSpan w:val="18"/>
          </w:tcPr>
          <w:p>
            <w:pPr>
              <w:spacing w:after="0"/>
              <w:rPr>
                <w:rFonts w:ascii="Arial" w:cs="Arial" w:eastAsia="Arial" w:hAnsi="Arial"/>
                <w:sz w:val="16"/>
                <w:szCs w:val="16"/>
                <w:color w:val="0000EE"/>
                <w:w w:val="89"/>
              </w:rPr>
            </w:pPr>
            <w:hyperlink r:id="rId109">
              <w:r>
                <w:rPr>
                  <w:rFonts w:ascii="Arial" w:cs="Arial" w:eastAsia="Arial" w:hAnsi="Arial"/>
                  <w:sz w:val="16"/>
                  <w:szCs w:val="16"/>
                  <w:color w:val="0000EE"/>
                  <w:w w:val="89"/>
                </w:rPr>
                <w:t>2007 Stock Plan Amendment, dated as of July 10, 2013 (incorporated herein by reference to Exhibit 10.5 to the Company’s Registration Statement on Form</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40" w:type="dxa"/>
            <w:vAlign w:val="bottom"/>
            <w:tcBorders>
              <w:top w:val="single" w:sz="8" w:color="0000EE"/>
            </w:tcBorders>
            <w:gridSpan w:val="17"/>
          </w:tcPr>
          <w:p>
            <w:pPr>
              <w:spacing w:after="0" w:line="169" w:lineRule="exact"/>
              <w:rPr>
                <w:rFonts w:ascii="Arial" w:cs="Arial" w:eastAsia="Arial" w:hAnsi="Arial"/>
                <w:sz w:val="16"/>
                <w:szCs w:val="16"/>
                <w:color w:val="0000EE"/>
              </w:rPr>
            </w:pPr>
            <w:hyperlink r:id="rId109">
              <w:r>
                <w:rPr>
                  <w:rFonts w:ascii="Arial" w:cs="Arial" w:eastAsia="Arial" w:hAnsi="Arial"/>
                  <w:sz w:val="16"/>
                  <w:szCs w:val="16"/>
                  <w:color w:val="0000EE"/>
                </w:rPr>
                <w:t>S-1 (File No. 333-208861), as filed with the SEC on January 4, 2016).</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Borders>
              <w:top w:val="single" w:sz="8" w:color="0000EE"/>
            </w:tcBorders>
            <w:gridSpan w:val="4"/>
          </w:tcPr>
          <w:p>
            <w:pPr>
              <w:ind w:left="4180"/>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49"/>
        </w:trPr>
        <w:tc>
          <w:tcPr>
            <w:tcW w:w="1360" w:type="dxa"/>
            <w:vAlign w:val="bottom"/>
            <w:gridSpan w:val="2"/>
          </w:tcPr>
          <w:p>
            <w:pPr>
              <w:ind w:left="420"/>
              <w:spacing w:after="0"/>
              <w:rPr>
                <w:sz w:val="20"/>
                <w:szCs w:val="20"/>
                <w:color w:val="auto"/>
              </w:rPr>
            </w:pPr>
            <w:r>
              <w:rPr>
                <w:rFonts w:ascii="Arial" w:cs="Arial" w:eastAsia="Arial" w:hAnsi="Arial"/>
                <w:sz w:val="13"/>
                <w:szCs w:val="13"/>
                <w:b w:val="1"/>
                <w:bCs w:val="1"/>
                <w:color w:val="auto"/>
              </w:rPr>
              <w:t>Exhibit</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60" w:type="dxa"/>
            <w:vAlign w:val="bottom"/>
            <w:gridSpan w:val="17"/>
            <w:vMerge w:val="restart"/>
          </w:tcPr>
          <w:p>
            <w:pPr>
              <w:ind w:left="24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50"/>
        </w:trPr>
        <w:tc>
          <w:tcPr>
            <w:tcW w:w="1360" w:type="dxa"/>
            <w:vAlign w:val="bottom"/>
            <w:gridSpan w:val="2"/>
          </w:tcPr>
          <w:p>
            <w:pPr>
              <w:ind w:left="500"/>
              <w:spacing w:after="0"/>
              <w:rPr>
                <w:sz w:val="20"/>
                <w:szCs w:val="20"/>
                <w:color w:val="auto"/>
              </w:rPr>
            </w:pPr>
            <w:r>
              <w:rPr>
                <w:rFonts w:ascii="Arial" w:cs="Arial" w:eastAsia="Arial" w:hAnsi="Arial"/>
                <w:sz w:val="13"/>
                <w:szCs w:val="13"/>
                <w:b w:val="1"/>
                <w:bCs w:val="1"/>
                <w:color w:val="auto"/>
              </w:rPr>
              <w:t>No.</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60" w:type="dxa"/>
            <w:vAlign w:val="bottom"/>
            <w:gridSpan w:val="1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124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9700" w:type="dxa"/>
            <w:vAlign w:val="bottom"/>
            <w:tcBorders>
              <w:top w:val="single" w:sz="8" w:color="auto"/>
              <w:bottom w:val="single" w:sz="8" w:color="0000EE"/>
            </w:tcBorders>
            <w:gridSpan w:val="15"/>
          </w:tcPr>
          <w:p>
            <w:pPr>
              <w:spacing w:after="0"/>
              <w:rPr>
                <w:rFonts w:ascii="Arial" w:cs="Arial" w:eastAsia="Arial" w:hAnsi="Arial"/>
                <w:sz w:val="16"/>
                <w:szCs w:val="16"/>
                <w:color w:val="0000EE"/>
                <w:w w:val="88"/>
              </w:rPr>
            </w:pPr>
            <w:hyperlink r:id="rId112">
              <w:r>
                <w:rPr>
                  <w:rFonts w:ascii="Arial" w:cs="Arial" w:eastAsia="Arial" w:hAnsi="Arial"/>
                  <w:sz w:val="16"/>
                  <w:szCs w:val="16"/>
                  <w:color w:val="0000EE"/>
                  <w:w w:val="88"/>
                </w:rPr>
                <w:t>2007 Stock Plan Amendment, dated as of January 23, 2014 (incorporated herein by reference to Exhibit 10.6 to the Company’s Registration Statement on</w:t>
              </w:r>
            </w:hyperlink>
          </w:p>
        </w:tc>
        <w:tc>
          <w:tcPr>
            <w:tcW w:w="200" w:type="dxa"/>
            <w:vAlign w:val="bottom"/>
            <w:tcBorders>
              <w:top w:val="single" w:sz="8" w:color="auto"/>
            </w:tcBorders>
            <w:gridSpan w:val="6"/>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20" w:type="dxa"/>
            <w:vAlign w:val="bottom"/>
            <w:tcBorders>
              <w:bottom w:val="single" w:sz="8" w:color="0000EE"/>
            </w:tcBorders>
            <w:gridSpan w:val="6"/>
          </w:tcPr>
          <w:p>
            <w:pPr>
              <w:spacing w:after="0" w:line="169" w:lineRule="exact"/>
              <w:rPr>
                <w:rFonts w:ascii="Arial" w:cs="Arial" w:eastAsia="Arial" w:hAnsi="Arial"/>
                <w:sz w:val="16"/>
                <w:szCs w:val="16"/>
                <w:color w:val="0000EE"/>
                <w:w w:val="89"/>
              </w:rPr>
            </w:pPr>
            <w:hyperlink r:id="rId112">
              <w:r>
                <w:rPr>
                  <w:rFonts w:ascii="Arial" w:cs="Arial" w:eastAsia="Arial" w:hAnsi="Arial"/>
                  <w:sz w:val="16"/>
                  <w:szCs w:val="16"/>
                  <w:color w:val="0000EE"/>
                  <w:w w:val="89"/>
                </w:rPr>
                <w:t>Form S-1 (File No. 333-208861), as filed with the SEC on January 4, 2016).</w:t>
              </w:r>
            </w:hyperlink>
          </w:p>
        </w:tc>
        <w:tc>
          <w:tcPr>
            <w:tcW w:w="508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3"/>
                <w:szCs w:val="23"/>
                <w:color w:val="auto"/>
              </w:rPr>
            </w:pPr>
          </w:p>
        </w:tc>
        <w:tc>
          <w:tcPr>
            <w:tcW w:w="9860" w:type="dxa"/>
            <w:vAlign w:val="bottom"/>
            <w:tcBorders>
              <w:bottom w:val="single" w:sz="8" w:color="0000EE"/>
            </w:tcBorders>
            <w:gridSpan w:val="19"/>
          </w:tcPr>
          <w:p>
            <w:pPr>
              <w:spacing w:after="0"/>
              <w:rPr>
                <w:rFonts w:ascii="Arial" w:cs="Arial" w:eastAsia="Arial" w:hAnsi="Arial"/>
                <w:sz w:val="16"/>
                <w:szCs w:val="16"/>
                <w:color w:val="0000EE"/>
                <w:w w:val="89"/>
              </w:rPr>
            </w:pPr>
            <w:hyperlink r:id="rId113">
              <w:r>
                <w:rPr>
                  <w:rFonts w:ascii="Arial" w:cs="Arial" w:eastAsia="Arial" w:hAnsi="Arial"/>
                  <w:sz w:val="16"/>
                  <w:szCs w:val="16"/>
                  <w:color w:val="0000EE"/>
                  <w:w w:val="89"/>
                </w:rPr>
                <w:t>2007 Stock Plan Amendment, dated as of December 17, 2014 (incorporated herein by reference to Exhibit 10.7 to the Company’s Registration Statement on</w:t>
              </w:r>
            </w:hyperlink>
          </w:p>
        </w:tc>
        <w:tc>
          <w:tcPr>
            <w:tcW w:w="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20" w:type="dxa"/>
            <w:vAlign w:val="bottom"/>
            <w:tcBorders>
              <w:bottom w:val="single" w:sz="8" w:color="0000EE"/>
            </w:tcBorders>
            <w:gridSpan w:val="6"/>
          </w:tcPr>
          <w:p>
            <w:pPr>
              <w:spacing w:after="0" w:line="169" w:lineRule="exact"/>
              <w:rPr>
                <w:rFonts w:ascii="Arial" w:cs="Arial" w:eastAsia="Arial" w:hAnsi="Arial"/>
                <w:sz w:val="16"/>
                <w:szCs w:val="16"/>
                <w:color w:val="0000EE"/>
                <w:w w:val="89"/>
              </w:rPr>
            </w:pPr>
            <w:hyperlink r:id="rId113">
              <w:r>
                <w:rPr>
                  <w:rFonts w:ascii="Arial" w:cs="Arial" w:eastAsia="Arial" w:hAnsi="Arial"/>
                  <w:sz w:val="16"/>
                  <w:szCs w:val="16"/>
                  <w:color w:val="0000EE"/>
                  <w:w w:val="89"/>
                </w:rPr>
                <w:t>Form S-1 (File No. 333-208861), as filed with the SEC on January 4, 2016).</w:t>
              </w:r>
            </w:hyperlink>
          </w:p>
        </w:tc>
        <w:tc>
          <w:tcPr>
            <w:tcW w:w="508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3"/>
                <w:szCs w:val="23"/>
                <w:color w:val="auto"/>
              </w:rPr>
            </w:pPr>
          </w:p>
        </w:tc>
        <w:tc>
          <w:tcPr>
            <w:tcW w:w="9880" w:type="dxa"/>
            <w:vAlign w:val="bottom"/>
            <w:tcBorders>
              <w:bottom w:val="single" w:sz="8" w:color="0000EE"/>
            </w:tcBorders>
            <w:gridSpan w:val="20"/>
          </w:tcPr>
          <w:p>
            <w:pPr>
              <w:spacing w:after="0"/>
              <w:rPr>
                <w:rFonts w:ascii="Arial" w:cs="Arial" w:eastAsia="Arial" w:hAnsi="Arial"/>
                <w:sz w:val="16"/>
                <w:szCs w:val="16"/>
                <w:color w:val="0000EE"/>
                <w:w w:val="89"/>
              </w:rPr>
            </w:pPr>
            <w:hyperlink r:id="rId114">
              <w:r>
                <w:rPr>
                  <w:rFonts w:ascii="Arial" w:cs="Arial" w:eastAsia="Arial" w:hAnsi="Arial"/>
                  <w:sz w:val="16"/>
                  <w:szCs w:val="16"/>
                  <w:color w:val="0000EE"/>
                  <w:w w:val="89"/>
                </w:rPr>
                <w:t>2007 Stock Plan Amendment, dated as of May 28, 2015 (incorporated herein by reference to Exhibit 10.8 to the Company’s Registration Statement on Form</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40" w:type="dxa"/>
            <w:vAlign w:val="bottom"/>
            <w:tcBorders>
              <w:bottom w:val="single" w:sz="8" w:color="0000EE"/>
            </w:tcBorders>
            <w:gridSpan w:val="4"/>
          </w:tcPr>
          <w:p>
            <w:pPr>
              <w:spacing w:after="0" w:line="169" w:lineRule="exact"/>
              <w:rPr>
                <w:rFonts w:ascii="Arial" w:cs="Arial" w:eastAsia="Arial" w:hAnsi="Arial"/>
                <w:sz w:val="16"/>
                <w:szCs w:val="16"/>
                <w:color w:val="0000EE"/>
                <w:w w:val="89"/>
              </w:rPr>
            </w:pPr>
            <w:hyperlink r:id="rId114">
              <w:r>
                <w:rPr>
                  <w:rFonts w:ascii="Arial" w:cs="Arial" w:eastAsia="Arial" w:hAnsi="Arial"/>
                  <w:sz w:val="16"/>
                  <w:szCs w:val="16"/>
                  <w:color w:val="0000EE"/>
                  <w:w w:val="89"/>
                </w:rPr>
                <w:t>S-1 (File No. 333-208861), as filed with the SEC on January 4, 2016).</w:t>
              </w:r>
            </w:hyperlink>
          </w:p>
        </w:tc>
        <w:tc>
          <w:tcPr>
            <w:tcW w:w="546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3"/>
                <w:szCs w:val="23"/>
                <w:color w:val="auto"/>
              </w:rPr>
            </w:pPr>
          </w:p>
        </w:tc>
        <w:tc>
          <w:tcPr>
            <w:tcW w:w="9660" w:type="dxa"/>
            <w:vAlign w:val="bottom"/>
            <w:tcBorders>
              <w:bottom w:val="single" w:sz="8" w:color="0000EE"/>
            </w:tcBorders>
            <w:gridSpan w:val="14"/>
          </w:tcPr>
          <w:p>
            <w:pPr>
              <w:spacing w:after="0"/>
              <w:rPr>
                <w:rFonts w:ascii="Arial" w:cs="Arial" w:eastAsia="Arial" w:hAnsi="Arial"/>
                <w:sz w:val="16"/>
                <w:szCs w:val="16"/>
                <w:color w:val="0000EE"/>
                <w:w w:val="89"/>
              </w:rPr>
            </w:pPr>
            <w:hyperlink r:id="rId115">
              <w:r>
                <w:rPr>
                  <w:rFonts w:ascii="Arial" w:cs="Arial" w:eastAsia="Arial" w:hAnsi="Arial"/>
                  <w:sz w:val="16"/>
                  <w:szCs w:val="16"/>
                  <w:color w:val="0000EE"/>
                  <w:w w:val="89"/>
                </w:rPr>
                <w:t>2007 Stock Plan Amendment, dated as of August 20, 2015 (incorporated herein by reference to Exhibit 10.9 to the Company’s Registration Statement on</w:t>
              </w:r>
            </w:hyperlink>
          </w:p>
        </w:tc>
        <w:tc>
          <w:tcPr>
            <w:tcW w:w="24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20" w:type="dxa"/>
            <w:vAlign w:val="bottom"/>
            <w:tcBorders>
              <w:bottom w:val="single" w:sz="8" w:color="0000EE"/>
            </w:tcBorders>
            <w:gridSpan w:val="6"/>
          </w:tcPr>
          <w:p>
            <w:pPr>
              <w:spacing w:after="0" w:line="169" w:lineRule="exact"/>
              <w:rPr>
                <w:rFonts w:ascii="Arial" w:cs="Arial" w:eastAsia="Arial" w:hAnsi="Arial"/>
                <w:sz w:val="16"/>
                <w:szCs w:val="16"/>
                <w:color w:val="0000EE"/>
                <w:w w:val="89"/>
              </w:rPr>
            </w:pPr>
            <w:hyperlink r:id="rId115">
              <w:r>
                <w:rPr>
                  <w:rFonts w:ascii="Arial" w:cs="Arial" w:eastAsia="Arial" w:hAnsi="Arial"/>
                  <w:sz w:val="16"/>
                  <w:szCs w:val="16"/>
                  <w:color w:val="0000EE"/>
                  <w:w w:val="89"/>
                </w:rPr>
                <w:t>Form S-1 (File No. 333-208861), as filed with the SEC on January 4, 2016).</w:t>
              </w:r>
            </w:hyperlink>
          </w:p>
        </w:tc>
        <w:tc>
          <w:tcPr>
            <w:tcW w:w="508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3"/>
                <w:szCs w:val="23"/>
                <w:color w:val="auto"/>
              </w:rPr>
            </w:pPr>
          </w:p>
        </w:tc>
        <w:tc>
          <w:tcPr>
            <w:tcW w:w="9400" w:type="dxa"/>
            <w:vAlign w:val="bottom"/>
            <w:tcBorders>
              <w:bottom w:val="single" w:sz="8" w:color="0000EE"/>
            </w:tcBorders>
            <w:gridSpan w:val="11"/>
          </w:tcPr>
          <w:p>
            <w:pPr>
              <w:spacing w:after="0"/>
              <w:rPr>
                <w:rFonts w:ascii="Arial" w:cs="Arial" w:eastAsia="Arial" w:hAnsi="Arial"/>
                <w:sz w:val="16"/>
                <w:szCs w:val="16"/>
                <w:color w:val="0000EE"/>
                <w:w w:val="89"/>
              </w:rPr>
            </w:pPr>
            <w:hyperlink r:id="rId116">
              <w:r>
                <w:rPr>
                  <w:rFonts w:ascii="Arial" w:cs="Arial" w:eastAsia="Arial" w:hAnsi="Arial"/>
                  <w:sz w:val="16"/>
                  <w:szCs w:val="16"/>
                  <w:color w:val="0000EE"/>
                  <w:w w:val="89"/>
                </w:rPr>
                <w:t>Form of Incentive Stock Option Agreement under 2007 Stock Plan (incorporated herein by reference to Exhibit 10.10 to the Company’s Registration</w:t>
              </w:r>
            </w:hyperlink>
          </w:p>
        </w:tc>
        <w:tc>
          <w:tcPr>
            <w:tcW w:w="500" w:type="dxa"/>
            <w:vAlign w:val="bottom"/>
            <w:gridSpan w:val="10"/>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21"/>
          </w:tcPr>
          <w:p>
            <w:pPr>
              <w:spacing w:after="0" w:line="170" w:lineRule="exact"/>
              <w:rPr>
                <w:rFonts w:ascii="Arial" w:cs="Arial" w:eastAsia="Arial" w:hAnsi="Arial"/>
                <w:sz w:val="16"/>
                <w:szCs w:val="16"/>
                <w:color w:val="0000EE"/>
              </w:rPr>
            </w:pPr>
            <w:hyperlink r:id="rId116">
              <w:r>
                <w:rPr>
                  <w:rFonts w:ascii="Arial" w:cs="Arial" w:eastAsia="Arial" w:hAnsi="Arial"/>
                  <w:sz w:val="16"/>
                  <w:szCs w:val="16"/>
                  <w:color w:val="0000EE"/>
                </w:rPr>
                <w:t>Statement on Form S-1 (File No. 333-208861), as filed with the SEC on January 4,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3"/>
                <w:szCs w:val="23"/>
                <w:color w:val="auto"/>
              </w:rPr>
            </w:pPr>
          </w:p>
        </w:tc>
        <w:tc>
          <w:tcPr>
            <w:tcW w:w="9900" w:type="dxa"/>
            <w:vAlign w:val="bottom"/>
            <w:gridSpan w:val="21"/>
          </w:tcPr>
          <w:p>
            <w:pPr>
              <w:spacing w:after="0"/>
              <w:rPr>
                <w:rFonts w:ascii="Arial" w:cs="Arial" w:eastAsia="Arial" w:hAnsi="Arial"/>
                <w:sz w:val="16"/>
                <w:szCs w:val="16"/>
                <w:color w:val="0000EE"/>
                <w:w w:val="91"/>
              </w:rPr>
            </w:pPr>
            <w:hyperlink r:id="rId117">
              <w:r>
                <w:rPr>
                  <w:rFonts w:ascii="Arial" w:cs="Arial" w:eastAsia="Arial" w:hAnsi="Arial"/>
                  <w:sz w:val="16"/>
                  <w:szCs w:val="16"/>
                  <w:color w:val="0000EE"/>
                  <w:w w:val="91"/>
                </w:rPr>
                <w:t>Form of Non-Statutory Stock Option Agreement under 2007 Stock Plan (incorporated herein by reference to Exhibit 10.11 to the Company’s Registration</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700" w:type="dxa"/>
            <w:vAlign w:val="bottom"/>
            <w:tcBorders>
              <w:top w:val="single" w:sz="8" w:color="0000EE"/>
            </w:tcBorders>
            <w:gridSpan w:val="15"/>
          </w:tcPr>
          <w:p>
            <w:pPr>
              <w:spacing w:after="0" w:line="170" w:lineRule="exact"/>
              <w:rPr>
                <w:rFonts w:ascii="Arial" w:cs="Arial" w:eastAsia="Arial" w:hAnsi="Arial"/>
                <w:sz w:val="16"/>
                <w:szCs w:val="16"/>
                <w:color w:val="0000EE"/>
              </w:rPr>
            </w:pPr>
            <w:hyperlink r:id="rId117">
              <w:r>
                <w:rPr>
                  <w:rFonts w:ascii="Arial" w:cs="Arial" w:eastAsia="Arial" w:hAnsi="Arial"/>
                  <w:sz w:val="16"/>
                  <w:szCs w:val="16"/>
                  <w:color w:val="0000EE"/>
                </w:rPr>
                <w:t>Statement on Form S-1 (File No. 333-208861), as filed with the SEC on January 4, 2016).</w:t>
              </w:r>
            </w:hyperlink>
          </w:p>
        </w:tc>
        <w:tc>
          <w:tcPr>
            <w:tcW w:w="2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3"/>
                <w:szCs w:val="23"/>
                <w:color w:val="auto"/>
              </w:rPr>
            </w:pPr>
          </w:p>
        </w:tc>
        <w:tc>
          <w:tcPr>
            <w:tcW w:w="9500" w:type="dxa"/>
            <w:vAlign w:val="bottom"/>
            <w:tcBorders>
              <w:bottom w:val="single" w:sz="8" w:color="0000EE"/>
            </w:tcBorders>
            <w:gridSpan w:val="13"/>
          </w:tcPr>
          <w:p>
            <w:pPr>
              <w:spacing w:after="0"/>
              <w:rPr>
                <w:rFonts w:ascii="Arial" w:cs="Arial" w:eastAsia="Arial" w:hAnsi="Arial"/>
                <w:sz w:val="16"/>
                <w:szCs w:val="16"/>
                <w:color w:val="0000EE"/>
                <w:w w:val="89"/>
              </w:rPr>
            </w:pPr>
            <w:hyperlink r:id="rId118">
              <w:r>
                <w:rPr>
                  <w:rFonts w:ascii="Arial" w:cs="Arial" w:eastAsia="Arial" w:hAnsi="Arial"/>
                  <w:sz w:val="16"/>
                  <w:szCs w:val="16"/>
                  <w:color w:val="0000EE"/>
                  <w:w w:val="89"/>
                </w:rPr>
                <w:t>2015 Omnibus Incentive Plan (incorporated herein by reference to Exhibit 10.12 to the Company’s Registration Statement on Form S-8 (File No. 333-</w:t>
              </w:r>
            </w:hyperlink>
          </w:p>
        </w:tc>
        <w:tc>
          <w:tcPr>
            <w:tcW w:w="40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tcBorders>
              <w:bottom w:val="single" w:sz="8" w:color="0000EE"/>
            </w:tcBorders>
            <w:gridSpan w:val="3"/>
          </w:tcPr>
          <w:p>
            <w:pPr>
              <w:spacing w:after="0" w:line="169" w:lineRule="exact"/>
              <w:rPr>
                <w:rFonts w:ascii="Arial" w:cs="Arial" w:eastAsia="Arial" w:hAnsi="Arial"/>
                <w:sz w:val="16"/>
                <w:szCs w:val="16"/>
                <w:color w:val="0000EE"/>
                <w:w w:val="89"/>
              </w:rPr>
            </w:pPr>
            <w:hyperlink r:id="rId118">
              <w:r>
                <w:rPr>
                  <w:rFonts w:ascii="Arial" w:cs="Arial" w:eastAsia="Arial" w:hAnsi="Arial"/>
                  <w:sz w:val="16"/>
                  <w:szCs w:val="16"/>
                  <w:color w:val="0000EE"/>
                  <w:w w:val="89"/>
                </w:rPr>
                <w:t>210412)</w:t>
              </w:r>
              <w:r>
                <w:rPr>
                  <w:rFonts w:ascii="Arial" w:cs="Arial" w:eastAsia="Arial" w:hAnsi="Arial"/>
                  <w:sz w:val="16"/>
                  <w:szCs w:val="16"/>
                  <w:u w:val="single" w:color="auto"/>
                  <w:color w:val="0000EE"/>
                  <w:w w:val="89"/>
                </w:rPr>
                <w:t>,</w:t>
              </w:r>
              <w:r>
                <w:rPr>
                  <w:rFonts w:ascii="Arial" w:cs="Arial" w:eastAsia="Arial" w:hAnsi="Arial"/>
                  <w:sz w:val="16"/>
                  <w:szCs w:val="16"/>
                  <w:color w:val="0000EE"/>
                  <w:w w:val="89"/>
                </w:rPr>
                <w:t xml:space="preserve"> as filed with the SEC on March 25, 2016).</w:t>
              </w:r>
            </w:hyperlink>
          </w:p>
        </w:tc>
        <w:tc>
          <w:tcPr>
            <w:tcW w:w="662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23"/>
                <w:szCs w:val="23"/>
                <w:color w:val="auto"/>
              </w:rPr>
            </w:pPr>
          </w:p>
        </w:tc>
        <w:tc>
          <w:tcPr>
            <w:tcW w:w="9440" w:type="dxa"/>
            <w:vAlign w:val="bottom"/>
            <w:tcBorders>
              <w:bottom w:val="single" w:sz="8" w:color="0000EE"/>
            </w:tcBorders>
            <w:gridSpan w:val="12"/>
          </w:tcPr>
          <w:p>
            <w:pPr>
              <w:spacing w:after="0"/>
              <w:rPr>
                <w:rFonts w:ascii="Arial" w:cs="Arial" w:eastAsia="Arial" w:hAnsi="Arial"/>
                <w:sz w:val="16"/>
                <w:szCs w:val="16"/>
                <w:color w:val="0000EE"/>
                <w:w w:val="90"/>
              </w:rPr>
            </w:pPr>
            <w:hyperlink r:id="rId119">
              <w:r>
                <w:rPr>
                  <w:rFonts w:ascii="Arial" w:cs="Arial" w:eastAsia="Arial" w:hAnsi="Arial"/>
                  <w:sz w:val="16"/>
                  <w:szCs w:val="16"/>
                  <w:color w:val="0000EE"/>
                  <w:w w:val="90"/>
                </w:rPr>
                <w:t>Form of Incentive Stock Option Agreement under 2015 Omnibus Incentive Plan (incorporated herein by reference to Exhibit 10.13 to the Company’s</w:t>
              </w:r>
            </w:hyperlink>
          </w:p>
        </w:tc>
        <w:tc>
          <w:tcPr>
            <w:tcW w:w="460" w:type="dxa"/>
            <w:vAlign w:val="bottom"/>
            <w:gridSpan w:val="9"/>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500" w:type="dxa"/>
            <w:vAlign w:val="bottom"/>
            <w:tcBorders>
              <w:bottom w:val="single" w:sz="8" w:color="0000EE"/>
            </w:tcBorders>
            <w:gridSpan w:val="8"/>
          </w:tcPr>
          <w:p>
            <w:pPr>
              <w:spacing w:after="0" w:line="169" w:lineRule="exact"/>
              <w:rPr>
                <w:rFonts w:ascii="Arial" w:cs="Arial" w:eastAsia="Arial" w:hAnsi="Arial"/>
                <w:sz w:val="16"/>
                <w:szCs w:val="16"/>
                <w:color w:val="0000EE"/>
                <w:w w:val="89"/>
              </w:rPr>
            </w:pPr>
            <w:hyperlink r:id="rId119">
              <w:r>
                <w:rPr>
                  <w:rFonts w:ascii="Arial" w:cs="Arial" w:eastAsia="Arial" w:hAnsi="Arial"/>
                  <w:sz w:val="16"/>
                  <w:szCs w:val="16"/>
                  <w:color w:val="0000EE"/>
                  <w:w w:val="89"/>
                </w:rPr>
                <w:t>Registration Statement on Form S-1 (File No. 333-208861), as filed with the SEC on January 4, 2016).</w:t>
              </w:r>
            </w:hyperlink>
          </w:p>
        </w:tc>
        <w:tc>
          <w:tcPr>
            <w:tcW w:w="340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23"/>
                <w:szCs w:val="23"/>
                <w:color w:val="auto"/>
              </w:rPr>
            </w:pPr>
          </w:p>
        </w:tc>
        <w:tc>
          <w:tcPr>
            <w:tcW w:w="9900" w:type="dxa"/>
            <w:vAlign w:val="bottom"/>
            <w:gridSpan w:val="21"/>
          </w:tcPr>
          <w:p>
            <w:pPr>
              <w:spacing w:after="0"/>
              <w:rPr>
                <w:rFonts w:ascii="Arial" w:cs="Arial" w:eastAsia="Arial" w:hAnsi="Arial"/>
                <w:sz w:val="16"/>
                <w:szCs w:val="16"/>
                <w:color w:val="0000EE"/>
                <w:w w:val="95"/>
              </w:rPr>
            </w:pPr>
            <w:hyperlink r:id="rId120">
              <w:r>
                <w:rPr>
                  <w:rFonts w:ascii="Arial" w:cs="Arial" w:eastAsia="Arial" w:hAnsi="Arial"/>
                  <w:sz w:val="16"/>
                  <w:szCs w:val="16"/>
                  <w:color w:val="0000EE"/>
                  <w:w w:val="95"/>
                </w:rPr>
                <w:t>Form of Non-Qualified Option Agreement under 2015 Omnibus Incentive Plan (incorporated herein by reference to Exhibit 10.14 to the Company’s</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500" w:type="dxa"/>
            <w:vAlign w:val="bottom"/>
            <w:tcBorders>
              <w:top w:val="single" w:sz="8" w:color="0000EE"/>
              <w:bottom w:val="single" w:sz="8" w:color="0000EE"/>
            </w:tcBorders>
            <w:gridSpan w:val="8"/>
          </w:tcPr>
          <w:p>
            <w:pPr>
              <w:spacing w:after="0" w:line="169" w:lineRule="exact"/>
              <w:rPr>
                <w:rFonts w:ascii="Arial" w:cs="Arial" w:eastAsia="Arial" w:hAnsi="Arial"/>
                <w:sz w:val="16"/>
                <w:szCs w:val="16"/>
                <w:color w:val="0000EE"/>
                <w:w w:val="89"/>
              </w:rPr>
            </w:pPr>
            <w:hyperlink r:id="rId120">
              <w:r>
                <w:rPr>
                  <w:rFonts w:ascii="Arial" w:cs="Arial" w:eastAsia="Arial" w:hAnsi="Arial"/>
                  <w:sz w:val="16"/>
                  <w:szCs w:val="16"/>
                  <w:color w:val="0000EE"/>
                  <w:w w:val="89"/>
                </w:rPr>
                <w:t>Registration Statement on Form S-1 (File No. 333-208861), as filed with the SEC on January 4, 2016).</w:t>
              </w:r>
            </w:hyperlink>
          </w:p>
        </w:tc>
        <w:tc>
          <w:tcPr>
            <w:tcW w:w="2860" w:type="dxa"/>
            <w:vAlign w:val="bottom"/>
            <w:tcBorders>
              <w:top w:val="single" w:sz="8" w:color="0000EE"/>
            </w:tcBorders>
            <w:gridSpan w:val="2"/>
          </w:tcPr>
          <w:p>
            <w:pPr>
              <w:spacing w:after="0"/>
              <w:rPr>
                <w:sz w:val="14"/>
                <w:szCs w:val="14"/>
                <w:color w:val="auto"/>
              </w:rPr>
            </w:pPr>
          </w:p>
        </w:tc>
        <w:tc>
          <w:tcPr>
            <w:tcW w:w="54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3"/>
                <w:szCs w:val="23"/>
                <w:color w:val="auto"/>
              </w:rPr>
            </w:pPr>
          </w:p>
        </w:tc>
        <w:tc>
          <w:tcPr>
            <w:tcW w:w="9880" w:type="dxa"/>
            <w:vAlign w:val="bottom"/>
            <w:tcBorders>
              <w:bottom w:val="single" w:sz="8" w:color="0000EE"/>
            </w:tcBorders>
            <w:gridSpan w:val="20"/>
          </w:tcPr>
          <w:p>
            <w:pPr>
              <w:spacing w:after="0"/>
              <w:rPr>
                <w:rFonts w:ascii="Arial" w:cs="Arial" w:eastAsia="Arial" w:hAnsi="Arial"/>
                <w:sz w:val="16"/>
                <w:szCs w:val="16"/>
                <w:color w:val="0000EE"/>
                <w:w w:val="90"/>
              </w:rPr>
            </w:pPr>
            <w:hyperlink r:id="rId121">
              <w:r>
                <w:rPr>
                  <w:rFonts w:ascii="Arial" w:cs="Arial" w:eastAsia="Arial" w:hAnsi="Arial"/>
                  <w:sz w:val="16"/>
                  <w:szCs w:val="16"/>
                  <w:color w:val="0000EE"/>
                  <w:w w:val="90"/>
                </w:rPr>
                <w:t>Form of Stock Unit Agreement under 2015 Omnibus Incentive Plan (incorporated herein by reference to Exhibit 10.1 to the Company’s Quarterly Report on</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21"/>
          </w:tcPr>
          <w:p>
            <w:pPr>
              <w:spacing w:after="0" w:line="169" w:lineRule="exact"/>
              <w:rPr>
                <w:rFonts w:ascii="Arial" w:cs="Arial" w:eastAsia="Arial" w:hAnsi="Arial"/>
                <w:sz w:val="16"/>
                <w:szCs w:val="16"/>
                <w:color w:val="0000EE"/>
              </w:rPr>
            </w:pPr>
            <w:hyperlink r:id="rId121">
              <w:r>
                <w:rPr>
                  <w:rFonts w:ascii="Arial" w:cs="Arial" w:eastAsia="Arial" w:hAnsi="Arial"/>
                  <w:sz w:val="16"/>
                  <w:szCs w:val="16"/>
                  <w:color w:val="0000EE"/>
                </w:rPr>
                <w:t>Form 10-Q (File No. 001-37708), as filed with the SEC on August 6, 2020).</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380" w:type="dxa"/>
            <w:vAlign w:val="bottom"/>
            <w:gridSpan w:val="3"/>
            <w:shd w:val="clear" w:color="auto" w:fill="0000EE"/>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240" w:type="dxa"/>
            <w:vAlign w:val="bottom"/>
          </w:tcPr>
          <w:p>
            <w:pPr>
              <w:ind w:left="100"/>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6"/>
                <w:szCs w:val="16"/>
                <w:u w:val="single" w:color="auto"/>
                <w:color w:val="0000EE"/>
              </w:rPr>
            </w:pPr>
            <w:hyperlink w:anchor="page115">
              <w:r>
                <w:rPr>
                  <w:rFonts w:ascii="Arial" w:cs="Arial" w:eastAsia="Arial" w:hAnsi="Arial"/>
                  <w:sz w:val="16"/>
                  <w:szCs w:val="16"/>
                  <w:u w:val="single" w:color="auto"/>
                  <w:color w:val="0000EE"/>
                </w:rPr>
                <w:t>Form of Deferred Settlement Stock Unit Agreement under 2015 Omnibus Incentive Plan.</w:t>
              </w:r>
            </w:hyperlink>
          </w:p>
        </w:tc>
        <w:tc>
          <w:tcPr>
            <w:tcW w:w="0" w:type="dxa"/>
            <w:vAlign w:val="bottom"/>
          </w:tcPr>
          <w:p>
            <w:pPr>
              <w:spacing w:after="0"/>
              <w:rPr>
                <w:sz w:val="1"/>
                <w:szCs w:val="1"/>
                <w:color w:val="auto"/>
              </w:rPr>
            </w:pPr>
          </w:p>
        </w:tc>
      </w:tr>
      <w:tr>
        <w:trPr>
          <w:trHeight w:val="262"/>
        </w:trPr>
        <w:tc>
          <w:tcPr>
            <w:tcW w:w="1240" w:type="dxa"/>
            <w:vAlign w:val="bottom"/>
          </w:tcPr>
          <w:p>
            <w:pPr>
              <w:ind w:left="100"/>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22"/>
                <w:szCs w:val="22"/>
                <w:color w:val="auto"/>
              </w:rPr>
            </w:pPr>
          </w:p>
        </w:tc>
        <w:tc>
          <w:tcPr>
            <w:tcW w:w="9860" w:type="dxa"/>
            <w:vAlign w:val="bottom"/>
            <w:tcBorders>
              <w:bottom w:val="single" w:sz="8" w:color="0000EE"/>
            </w:tcBorders>
            <w:gridSpan w:val="19"/>
          </w:tcPr>
          <w:p>
            <w:pPr>
              <w:spacing w:after="0"/>
              <w:rPr>
                <w:rFonts w:ascii="Arial" w:cs="Arial" w:eastAsia="Arial" w:hAnsi="Arial"/>
                <w:sz w:val="16"/>
                <w:szCs w:val="16"/>
                <w:color w:val="0000EE"/>
                <w:w w:val="89"/>
              </w:rPr>
            </w:pPr>
            <w:hyperlink r:id="rId122">
              <w:r>
                <w:rPr>
                  <w:rFonts w:ascii="Arial" w:cs="Arial" w:eastAsia="Arial" w:hAnsi="Arial"/>
                  <w:sz w:val="16"/>
                  <w:szCs w:val="16"/>
                  <w:color w:val="0000EE"/>
                  <w:w w:val="89"/>
                </w:rPr>
                <w:t>2015 Employee Stock Purchase Plan (incorporated herein by reference to Exhibit 4.16 to the Company’s Registration Statement on Form S-8 (File No. 333-</w:t>
              </w:r>
            </w:hyperlink>
          </w:p>
        </w:tc>
        <w:tc>
          <w:tcPr>
            <w:tcW w:w="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tcBorders>
              <w:bottom w:val="single" w:sz="8" w:color="0000EE"/>
            </w:tcBorders>
            <w:gridSpan w:val="3"/>
          </w:tcPr>
          <w:p>
            <w:pPr>
              <w:spacing w:after="0" w:line="169" w:lineRule="exact"/>
              <w:rPr>
                <w:rFonts w:ascii="Arial" w:cs="Arial" w:eastAsia="Arial" w:hAnsi="Arial"/>
                <w:sz w:val="16"/>
                <w:szCs w:val="16"/>
                <w:color w:val="0000EE"/>
                <w:w w:val="89"/>
              </w:rPr>
            </w:pPr>
            <w:hyperlink r:id="rId122">
              <w:r>
                <w:rPr>
                  <w:rFonts w:ascii="Arial" w:cs="Arial" w:eastAsia="Arial" w:hAnsi="Arial"/>
                  <w:sz w:val="16"/>
                  <w:szCs w:val="16"/>
                  <w:color w:val="0000EE"/>
                  <w:w w:val="89"/>
                </w:rPr>
                <w:t>210412)</w:t>
              </w:r>
              <w:r>
                <w:rPr>
                  <w:rFonts w:ascii="Arial" w:cs="Arial" w:eastAsia="Arial" w:hAnsi="Arial"/>
                  <w:sz w:val="16"/>
                  <w:szCs w:val="16"/>
                  <w:u w:val="single" w:color="auto"/>
                  <w:color w:val="0000EE"/>
                  <w:w w:val="89"/>
                </w:rPr>
                <w:t>,</w:t>
              </w:r>
              <w:r>
                <w:rPr>
                  <w:rFonts w:ascii="Arial" w:cs="Arial" w:eastAsia="Arial" w:hAnsi="Arial"/>
                  <w:sz w:val="16"/>
                  <w:szCs w:val="16"/>
                  <w:color w:val="0000EE"/>
                  <w:w w:val="89"/>
                </w:rPr>
                <w:t xml:space="preserve"> as filed with the SEC on March 25, 2016).</w:t>
              </w:r>
            </w:hyperlink>
          </w:p>
        </w:tc>
        <w:tc>
          <w:tcPr>
            <w:tcW w:w="662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3"/>
                <w:szCs w:val="23"/>
                <w:color w:val="auto"/>
              </w:rPr>
            </w:pPr>
          </w:p>
        </w:tc>
        <w:tc>
          <w:tcPr>
            <w:tcW w:w="9900" w:type="dxa"/>
            <w:vAlign w:val="bottom"/>
            <w:gridSpan w:val="21"/>
          </w:tcPr>
          <w:p>
            <w:pPr>
              <w:spacing w:after="0"/>
              <w:rPr>
                <w:rFonts w:ascii="Arial" w:cs="Arial" w:eastAsia="Arial" w:hAnsi="Arial"/>
                <w:sz w:val="16"/>
                <w:szCs w:val="16"/>
                <w:color w:val="0000EE"/>
                <w:w w:val="94"/>
              </w:rPr>
            </w:pPr>
            <w:hyperlink r:id="rId123">
              <w:r>
                <w:rPr>
                  <w:rFonts w:ascii="Arial" w:cs="Arial" w:eastAsia="Arial" w:hAnsi="Arial"/>
                  <w:sz w:val="16"/>
                  <w:szCs w:val="16"/>
                  <w:color w:val="0000EE"/>
                  <w:w w:val="94"/>
                </w:rPr>
                <w:t>Amended and Restated Executive Employment Agreement by and between the Company and Briggs W. Morrison, M.D., dated as of April 27, 2020</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920" w:type="dxa"/>
            <w:vAlign w:val="bottom"/>
            <w:gridSpan w:val="7"/>
            <w:shd w:val="clear" w:color="auto" w:fill="0000EE"/>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21"/>
          </w:tcPr>
          <w:p>
            <w:pPr>
              <w:spacing w:after="0" w:line="169" w:lineRule="exact"/>
              <w:rPr>
                <w:rFonts w:ascii="Arial" w:cs="Arial" w:eastAsia="Arial" w:hAnsi="Arial"/>
                <w:sz w:val="16"/>
                <w:szCs w:val="16"/>
                <w:color w:val="0000EE"/>
                <w:w w:val="91"/>
              </w:rPr>
            </w:pPr>
            <w:hyperlink r:id="rId123">
              <w:r>
                <w:rPr>
                  <w:rFonts w:ascii="Arial" w:cs="Arial" w:eastAsia="Arial" w:hAnsi="Arial"/>
                  <w:sz w:val="16"/>
                  <w:szCs w:val="16"/>
                  <w:color w:val="0000EE"/>
                  <w:w w:val="91"/>
                </w:rPr>
                <w:t>(incorporated herein by reference to Exhibit 10.4 to the Company’s Quarterly Report on Form 10-Q (File No. 001-37708), as filed with the SEC on May 7,</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w w:val="88"/>
              </w:rPr>
            </w:pPr>
            <w:hyperlink r:id="rId123">
              <w:r>
                <w:rPr>
                  <w:rFonts w:ascii="Arial" w:cs="Arial" w:eastAsia="Arial" w:hAnsi="Arial"/>
                  <w:sz w:val="16"/>
                  <w:szCs w:val="16"/>
                  <w:color w:val="0000EE"/>
                  <w:w w:val="88"/>
                </w:rPr>
                <w:t>2020).</w:t>
              </w:r>
            </w:hyperlink>
          </w:p>
        </w:tc>
        <w:tc>
          <w:tcPr>
            <w:tcW w:w="2860" w:type="dxa"/>
            <w:vAlign w:val="bottom"/>
            <w:tcBorders>
              <w:top w:val="single" w:sz="8" w:color="0000EE"/>
            </w:tcBorders>
          </w:tcPr>
          <w:p>
            <w:pPr>
              <w:spacing w:after="0"/>
              <w:rPr>
                <w:sz w:val="14"/>
                <w:szCs w:val="14"/>
                <w:color w:val="auto"/>
              </w:rPr>
            </w:pPr>
          </w:p>
        </w:tc>
        <w:tc>
          <w:tcPr>
            <w:tcW w:w="11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6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8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3"/>
                <w:szCs w:val="23"/>
                <w:color w:val="auto"/>
              </w:rPr>
            </w:pPr>
          </w:p>
        </w:tc>
        <w:tc>
          <w:tcPr>
            <w:tcW w:w="9840" w:type="dxa"/>
            <w:vAlign w:val="bottom"/>
            <w:tcBorders>
              <w:bottom w:val="single" w:sz="8" w:color="0000EE"/>
            </w:tcBorders>
            <w:gridSpan w:val="18"/>
          </w:tcPr>
          <w:p>
            <w:pPr>
              <w:spacing w:after="0"/>
              <w:rPr>
                <w:rFonts w:ascii="Arial" w:cs="Arial" w:eastAsia="Arial" w:hAnsi="Arial"/>
                <w:sz w:val="16"/>
                <w:szCs w:val="16"/>
                <w:color w:val="0000EE"/>
                <w:w w:val="89"/>
              </w:rPr>
            </w:pPr>
            <w:hyperlink r:id="rId124">
              <w:r>
                <w:rPr>
                  <w:rFonts w:ascii="Arial" w:cs="Arial" w:eastAsia="Arial" w:hAnsi="Arial"/>
                  <w:sz w:val="16"/>
                  <w:szCs w:val="16"/>
                  <w:color w:val="0000EE"/>
                  <w:w w:val="89"/>
                </w:rPr>
                <w:t>Amended and Restated Executive Employment Agreement by and between the Company and Michael A. Metzger, dated as of April 27, 2020 (incorporated</w:t>
              </w:r>
            </w:hyperlink>
          </w:p>
        </w:tc>
        <w:tc>
          <w:tcPr>
            <w:tcW w:w="6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gridSpan w:val="21"/>
          </w:tcPr>
          <w:p>
            <w:pPr>
              <w:spacing w:after="0"/>
              <w:rPr>
                <w:rFonts w:ascii="Arial" w:cs="Arial" w:eastAsia="Arial" w:hAnsi="Arial"/>
                <w:sz w:val="16"/>
                <w:szCs w:val="16"/>
                <w:u w:val="single" w:color="auto"/>
                <w:color w:val="0000EE"/>
                <w:w w:val="95"/>
              </w:rPr>
            </w:pPr>
            <w:hyperlink r:id="rId124">
              <w:r>
                <w:rPr>
                  <w:rFonts w:ascii="Arial" w:cs="Arial" w:eastAsia="Arial" w:hAnsi="Arial"/>
                  <w:sz w:val="16"/>
                  <w:szCs w:val="16"/>
                  <w:u w:val="single" w:color="auto"/>
                  <w:color w:val="0000EE"/>
                  <w:w w:val="95"/>
                </w:rPr>
                <w:t>herein by reference to Exhibit 10.5 to the Company’s Quarterly Report on Form 10-Q (File No. 001-37708), as filed with the SEC on May 7, 2020).</w:t>
              </w:r>
            </w:hyperlink>
          </w:p>
        </w:tc>
        <w:tc>
          <w:tcPr>
            <w:tcW w:w="0" w:type="dxa"/>
            <w:vAlign w:val="bottom"/>
          </w:tcPr>
          <w:p>
            <w:pPr>
              <w:spacing w:after="0"/>
              <w:rPr>
                <w:sz w:val="1"/>
                <w:szCs w:val="1"/>
                <w:color w:val="auto"/>
              </w:rPr>
            </w:pPr>
          </w:p>
        </w:tc>
      </w:tr>
      <w:tr>
        <w:trPr>
          <w:trHeight w:val="262"/>
        </w:trPr>
        <w:tc>
          <w:tcPr>
            <w:tcW w:w="1240" w:type="dxa"/>
            <w:vAlign w:val="bottom"/>
          </w:tcPr>
          <w:p>
            <w:pPr>
              <w:ind w:left="100"/>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22"/>
                <w:szCs w:val="22"/>
                <w:color w:val="auto"/>
              </w:rPr>
            </w:pPr>
          </w:p>
        </w:tc>
        <w:tc>
          <w:tcPr>
            <w:tcW w:w="9900" w:type="dxa"/>
            <w:vAlign w:val="bottom"/>
            <w:gridSpan w:val="21"/>
          </w:tcPr>
          <w:p>
            <w:pPr>
              <w:spacing w:after="0"/>
              <w:rPr>
                <w:rFonts w:ascii="Arial" w:cs="Arial" w:eastAsia="Arial" w:hAnsi="Arial"/>
                <w:sz w:val="16"/>
                <w:szCs w:val="16"/>
                <w:color w:val="0000EE"/>
                <w:w w:val="91"/>
              </w:rPr>
            </w:pPr>
            <w:hyperlink r:id="rId125">
              <w:r>
                <w:rPr>
                  <w:rFonts w:ascii="Arial" w:cs="Arial" w:eastAsia="Arial" w:hAnsi="Arial"/>
                  <w:sz w:val="16"/>
                  <w:szCs w:val="16"/>
                  <w:color w:val="0000EE"/>
                  <w:w w:val="91"/>
                </w:rPr>
                <w:t>Amended and Restated Executive Employment Agreement by and between the Company and Michael L. Meyers, M.D., Ph.D., dated as of April 27, 2020</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320" w:type="dxa"/>
            <w:vAlign w:val="bottom"/>
            <w:gridSpan w:val="15"/>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21"/>
          </w:tcPr>
          <w:p>
            <w:pPr>
              <w:spacing w:after="0" w:line="169" w:lineRule="exact"/>
              <w:rPr>
                <w:rFonts w:ascii="Arial" w:cs="Arial" w:eastAsia="Arial" w:hAnsi="Arial"/>
                <w:sz w:val="16"/>
                <w:szCs w:val="16"/>
                <w:color w:val="0000EE"/>
                <w:w w:val="91"/>
              </w:rPr>
            </w:pPr>
            <w:hyperlink r:id="rId125">
              <w:r>
                <w:rPr>
                  <w:rFonts w:ascii="Arial" w:cs="Arial" w:eastAsia="Arial" w:hAnsi="Arial"/>
                  <w:sz w:val="16"/>
                  <w:szCs w:val="16"/>
                  <w:color w:val="0000EE"/>
                  <w:w w:val="91"/>
                </w:rPr>
                <w:t>(incorporated herein by reference to Exhibit 10.6 to the Company’s Quarterly Report on Form 10-Q (File No. 001-37708), as filed with the SEC on May 7,</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83"/>
              </w:rPr>
            </w:pPr>
            <w:hyperlink r:id="rId125">
              <w:r>
                <w:rPr>
                  <w:rFonts w:ascii="Arial" w:cs="Arial" w:eastAsia="Arial" w:hAnsi="Arial"/>
                  <w:sz w:val="16"/>
                  <w:szCs w:val="16"/>
                  <w:color w:val="0000EE"/>
                  <w:w w:val="83"/>
                </w:rPr>
                <w:t>2020).</w:t>
              </w:r>
            </w:hyperlink>
          </w:p>
        </w:tc>
        <w:tc>
          <w:tcPr>
            <w:tcW w:w="20" w:type="dxa"/>
            <w:vAlign w:val="bottom"/>
            <w:tcBorders>
              <w:top w:val="single" w:sz="8" w:color="0000EE"/>
            </w:tcBorders>
          </w:tcPr>
          <w:p>
            <w:pPr>
              <w:spacing w:after="0"/>
              <w:rPr>
                <w:sz w:val="14"/>
                <w:szCs w:val="14"/>
                <w:color w:val="auto"/>
              </w:rPr>
            </w:pPr>
          </w:p>
        </w:tc>
        <w:tc>
          <w:tcPr>
            <w:tcW w:w="2860" w:type="dxa"/>
            <w:vAlign w:val="bottom"/>
            <w:tcBorders>
              <w:top w:val="single" w:sz="8" w:color="0000EE"/>
            </w:tcBorders>
          </w:tcPr>
          <w:p>
            <w:pPr>
              <w:spacing w:after="0"/>
              <w:rPr>
                <w:sz w:val="14"/>
                <w:szCs w:val="14"/>
                <w:color w:val="auto"/>
              </w:rPr>
            </w:pPr>
          </w:p>
        </w:tc>
        <w:tc>
          <w:tcPr>
            <w:tcW w:w="116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6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28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4"/>
          </w:tcPr>
          <w:p>
            <w:pPr>
              <w:ind w:left="4180"/>
              <w:spacing w:after="0"/>
              <w:rPr>
                <w:sz w:val="20"/>
                <w:szCs w:val="20"/>
                <w:color w:val="auto"/>
              </w:rPr>
            </w:pPr>
            <w:r>
              <w:rPr>
                <w:rFonts w:ascii="Arial" w:cs="Arial" w:eastAsia="Arial" w:hAnsi="Arial"/>
                <w:sz w:val="16"/>
                <w:szCs w:val="16"/>
                <w:color w:val="auto"/>
              </w:rPr>
              <w:t>74</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290"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49"/>
        </w:trPr>
        <w:tc>
          <w:tcPr>
            <w:tcW w:w="1360" w:type="dxa"/>
            <w:vAlign w:val="bottom"/>
            <w:gridSpan w:val="2"/>
          </w:tcPr>
          <w:p>
            <w:pPr>
              <w:ind w:left="420"/>
              <w:spacing w:after="0"/>
              <w:rPr>
                <w:sz w:val="20"/>
                <w:szCs w:val="20"/>
                <w:color w:val="auto"/>
              </w:rPr>
            </w:pPr>
            <w:r>
              <w:rPr>
                <w:rFonts w:ascii="Arial" w:cs="Arial" w:eastAsia="Arial" w:hAnsi="Arial"/>
                <w:sz w:val="13"/>
                <w:szCs w:val="13"/>
                <w:b w:val="1"/>
                <w:bCs w:val="1"/>
                <w:color w:val="auto"/>
              </w:rPr>
              <w:t>Exhibit</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740" w:type="dxa"/>
            <w:vAlign w:val="bottom"/>
            <w:gridSpan w:val="19"/>
            <w:vMerge w:val="restart"/>
          </w:tcPr>
          <w:p>
            <w:pPr>
              <w:ind w:left="252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50"/>
        </w:trPr>
        <w:tc>
          <w:tcPr>
            <w:tcW w:w="1360" w:type="dxa"/>
            <w:vAlign w:val="bottom"/>
            <w:gridSpan w:val="2"/>
          </w:tcPr>
          <w:p>
            <w:pPr>
              <w:ind w:left="500"/>
              <w:spacing w:after="0"/>
              <w:rPr>
                <w:sz w:val="20"/>
                <w:szCs w:val="20"/>
                <w:color w:val="auto"/>
              </w:rPr>
            </w:pPr>
            <w:r>
              <w:rPr>
                <w:rFonts w:ascii="Arial" w:cs="Arial" w:eastAsia="Arial" w:hAnsi="Arial"/>
                <w:sz w:val="13"/>
                <w:szCs w:val="13"/>
                <w:b w:val="1"/>
                <w:bCs w:val="1"/>
                <w:color w:val="auto"/>
              </w:rPr>
              <w:t>No.</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740" w:type="dxa"/>
            <w:vAlign w:val="bottom"/>
            <w:gridSpan w:val="1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124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4"/>
                <w:szCs w:val="24"/>
                <w:color w:val="auto"/>
              </w:rPr>
            </w:pPr>
          </w:p>
        </w:tc>
        <w:tc>
          <w:tcPr>
            <w:tcW w:w="9900" w:type="dxa"/>
            <w:vAlign w:val="bottom"/>
            <w:tcBorders>
              <w:top w:val="single" w:sz="8" w:color="auto"/>
              <w:bottom w:val="single" w:sz="8" w:color="0000EE"/>
            </w:tcBorders>
            <w:gridSpan w:val="24"/>
          </w:tcPr>
          <w:p>
            <w:pPr>
              <w:spacing w:after="0"/>
              <w:rPr>
                <w:rFonts w:ascii="Arial" w:cs="Arial" w:eastAsia="Arial" w:hAnsi="Arial"/>
                <w:sz w:val="16"/>
                <w:szCs w:val="16"/>
                <w:color w:val="0000EE"/>
                <w:w w:val="89"/>
              </w:rPr>
            </w:pPr>
            <w:hyperlink r:id="rId128">
              <w:r>
                <w:rPr>
                  <w:rFonts w:ascii="Arial" w:cs="Arial" w:eastAsia="Arial" w:hAnsi="Arial"/>
                  <w:sz w:val="16"/>
                  <w:szCs w:val="16"/>
                  <w:color w:val="0000EE"/>
                  <w:w w:val="89"/>
                </w:rPr>
                <w:t>Executive Employment Agreement by and between the Company and Daphne Karydas, dated as of July 6, 2020 (incorporated herein by reference to Exhibit</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0" w:type="dxa"/>
            <w:vAlign w:val="bottom"/>
            <w:tcBorders>
              <w:bottom w:val="single" w:sz="8" w:color="0000EE"/>
            </w:tcBorders>
            <w:gridSpan w:val="9"/>
          </w:tcPr>
          <w:p>
            <w:pPr>
              <w:spacing w:after="0" w:line="169" w:lineRule="exact"/>
              <w:rPr>
                <w:rFonts w:ascii="Arial" w:cs="Arial" w:eastAsia="Arial" w:hAnsi="Arial"/>
                <w:sz w:val="16"/>
                <w:szCs w:val="16"/>
                <w:color w:val="0000EE"/>
                <w:w w:val="90"/>
              </w:rPr>
            </w:pPr>
            <w:hyperlink r:id="rId128">
              <w:r>
                <w:rPr>
                  <w:rFonts w:ascii="Arial" w:cs="Arial" w:eastAsia="Arial" w:hAnsi="Arial"/>
                  <w:sz w:val="16"/>
                  <w:szCs w:val="16"/>
                  <w:color w:val="0000EE"/>
                  <w:w w:val="90"/>
                </w:rPr>
                <w:t>10.</w:t>
              </w:r>
              <w:r>
                <w:rPr>
                  <w:rFonts w:ascii="Arial" w:cs="Arial" w:eastAsia="Arial" w:hAnsi="Arial"/>
                  <w:sz w:val="16"/>
                  <w:szCs w:val="16"/>
                  <w:u w:val="single" w:color="auto"/>
                  <w:color w:val="0000EE"/>
                  <w:w w:val="90"/>
                </w:rPr>
                <w:t>1</w:t>
              </w:r>
              <w:r>
                <w:rPr>
                  <w:rFonts w:ascii="Arial" w:cs="Arial" w:eastAsia="Arial" w:hAnsi="Arial"/>
                  <w:sz w:val="16"/>
                  <w:szCs w:val="16"/>
                  <w:color w:val="0000EE"/>
                  <w:w w:val="90"/>
                </w:rPr>
                <w:t xml:space="preserve"> to the Company’s Quarterly Report on Form 10-Q (File No. 001-37708), as filed with the SEC on November 5, 2020).</w:t>
              </w:r>
            </w:hyperlink>
          </w:p>
        </w:tc>
        <w:tc>
          <w:tcPr>
            <w:tcW w:w="210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23"/>
                <w:szCs w:val="23"/>
                <w:color w:val="auto"/>
              </w:rPr>
            </w:pPr>
          </w:p>
        </w:tc>
        <w:tc>
          <w:tcPr>
            <w:tcW w:w="9900" w:type="dxa"/>
            <w:vAlign w:val="bottom"/>
            <w:gridSpan w:val="24"/>
          </w:tcPr>
          <w:p>
            <w:pPr>
              <w:spacing w:after="0"/>
              <w:rPr>
                <w:rFonts w:ascii="Arial" w:cs="Arial" w:eastAsia="Arial" w:hAnsi="Arial"/>
                <w:sz w:val="16"/>
                <w:szCs w:val="16"/>
                <w:color w:val="0000EE"/>
                <w:w w:val="95"/>
              </w:rPr>
            </w:pPr>
            <w:hyperlink r:id="rId129">
              <w:r>
                <w:rPr>
                  <w:rFonts w:ascii="Arial" w:cs="Arial" w:eastAsia="Arial" w:hAnsi="Arial"/>
                  <w:sz w:val="16"/>
                  <w:szCs w:val="16"/>
                  <w:color w:val="0000EE"/>
                  <w:w w:val="95"/>
                </w:rPr>
                <w:t>Non-employee Director Compensation Policy, as amended, dated as of February 12, 2020 (incorporated herein by reference to Exhibit 10.3 to the</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80" w:type="dxa"/>
            <w:vAlign w:val="bottom"/>
            <w:tcBorders>
              <w:top w:val="single" w:sz="8" w:color="0000EE"/>
            </w:tcBorders>
            <w:gridSpan w:val="10"/>
          </w:tcPr>
          <w:p>
            <w:pPr>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Company’s Quarterly Report on Form 10-Q (File No. 001-37708), as filed with the SEC on May 7, 2020).</w:t>
              </w:r>
            </w:hyperlink>
          </w:p>
        </w:tc>
        <w:tc>
          <w:tcPr>
            <w:tcW w:w="72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23"/>
                <w:szCs w:val="23"/>
                <w:color w:val="auto"/>
              </w:rPr>
            </w:pPr>
          </w:p>
        </w:tc>
        <w:tc>
          <w:tcPr>
            <w:tcW w:w="9900" w:type="dxa"/>
            <w:vAlign w:val="bottom"/>
            <w:tcBorders>
              <w:bottom w:val="single" w:sz="8" w:color="0000EE"/>
            </w:tcBorders>
            <w:gridSpan w:val="24"/>
          </w:tcPr>
          <w:p>
            <w:pPr>
              <w:spacing w:after="0"/>
              <w:rPr>
                <w:rFonts w:ascii="Arial" w:cs="Arial" w:eastAsia="Arial" w:hAnsi="Arial"/>
                <w:sz w:val="16"/>
                <w:szCs w:val="16"/>
                <w:color w:val="0000EE"/>
                <w:w w:val="89"/>
              </w:rPr>
            </w:pPr>
            <w:hyperlink r:id="rId130">
              <w:r>
                <w:rPr>
                  <w:rFonts w:ascii="Arial" w:cs="Arial" w:eastAsia="Arial" w:hAnsi="Arial"/>
                  <w:sz w:val="16"/>
                  <w:szCs w:val="16"/>
                  <w:color w:val="0000EE"/>
                  <w:w w:val="89"/>
                </w:rPr>
                <w:t>Form of Indemnification Agreement by and between the company and each of its directors and officers (incorporated herein by reference to Exhibit 10.21 to</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24"/>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the Company’s Registration Statement on Form S-1 (File No. 333-208861), as filed with the SEC on January 4, 2016).</w:t>
              </w:r>
            </w:hyperlink>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3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10.22†</w:t>
            </w:r>
          </w:p>
        </w:tc>
        <w:tc>
          <w:tcPr>
            <w:tcW w:w="9440" w:type="dxa"/>
            <w:vAlign w:val="bottom"/>
            <w:tcBorders>
              <w:bottom w:val="single" w:sz="8" w:color="0000EE"/>
            </w:tcBorders>
            <w:gridSpan w:val="14"/>
          </w:tcPr>
          <w:p>
            <w:pPr>
              <w:spacing w:after="0"/>
              <w:rPr>
                <w:rFonts w:ascii="Arial" w:cs="Arial" w:eastAsia="Arial" w:hAnsi="Arial"/>
                <w:sz w:val="16"/>
                <w:szCs w:val="16"/>
                <w:color w:val="0000EE"/>
                <w:w w:val="89"/>
              </w:rPr>
            </w:pPr>
            <w:hyperlink r:id="rId131">
              <w:r>
                <w:rPr>
                  <w:rFonts w:ascii="Arial" w:cs="Arial" w:eastAsia="Arial" w:hAnsi="Arial"/>
                  <w:sz w:val="16"/>
                  <w:szCs w:val="16"/>
                  <w:color w:val="0000EE"/>
                  <w:w w:val="89"/>
                </w:rPr>
                <w:t>License, Development and Commercialization Agreement by and between the company and Bayer Schering Pharma AG, dated as of March 26, 2007</w:t>
              </w:r>
            </w:hyperlink>
          </w:p>
        </w:tc>
        <w:tc>
          <w:tcPr>
            <w:tcW w:w="460" w:type="dxa"/>
            <w:vAlign w:val="bottom"/>
            <w:gridSpan w:val="10"/>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720" w:type="dxa"/>
            <w:vAlign w:val="bottom"/>
            <w:tcBorders>
              <w:bottom w:val="single" w:sz="8" w:color="0000EE"/>
            </w:tcBorders>
            <w:gridSpan w:val="18"/>
          </w:tcPr>
          <w:p>
            <w:pPr>
              <w:spacing w:after="0" w:line="169" w:lineRule="exact"/>
              <w:rPr>
                <w:rFonts w:ascii="Arial" w:cs="Arial" w:eastAsia="Arial" w:hAnsi="Arial"/>
                <w:sz w:val="16"/>
                <w:szCs w:val="16"/>
                <w:color w:val="0000EE"/>
                <w:w w:val="89"/>
              </w:rPr>
            </w:pPr>
            <w:hyperlink r:id="rId131">
              <w:r>
                <w:rPr>
                  <w:rFonts w:ascii="Arial" w:cs="Arial" w:eastAsia="Arial" w:hAnsi="Arial"/>
                  <w:sz w:val="16"/>
                  <w:szCs w:val="16"/>
                  <w:color w:val="0000EE"/>
                  <w:w w:val="89"/>
                </w:rPr>
                <w:t>(incorporated herein by reference to Exhibit 10.22 to the Company’s Registration Statement on Form S-1 (File No. 333-208861), as filed with the SEC on</w:t>
              </w:r>
            </w:hyperlink>
          </w:p>
        </w:tc>
        <w:tc>
          <w:tcPr>
            <w:tcW w:w="1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0000EE"/>
            </w:tcBorders>
            <w:gridSpan w:val="2"/>
          </w:tcPr>
          <w:p>
            <w:pPr>
              <w:spacing w:after="0" w:line="169" w:lineRule="exact"/>
              <w:rPr>
                <w:rFonts w:ascii="Arial" w:cs="Arial" w:eastAsia="Arial" w:hAnsi="Arial"/>
                <w:sz w:val="16"/>
                <w:szCs w:val="16"/>
                <w:color w:val="0000EE"/>
                <w:w w:val="86"/>
              </w:rPr>
            </w:pPr>
            <w:hyperlink r:id="rId131">
              <w:r>
                <w:rPr>
                  <w:rFonts w:ascii="Arial" w:cs="Arial" w:eastAsia="Arial" w:hAnsi="Arial"/>
                  <w:sz w:val="16"/>
                  <w:szCs w:val="16"/>
                  <w:color w:val="0000EE"/>
                  <w:w w:val="86"/>
                </w:rPr>
                <w:t>January 4, 2016).</w:t>
              </w:r>
            </w:hyperlink>
          </w:p>
        </w:tc>
        <w:tc>
          <w:tcPr>
            <w:tcW w:w="880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10.23†</w:t>
            </w:r>
          </w:p>
        </w:tc>
        <w:tc>
          <w:tcPr>
            <w:tcW w:w="9900" w:type="dxa"/>
            <w:vAlign w:val="bottom"/>
            <w:tcBorders>
              <w:bottom w:val="single" w:sz="8" w:color="0000EE"/>
            </w:tcBorders>
            <w:gridSpan w:val="24"/>
          </w:tcPr>
          <w:p>
            <w:pPr>
              <w:spacing w:after="0"/>
              <w:rPr>
                <w:rFonts w:ascii="Arial" w:cs="Arial" w:eastAsia="Arial" w:hAnsi="Arial"/>
                <w:sz w:val="16"/>
                <w:szCs w:val="16"/>
                <w:color w:val="0000EE"/>
                <w:w w:val="89"/>
              </w:rPr>
            </w:pPr>
            <w:hyperlink r:id="rId132">
              <w:r>
                <w:rPr>
                  <w:rFonts w:ascii="Arial" w:cs="Arial" w:eastAsia="Arial" w:hAnsi="Arial"/>
                  <w:sz w:val="16"/>
                  <w:szCs w:val="16"/>
                  <w:color w:val="0000EE"/>
                  <w:w w:val="89"/>
                </w:rPr>
                <w:t>First Amendment to the License, Development and Commercialization Agreement by and between the company and Bayer Pharma AG, dated as of October</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24"/>
          </w:tcPr>
          <w:p>
            <w:pPr>
              <w:spacing w:after="0" w:line="169" w:lineRule="exact"/>
              <w:rPr>
                <w:rFonts w:ascii="Arial" w:cs="Arial" w:eastAsia="Arial" w:hAnsi="Arial"/>
                <w:sz w:val="16"/>
                <w:szCs w:val="16"/>
                <w:color w:val="0000EE"/>
                <w:w w:val="90"/>
              </w:rPr>
            </w:pPr>
            <w:hyperlink r:id="rId132">
              <w:r>
                <w:rPr>
                  <w:rFonts w:ascii="Arial" w:cs="Arial" w:eastAsia="Arial" w:hAnsi="Arial"/>
                  <w:sz w:val="16"/>
                  <w:szCs w:val="16"/>
                  <w:color w:val="0000EE"/>
                  <w:w w:val="90"/>
                </w:rPr>
                <w:t>13, 2012 (incorporated herein by reference to Exhibit 10.23 to the Company’s Registration Statement on Form S-1 (File No. 333-208861), as filed with the</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w w:val="86"/>
              </w:rPr>
            </w:pPr>
            <w:hyperlink r:id="rId132">
              <w:r>
                <w:rPr>
                  <w:rFonts w:ascii="Arial" w:cs="Arial" w:eastAsia="Arial" w:hAnsi="Arial"/>
                  <w:sz w:val="16"/>
                  <w:szCs w:val="16"/>
                  <w:color w:val="0000EE"/>
                  <w:w w:val="86"/>
                </w:rPr>
                <w:t>SEC on January 4, 2016).</w:t>
              </w:r>
            </w:hyperlink>
          </w:p>
        </w:tc>
        <w:tc>
          <w:tcPr>
            <w:tcW w:w="8160" w:type="dxa"/>
            <w:vAlign w:val="bottom"/>
            <w:tcBorders>
              <w:top w:val="single" w:sz="8" w:color="0000EE"/>
            </w:tcBorders>
            <w:gridSpan w:val="17"/>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23"/>
                <w:szCs w:val="23"/>
                <w:color w:val="auto"/>
              </w:rPr>
            </w:pPr>
          </w:p>
        </w:tc>
        <w:tc>
          <w:tcPr>
            <w:tcW w:w="9900" w:type="dxa"/>
            <w:vAlign w:val="bottom"/>
            <w:gridSpan w:val="24"/>
          </w:tcPr>
          <w:p>
            <w:pPr>
              <w:spacing w:after="0"/>
              <w:rPr>
                <w:rFonts w:ascii="Arial" w:cs="Arial" w:eastAsia="Arial" w:hAnsi="Arial"/>
                <w:sz w:val="16"/>
                <w:szCs w:val="16"/>
                <w:color w:val="0000EE"/>
                <w:w w:val="92"/>
              </w:rPr>
            </w:pPr>
            <w:hyperlink r:id="rId133">
              <w:r>
                <w:rPr>
                  <w:rFonts w:ascii="Arial" w:cs="Arial" w:eastAsia="Arial" w:hAnsi="Arial"/>
                  <w:sz w:val="16"/>
                  <w:szCs w:val="16"/>
                  <w:color w:val="0000EE"/>
                  <w:w w:val="92"/>
                </w:rPr>
                <w:t>Second Amendment to the License, Development and Commercialization Agreement by and between the company and Bayer Pharma AG, dated as of</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480" w:type="dxa"/>
            <w:vAlign w:val="bottom"/>
            <w:gridSpan w:val="3"/>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760" w:type="dxa"/>
            <w:vAlign w:val="bottom"/>
            <w:tcBorders>
              <w:bottom w:val="single" w:sz="8" w:color="0000EE"/>
            </w:tcBorders>
            <w:gridSpan w:val="20"/>
          </w:tcPr>
          <w:p>
            <w:pPr>
              <w:spacing w:after="0" w:line="169" w:lineRule="exact"/>
              <w:rPr>
                <w:rFonts w:ascii="Arial" w:cs="Arial" w:eastAsia="Arial" w:hAnsi="Arial"/>
                <w:sz w:val="16"/>
                <w:szCs w:val="16"/>
                <w:color w:val="0000EE"/>
                <w:w w:val="89"/>
              </w:rPr>
            </w:pPr>
            <w:hyperlink r:id="rId133">
              <w:r>
                <w:rPr>
                  <w:rFonts w:ascii="Arial" w:cs="Arial" w:eastAsia="Arial" w:hAnsi="Arial"/>
                  <w:sz w:val="16"/>
                  <w:szCs w:val="16"/>
                  <w:color w:val="0000EE"/>
                  <w:w w:val="89"/>
                </w:rPr>
                <w:t>February 1, 2013 (incorporated herein by reference to Exhibit 10.24 to the Company’s Registration Statement on Form S-1 (File No. 333-208861), as filed</w:t>
              </w:r>
            </w:hyperlink>
          </w:p>
        </w:tc>
        <w:tc>
          <w:tcPr>
            <w:tcW w:w="1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24"/>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with the SEC on January 4, 2016).</w:t>
              </w:r>
            </w:hyperlink>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10.25†</w:t>
            </w:r>
          </w:p>
        </w:tc>
        <w:tc>
          <w:tcPr>
            <w:tcW w:w="9400" w:type="dxa"/>
            <w:vAlign w:val="bottom"/>
            <w:tcBorders>
              <w:bottom w:val="single" w:sz="8" w:color="0000EE"/>
            </w:tcBorders>
            <w:gridSpan w:val="12"/>
          </w:tcPr>
          <w:p>
            <w:pPr>
              <w:spacing w:after="0"/>
              <w:rPr>
                <w:rFonts w:ascii="Arial" w:cs="Arial" w:eastAsia="Arial" w:hAnsi="Arial"/>
                <w:sz w:val="16"/>
                <w:szCs w:val="16"/>
                <w:color w:val="0000EE"/>
                <w:w w:val="89"/>
              </w:rPr>
            </w:pPr>
            <w:hyperlink r:id="rId134">
              <w:r>
                <w:rPr>
                  <w:rFonts w:ascii="Arial" w:cs="Arial" w:eastAsia="Arial" w:hAnsi="Arial"/>
                  <w:sz w:val="16"/>
                  <w:szCs w:val="16"/>
                  <w:color w:val="0000EE"/>
                  <w:w w:val="89"/>
                </w:rPr>
                <w:t>Third Amendment to the License, Development and Commercialization Agreement by and between the company and Bayer Pharma AG, dated as of</w:t>
              </w:r>
            </w:hyperlink>
          </w:p>
        </w:tc>
        <w:tc>
          <w:tcPr>
            <w:tcW w:w="500" w:type="dxa"/>
            <w:vAlign w:val="bottom"/>
            <w:gridSpan w:val="12"/>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700" w:type="dxa"/>
            <w:vAlign w:val="bottom"/>
            <w:tcBorders>
              <w:bottom w:val="single" w:sz="8" w:color="0000EE"/>
            </w:tcBorders>
            <w:gridSpan w:val="17"/>
          </w:tcPr>
          <w:p>
            <w:pPr>
              <w:spacing w:after="0" w:line="169" w:lineRule="exact"/>
              <w:rPr>
                <w:rFonts w:ascii="Arial" w:cs="Arial" w:eastAsia="Arial" w:hAnsi="Arial"/>
                <w:sz w:val="16"/>
                <w:szCs w:val="16"/>
                <w:color w:val="0000EE"/>
                <w:w w:val="89"/>
              </w:rPr>
            </w:pPr>
            <w:hyperlink r:id="rId134">
              <w:r>
                <w:rPr>
                  <w:rFonts w:ascii="Arial" w:cs="Arial" w:eastAsia="Arial" w:hAnsi="Arial"/>
                  <w:sz w:val="16"/>
                  <w:szCs w:val="16"/>
                  <w:color w:val="0000EE"/>
                  <w:w w:val="89"/>
                </w:rPr>
                <w:t>October 9, 2013 (incorporated herein by reference to Exhibit 10.25 to the Company’s Registration Statement on Form S-1 (File No. 333-208861), as filed</w:t>
              </w:r>
            </w:hyperlink>
          </w:p>
        </w:tc>
        <w:tc>
          <w:tcPr>
            <w:tcW w:w="2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24"/>
          </w:tcPr>
          <w:p>
            <w:pPr>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with the SEC on January 4, 2016).</w:t>
              </w:r>
            </w:hyperlink>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10.26†</w:t>
            </w:r>
          </w:p>
        </w:tc>
        <w:tc>
          <w:tcPr>
            <w:tcW w:w="9900" w:type="dxa"/>
            <w:vAlign w:val="bottom"/>
            <w:gridSpan w:val="24"/>
          </w:tcPr>
          <w:p>
            <w:pPr>
              <w:spacing w:after="0"/>
              <w:rPr>
                <w:rFonts w:ascii="Arial" w:cs="Arial" w:eastAsia="Arial" w:hAnsi="Arial"/>
                <w:sz w:val="16"/>
                <w:szCs w:val="16"/>
                <w:color w:val="0000EE"/>
                <w:w w:val="90"/>
              </w:rPr>
            </w:pPr>
            <w:hyperlink r:id="rId135">
              <w:r>
                <w:rPr>
                  <w:rFonts w:ascii="Arial" w:cs="Arial" w:eastAsia="Arial" w:hAnsi="Arial"/>
                  <w:sz w:val="16"/>
                  <w:szCs w:val="16"/>
                  <w:color w:val="0000EE"/>
                  <w:w w:val="90"/>
                </w:rPr>
                <w:t>Letter Agreement by and between the company and Bayer Pharma AG, dated as of September 18, 2014 (incorporated herein by reference to Exhibit 10.26</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74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to the Company’s Registration Statement on Form S-1 (File No. 333-208861), as filed with the SEC on January 4, 2016).</w:t>
              </w:r>
            </w:hyperlink>
          </w:p>
        </w:tc>
        <w:tc>
          <w:tcPr>
            <w:tcW w:w="1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400" w:type="dxa"/>
            <w:vAlign w:val="bottom"/>
            <w:gridSpan w:val="5"/>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10.27†</w:t>
            </w:r>
          </w:p>
        </w:tc>
        <w:tc>
          <w:tcPr>
            <w:tcW w:w="9500" w:type="dxa"/>
            <w:vAlign w:val="bottom"/>
            <w:tcBorders>
              <w:bottom w:val="single" w:sz="8" w:color="0000EE"/>
            </w:tcBorders>
            <w:gridSpan w:val="15"/>
          </w:tcPr>
          <w:p>
            <w:pPr>
              <w:spacing w:after="0"/>
              <w:rPr>
                <w:rFonts w:ascii="Arial" w:cs="Arial" w:eastAsia="Arial" w:hAnsi="Arial"/>
                <w:sz w:val="16"/>
                <w:szCs w:val="16"/>
                <w:color w:val="0000EE"/>
                <w:w w:val="89"/>
              </w:rPr>
            </w:pPr>
            <w:hyperlink r:id="rId136">
              <w:r>
                <w:rPr>
                  <w:rFonts w:ascii="Arial" w:cs="Arial" w:eastAsia="Arial" w:hAnsi="Arial"/>
                  <w:sz w:val="16"/>
                  <w:szCs w:val="16"/>
                  <w:color w:val="0000EE"/>
                  <w:w w:val="89"/>
                </w:rPr>
                <w:t>Clinical Trial Agreement by and between the company and Eastern Cooperative Oncology Group, dated as of March 14, 2014 (incorporated herein by</w:t>
              </w:r>
            </w:hyperlink>
          </w:p>
        </w:tc>
        <w:tc>
          <w:tcPr>
            <w:tcW w:w="400" w:type="dxa"/>
            <w:vAlign w:val="bottom"/>
            <w:gridSpan w:val="9"/>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gridSpan w:val="24"/>
          </w:tcPr>
          <w:p>
            <w:pPr>
              <w:spacing w:after="0"/>
              <w:rPr>
                <w:rFonts w:ascii="Arial" w:cs="Arial" w:eastAsia="Arial" w:hAnsi="Arial"/>
                <w:sz w:val="16"/>
                <w:szCs w:val="16"/>
                <w:u w:val="single" w:color="auto"/>
                <w:color w:val="0000EE"/>
                <w:w w:val="95"/>
              </w:rPr>
            </w:pPr>
            <w:hyperlink r:id="rId136">
              <w:r>
                <w:rPr>
                  <w:rFonts w:ascii="Arial" w:cs="Arial" w:eastAsia="Arial" w:hAnsi="Arial"/>
                  <w:sz w:val="16"/>
                  <w:szCs w:val="16"/>
                  <w:u w:val="single" w:color="auto"/>
                  <w:color w:val="0000EE"/>
                  <w:w w:val="95"/>
                </w:rPr>
                <w:t>reference to Exhibit 10.27 to the Company’s Registration Statement on Form S-1 (File No. 333-208861), as filed with the SEC on January 4, 2016).</w:t>
              </w:r>
            </w:hyperlink>
          </w:p>
        </w:tc>
        <w:tc>
          <w:tcPr>
            <w:tcW w:w="0" w:type="dxa"/>
            <w:vAlign w:val="bottom"/>
          </w:tcPr>
          <w:p>
            <w:pPr>
              <w:spacing w:after="0"/>
              <w:rPr>
                <w:sz w:val="1"/>
                <w:szCs w:val="1"/>
                <w:color w:val="auto"/>
              </w:rPr>
            </w:pPr>
          </w:p>
        </w:tc>
      </w:tr>
      <w:tr>
        <w:trPr>
          <w:trHeight w:val="262"/>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10.28†</w:t>
            </w:r>
          </w:p>
        </w:tc>
        <w:tc>
          <w:tcPr>
            <w:tcW w:w="9540" w:type="dxa"/>
            <w:vAlign w:val="bottom"/>
            <w:tcBorders>
              <w:bottom w:val="single" w:sz="8" w:color="0000EE"/>
            </w:tcBorders>
            <w:gridSpan w:val="16"/>
          </w:tcPr>
          <w:p>
            <w:pPr>
              <w:spacing w:after="0"/>
              <w:rPr>
                <w:rFonts w:ascii="Arial" w:cs="Arial" w:eastAsia="Arial" w:hAnsi="Arial"/>
                <w:sz w:val="16"/>
                <w:szCs w:val="16"/>
                <w:color w:val="0000EE"/>
                <w:w w:val="89"/>
              </w:rPr>
            </w:pPr>
            <w:hyperlink r:id="rId137">
              <w:r>
                <w:rPr>
                  <w:rFonts w:ascii="Arial" w:cs="Arial" w:eastAsia="Arial" w:hAnsi="Arial"/>
                  <w:sz w:val="16"/>
                  <w:szCs w:val="16"/>
                  <w:color w:val="0000EE"/>
                  <w:w w:val="89"/>
                </w:rPr>
                <w:t>Amendment No. 1 to Clinical Trial Agreement by and between the company and ECOG-ACRIN Cancer Research Group, dated as of January 30, 2015</w:t>
              </w:r>
            </w:hyperlink>
          </w:p>
        </w:tc>
        <w:tc>
          <w:tcPr>
            <w:tcW w:w="36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720" w:type="dxa"/>
            <w:vAlign w:val="bottom"/>
            <w:tcBorders>
              <w:bottom w:val="single" w:sz="8" w:color="0000EE"/>
            </w:tcBorders>
            <w:gridSpan w:val="18"/>
          </w:tcPr>
          <w:p>
            <w:pPr>
              <w:spacing w:after="0" w:line="170" w:lineRule="exact"/>
              <w:rPr>
                <w:rFonts w:ascii="Arial" w:cs="Arial" w:eastAsia="Arial" w:hAnsi="Arial"/>
                <w:sz w:val="16"/>
                <w:szCs w:val="16"/>
                <w:color w:val="0000EE"/>
                <w:w w:val="89"/>
              </w:rPr>
            </w:pPr>
            <w:hyperlink r:id="rId137">
              <w:r>
                <w:rPr>
                  <w:rFonts w:ascii="Arial" w:cs="Arial" w:eastAsia="Arial" w:hAnsi="Arial"/>
                  <w:sz w:val="16"/>
                  <w:szCs w:val="16"/>
                  <w:color w:val="0000EE"/>
                  <w:w w:val="89"/>
                </w:rPr>
                <w:t>(incorporated herein by reference to Exhibit 10.28 to the Company’s Registration Statement on Form S-1 (File No. 333-208861), as filed with the SEC on</w:t>
              </w:r>
            </w:hyperlink>
          </w:p>
        </w:tc>
        <w:tc>
          <w:tcPr>
            <w:tcW w:w="1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0000EE"/>
            </w:tcBorders>
            <w:gridSpan w:val="2"/>
          </w:tcPr>
          <w:p>
            <w:pPr>
              <w:spacing w:after="0" w:line="169" w:lineRule="exact"/>
              <w:rPr>
                <w:rFonts w:ascii="Arial" w:cs="Arial" w:eastAsia="Arial" w:hAnsi="Arial"/>
                <w:sz w:val="16"/>
                <w:szCs w:val="16"/>
                <w:color w:val="0000EE"/>
                <w:w w:val="86"/>
              </w:rPr>
            </w:pPr>
            <w:hyperlink r:id="rId137">
              <w:r>
                <w:rPr>
                  <w:rFonts w:ascii="Arial" w:cs="Arial" w:eastAsia="Arial" w:hAnsi="Arial"/>
                  <w:sz w:val="16"/>
                  <w:szCs w:val="16"/>
                  <w:color w:val="0000EE"/>
                  <w:w w:val="86"/>
                </w:rPr>
                <w:t>January 4, 2016).</w:t>
              </w:r>
            </w:hyperlink>
          </w:p>
        </w:tc>
        <w:tc>
          <w:tcPr>
            <w:tcW w:w="880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10.29†</w:t>
            </w:r>
          </w:p>
        </w:tc>
        <w:tc>
          <w:tcPr>
            <w:tcW w:w="9320" w:type="dxa"/>
            <w:vAlign w:val="bottom"/>
            <w:tcBorders>
              <w:bottom w:val="single" w:sz="8" w:color="0000EE"/>
            </w:tcBorders>
            <w:gridSpan w:val="11"/>
          </w:tcPr>
          <w:p>
            <w:pPr>
              <w:spacing w:after="0"/>
              <w:rPr>
                <w:rFonts w:ascii="Arial" w:cs="Arial" w:eastAsia="Arial" w:hAnsi="Arial"/>
                <w:sz w:val="16"/>
                <w:szCs w:val="16"/>
                <w:color w:val="0000EE"/>
                <w:w w:val="89"/>
              </w:rPr>
            </w:pPr>
            <w:hyperlink r:id="rId138">
              <w:r>
                <w:rPr>
                  <w:rFonts w:ascii="Arial" w:cs="Arial" w:eastAsia="Arial" w:hAnsi="Arial"/>
                  <w:sz w:val="16"/>
                  <w:szCs w:val="16"/>
                  <w:color w:val="0000EE"/>
                  <w:w w:val="89"/>
                </w:rPr>
                <w:t>Amendment No. 2 to Clinical Trial Agreement by and between the company and ECOG-ACRIN Cancer Research Group, dated as of July 31, 2015</w:t>
              </w:r>
            </w:hyperlink>
          </w:p>
        </w:tc>
        <w:tc>
          <w:tcPr>
            <w:tcW w:w="580" w:type="dxa"/>
            <w:vAlign w:val="bottom"/>
            <w:gridSpan w:val="13"/>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80" w:type="dxa"/>
            <w:vAlign w:val="bottom"/>
            <w:tcBorders>
              <w:bottom w:val="single" w:sz="8" w:color="0000EE"/>
            </w:tcBorders>
            <w:gridSpan w:val="23"/>
          </w:tcPr>
          <w:p>
            <w:pPr>
              <w:spacing w:after="0" w:line="169" w:lineRule="exact"/>
              <w:rPr>
                <w:rFonts w:ascii="Arial" w:cs="Arial" w:eastAsia="Arial" w:hAnsi="Arial"/>
                <w:sz w:val="16"/>
                <w:szCs w:val="16"/>
                <w:color w:val="0000EE"/>
                <w:w w:val="90"/>
              </w:rPr>
            </w:pPr>
            <w:hyperlink r:id="rId138">
              <w:r>
                <w:rPr>
                  <w:rFonts w:ascii="Arial" w:cs="Arial" w:eastAsia="Arial" w:hAnsi="Arial"/>
                  <w:sz w:val="16"/>
                  <w:szCs w:val="16"/>
                  <w:color w:val="0000EE"/>
                  <w:w w:val="90"/>
                </w:rPr>
                <w:t>(incorporated herein by reference to Exhibit 10.37 to the Company’s Registration Statement on Form S-1/A (File No. 333-208861), as filed with the SEC 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24"/>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February 22, 2016).</w:t>
              </w:r>
            </w:hyperlink>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180" w:type="dxa"/>
            <w:vAlign w:val="bottom"/>
            <w:gridSpan w:val="10"/>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10.30†</w:t>
            </w:r>
          </w:p>
        </w:tc>
        <w:tc>
          <w:tcPr>
            <w:tcW w:w="9420" w:type="dxa"/>
            <w:vAlign w:val="bottom"/>
            <w:tcBorders>
              <w:bottom w:val="single" w:sz="8" w:color="0000EE"/>
            </w:tcBorders>
            <w:gridSpan w:val="13"/>
          </w:tcPr>
          <w:p>
            <w:pPr>
              <w:spacing w:after="0"/>
              <w:rPr>
                <w:rFonts w:ascii="Arial" w:cs="Arial" w:eastAsia="Arial" w:hAnsi="Arial"/>
                <w:sz w:val="16"/>
                <w:szCs w:val="16"/>
                <w:color w:val="0000EE"/>
                <w:w w:val="89"/>
              </w:rPr>
            </w:pPr>
            <w:hyperlink r:id="rId139">
              <w:r>
                <w:rPr>
                  <w:rFonts w:ascii="Arial" w:cs="Arial" w:eastAsia="Arial" w:hAnsi="Arial"/>
                  <w:sz w:val="16"/>
                  <w:szCs w:val="16"/>
                  <w:color w:val="0000EE"/>
                  <w:w w:val="89"/>
                </w:rPr>
                <w:t>Amendment No. 3 to Clinical Trial Agreement by and between the Company and ECOG-ACRIN Cancer Research Group, dated as of April 20, 2016</w:t>
              </w:r>
            </w:hyperlink>
          </w:p>
        </w:tc>
        <w:tc>
          <w:tcPr>
            <w:tcW w:w="48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24"/>
          </w:tcPr>
          <w:p>
            <w:pPr>
              <w:spacing w:after="0" w:line="169" w:lineRule="exact"/>
              <w:rPr>
                <w:rFonts w:ascii="Arial" w:cs="Arial" w:eastAsia="Arial" w:hAnsi="Arial"/>
                <w:sz w:val="16"/>
                <w:szCs w:val="16"/>
                <w:color w:val="0000EE"/>
                <w:w w:val="91"/>
              </w:rPr>
            </w:pPr>
            <w:hyperlink r:id="rId139">
              <w:r>
                <w:rPr>
                  <w:rFonts w:ascii="Arial" w:cs="Arial" w:eastAsia="Arial" w:hAnsi="Arial"/>
                  <w:sz w:val="16"/>
                  <w:szCs w:val="16"/>
                  <w:color w:val="0000EE"/>
                  <w:w w:val="91"/>
                </w:rPr>
                <w:t>(incorporated herein by reference to Exhibit 10.1 to the Company’s Quarterly Report on Form 10-Q (File No. 001-37708), as filed with the SEC on August</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top w:val="single" w:sz="8" w:color="0000EE"/>
            </w:tcBorders>
            <w:gridSpan w:val="2"/>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15, 2016).</w:t>
              </w:r>
            </w:hyperlink>
          </w:p>
        </w:tc>
        <w:tc>
          <w:tcPr>
            <w:tcW w:w="1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4540" w:type="dxa"/>
            <w:vAlign w:val="bottom"/>
            <w:tcBorders>
              <w:top w:val="single" w:sz="8" w:color="0000EE"/>
            </w:tcBorders>
          </w:tcPr>
          <w:p>
            <w:pPr>
              <w:spacing w:after="0"/>
              <w:rPr>
                <w:sz w:val="14"/>
                <w:szCs w:val="14"/>
                <w:color w:val="auto"/>
              </w:rPr>
            </w:pPr>
          </w:p>
        </w:tc>
        <w:tc>
          <w:tcPr>
            <w:tcW w:w="7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3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60" w:type="dxa"/>
            <w:vAlign w:val="bottom"/>
            <w:gridSpan w:val="5"/>
          </w:tcPr>
          <w:p>
            <w:pPr>
              <w:jc w:val="right"/>
              <w:ind w:right="2297"/>
              <w:spacing w:after="0"/>
              <w:rPr>
                <w:sz w:val="20"/>
                <w:szCs w:val="20"/>
                <w:color w:val="auto"/>
              </w:rPr>
            </w:pPr>
            <w:r>
              <w:rPr>
                <w:rFonts w:ascii="Arial" w:cs="Arial" w:eastAsia="Arial" w:hAnsi="Arial"/>
                <w:sz w:val="16"/>
                <w:szCs w:val="16"/>
                <w:color w:val="auto"/>
              </w:rPr>
              <w:t>75</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5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1">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290" w:right="3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49"/>
        </w:trPr>
        <w:tc>
          <w:tcPr>
            <w:tcW w:w="1360" w:type="dxa"/>
            <w:vAlign w:val="bottom"/>
            <w:gridSpan w:val="2"/>
          </w:tcPr>
          <w:p>
            <w:pPr>
              <w:ind w:left="420"/>
              <w:spacing w:after="0"/>
              <w:rPr>
                <w:sz w:val="20"/>
                <w:szCs w:val="20"/>
                <w:color w:val="auto"/>
              </w:rPr>
            </w:pPr>
            <w:r>
              <w:rPr>
                <w:rFonts w:ascii="Arial" w:cs="Arial" w:eastAsia="Arial" w:hAnsi="Arial"/>
                <w:sz w:val="13"/>
                <w:szCs w:val="13"/>
                <w:b w:val="1"/>
                <w:bCs w:val="1"/>
                <w:color w:val="auto"/>
              </w:rPr>
              <w:t>Exhibit</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0" w:type="dxa"/>
            <w:vAlign w:val="bottom"/>
            <w:gridSpan w:val="15"/>
            <w:vMerge w:val="restart"/>
          </w:tcPr>
          <w:p>
            <w:pPr>
              <w:ind w:left="358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50"/>
        </w:trPr>
        <w:tc>
          <w:tcPr>
            <w:tcW w:w="124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No.</w:t>
            </w: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0" w:type="dxa"/>
            <w:vAlign w:val="bottom"/>
            <w:tcBorders>
              <w:bottom w:val="single" w:sz="8" w:color="auto"/>
            </w:tcBorders>
            <w:gridSpan w:val="1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10.31†</w:t>
            </w:r>
          </w:p>
        </w:tc>
        <w:tc>
          <w:tcPr>
            <w:tcW w:w="9420" w:type="dxa"/>
            <w:vAlign w:val="bottom"/>
            <w:tcBorders>
              <w:bottom w:val="single" w:sz="8" w:color="0000EE"/>
            </w:tcBorders>
            <w:gridSpan w:val="11"/>
          </w:tcPr>
          <w:p>
            <w:pPr>
              <w:spacing w:after="0"/>
              <w:rPr>
                <w:rFonts w:ascii="Arial" w:cs="Arial" w:eastAsia="Arial" w:hAnsi="Arial"/>
                <w:sz w:val="16"/>
                <w:szCs w:val="16"/>
                <w:color w:val="0000EE"/>
                <w:w w:val="89"/>
              </w:rPr>
            </w:pPr>
            <w:hyperlink r:id="rId142">
              <w:r>
                <w:rPr>
                  <w:rFonts w:ascii="Arial" w:cs="Arial" w:eastAsia="Arial" w:hAnsi="Arial"/>
                  <w:sz w:val="16"/>
                  <w:szCs w:val="16"/>
                  <w:color w:val="0000EE"/>
                  <w:w w:val="89"/>
                </w:rPr>
                <w:t>Amendment No. 4 to Clinical Trial Agreement by and between the Company and ECOG-ACRIN Cancer Research Group, dated as of April 20, 2016</w:t>
              </w:r>
            </w:hyperlink>
          </w:p>
        </w:tc>
        <w:tc>
          <w:tcPr>
            <w:tcW w:w="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19"/>
          </w:tcPr>
          <w:p>
            <w:pPr>
              <w:spacing w:after="0" w:line="169" w:lineRule="exact"/>
              <w:rPr>
                <w:rFonts w:ascii="Arial" w:cs="Arial" w:eastAsia="Arial" w:hAnsi="Arial"/>
                <w:sz w:val="16"/>
                <w:szCs w:val="16"/>
                <w:color w:val="0000EE"/>
                <w:w w:val="91"/>
              </w:rPr>
            </w:pPr>
            <w:hyperlink r:id="rId142">
              <w:r>
                <w:rPr>
                  <w:rFonts w:ascii="Arial" w:cs="Arial" w:eastAsia="Arial" w:hAnsi="Arial"/>
                  <w:sz w:val="16"/>
                  <w:szCs w:val="16"/>
                  <w:color w:val="0000EE"/>
                  <w:w w:val="91"/>
                </w:rPr>
                <w:t>(incorporated herein by reference to Exhibit 10.2 to the Company’s Quarterly Report on Form 10-Q (File No. 001-37708), as filed with the SEC on August</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85"/>
              </w:rPr>
            </w:pPr>
            <w:hyperlink r:id="rId142">
              <w:r>
                <w:rPr>
                  <w:rFonts w:ascii="Arial" w:cs="Arial" w:eastAsia="Arial" w:hAnsi="Arial"/>
                  <w:sz w:val="16"/>
                  <w:szCs w:val="16"/>
                  <w:color w:val="0000EE"/>
                  <w:w w:val="85"/>
                </w:rPr>
                <w:t>15, 2016).</w:t>
              </w:r>
            </w:hyperlink>
          </w:p>
        </w:tc>
        <w:tc>
          <w:tcPr>
            <w:tcW w:w="460" w:type="dxa"/>
            <w:vAlign w:val="bottom"/>
            <w:tcBorders>
              <w:top w:val="single" w:sz="8" w:color="0000EE"/>
            </w:tcBorders>
          </w:tcPr>
          <w:p>
            <w:pPr>
              <w:spacing w:after="0"/>
              <w:rPr>
                <w:sz w:val="14"/>
                <w:szCs w:val="14"/>
                <w:color w:val="auto"/>
              </w:rPr>
            </w:pPr>
          </w:p>
        </w:tc>
        <w:tc>
          <w:tcPr>
            <w:tcW w:w="638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10.32†</w:t>
            </w:r>
          </w:p>
        </w:tc>
        <w:tc>
          <w:tcPr>
            <w:tcW w:w="9420" w:type="dxa"/>
            <w:vAlign w:val="bottom"/>
            <w:tcBorders>
              <w:bottom w:val="single" w:sz="8" w:color="0000EE"/>
            </w:tcBorders>
            <w:gridSpan w:val="11"/>
          </w:tcPr>
          <w:p>
            <w:pPr>
              <w:spacing w:after="0"/>
              <w:rPr>
                <w:rFonts w:ascii="Arial" w:cs="Arial" w:eastAsia="Arial" w:hAnsi="Arial"/>
                <w:sz w:val="16"/>
                <w:szCs w:val="16"/>
                <w:color w:val="0000EE"/>
                <w:w w:val="89"/>
              </w:rPr>
            </w:pPr>
            <w:hyperlink r:id="rId143">
              <w:r>
                <w:rPr>
                  <w:rFonts w:ascii="Arial" w:cs="Arial" w:eastAsia="Arial" w:hAnsi="Arial"/>
                  <w:sz w:val="16"/>
                  <w:szCs w:val="16"/>
                  <w:color w:val="0000EE"/>
                  <w:w w:val="89"/>
                </w:rPr>
                <w:t>Amendment No. 5 to Clinical Trial Agreement by and between the Company and ECOG-ACRIN Cancer Research Group, dated as of April 20, 2016</w:t>
              </w:r>
            </w:hyperlink>
          </w:p>
        </w:tc>
        <w:tc>
          <w:tcPr>
            <w:tcW w:w="48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19"/>
          </w:tcPr>
          <w:p>
            <w:pPr>
              <w:spacing w:after="0" w:line="169" w:lineRule="exact"/>
              <w:rPr>
                <w:rFonts w:ascii="Arial" w:cs="Arial" w:eastAsia="Arial" w:hAnsi="Arial"/>
                <w:sz w:val="16"/>
                <w:szCs w:val="16"/>
                <w:color w:val="0000EE"/>
                <w:w w:val="91"/>
              </w:rPr>
            </w:pPr>
            <w:hyperlink r:id="rId143">
              <w:r>
                <w:rPr>
                  <w:rFonts w:ascii="Arial" w:cs="Arial" w:eastAsia="Arial" w:hAnsi="Arial"/>
                  <w:sz w:val="16"/>
                  <w:szCs w:val="16"/>
                  <w:color w:val="0000EE"/>
                  <w:w w:val="91"/>
                </w:rPr>
                <w:t>(incorporated herein by reference to Exhibit 10.3 to the Company’s Quarterly Report on Form 10-Q (File No. 001-37708), as filed with the SEC on August</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85"/>
              </w:rPr>
            </w:pPr>
            <w:hyperlink r:id="rId143">
              <w:r>
                <w:rPr>
                  <w:rFonts w:ascii="Arial" w:cs="Arial" w:eastAsia="Arial" w:hAnsi="Arial"/>
                  <w:sz w:val="16"/>
                  <w:szCs w:val="16"/>
                  <w:color w:val="0000EE"/>
                  <w:w w:val="85"/>
                </w:rPr>
                <w:t>15, 2016).</w:t>
              </w:r>
            </w:hyperlink>
          </w:p>
        </w:tc>
        <w:tc>
          <w:tcPr>
            <w:tcW w:w="460" w:type="dxa"/>
            <w:vAlign w:val="bottom"/>
            <w:tcBorders>
              <w:top w:val="single" w:sz="8" w:color="0000EE"/>
            </w:tcBorders>
          </w:tcPr>
          <w:p>
            <w:pPr>
              <w:spacing w:after="0"/>
              <w:rPr>
                <w:sz w:val="14"/>
                <w:szCs w:val="14"/>
                <w:color w:val="auto"/>
              </w:rPr>
            </w:pPr>
          </w:p>
        </w:tc>
        <w:tc>
          <w:tcPr>
            <w:tcW w:w="638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10.33†</w:t>
            </w:r>
          </w:p>
        </w:tc>
        <w:tc>
          <w:tcPr>
            <w:tcW w:w="9420" w:type="dxa"/>
            <w:vAlign w:val="bottom"/>
            <w:tcBorders>
              <w:bottom w:val="single" w:sz="8" w:color="0000EE"/>
            </w:tcBorders>
            <w:gridSpan w:val="11"/>
          </w:tcPr>
          <w:p>
            <w:pPr>
              <w:spacing w:after="0"/>
              <w:rPr>
                <w:rFonts w:ascii="Arial" w:cs="Arial" w:eastAsia="Arial" w:hAnsi="Arial"/>
                <w:sz w:val="16"/>
                <w:szCs w:val="16"/>
                <w:color w:val="0000EE"/>
                <w:w w:val="89"/>
              </w:rPr>
            </w:pPr>
            <w:hyperlink r:id="rId144">
              <w:r>
                <w:rPr>
                  <w:rFonts w:ascii="Arial" w:cs="Arial" w:eastAsia="Arial" w:hAnsi="Arial"/>
                  <w:sz w:val="16"/>
                  <w:szCs w:val="16"/>
                  <w:color w:val="0000EE"/>
                  <w:w w:val="89"/>
                </w:rPr>
                <w:t>Amendment No. 6 to Clinical Trial Agreement by and between the Company and ECOG-ACRIN Cancer Research Group, dated as of April 25, 2016</w:t>
              </w:r>
            </w:hyperlink>
          </w:p>
        </w:tc>
        <w:tc>
          <w:tcPr>
            <w:tcW w:w="48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19"/>
          </w:tcPr>
          <w:p>
            <w:pPr>
              <w:spacing w:after="0" w:line="169" w:lineRule="exact"/>
              <w:rPr>
                <w:rFonts w:ascii="Arial" w:cs="Arial" w:eastAsia="Arial" w:hAnsi="Arial"/>
                <w:sz w:val="16"/>
                <w:szCs w:val="16"/>
                <w:color w:val="0000EE"/>
                <w:w w:val="91"/>
              </w:rPr>
            </w:pPr>
            <w:hyperlink r:id="rId144">
              <w:r>
                <w:rPr>
                  <w:rFonts w:ascii="Arial" w:cs="Arial" w:eastAsia="Arial" w:hAnsi="Arial"/>
                  <w:sz w:val="16"/>
                  <w:szCs w:val="16"/>
                  <w:color w:val="0000EE"/>
                  <w:w w:val="91"/>
                </w:rPr>
                <w:t>(incorporated herein by reference to Exhibit 10.4 to the Company’s Quarterly Report on Form 10-Q (File No. 001-37708), as filed with the SEC on August</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85"/>
              </w:rPr>
            </w:pPr>
            <w:hyperlink r:id="rId144">
              <w:r>
                <w:rPr>
                  <w:rFonts w:ascii="Arial" w:cs="Arial" w:eastAsia="Arial" w:hAnsi="Arial"/>
                  <w:sz w:val="16"/>
                  <w:szCs w:val="16"/>
                  <w:color w:val="0000EE"/>
                  <w:w w:val="85"/>
                </w:rPr>
                <w:t>15, 2016).</w:t>
              </w:r>
            </w:hyperlink>
          </w:p>
        </w:tc>
        <w:tc>
          <w:tcPr>
            <w:tcW w:w="460" w:type="dxa"/>
            <w:vAlign w:val="bottom"/>
            <w:tcBorders>
              <w:top w:val="single" w:sz="8" w:color="0000EE"/>
            </w:tcBorders>
          </w:tcPr>
          <w:p>
            <w:pPr>
              <w:spacing w:after="0"/>
              <w:rPr>
                <w:sz w:val="14"/>
                <w:szCs w:val="14"/>
                <w:color w:val="auto"/>
              </w:rPr>
            </w:pPr>
          </w:p>
        </w:tc>
        <w:tc>
          <w:tcPr>
            <w:tcW w:w="638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10.34†</w:t>
            </w:r>
          </w:p>
        </w:tc>
        <w:tc>
          <w:tcPr>
            <w:tcW w:w="9160" w:type="dxa"/>
            <w:vAlign w:val="bottom"/>
            <w:tcBorders>
              <w:bottom w:val="single" w:sz="8" w:color="0000EE"/>
            </w:tcBorders>
            <w:gridSpan w:val="7"/>
          </w:tcPr>
          <w:p>
            <w:pPr>
              <w:spacing w:after="0"/>
              <w:rPr>
                <w:rFonts w:ascii="Arial" w:cs="Arial" w:eastAsia="Arial" w:hAnsi="Arial"/>
                <w:sz w:val="16"/>
                <w:szCs w:val="16"/>
                <w:color w:val="0000EE"/>
                <w:w w:val="89"/>
              </w:rPr>
            </w:pPr>
            <w:hyperlink r:id="rId145">
              <w:r>
                <w:rPr>
                  <w:rFonts w:ascii="Arial" w:cs="Arial" w:eastAsia="Arial" w:hAnsi="Arial"/>
                  <w:sz w:val="16"/>
                  <w:szCs w:val="16"/>
                  <w:color w:val="0000EE"/>
                  <w:w w:val="89"/>
                </w:rPr>
                <w:t>Amendment No. 7 to Clinical Trial Agreement by and between the Company and ECOG-ACRIN Cancer Research Group, dated January 9, 2017</w:t>
              </w:r>
            </w:hyperlink>
          </w:p>
        </w:tc>
        <w:tc>
          <w:tcPr>
            <w:tcW w:w="740" w:type="dxa"/>
            <w:vAlign w:val="bottom"/>
            <w:gridSpan w:val="12"/>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19"/>
          </w:tcPr>
          <w:p>
            <w:pPr>
              <w:spacing w:after="0" w:line="169" w:lineRule="exact"/>
              <w:rPr>
                <w:rFonts w:ascii="Arial" w:cs="Arial" w:eastAsia="Arial" w:hAnsi="Arial"/>
                <w:sz w:val="16"/>
                <w:szCs w:val="16"/>
                <w:color w:val="0000EE"/>
                <w:w w:val="91"/>
              </w:rPr>
            </w:pPr>
            <w:hyperlink r:id="rId145">
              <w:r>
                <w:rPr>
                  <w:rFonts w:ascii="Arial" w:cs="Arial" w:eastAsia="Arial" w:hAnsi="Arial"/>
                  <w:sz w:val="16"/>
                  <w:szCs w:val="16"/>
                  <w:color w:val="0000EE"/>
                  <w:w w:val="91"/>
                </w:rPr>
                <w:t>(incorporated herein by reference to Exhibit 10.1 to the Company’s Quarterly Report on Form 10-Q (File No. 001-37708), as filed with the SEC on May 9,</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83"/>
              </w:rPr>
            </w:pPr>
            <w:hyperlink r:id="rId145">
              <w:r>
                <w:rPr>
                  <w:rFonts w:ascii="Arial" w:cs="Arial" w:eastAsia="Arial" w:hAnsi="Arial"/>
                  <w:sz w:val="16"/>
                  <w:szCs w:val="16"/>
                  <w:color w:val="0000EE"/>
                  <w:w w:val="83"/>
                </w:rPr>
                <w:t>2017).</w:t>
              </w:r>
            </w:hyperlink>
          </w:p>
        </w:tc>
        <w:tc>
          <w:tcPr>
            <w:tcW w:w="1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638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10.35†</w:t>
            </w:r>
          </w:p>
        </w:tc>
        <w:tc>
          <w:tcPr>
            <w:tcW w:w="9240" w:type="dxa"/>
            <w:vAlign w:val="bottom"/>
            <w:tcBorders>
              <w:bottom w:val="single" w:sz="8" w:color="0000EE"/>
            </w:tcBorders>
            <w:gridSpan w:val="8"/>
          </w:tcPr>
          <w:p>
            <w:pPr>
              <w:spacing w:after="0"/>
              <w:rPr>
                <w:rFonts w:ascii="Arial" w:cs="Arial" w:eastAsia="Arial" w:hAnsi="Arial"/>
                <w:sz w:val="16"/>
                <w:szCs w:val="16"/>
                <w:color w:val="0000EE"/>
                <w:w w:val="89"/>
              </w:rPr>
            </w:pPr>
            <w:hyperlink r:id="rId146">
              <w:r>
                <w:rPr>
                  <w:rFonts w:ascii="Arial" w:cs="Arial" w:eastAsia="Arial" w:hAnsi="Arial"/>
                  <w:sz w:val="16"/>
                  <w:szCs w:val="16"/>
                  <w:color w:val="0000EE"/>
                  <w:w w:val="89"/>
                </w:rPr>
                <w:t>Amendment No. 8 to Clinical Trial Agreement by and between the Company and ECOG-ACRIN Cancer Research Group, dated January 18, 2017</w:t>
              </w:r>
            </w:hyperlink>
          </w:p>
        </w:tc>
        <w:tc>
          <w:tcPr>
            <w:tcW w:w="66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19"/>
          </w:tcPr>
          <w:p>
            <w:pPr>
              <w:spacing w:after="0" w:line="169" w:lineRule="exact"/>
              <w:rPr>
                <w:rFonts w:ascii="Arial" w:cs="Arial" w:eastAsia="Arial" w:hAnsi="Arial"/>
                <w:sz w:val="16"/>
                <w:szCs w:val="16"/>
                <w:color w:val="0000EE"/>
                <w:w w:val="91"/>
              </w:rPr>
            </w:pPr>
            <w:hyperlink r:id="rId146">
              <w:r>
                <w:rPr>
                  <w:rFonts w:ascii="Arial" w:cs="Arial" w:eastAsia="Arial" w:hAnsi="Arial"/>
                  <w:sz w:val="16"/>
                  <w:szCs w:val="16"/>
                  <w:color w:val="0000EE"/>
                  <w:w w:val="91"/>
                </w:rPr>
                <w:t>(incorporated herein by reference to Exhibit 10.3 to the Company’s Quarterly Report on Form 10-Q (File No. 001-37708), as filed with the SEC on May 9,</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83"/>
              </w:rPr>
            </w:pPr>
            <w:hyperlink r:id="rId146">
              <w:r>
                <w:rPr>
                  <w:rFonts w:ascii="Arial" w:cs="Arial" w:eastAsia="Arial" w:hAnsi="Arial"/>
                  <w:sz w:val="16"/>
                  <w:szCs w:val="16"/>
                  <w:color w:val="0000EE"/>
                  <w:w w:val="83"/>
                </w:rPr>
                <w:t>2017).</w:t>
              </w:r>
            </w:hyperlink>
          </w:p>
        </w:tc>
        <w:tc>
          <w:tcPr>
            <w:tcW w:w="1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638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10.36†</w:t>
            </w:r>
          </w:p>
        </w:tc>
        <w:tc>
          <w:tcPr>
            <w:tcW w:w="9900" w:type="dxa"/>
            <w:vAlign w:val="bottom"/>
            <w:gridSpan w:val="19"/>
          </w:tcPr>
          <w:p>
            <w:pPr>
              <w:spacing w:after="0"/>
              <w:rPr>
                <w:rFonts w:ascii="Arial" w:cs="Arial" w:eastAsia="Arial" w:hAnsi="Arial"/>
                <w:sz w:val="16"/>
                <w:szCs w:val="16"/>
                <w:color w:val="0000EE"/>
                <w:w w:val="94"/>
              </w:rPr>
            </w:pPr>
            <w:hyperlink r:id="rId147">
              <w:r>
                <w:rPr>
                  <w:rFonts w:ascii="Arial" w:cs="Arial" w:eastAsia="Arial" w:hAnsi="Arial"/>
                  <w:sz w:val="16"/>
                  <w:szCs w:val="16"/>
                  <w:color w:val="0000EE"/>
                  <w:w w:val="94"/>
                </w:rPr>
                <w:t>Amendment No. 9 to Clinical Trial Agreement by and between the Company and ECOG-ACRIN Cancer Research Group, dated November 22, 2017</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3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19"/>
          </w:tcPr>
          <w:p>
            <w:pPr>
              <w:spacing w:after="0" w:line="169" w:lineRule="exact"/>
              <w:rPr>
                <w:rFonts w:ascii="Arial" w:cs="Arial" w:eastAsia="Arial" w:hAnsi="Arial"/>
                <w:sz w:val="16"/>
                <w:szCs w:val="16"/>
                <w:color w:val="0000EE"/>
                <w:w w:val="90"/>
              </w:rPr>
            </w:pPr>
            <w:hyperlink r:id="rId147">
              <w:r>
                <w:rPr>
                  <w:rFonts w:ascii="Arial" w:cs="Arial" w:eastAsia="Arial" w:hAnsi="Arial"/>
                  <w:sz w:val="16"/>
                  <w:szCs w:val="16"/>
                  <w:color w:val="0000EE"/>
                  <w:w w:val="90"/>
                </w:rPr>
                <w:t>(incorporated herein by reference to Exhibit 10.34 to the Company’s Annual Report on Form 10-K (File No. 001-37708), as filed with the SEC on March 8,</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83"/>
              </w:rPr>
            </w:pPr>
            <w:hyperlink r:id="rId147">
              <w:r>
                <w:rPr>
                  <w:rFonts w:ascii="Arial" w:cs="Arial" w:eastAsia="Arial" w:hAnsi="Arial"/>
                  <w:sz w:val="16"/>
                  <w:szCs w:val="16"/>
                  <w:color w:val="0000EE"/>
                  <w:w w:val="83"/>
                </w:rPr>
                <w:t>2018).</w:t>
              </w:r>
            </w:hyperlink>
          </w:p>
        </w:tc>
        <w:tc>
          <w:tcPr>
            <w:tcW w:w="1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638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10.37†</w:t>
            </w:r>
          </w:p>
        </w:tc>
        <w:tc>
          <w:tcPr>
            <w:tcW w:w="9900" w:type="dxa"/>
            <w:vAlign w:val="bottom"/>
            <w:gridSpan w:val="19"/>
          </w:tcPr>
          <w:p>
            <w:pPr>
              <w:spacing w:after="0"/>
              <w:rPr>
                <w:rFonts w:ascii="Arial" w:cs="Arial" w:eastAsia="Arial" w:hAnsi="Arial"/>
                <w:sz w:val="16"/>
                <w:szCs w:val="16"/>
                <w:color w:val="0000EE"/>
                <w:w w:val="95"/>
              </w:rPr>
            </w:pPr>
            <w:hyperlink r:id="rId148">
              <w:r>
                <w:rPr>
                  <w:rFonts w:ascii="Arial" w:cs="Arial" w:eastAsia="Arial" w:hAnsi="Arial"/>
                  <w:sz w:val="16"/>
                  <w:szCs w:val="16"/>
                  <w:color w:val="0000EE"/>
                  <w:w w:val="95"/>
                </w:rPr>
                <w:t>Amendment No. 10 to Clinical Trial Agreement by and between the Company and ECOG-ACRIN Cancer Research Group, dated October 15, 2018</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3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19"/>
          </w:tcPr>
          <w:p>
            <w:pPr>
              <w:spacing w:after="0" w:line="169" w:lineRule="exact"/>
              <w:rPr>
                <w:rFonts w:ascii="Arial" w:cs="Arial" w:eastAsia="Arial" w:hAnsi="Arial"/>
                <w:sz w:val="16"/>
                <w:szCs w:val="16"/>
                <w:color w:val="0000EE"/>
                <w:w w:val="90"/>
              </w:rPr>
            </w:pPr>
            <w:hyperlink r:id="rId148">
              <w:r>
                <w:rPr>
                  <w:rFonts w:ascii="Arial" w:cs="Arial" w:eastAsia="Arial" w:hAnsi="Arial"/>
                  <w:sz w:val="16"/>
                  <w:szCs w:val="16"/>
                  <w:color w:val="0000EE"/>
                  <w:w w:val="90"/>
                </w:rPr>
                <w:t>(incorporated herein by reference to Exhibit 10.35 to the Company’s Annual Report on Form 10-K (File No. 001-37708), as filed with the SEC on March 7,</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83"/>
              </w:rPr>
            </w:pPr>
            <w:hyperlink r:id="rId148">
              <w:r>
                <w:rPr>
                  <w:rFonts w:ascii="Arial" w:cs="Arial" w:eastAsia="Arial" w:hAnsi="Arial"/>
                  <w:sz w:val="16"/>
                  <w:szCs w:val="16"/>
                  <w:color w:val="0000EE"/>
                  <w:w w:val="83"/>
                </w:rPr>
                <w:t>2019).</w:t>
              </w:r>
            </w:hyperlink>
          </w:p>
        </w:tc>
        <w:tc>
          <w:tcPr>
            <w:tcW w:w="1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638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10.38†</w:t>
            </w:r>
          </w:p>
        </w:tc>
        <w:tc>
          <w:tcPr>
            <w:tcW w:w="9900" w:type="dxa"/>
            <w:vAlign w:val="bottom"/>
            <w:gridSpan w:val="19"/>
          </w:tcPr>
          <w:p>
            <w:pPr>
              <w:spacing w:after="0"/>
              <w:rPr>
                <w:rFonts w:ascii="Arial" w:cs="Arial" w:eastAsia="Arial" w:hAnsi="Arial"/>
                <w:sz w:val="16"/>
                <w:szCs w:val="16"/>
                <w:color w:val="0000EE"/>
                <w:w w:val="89"/>
              </w:rPr>
            </w:pPr>
            <w:hyperlink r:id="rId149">
              <w:r>
                <w:rPr>
                  <w:rFonts w:ascii="Arial" w:cs="Arial" w:eastAsia="Arial" w:hAnsi="Arial"/>
                  <w:sz w:val="16"/>
                  <w:szCs w:val="16"/>
                  <w:color w:val="0000EE"/>
                  <w:w w:val="89"/>
                </w:rPr>
                <w:t>Amendment No. 11 to Clinical Trial Agreement by and between the Company and ECOG-ACRIN Cancer Research Group, dated July 1, 2019 (incorporated</w:t>
              </w:r>
            </w:hyperlink>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top w:val="single" w:sz="8" w:color="0000EE"/>
            </w:tcBorders>
            <w:gridSpan w:val="18"/>
          </w:tcPr>
          <w:p>
            <w:pPr>
              <w:spacing w:after="0"/>
              <w:rPr>
                <w:rFonts w:ascii="Arial" w:cs="Arial" w:eastAsia="Arial" w:hAnsi="Arial"/>
                <w:sz w:val="16"/>
                <w:szCs w:val="16"/>
                <w:u w:val="single" w:color="auto"/>
                <w:color w:val="0000EE"/>
                <w:w w:val="91"/>
              </w:rPr>
            </w:pPr>
            <w:hyperlink r:id="rId149">
              <w:r>
                <w:rPr>
                  <w:rFonts w:ascii="Arial" w:cs="Arial" w:eastAsia="Arial" w:hAnsi="Arial"/>
                  <w:sz w:val="16"/>
                  <w:szCs w:val="16"/>
                  <w:u w:val="single" w:color="auto"/>
                  <w:color w:val="0000EE"/>
                  <w:w w:val="91"/>
                </w:rPr>
                <w:t>herein by reference to Exhibit 10.1 to the Company’s Quarterly Report on Form 10-Q (File No. 001-37708), as filed with the SEC on November 7,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 39†</w:t>
            </w:r>
          </w:p>
        </w:tc>
        <w:tc>
          <w:tcPr>
            <w:tcW w:w="9900" w:type="dxa"/>
            <w:vAlign w:val="bottom"/>
            <w:gridSpan w:val="19"/>
          </w:tcPr>
          <w:p>
            <w:pPr>
              <w:spacing w:after="0"/>
              <w:rPr>
                <w:rFonts w:ascii="Arial" w:cs="Arial" w:eastAsia="Arial" w:hAnsi="Arial"/>
                <w:sz w:val="16"/>
                <w:szCs w:val="16"/>
                <w:color w:val="0000EE"/>
                <w:w w:val="97"/>
              </w:rPr>
            </w:pPr>
            <w:hyperlink r:id="rId150">
              <w:r>
                <w:rPr>
                  <w:rFonts w:ascii="Arial" w:cs="Arial" w:eastAsia="Arial" w:hAnsi="Arial"/>
                  <w:sz w:val="16"/>
                  <w:szCs w:val="16"/>
                  <w:color w:val="0000EE"/>
                  <w:w w:val="97"/>
                </w:rPr>
                <w:t>Amendment No. 12 to Clinical Trial Agreement by and between the Company and ECOG-ACRIN Cancer Research Group, dated May 12, 2020</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3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19"/>
          </w:tcPr>
          <w:p>
            <w:pPr>
              <w:spacing w:after="0" w:line="170" w:lineRule="exact"/>
              <w:rPr>
                <w:rFonts w:ascii="Arial" w:cs="Arial" w:eastAsia="Arial" w:hAnsi="Arial"/>
                <w:sz w:val="16"/>
                <w:szCs w:val="16"/>
                <w:color w:val="0000EE"/>
                <w:w w:val="91"/>
              </w:rPr>
            </w:pPr>
            <w:hyperlink r:id="rId150">
              <w:r>
                <w:rPr>
                  <w:rFonts w:ascii="Arial" w:cs="Arial" w:eastAsia="Arial" w:hAnsi="Arial"/>
                  <w:sz w:val="16"/>
                  <w:szCs w:val="16"/>
                  <w:color w:val="0000EE"/>
                  <w:w w:val="91"/>
                </w:rPr>
                <w:t>(incorporated herein by reference to Exhibit 10.2 to the Company’s Quarterly Report on Form 10-Q (File No. 001-37708), as filed with the SEC on August</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0000EE"/>
            </w:tcBorders>
            <w:gridSpan w:val="3"/>
          </w:tcPr>
          <w:p>
            <w:pPr>
              <w:spacing w:after="0" w:line="169" w:lineRule="exact"/>
              <w:rPr>
                <w:rFonts w:ascii="Arial" w:cs="Arial" w:eastAsia="Arial" w:hAnsi="Arial"/>
                <w:sz w:val="16"/>
                <w:szCs w:val="16"/>
                <w:color w:val="0000EE"/>
                <w:w w:val="98"/>
              </w:rPr>
            </w:pPr>
            <w:hyperlink r:id="rId150">
              <w:r>
                <w:rPr>
                  <w:rFonts w:ascii="Arial" w:cs="Arial" w:eastAsia="Arial" w:hAnsi="Arial"/>
                  <w:sz w:val="16"/>
                  <w:szCs w:val="16"/>
                  <w:color w:val="0000EE"/>
                  <w:w w:val="98"/>
                </w:rPr>
                <w:t>6, 2020).</w:t>
              </w:r>
            </w:hyperlink>
          </w:p>
        </w:tc>
        <w:tc>
          <w:tcPr>
            <w:tcW w:w="460" w:type="dxa"/>
            <w:vAlign w:val="bottom"/>
            <w:tcBorders>
              <w:top w:val="single" w:sz="8" w:color="0000EE"/>
            </w:tcBorders>
          </w:tcPr>
          <w:p>
            <w:pPr>
              <w:spacing w:after="0"/>
              <w:rPr>
                <w:sz w:val="14"/>
                <w:szCs w:val="14"/>
                <w:color w:val="auto"/>
              </w:rPr>
            </w:pPr>
          </w:p>
        </w:tc>
        <w:tc>
          <w:tcPr>
            <w:tcW w:w="6380" w:type="dxa"/>
            <w:vAlign w:val="bottom"/>
            <w:tcBorders>
              <w:top w:val="single" w:sz="8" w:color="0000EE"/>
            </w:tcBorders>
          </w:tcPr>
          <w:p>
            <w:pPr>
              <w:spacing w:after="0"/>
              <w:rPr>
                <w:sz w:val="14"/>
                <w:szCs w:val="14"/>
                <w:color w:val="auto"/>
              </w:rPr>
            </w:pPr>
          </w:p>
        </w:tc>
        <w:tc>
          <w:tcPr>
            <w:tcW w:w="16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10.40†</w:t>
            </w:r>
          </w:p>
        </w:tc>
        <w:tc>
          <w:tcPr>
            <w:tcW w:w="9900" w:type="dxa"/>
            <w:vAlign w:val="bottom"/>
            <w:gridSpan w:val="19"/>
          </w:tcPr>
          <w:p>
            <w:pPr>
              <w:spacing w:after="0"/>
              <w:rPr>
                <w:rFonts w:ascii="Arial" w:cs="Arial" w:eastAsia="Arial" w:hAnsi="Arial"/>
                <w:sz w:val="16"/>
                <w:szCs w:val="16"/>
                <w:color w:val="0000EE"/>
                <w:w w:val="94"/>
              </w:rPr>
            </w:pPr>
            <w:hyperlink r:id="rId151">
              <w:r>
                <w:rPr>
                  <w:rFonts w:ascii="Arial" w:cs="Arial" w:eastAsia="Arial" w:hAnsi="Arial"/>
                  <w:sz w:val="16"/>
                  <w:szCs w:val="16"/>
                  <w:color w:val="0000EE"/>
                  <w:w w:val="94"/>
                </w:rPr>
                <w:t>License, Development and Commercialization Agreement by and between the company and Kyowa Hakko Kirin Co., Ltd., dated December 19, 2014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6380" w:type="dxa"/>
            <w:vAlign w:val="bottom"/>
            <w:shd w:val="clear" w:color="auto" w:fill="0000EE"/>
          </w:tcPr>
          <w:p>
            <w:pPr>
              <w:spacing w:after="0" w:line="20" w:lineRule="exact"/>
              <w:rPr>
                <w:sz w:val="1"/>
                <w:szCs w:val="1"/>
                <w:color w:val="auto"/>
              </w:rPr>
            </w:pPr>
          </w:p>
        </w:tc>
        <w:tc>
          <w:tcPr>
            <w:tcW w:w="1960" w:type="dxa"/>
            <w:vAlign w:val="bottom"/>
            <w:gridSpan w:val="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720" w:type="dxa"/>
            <w:vAlign w:val="bottom"/>
            <w:tcBorders>
              <w:bottom w:val="single" w:sz="8" w:color="0000EE"/>
            </w:tcBorders>
            <w:gridSpan w:val="13"/>
          </w:tcPr>
          <w:p>
            <w:pPr>
              <w:spacing w:after="0" w:line="169" w:lineRule="exact"/>
              <w:rPr>
                <w:rFonts w:ascii="Arial" w:cs="Arial" w:eastAsia="Arial" w:hAnsi="Arial"/>
                <w:sz w:val="16"/>
                <w:szCs w:val="16"/>
                <w:color w:val="0000EE"/>
                <w:w w:val="89"/>
              </w:rPr>
            </w:pPr>
            <w:hyperlink r:id="rId151">
              <w:r>
                <w:rPr>
                  <w:rFonts w:ascii="Arial" w:cs="Arial" w:eastAsia="Arial" w:hAnsi="Arial"/>
                  <w:sz w:val="16"/>
                  <w:szCs w:val="16"/>
                  <w:color w:val="0000EE"/>
                  <w:w w:val="89"/>
                </w:rPr>
                <w:t>(incorporated herein by reference to Exhibit 10.33 to the Company’s Registration Statement on Form S-1 (File No. 333-208861), as filed with the SEC on</w:t>
              </w:r>
            </w:hyperlink>
          </w:p>
        </w:tc>
        <w:tc>
          <w:tcPr>
            <w:tcW w:w="1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0000EE"/>
            </w:tcBorders>
            <w:gridSpan w:val="4"/>
          </w:tcPr>
          <w:p>
            <w:pPr>
              <w:spacing w:after="0" w:line="169" w:lineRule="exact"/>
              <w:rPr>
                <w:rFonts w:ascii="Arial" w:cs="Arial" w:eastAsia="Arial" w:hAnsi="Arial"/>
                <w:sz w:val="16"/>
                <w:szCs w:val="16"/>
                <w:color w:val="0000EE"/>
                <w:w w:val="86"/>
              </w:rPr>
            </w:pPr>
            <w:hyperlink r:id="rId151">
              <w:r>
                <w:rPr>
                  <w:rFonts w:ascii="Arial" w:cs="Arial" w:eastAsia="Arial" w:hAnsi="Arial"/>
                  <w:sz w:val="16"/>
                  <w:szCs w:val="16"/>
                  <w:color w:val="0000EE"/>
                  <w:w w:val="86"/>
                </w:rPr>
                <w:t>January 4, 2016).</w:t>
              </w:r>
            </w:hyperlink>
          </w:p>
        </w:tc>
        <w:tc>
          <w:tcPr>
            <w:tcW w:w="880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10.41†</w:t>
            </w:r>
          </w:p>
        </w:tc>
        <w:tc>
          <w:tcPr>
            <w:tcW w:w="9840" w:type="dxa"/>
            <w:vAlign w:val="bottom"/>
            <w:tcBorders>
              <w:bottom w:val="single" w:sz="8" w:color="0000EE"/>
            </w:tcBorders>
            <w:gridSpan w:val="16"/>
          </w:tcPr>
          <w:p>
            <w:pPr>
              <w:spacing w:after="0"/>
              <w:rPr>
                <w:rFonts w:ascii="Arial" w:cs="Arial" w:eastAsia="Arial" w:hAnsi="Arial"/>
                <w:sz w:val="16"/>
                <w:szCs w:val="16"/>
                <w:color w:val="0000EE"/>
                <w:w w:val="89"/>
              </w:rPr>
            </w:pPr>
            <w:hyperlink r:id="rId152">
              <w:r>
                <w:rPr>
                  <w:rFonts w:ascii="Arial" w:cs="Arial" w:eastAsia="Arial" w:hAnsi="Arial"/>
                  <w:sz w:val="16"/>
                  <w:szCs w:val="16"/>
                  <w:color w:val="0000EE"/>
                  <w:w w:val="89"/>
                </w:rPr>
                <w:t>Side Letter by and between the company and Kyowa Hakko Kirin Co., Ltd., dated December 19, 2014 (incorporated herein by reference to Exhibit 10.34 to</w:t>
              </w:r>
            </w:hyperlink>
          </w:p>
        </w:tc>
        <w:tc>
          <w:tcPr>
            <w:tcW w:w="6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19"/>
          </w:tcPr>
          <w:p>
            <w:pPr>
              <w:spacing w:after="0" w:line="169" w:lineRule="exact"/>
              <w:rPr>
                <w:rFonts w:ascii="Arial" w:cs="Arial" w:eastAsia="Arial" w:hAnsi="Arial"/>
                <w:sz w:val="16"/>
                <w:szCs w:val="16"/>
                <w:color w:val="0000EE"/>
              </w:rPr>
            </w:pPr>
            <w:hyperlink r:id="rId152">
              <w:r>
                <w:rPr>
                  <w:rFonts w:ascii="Arial" w:cs="Arial" w:eastAsia="Arial" w:hAnsi="Arial"/>
                  <w:sz w:val="16"/>
                  <w:szCs w:val="16"/>
                  <w:color w:val="0000EE"/>
                </w:rPr>
                <w:t>the Company’s Registration Statement on Form S-1 (File No. 333-208861), as filed with the SEC on January 4, 2016).</w:t>
              </w:r>
            </w:hyperlink>
          </w:p>
        </w:tc>
        <w:tc>
          <w:tcPr>
            <w:tcW w:w="0" w:type="dxa"/>
            <w:vAlign w:val="bottom"/>
          </w:tcPr>
          <w:p>
            <w:pPr>
              <w:spacing w:after="0"/>
              <w:rPr>
                <w:sz w:val="1"/>
                <w:szCs w:val="1"/>
                <w:color w:val="auto"/>
              </w:rPr>
            </w:pPr>
          </w:p>
        </w:tc>
      </w:tr>
      <w:tr>
        <w:trPr>
          <w:trHeight w:val="393"/>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80" w:type="dxa"/>
            <w:vAlign w:val="bottom"/>
            <w:tcBorders>
              <w:top w:val="single" w:sz="8" w:color="0000EE"/>
            </w:tcBorders>
            <w:gridSpan w:val="5"/>
          </w:tcPr>
          <w:p>
            <w:pPr>
              <w:ind w:left="4180"/>
              <w:spacing w:after="0"/>
              <w:rPr>
                <w:sz w:val="20"/>
                <w:szCs w:val="20"/>
                <w:color w:val="auto"/>
              </w:rPr>
            </w:pPr>
            <w:r>
              <w:rPr>
                <w:rFonts w:ascii="Arial" w:cs="Arial" w:eastAsia="Arial" w:hAnsi="Arial"/>
                <w:sz w:val="16"/>
                <w:szCs w:val="16"/>
                <w:color w:val="auto"/>
              </w:rPr>
              <w:t>76</w:t>
            </w: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3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4">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290"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49"/>
        </w:trPr>
        <w:tc>
          <w:tcPr>
            <w:tcW w:w="1360" w:type="dxa"/>
            <w:vAlign w:val="bottom"/>
            <w:gridSpan w:val="2"/>
          </w:tcPr>
          <w:p>
            <w:pPr>
              <w:ind w:left="420"/>
              <w:spacing w:after="0"/>
              <w:rPr>
                <w:sz w:val="20"/>
                <w:szCs w:val="20"/>
                <w:color w:val="auto"/>
              </w:rPr>
            </w:pPr>
            <w:r>
              <w:rPr>
                <w:rFonts w:ascii="Arial" w:cs="Arial" w:eastAsia="Arial" w:hAnsi="Arial"/>
                <w:sz w:val="13"/>
                <w:szCs w:val="13"/>
                <w:b w:val="1"/>
                <w:bCs w:val="1"/>
                <w:color w:val="auto"/>
              </w:rPr>
              <w:t>Exhibit</w:t>
            </w: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20" w:type="dxa"/>
            <w:vAlign w:val="bottom"/>
            <w:gridSpan w:val="14"/>
            <w:vMerge w:val="restart"/>
          </w:tcPr>
          <w:p>
            <w:pPr>
              <w:ind w:left="160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50"/>
        </w:trPr>
        <w:tc>
          <w:tcPr>
            <w:tcW w:w="124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No.</w:t>
            </w:r>
          </w:p>
        </w:tc>
        <w:tc>
          <w:tcPr>
            <w:tcW w:w="1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gridSpan w:val="1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10.42†</w:t>
            </w:r>
          </w:p>
        </w:tc>
        <w:tc>
          <w:tcPr>
            <w:tcW w:w="9900" w:type="dxa"/>
            <w:vAlign w:val="bottom"/>
            <w:gridSpan w:val="17"/>
          </w:tcPr>
          <w:p>
            <w:pPr>
              <w:spacing w:after="0"/>
              <w:rPr>
                <w:rFonts w:ascii="Arial" w:cs="Arial" w:eastAsia="Arial" w:hAnsi="Arial"/>
                <w:sz w:val="16"/>
                <w:szCs w:val="16"/>
                <w:color w:val="0000EE"/>
                <w:w w:val="95"/>
              </w:rPr>
            </w:pPr>
            <w:hyperlink r:id="rId155">
              <w:r>
                <w:rPr>
                  <w:rFonts w:ascii="Arial" w:cs="Arial" w:eastAsia="Arial" w:hAnsi="Arial"/>
                  <w:sz w:val="16"/>
                  <w:szCs w:val="16"/>
                  <w:color w:val="0000EE"/>
                  <w:w w:val="95"/>
                </w:rPr>
                <w:t>Amendment #1 to License, Development and Commercialization Agreement by and between the company and Kyowa Hakko Kirin Co., Ltd., dated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780" w:type="dxa"/>
            <w:vAlign w:val="bottom"/>
            <w:tcBorders>
              <w:bottom w:val="single" w:sz="8" w:color="0000EE"/>
            </w:tcBorders>
            <w:gridSpan w:val="14"/>
          </w:tcPr>
          <w:p>
            <w:pPr>
              <w:spacing w:after="0" w:line="169" w:lineRule="exact"/>
              <w:rPr>
                <w:rFonts w:ascii="Arial" w:cs="Arial" w:eastAsia="Arial" w:hAnsi="Arial"/>
                <w:sz w:val="16"/>
                <w:szCs w:val="16"/>
                <w:color w:val="0000EE"/>
                <w:w w:val="89"/>
              </w:rPr>
            </w:pPr>
            <w:hyperlink r:id="rId155">
              <w:r>
                <w:rPr>
                  <w:rFonts w:ascii="Arial" w:cs="Arial" w:eastAsia="Arial" w:hAnsi="Arial"/>
                  <w:sz w:val="16"/>
                  <w:szCs w:val="16"/>
                  <w:color w:val="0000EE"/>
                  <w:w w:val="89"/>
                </w:rPr>
                <w:t>September 18, 2015 (incorporated herein by reference to Exhibit 10.39 to the Company’s Registration Statement on Form S-1/A (File No. 333-208861), as</w:t>
              </w:r>
            </w:hyperlink>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Borders>
              <w:bottom w:val="single" w:sz="8" w:color="0000EE"/>
            </w:tcBorders>
            <w:gridSpan w:val="2"/>
          </w:tcPr>
          <w:p>
            <w:pPr>
              <w:spacing w:after="0" w:line="169" w:lineRule="exact"/>
              <w:rPr>
                <w:rFonts w:ascii="Arial" w:cs="Arial" w:eastAsia="Arial" w:hAnsi="Arial"/>
                <w:sz w:val="16"/>
                <w:szCs w:val="16"/>
                <w:color w:val="0000EE"/>
                <w:w w:val="89"/>
              </w:rPr>
            </w:pPr>
            <w:hyperlink r:id="rId155">
              <w:r>
                <w:rPr>
                  <w:rFonts w:ascii="Arial" w:cs="Arial" w:eastAsia="Arial" w:hAnsi="Arial"/>
                  <w:sz w:val="16"/>
                  <w:szCs w:val="16"/>
                  <w:color w:val="0000EE"/>
                  <w:w w:val="89"/>
                </w:rPr>
                <w:t>filed with the SEC on February 22, 2016).</w:t>
              </w:r>
            </w:hyperlink>
          </w:p>
        </w:tc>
        <w:tc>
          <w:tcPr>
            <w:tcW w:w="72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10.43†</w:t>
            </w:r>
          </w:p>
        </w:tc>
        <w:tc>
          <w:tcPr>
            <w:tcW w:w="9900" w:type="dxa"/>
            <w:vAlign w:val="bottom"/>
            <w:tcBorders>
              <w:bottom w:val="single" w:sz="8" w:color="0000EE"/>
            </w:tcBorders>
            <w:gridSpan w:val="17"/>
          </w:tcPr>
          <w:p>
            <w:pPr>
              <w:spacing w:after="0"/>
              <w:rPr>
                <w:rFonts w:ascii="Arial" w:cs="Arial" w:eastAsia="Arial" w:hAnsi="Arial"/>
                <w:sz w:val="16"/>
                <w:szCs w:val="16"/>
                <w:color w:val="0000EE"/>
                <w:w w:val="90"/>
              </w:rPr>
            </w:pPr>
            <w:hyperlink r:id="rId156">
              <w:r>
                <w:rPr>
                  <w:rFonts w:ascii="Arial" w:cs="Arial" w:eastAsia="Arial" w:hAnsi="Arial"/>
                  <w:sz w:val="16"/>
                  <w:szCs w:val="16"/>
                  <w:color w:val="0000EE"/>
                  <w:w w:val="90"/>
                </w:rPr>
                <w:t>Amendment #2 to License, Development and Commercialization Agreement by and between the company and Kyowa Hakko Kirin Co., Ltd., dated January</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tcBorders>
              <w:bottom w:val="single" w:sz="8" w:color="0000EE"/>
            </w:tcBorders>
            <w:gridSpan w:val="17"/>
          </w:tcPr>
          <w:p>
            <w:pPr>
              <w:spacing w:after="0" w:line="169" w:lineRule="exact"/>
              <w:rPr>
                <w:rFonts w:ascii="Arial" w:cs="Arial" w:eastAsia="Arial" w:hAnsi="Arial"/>
                <w:sz w:val="16"/>
                <w:szCs w:val="16"/>
                <w:color w:val="0000EE"/>
                <w:w w:val="90"/>
              </w:rPr>
            </w:pPr>
            <w:hyperlink r:id="rId156">
              <w:r>
                <w:rPr>
                  <w:rFonts w:ascii="Arial" w:cs="Arial" w:eastAsia="Arial" w:hAnsi="Arial"/>
                  <w:sz w:val="16"/>
                  <w:szCs w:val="16"/>
                  <w:color w:val="0000EE"/>
                  <w:w w:val="90"/>
                </w:rPr>
                <w:t>16, 2017 (incorporated herein by reference to Exhibit 10.2 to the Company’s Quarterly Report on Form 10-Q (File No. 001-37708), as filed with the SEC on</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0000EE"/>
            </w:tcBorders>
          </w:tcPr>
          <w:p>
            <w:pPr>
              <w:spacing w:after="0" w:line="170" w:lineRule="exact"/>
              <w:rPr>
                <w:rFonts w:ascii="Arial" w:cs="Arial" w:eastAsia="Arial" w:hAnsi="Arial"/>
                <w:sz w:val="16"/>
                <w:szCs w:val="16"/>
                <w:color w:val="0000EE"/>
                <w:w w:val="89"/>
              </w:rPr>
            </w:pPr>
            <w:hyperlink r:id="rId156">
              <w:r>
                <w:rPr>
                  <w:rFonts w:ascii="Arial" w:cs="Arial" w:eastAsia="Arial" w:hAnsi="Arial"/>
                  <w:sz w:val="16"/>
                  <w:szCs w:val="16"/>
                  <w:color w:val="0000EE"/>
                  <w:w w:val="89"/>
                </w:rPr>
                <w:t>May 9, 2017).</w:t>
              </w:r>
            </w:hyperlink>
          </w:p>
        </w:tc>
        <w:tc>
          <w:tcPr>
            <w:tcW w:w="900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10.44†</w:t>
            </w:r>
          </w:p>
        </w:tc>
        <w:tc>
          <w:tcPr>
            <w:tcW w:w="9700" w:type="dxa"/>
            <w:vAlign w:val="bottom"/>
            <w:tcBorders>
              <w:bottom w:val="single" w:sz="8" w:color="0000EE"/>
            </w:tcBorders>
            <w:gridSpan w:val="12"/>
          </w:tcPr>
          <w:p>
            <w:pPr>
              <w:spacing w:after="0"/>
              <w:rPr>
                <w:rFonts w:ascii="Arial" w:cs="Arial" w:eastAsia="Arial" w:hAnsi="Arial"/>
                <w:sz w:val="16"/>
                <w:szCs w:val="16"/>
                <w:color w:val="0000EE"/>
                <w:w w:val="89"/>
              </w:rPr>
            </w:pPr>
            <w:hyperlink r:id="rId157">
              <w:r>
                <w:rPr>
                  <w:rFonts w:ascii="Arial" w:cs="Arial" w:eastAsia="Arial" w:hAnsi="Arial"/>
                  <w:sz w:val="16"/>
                  <w:szCs w:val="16"/>
                  <w:color w:val="0000EE"/>
                  <w:w w:val="89"/>
                </w:rPr>
                <w:t>License Agreement by and between the Company and UCB Biopharma Sprl, dated as of July 1, 2016 (incorporated herein by reference to Exhibit 10.1 to</w:t>
              </w:r>
            </w:hyperlink>
          </w:p>
        </w:tc>
        <w:tc>
          <w:tcPr>
            <w:tcW w:w="200" w:type="dxa"/>
            <w:vAlign w:val="bottom"/>
            <w:gridSpan w:val="5"/>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0" w:type="dxa"/>
            <w:vAlign w:val="bottom"/>
            <w:tcBorders>
              <w:bottom w:val="single" w:sz="8" w:color="0000EE"/>
            </w:tcBorders>
            <w:gridSpan w:val="5"/>
          </w:tcPr>
          <w:p>
            <w:pPr>
              <w:spacing w:after="0" w:line="169" w:lineRule="exact"/>
              <w:rPr>
                <w:rFonts w:ascii="Arial" w:cs="Arial" w:eastAsia="Arial" w:hAnsi="Arial"/>
                <w:sz w:val="16"/>
                <w:szCs w:val="16"/>
                <w:color w:val="0000EE"/>
                <w:w w:val="90"/>
              </w:rPr>
            </w:pPr>
            <w:hyperlink r:id="rId157">
              <w:r>
                <w:rPr>
                  <w:rFonts w:ascii="Arial" w:cs="Arial" w:eastAsia="Arial" w:hAnsi="Arial"/>
                  <w:sz w:val="16"/>
                  <w:szCs w:val="16"/>
                  <w:color w:val="0000EE"/>
                  <w:w w:val="90"/>
                </w:rPr>
                <w:t>the Company’s Current Report on Form 8-K (File No. 001- 37708), as filed with the SEC on October 7, 2016).</w:t>
              </w:r>
            </w:hyperlink>
          </w:p>
        </w:tc>
        <w:tc>
          <w:tcPr>
            <w:tcW w:w="290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10.45†</w:t>
            </w:r>
          </w:p>
        </w:tc>
        <w:tc>
          <w:tcPr>
            <w:tcW w:w="9520" w:type="dxa"/>
            <w:vAlign w:val="bottom"/>
            <w:tcBorders>
              <w:bottom w:val="single" w:sz="8" w:color="0000EE"/>
            </w:tcBorders>
            <w:gridSpan w:val="10"/>
          </w:tcPr>
          <w:p>
            <w:pPr>
              <w:spacing w:after="0"/>
              <w:rPr>
                <w:rFonts w:ascii="Arial" w:cs="Arial" w:eastAsia="Arial" w:hAnsi="Arial"/>
                <w:sz w:val="16"/>
                <w:szCs w:val="16"/>
                <w:color w:val="0000EE"/>
                <w:w w:val="89"/>
              </w:rPr>
            </w:pPr>
            <w:hyperlink r:id="rId158">
              <w:r>
                <w:rPr>
                  <w:rFonts w:ascii="Arial" w:cs="Arial" w:eastAsia="Arial" w:hAnsi="Arial"/>
                  <w:sz w:val="16"/>
                  <w:szCs w:val="16"/>
                  <w:color w:val="0000EE"/>
                  <w:w w:val="89"/>
                </w:rPr>
                <w:t>Side Agreement by and between the Company and UCB Biopharma Sprl, dated March 8, 2017 (incorporated herein by reference to Exhibit 10.4 to the</w:t>
              </w:r>
            </w:hyperlink>
          </w:p>
        </w:tc>
        <w:tc>
          <w:tcPr>
            <w:tcW w:w="38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17"/>
          </w:tcPr>
          <w:p>
            <w:pPr>
              <w:spacing w:after="0" w:line="169" w:lineRule="exact"/>
              <w:rPr>
                <w:rFonts w:ascii="Arial" w:cs="Arial" w:eastAsia="Arial" w:hAnsi="Arial"/>
                <w:sz w:val="16"/>
                <w:szCs w:val="16"/>
                <w:color w:val="0000EE"/>
              </w:rPr>
            </w:pPr>
            <w:hyperlink r:id="rId158">
              <w:r>
                <w:rPr>
                  <w:rFonts w:ascii="Arial" w:cs="Arial" w:eastAsia="Arial" w:hAnsi="Arial"/>
                  <w:sz w:val="16"/>
                  <w:szCs w:val="16"/>
                  <w:color w:val="0000EE"/>
                </w:rPr>
                <w:t>Company’s Quarterly Report on Form 10-Q (File No. 001-37708), as filed with the SEC on May 9, 2017).</w:t>
              </w:r>
            </w:hyperlink>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10.46†</w:t>
            </w:r>
          </w:p>
        </w:tc>
        <w:tc>
          <w:tcPr>
            <w:tcW w:w="9900" w:type="dxa"/>
            <w:vAlign w:val="bottom"/>
            <w:gridSpan w:val="17"/>
          </w:tcPr>
          <w:p>
            <w:pPr>
              <w:spacing w:after="0"/>
              <w:rPr>
                <w:rFonts w:ascii="Arial" w:cs="Arial" w:eastAsia="Arial" w:hAnsi="Arial"/>
                <w:sz w:val="16"/>
                <w:szCs w:val="16"/>
                <w:color w:val="0000EE"/>
                <w:w w:val="95"/>
              </w:rPr>
            </w:pPr>
            <w:hyperlink r:id="rId159">
              <w:r>
                <w:rPr>
                  <w:rFonts w:ascii="Arial" w:cs="Arial" w:eastAsia="Arial" w:hAnsi="Arial"/>
                  <w:sz w:val="16"/>
                  <w:szCs w:val="16"/>
                  <w:color w:val="0000EE"/>
                  <w:w w:val="95"/>
                </w:rPr>
                <w:t>Amendment No. 1 to License Agreement by and between the Company and UCB Biopharma Sprl, dated as of July 9, 2019 (incorporated herein by</w:t>
              </w:r>
            </w:hyperlink>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40" w:type="dxa"/>
            <w:vAlign w:val="bottom"/>
            <w:tcBorders>
              <w:top w:val="single" w:sz="8" w:color="0000EE"/>
            </w:tcBorders>
            <w:gridSpan w:val="8"/>
          </w:tcPr>
          <w:p>
            <w:pPr>
              <w:spacing w:after="0"/>
              <w:rPr>
                <w:rFonts w:ascii="Arial" w:cs="Arial" w:eastAsia="Arial" w:hAnsi="Arial"/>
                <w:sz w:val="16"/>
                <w:szCs w:val="16"/>
                <w:u w:val="single" w:color="auto"/>
                <w:color w:val="0000EE"/>
                <w:w w:val="92"/>
              </w:rPr>
            </w:pPr>
            <w:hyperlink r:id="rId159">
              <w:r>
                <w:rPr>
                  <w:rFonts w:ascii="Arial" w:cs="Arial" w:eastAsia="Arial" w:hAnsi="Arial"/>
                  <w:sz w:val="16"/>
                  <w:szCs w:val="16"/>
                  <w:u w:val="single" w:color="auto"/>
                  <w:color w:val="0000EE"/>
                  <w:w w:val="92"/>
                </w:rPr>
                <w:t>reference to Exhibit 10.2 to the Company’s Quarterly Report on Form 10-Q (File No. 001-37708), as filed with the SEC on November 7, 2019).</w:t>
              </w:r>
            </w:hyperlink>
          </w:p>
        </w:tc>
        <w:tc>
          <w:tcPr>
            <w:tcW w:w="5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240" w:type="dxa"/>
            <w:vAlign w:val="bottom"/>
          </w:tcPr>
          <w:p>
            <w:pPr>
              <w:ind w:left="100"/>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22"/>
                <w:szCs w:val="22"/>
                <w:color w:val="auto"/>
              </w:rPr>
            </w:pPr>
          </w:p>
        </w:tc>
        <w:tc>
          <w:tcPr>
            <w:tcW w:w="9680" w:type="dxa"/>
            <w:vAlign w:val="bottom"/>
            <w:tcBorders>
              <w:bottom w:val="single" w:sz="8" w:color="0000EE"/>
            </w:tcBorders>
            <w:gridSpan w:val="11"/>
          </w:tcPr>
          <w:p>
            <w:pPr>
              <w:spacing w:after="0"/>
              <w:rPr>
                <w:rFonts w:ascii="Arial" w:cs="Arial" w:eastAsia="Arial" w:hAnsi="Arial"/>
                <w:sz w:val="16"/>
                <w:szCs w:val="16"/>
                <w:color w:val="0000EE"/>
                <w:w w:val="88"/>
              </w:rPr>
            </w:pPr>
            <w:hyperlink r:id="rId160">
              <w:r>
                <w:rPr>
                  <w:rFonts w:ascii="Arial" w:cs="Arial" w:eastAsia="Arial" w:hAnsi="Arial"/>
                  <w:sz w:val="16"/>
                  <w:szCs w:val="16"/>
                  <w:color w:val="0000EE"/>
                  <w:w w:val="88"/>
                </w:rPr>
                <w:t>Third Amended and Restated Investors’ Rights Agreement by and among the company and the parties thereto, dated as of August 21, 2015 (incorporated</w:t>
              </w:r>
            </w:hyperlink>
          </w:p>
        </w:tc>
        <w:tc>
          <w:tcPr>
            <w:tcW w:w="22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gridSpan w:val="17"/>
          </w:tcPr>
          <w:p>
            <w:pPr>
              <w:spacing w:after="0"/>
              <w:rPr>
                <w:rFonts w:ascii="Arial" w:cs="Arial" w:eastAsia="Arial" w:hAnsi="Arial"/>
                <w:sz w:val="16"/>
                <w:szCs w:val="16"/>
                <w:u w:val="single" w:color="auto"/>
                <w:color w:val="0000EE"/>
                <w:w w:val="89"/>
              </w:rPr>
            </w:pPr>
            <w:hyperlink r:id="rId160">
              <w:r>
                <w:rPr>
                  <w:rFonts w:ascii="Arial" w:cs="Arial" w:eastAsia="Arial" w:hAnsi="Arial"/>
                  <w:sz w:val="16"/>
                  <w:szCs w:val="16"/>
                  <w:u w:val="single" w:color="auto"/>
                  <w:color w:val="0000EE"/>
                  <w:w w:val="89"/>
                </w:rPr>
                <w:t>herein by reference to Exhibit 10.1 to the Company’s Registration Statement on Form S-1 (File No. 333-208861), as filed with the SEC on January 4, 2016).</w:t>
              </w:r>
            </w:hyperlink>
          </w:p>
        </w:tc>
        <w:tc>
          <w:tcPr>
            <w:tcW w:w="0" w:type="dxa"/>
            <w:vAlign w:val="bottom"/>
          </w:tcPr>
          <w:p>
            <w:pPr>
              <w:spacing w:after="0"/>
              <w:rPr>
                <w:sz w:val="1"/>
                <w:szCs w:val="1"/>
                <w:color w:val="auto"/>
              </w:rPr>
            </w:pPr>
          </w:p>
        </w:tc>
      </w:tr>
      <w:tr>
        <w:trPr>
          <w:trHeight w:val="262"/>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10.48†</w:t>
            </w:r>
          </w:p>
        </w:tc>
        <w:tc>
          <w:tcPr>
            <w:tcW w:w="9900" w:type="dxa"/>
            <w:vAlign w:val="bottom"/>
            <w:tcBorders>
              <w:bottom w:val="single" w:sz="8" w:color="0000EE"/>
            </w:tcBorders>
            <w:gridSpan w:val="17"/>
          </w:tcPr>
          <w:p>
            <w:pPr>
              <w:spacing w:after="0"/>
              <w:rPr>
                <w:rFonts w:ascii="Arial" w:cs="Arial" w:eastAsia="Arial" w:hAnsi="Arial"/>
                <w:sz w:val="16"/>
                <w:szCs w:val="16"/>
                <w:color w:val="0000EE"/>
                <w:w w:val="88"/>
              </w:rPr>
            </w:pPr>
            <w:hyperlink r:id="rId161">
              <w:r>
                <w:rPr>
                  <w:rFonts w:ascii="Arial" w:cs="Arial" w:eastAsia="Arial" w:hAnsi="Arial"/>
                  <w:sz w:val="16"/>
                  <w:szCs w:val="16"/>
                  <w:color w:val="0000EE"/>
                  <w:w w:val="88"/>
                </w:rPr>
                <w:t>License Agreement by and between the Company and Vitae Pharmaceuticals, Inc., dated as of October 13, 2017 (incorporated herein by reference to Exhibit</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80" w:type="dxa"/>
            <w:vAlign w:val="bottom"/>
            <w:tcBorders>
              <w:bottom w:val="single" w:sz="8" w:color="0000EE"/>
            </w:tcBorders>
            <w:gridSpan w:val="6"/>
          </w:tcPr>
          <w:p>
            <w:pPr>
              <w:spacing w:after="0" w:line="169" w:lineRule="exact"/>
              <w:rPr>
                <w:rFonts w:ascii="Arial" w:cs="Arial" w:eastAsia="Arial" w:hAnsi="Arial"/>
                <w:sz w:val="16"/>
                <w:szCs w:val="16"/>
                <w:color w:val="0000EE"/>
                <w:w w:val="90"/>
              </w:rPr>
            </w:pPr>
            <w:hyperlink r:id="rId161">
              <w:r>
                <w:rPr>
                  <w:rFonts w:ascii="Arial" w:cs="Arial" w:eastAsia="Arial" w:hAnsi="Arial"/>
                  <w:sz w:val="16"/>
                  <w:szCs w:val="16"/>
                  <w:color w:val="0000EE"/>
                  <w:w w:val="90"/>
                </w:rPr>
                <w:t>10.</w:t>
              </w:r>
              <w:r>
                <w:rPr>
                  <w:rFonts w:ascii="Arial" w:cs="Arial" w:eastAsia="Arial" w:hAnsi="Arial"/>
                  <w:sz w:val="16"/>
                  <w:szCs w:val="16"/>
                  <w:u w:val="single" w:color="auto"/>
                  <w:color w:val="0000EE"/>
                  <w:w w:val="90"/>
                </w:rPr>
                <w:t>47</w:t>
              </w:r>
              <w:r>
                <w:rPr>
                  <w:rFonts w:ascii="Arial" w:cs="Arial" w:eastAsia="Arial" w:hAnsi="Arial"/>
                  <w:sz w:val="16"/>
                  <w:szCs w:val="16"/>
                  <w:color w:val="0000EE"/>
                  <w:w w:val="90"/>
                </w:rPr>
                <w:t xml:space="preserve"> to the Company’s Annual Report on Form 10-K (File No. 001-37708), as filed with the SEC on March 8, 2018).</w:t>
              </w:r>
            </w:hyperlink>
          </w:p>
        </w:tc>
        <w:tc>
          <w:tcPr>
            <w:tcW w:w="24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10.49†</w:t>
            </w:r>
          </w:p>
        </w:tc>
        <w:tc>
          <w:tcPr>
            <w:tcW w:w="9760" w:type="dxa"/>
            <w:vAlign w:val="bottom"/>
            <w:tcBorders>
              <w:bottom w:val="single" w:sz="8" w:color="0000EE"/>
            </w:tcBorders>
            <w:gridSpan w:val="13"/>
          </w:tcPr>
          <w:p>
            <w:pPr>
              <w:spacing w:after="0"/>
              <w:rPr>
                <w:rFonts w:ascii="Arial" w:cs="Arial" w:eastAsia="Arial" w:hAnsi="Arial"/>
                <w:sz w:val="16"/>
                <w:szCs w:val="16"/>
                <w:color w:val="0000EE"/>
                <w:w w:val="88"/>
              </w:rPr>
            </w:pPr>
            <w:hyperlink r:id="rId162">
              <w:r>
                <w:rPr>
                  <w:rFonts w:ascii="Arial" w:cs="Arial" w:eastAsia="Arial" w:hAnsi="Arial"/>
                  <w:sz w:val="16"/>
                  <w:szCs w:val="16"/>
                  <w:color w:val="0000EE"/>
                  <w:w w:val="88"/>
                </w:rPr>
                <w:t>Amendment No. 1 to License Agreement by and between the Company and Vitae Pharmaceuticals, Inc., dated as of January 25, 2019 (incorporated herein</w:t>
              </w:r>
            </w:hyperlink>
          </w:p>
        </w:tc>
        <w:tc>
          <w:tcPr>
            <w:tcW w:w="14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gridSpan w:val="17"/>
          </w:tcPr>
          <w:p>
            <w:pPr>
              <w:spacing w:after="0"/>
              <w:rPr>
                <w:rFonts w:ascii="Arial" w:cs="Arial" w:eastAsia="Arial" w:hAnsi="Arial"/>
                <w:sz w:val="16"/>
                <w:szCs w:val="16"/>
                <w:u w:val="single" w:color="auto"/>
                <w:color w:val="0000EE"/>
              </w:rPr>
            </w:pPr>
            <w:hyperlink r:id="rId162">
              <w:r>
                <w:rPr>
                  <w:rFonts w:ascii="Arial" w:cs="Arial" w:eastAsia="Arial" w:hAnsi="Arial"/>
                  <w:sz w:val="16"/>
                  <w:szCs w:val="16"/>
                  <w:u w:val="single" w:color="auto"/>
                  <w:color w:val="0000EE"/>
                </w:rPr>
                <w:t>by reference to Exhibit 10.1 to the Company’s Quarterly Report on Form 10-Q (File No. 001-37708), as filed with the SEC on May 8, 2019).</w:t>
              </w:r>
            </w:hyperlink>
          </w:p>
        </w:tc>
        <w:tc>
          <w:tcPr>
            <w:tcW w:w="0" w:type="dxa"/>
            <w:vAlign w:val="bottom"/>
          </w:tcPr>
          <w:p>
            <w:pPr>
              <w:spacing w:after="0"/>
              <w:rPr>
                <w:sz w:val="1"/>
                <w:szCs w:val="1"/>
                <w:color w:val="auto"/>
              </w:rPr>
            </w:pPr>
          </w:p>
        </w:tc>
      </w:tr>
      <w:tr>
        <w:trPr>
          <w:trHeight w:val="262"/>
        </w:trPr>
        <w:tc>
          <w:tcPr>
            <w:tcW w:w="1240" w:type="dxa"/>
            <w:vAlign w:val="bottom"/>
          </w:tcPr>
          <w:p>
            <w:pPr>
              <w:ind w:left="100"/>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22"/>
                <w:szCs w:val="22"/>
                <w:color w:val="auto"/>
              </w:rPr>
            </w:pPr>
          </w:p>
        </w:tc>
        <w:tc>
          <w:tcPr>
            <w:tcW w:w="9480" w:type="dxa"/>
            <w:vAlign w:val="bottom"/>
            <w:tcBorders>
              <w:bottom w:val="single" w:sz="8" w:color="0000EE"/>
            </w:tcBorders>
            <w:gridSpan w:val="9"/>
          </w:tcPr>
          <w:p>
            <w:pPr>
              <w:spacing w:after="0"/>
              <w:rPr>
                <w:rFonts w:ascii="Arial" w:cs="Arial" w:eastAsia="Arial" w:hAnsi="Arial"/>
                <w:sz w:val="16"/>
                <w:szCs w:val="16"/>
                <w:color w:val="0000EE"/>
                <w:w w:val="89"/>
              </w:rPr>
            </w:pPr>
            <w:hyperlink r:id="rId163">
              <w:r>
                <w:rPr>
                  <w:rFonts w:ascii="Arial" w:cs="Arial" w:eastAsia="Arial" w:hAnsi="Arial"/>
                  <w:sz w:val="16"/>
                  <w:szCs w:val="16"/>
                  <w:color w:val="0000EE"/>
                  <w:w w:val="89"/>
                </w:rPr>
                <w:t>Exchange Agreement by and between the Company and Biotechnology Value Fund, L.P., Biotechnology Value Fund II, L.P. and Biotechnology Value</w:t>
              </w:r>
            </w:hyperlink>
          </w:p>
        </w:tc>
        <w:tc>
          <w:tcPr>
            <w:tcW w:w="42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80" w:type="dxa"/>
            <w:vAlign w:val="bottom"/>
            <w:tcBorders>
              <w:bottom w:val="single" w:sz="8" w:color="0000EE"/>
            </w:tcBorders>
            <w:gridSpan w:val="16"/>
          </w:tcPr>
          <w:p>
            <w:pPr>
              <w:spacing w:after="0" w:line="169" w:lineRule="exact"/>
              <w:rPr>
                <w:rFonts w:ascii="Arial" w:cs="Arial" w:eastAsia="Arial" w:hAnsi="Arial"/>
                <w:sz w:val="16"/>
                <w:szCs w:val="16"/>
                <w:color w:val="0000EE"/>
                <w:w w:val="89"/>
              </w:rPr>
            </w:pPr>
            <w:hyperlink r:id="rId163">
              <w:r>
                <w:rPr>
                  <w:rFonts w:ascii="Arial" w:cs="Arial" w:eastAsia="Arial" w:hAnsi="Arial"/>
                  <w:sz w:val="16"/>
                  <w:szCs w:val="16"/>
                  <w:color w:val="0000EE"/>
                  <w:w w:val="89"/>
                </w:rPr>
                <w:t>Trading Fund OS, L.P., dated June 18, 2018 (incorporated herein by reference to Exhibit 10.1 to the Company’s Periodic Report on Form 8-K (File No. 001-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tcBorders>
              <w:bottom w:val="single" w:sz="8" w:color="0000EE"/>
            </w:tcBorders>
            <w:gridSpan w:val="3"/>
          </w:tcPr>
          <w:p>
            <w:pPr>
              <w:spacing w:after="0" w:line="169" w:lineRule="exact"/>
              <w:rPr>
                <w:rFonts w:ascii="Arial" w:cs="Arial" w:eastAsia="Arial" w:hAnsi="Arial"/>
                <w:sz w:val="16"/>
                <w:szCs w:val="16"/>
                <w:color w:val="0000EE"/>
                <w:w w:val="88"/>
              </w:rPr>
            </w:pPr>
            <w:hyperlink r:id="rId163">
              <w:r>
                <w:rPr>
                  <w:rFonts w:ascii="Arial" w:cs="Arial" w:eastAsia="Arial" w:hAnsi="Arial"/>
                  <w:sz w:val="16"/>
                  <w:szCs w:val="16"/>
                  <w:color w:val="0000EE"/>
                  <w:w w:val="88"/>
                </w:rPr>
                <w:t>37708)</w:t>
              </w:r>
              <w:r>
                <w:rPr>
                  <w:rFonts w:ascii="Arial" w:cs="Arial" w:eastAsia="Arial" w:hAnsi="Arial"/>
                  <w:sz w:val="16"/>
                  <w:szCs w:val="16"/>
                  <w:u w:val="single" w:color="auto"/>
                  <w:color w:val="0000EE"/>
                  <w:w w:val="88"/>
                </w:rPr>
                <w:t>,</w:t>
              </w:r>
              <w:r>
                <w:rPr>
                  <w:rFonts w:ascii="Arial" w:cs="Arial" w:eastAsia="Arial" w:hAnsi="Arial"/>
                  <w:sz w:val="16"/>
                  <w:szCs w:val="16"/>
                  <w:color w:val="0000EE"/>
                  <w:w w:val="88"/>
                </w:rPr>
                <w:t xml:space="preserve"> as filed with the SEC on June 20, 2018).</w:t>
              </w:r>
            </w:hyperlink>
          </w:p>
        </w:tc>
        <w:tc>
          <w:tcPr>
            <w:tcW w:w="682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23"/>
                <w:szCs w:val="23"/>
                <w:color w:val="auto"/>
              </w:rPr>
            </w:pPr>
          </w:p>
        </w:tc>
        <w:tc>
          <w:tcPr>
            <w:tcW w:w="9860" w:type="dxa"/>
            <w:vAlign w:val="bottom"/>
            <w:tcBorders>
              <w:bottom w:val="single" w:sz="8" w:color="0000EE"/>
            </w:tcBorders>
            <w:gridSpan w:val="15"/>
          </w:tcPr>
          <w:p>
            <w:pPr>
              <w:spacing w:after="0"/>
              <w:rPr>
                <w:rFonts w:ascii="Arial" w:cs="Arial" w:eastAsia="Arial" w:hAnsi="Arial"/>
                <w:sz w:val="16"/>
                <w:szCs w:val="16"/>
                <w:color w:val="0000EE"/>
                <w:w w:val="88"/>
              </w:rPr>
            </w:pPr>
            <w:hyperlink r:id="rId164">
              <w:r>
                <w:rPr>
                  <w:rFonts w:ascii="Arial" w:cs="Arial" w:eastAsia="Arial" w:hAnsi="Arial"/>
                  <w:sz w:val="16"/>
                  <w:szCs w:val="16"/>
                  <w:color w:val="0000EE"/>
                  <w:w w:val="88"/>
                </w:rPr>
                <w:t>Loan and Security Agreement dated February 7, 2020 between Syndax Pharmaceuticals, Inc. and Hercules Capital, Inc. (incorporated herein by reference to</w:t>
              </w:r>
            </w:hyperlink>
          </w:p>
        </w:tc>
        <w:tc>
          <w:tcPr>
            <w:tcW w:w="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00" w:type="dxa"/>
            <w:vAlign w:val="bottom"/>
            <w:gridSpan w:val="17"/>
          </w:tcPr>
          <w:p>
            <w:pPr>
              <w:spacing w:after="0" w:line="169" w:lineRule="exact"/>
              <w:rPr>
                <w:rFonts w:ascii="Arial" w:cs="Arial" w:eastAsia="Arial" w:hAnsi="Arial"/>
                <w:sz w:val="16"/>
                <w:szCs w:val="16"/>
                <w:color w:val="0000EE"/>
              </w:rPr>
            </w:pPr>
            <w:hyperlink r:id="rId164">
              <w:r>
                <w:rPr>
                  <w:rFonts w:ascii="Arial" w:cs="Arial" w:eastAsia="Arial" w:hAnsi="Arial"/>
                  <w:sz w:val="16"/>
                  <w:szCs w:val="16"/>
                  <w:color w:val="0000EE"/>
                </w:rPr>
                <w:t>Exhibit 10.2 to the Company’s Quarterly Report on Form 10-Q (File No. 001-37708), as filed with the SEC on May 7, 2020).</w:t>
              </w:r>
            </w:hyperlink>
          </w:p>
        </w:tc>
        <w:tc>
          <w:tcPr>
            <w:tcW w:w="0" w:type="dxa"/>
            <w:vAlign w:val="bottom"/>
          </w:tcPr>
          <w:p>
            <w:pPr>
              <w:spacing w:after="0"/>
              <w:rPr>
                <w:sz w:val="1"/>
                <w:szCs w:val="1"/>
                <w:color w:val="auto"/>
              </w:rPr>
            </w:pPr>
          </w:p>
        </w:tc>
      </w:tr>
      <w:tr>
        <w:trPr>
          <w:trHeight w:val="393"/>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00" w:type="dxa"/>
            <w:vAlign w:val="bottom"/>
            <w:tcBorders>
              <w:top w:val="single" w:sz="8" w:color="0000EE"/>
            </w:tcBorders>
            <w:gridSpan w:val="4"/>
          </w:tcPr>
          <w:p>
            <w:pPr>
              <w:ind w:left="4180"/>
              <w:spacing w:after="0"/>
              <w:rPr>
                <w:sz w:val="20"/>
                <w:szCs w:val="20"/>
                <w:color w:val="auto"/>
              </w:rPr>
            </w:pPr>
            <w:r>
              <w:rPr>
                <w:rFonts w:ascii="Arial" w:cs="Arial" w:eastAsia="Arial" w:hAnsi="Arial"/>
                <w:sz w:val="16"/>
                <w:szCs w:val="16"/>
                <w:color w:val="auto"/>
              </w:rPr>
              <w:t>77</w:t>
            </w:r>
          </w:p>
        </w:tc>
        <w:tc>
          <w:tcPr>
            <w:tcW w:w="3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6">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290" w:right="319" w:bottom="1440" w:gutter="0" w:footer="0" w:header="0"/>
        </w:sectPr>
      </w:pPr>
    </w:p>
    <w:bookmarkStart w:id="82" w:name="page83"/>
    <w:bookmarkEnd w:id="82"/>
    <w:tbl>
      <w:tblPr>
        <w:tblLayout w:type="fixed"/>
        <w:tblInd w:w="5" w:type="dxa"/>
        <w:tblCellMar>
          <w:top w:w="0" w:type="dxa"/>
          <w:left w:w="0" w:type="dxa"/>
          <w:bottom w:w="0" w:type="dxa"/>
          <w:right w:w="0" w:type="dxa"/>
        </w:tblCellMar>
      </w:tblPr>
      <w:tr>
        <w:trPr>
          <w:trHeight w:val="149"/>
        </w:trPr>
        <w:tc>
          <w:tcPr>
            <w:tcW w:w="1360" w:type="dxa"/>
            <w:vAlign w:val="bottom"/>
            <w:gridSpan w:val="2"/>
          </w:tcPr>
          <w:p>
            <w:pPr>
              <w:ind w:left="420"/>
              <w:spacing w:after="0"/>
              <w:rPr>
                <w:sz w:val="20"/>
                <w:szCs w:val="20"/>
                <w:color w:val="auto"/>
              </w:rPr>
            </w:pPr>
            <w:r>
              <w:rPr>
                <w:rFonts w:ascii="Arial" w:cs="Arial" w:eastAsia="Arial" w:hAnsi="Arial"/>
                <w:sz w:val="13"/>
                <w:szCs w:val="13"/>
                <w:b w:val="1"/>
                <w:bCs w:val="1"/>
                <w:color w:val="auto"/>
              </w:rPr>
              <w:t>Exhibit</w:t>
            </w:r>
          </w:p>
        </w:tc>
        <w:tc>
          <w:tcPr>
            <w:tcW w:w="3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620" w:type="dxa"/>
            <w:vAlign w:val="bottom"/>
            <w:gridSpan w:val="5"/>
            <w:vMerge w:val="restart"/>
          </w:tcPr>
          <w:p>
            <w:pPr>
              <w:ind w:left="140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50"/>
        </w:trPr>
        <w:tc>
          <w:tcPr>
            <w:tcW w:w="1360" w:type="dxa"/>
            <w:vAlign w:val="bottom"/>
            <w:gridSpan w:val="2"/>
          </w:tcPr>
          <w:p>
            <w:pPr>
              <w:ind w:left="500"/>
              <w:spacing w:after="0"/>
              <w:rPr>
                <w:sz w:val="20"/>
                <w:szCs w:val="20"/>
                <w:color w:val="auto"/>
              </w:rPr>
            </w:pPr>
            <w:r>
              <w:rPr>
                <w:rFonts w:ascii="Arial" w:cs="Arial" w:eastAsia="Arial" w:hAnsi="Arial"/>
                <w:sz w:val="13"/>
                <w:szCs w:val="13"/>
                <w:b w:val="1"/>
                <w:bCs w:val="1"/>
                <w:color w:val="auto"/>
              </w:rPr>
              <w:t>No.</w:t>
            </w:r>
          </w:p>
        </w:tc>
        <w:tc>
          <w:tcPr>
            <w:tcW w:w="3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6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124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4"/>
                <w:szCs w:val="24"/>
                <w:color w:val="auto"/>
              </w:rPr>
            </w:pPr>
          </w:p>
        </w:tc>
        <w:tc>
          <w:tcPr>
            <w:tcW w:w="9400" w:type="dxa"/>
            <w:vAlign w:val="bottom"/>
            <w:tcBorders>
              <w:top w:val="single" w:sz="8" w:color="auto"/>
              <w:bottom w:val="single" w:sz="8" w:color="0000EE"/>
            </w:tcBorders>
            <w:gridSpan w:val="4"/>
          </w:tcPr>
          <w:p>
            <w:pPr>
              <w:spacing w:after="0"/>
              <w:rPr>
                <w:rFonts w:ascii="Arial" w:cs="Arial" w:eastAsia="Arial" w:hAnsi="Arial"/>
                <w:sz w:val="16"/>
                <w:szCs w:val="16"/>
                <w:color w:val="0000EE"/>
                <w:w w:val="89"/>
              </w:rPr>
            </w:pPr>
            <w:hyperlink r:id="rId167">
              <w:r>
                <w:rPr>
                  <w:rFonts w:ascii="Arial" w:cs="Arial" w:eastAsia="Arial" w:hAnsi="Arial"/>
                  <w:sz w:val="16"/>
                  <w:szCs w:val="16"/>
                  <w:color w:val="0000EE"/>
                  <w:w w:val="89"/>
                </w:rPr>
                <w:t>Subsidiaries of the Registrant (incorporated herein by reference to Exhibit 21.1 to the Company’s Registration Statement on Form S-1 (File No. 333-</w:t>
              </w:r>
            </w:hyperlink>
          </w:p>
        </w:tc>
        <w:tc>
          <w:tcPr>
            <w:tcW w:w="50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tcBorders>
              <w:bottom w:val="single" w:sz="8" w:color="0000EE"/>
            </w:tcBorders>
            <w:gridSpan w:val="2"/>
          </w:tcPr>
          <w:p>
            <w:pPr>
              <w:spacing w:after="0" w:line="169" w:lineRule="exact"/>
              <w:rPr>
                <w:rFonts w:ascii="Arial" w:cs="Arial" w:eastAsia="Arial" w:hAnsi="Arial"/>
                <w:sz w:val="16"/>
                <w:szCs w:val="16"/>
                <w:color w:val="0000EE"/>
                <w:w w:val="88"/>
              </w:rPr>
            </w:pPr>
            <w:hyperlink r:id="rId167">
              <w:r>
                <w:rPr>
                  <w:rFonts w:ascii="Arial" w:cs="Arial" w:eastAsia="Arial" w:hAnsi="Arial"/>
                  <w:sz w:val="16"/>
                  <w:szCs w:val="16"/>
                  <w:color w:val="0000EE"/>
                  <w:w w:val="88"/>
                </w:rPr>
                <w:t>208861)</w:t>
              </w:r>
              <w:r>
                <w:rPr>
                  <w:rFonts w:ascii="Arial" w:cs="Arial" w:eastAsia="Arial" w:hAnsi="Arial"/>
                  <w:sz w:val="16"/>
                  <w:szCs w:val="16"/>
                  <w:u w:val="single" w:color="auto"/>
                  <w:color w:val="0000EE"/>
                  <w:w w:val="88"/>
                </w:rPr>
                <w:t>,</w:t>
              </w:r>
              <w:r>
                <w:rPr>
                  <w:rFonts w:ascii="Arial" w:cs="Arial" w:eastAsia="Arial" w:hAnsi="Arial"/>
                  <w:sz w:val="16"/>
                  <w:szCs w:val="16"/>
                  <w:color w:val="0000EE"/>
                  <w:w w:val="88"/>
                </w:rPr>
                <w:t xml:space="preserve"> as filed with the SEC on January 4, 2016).</w:t>
              </w:r>
            </w:hyperlink>
          </w:p>
        </w:tc>
        <w:tc>
          <w:tcPr>
            <w:tcW w:w="66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240" w:type="dxa"/>
            <w:vAlign w:val="bottom"/>
          </w:tcPr>
          <w:p>
            <w:pPr>
              <w:ind w:left="10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4"/>
                <w:szCs w:val="24"/>
                <w:color w:val="auto"/>
              </w:rPr>
            </w:pPr>
          </w:p>
        </w:tc>
        <w:tc>
          <w:tcPr>
            <w:tcW w:w="9900" w:type="dxa"/>
            <w:vAlign w:val="bottom"/>
            <w:gridSpan w:val="7"/>
          </w:tcPr>
          <w:p>
            <w:pPr>
              <w:spacing w:after="0"/>
              <w:rPr>
                <w:rFonts w:ascii="Arial" w:cs="Arial" w:eastAsia="Arial" w:hAnsi="Arial"/>
                <w:sz w:val="16"/>
                <w:szCs w:val="16"/>
                <w:u w:val="single" w:color="auto"/>
                <w:color w:val="0000EE"/>
              </w:rPr>
            </w:pPr>
            <w:hyperlink w:anchor="page120">
              <w:r>
                <w:rPr>
                  <w:rFonts w:ascii="Arial" w:cs="Arial" w:eastAsia="Arial" w:hAnsi="Arial"/>
                  <w:sz w:val="16"/>
                  <w:szCs w:val="16"/>
                  <w:u w:val="single" w:color="auto"/>
                  <w:color w:val="0000EE"/>
                </w:rPr>
                <w:t>Consent of Independent Registered Public Accounting Firm</w:t>
              </w:r>
            </w:hyperlink>
          </w:p>
        </w:tc>
        <w:tc>
          <w:tcPr>
            <w:tcW w:w="0" w:type="dxa"/>
            <w:vAlign w:val="bottom"/>
          </w:tcPr>
          <w:p>
            <w:pPr>
              <w:spacing w:after="0"/>
              <w:rPr>
                <w:sz w:val="1"/>
                <w:szCs w:val="1"/>
                <w:color w:val="auto"/>
              </w:rPr>
            </w:pPr>
          </w:p>
        </w:tc>
      </w:tr>
      <w:tr>
        <w:trPr>
          <w:trHeight w:val="296"/>
        </w:trPr>
        <w:tc>
          <w:tcPr>
            <w:tcW w:w="1240" w:type="dxa"/>
            <w:vAlign w:val="bottom"/>
          </w:tcPr>
          <w:p>
            <w:pPr>
              <w:ind w:left="100"/>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4"/>
                <w:szCs w:val="24"/>
                <w:color w:val="auto"/>
              </w:rPr>
            </w:pPr>
          </w:p>
        </w:tc>
        <w:tc>
          <w:tcPr>
            <w:tcW w:w="9900" w:type="dxa"/>
            <w:vAlign w:val="bottom"/>
            <w:gridSpan w:val="7"/>
          </w:tcPr>
          <w:p>
            <w:pPr>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Power of Attorney (included on the signature page to this report).</w:t>
              </w:r>
            </w:hyperlink>
          </w:p>
        </w:tc>
        <w:tc>
          <w:tcPr>
            <w:tcW w:w="0" w:type="dxa"/>
            <w:vAlign w:val="bottom"/>
          </w:tcPr>
          <w:p>
            <w:pPr>
              <w:spacing w:after="0"/>
              <w:rPr>
                <w:sz w:val="1"/>
                <w:szCs w:val="1"/>
                <w:color w:val="auto"/>
              </w:rPr>
            </w:pPr>
          </w:p>
        </w:tc>
      </w:tr>
      <w:tr>
        <w:trPr>
          <w:trHeight w:val="296"/>
        </w:trPr>
        <w:tc>
          <w:tcPr>
            <w:tcW w:w="1240" w:type="dxa"/>
            <w:vAlign w:val="bottom"/>
          </w:tcPr>
          <w:p>
            <w:pPr>
              <w:ind w:left="10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9900" w:type="dxa"/>
            <w:vAlign w:val="bottom"/>
            <w:gridSpan w:val="7"/>
          </w:tcPr>
          <w:p>
            <w:pPr>
              <w:spacing w:after="0"/>
              <w:rPr>
                <w:rFonts w:ascii="Arial" w:cs="Arial" w:eastAsia="Arial" w:hAnsi="Arial"/>
                <w:sz w:val="16"/>
                <w:szCs w:val="16"/>
                <w:u w:val="single" w:color="auto"/>
                <w:color w:val="0000EE"/>
              </w:rPr>
            </w:pPr>
            <w:hyperlink w:anchor="page121">
              <w:r>
                <w:rPr>
                  <w:rFonts w:ascii="Arial" w:cs="Arial" w:eastAsia="Arial" w:hAnsi="Arial"/>
                  <w:sz w:val="16"/>
                  <w:szCs w:val="16"/>
                  <w:u w:val="single" w:color="auto"/>
                  <w:color w:val="0000EE"/>
                </w:rPr>
                <w:t>Certification of the Principal Executive Officer pursuant to Rule 13a-14(a) or 15d-14(a) of the Securities Exchange Act of 1934.</w:t>
              </w:r>
            </w:hyperlink>
          </w:p>
        </w:tc>
        <w:tc>
          <w:tcPr>
            <w:tcW w:w="0" w:type="dxa"/>
            <w:vAlign w:val="bottom"/>
          </w:tcPr>
          <w:p>
            <w:pPr>
              <w:spacing w:after="0"/>
              <w:rPr>
                <w:sz w:val="1"/>
                <w:szCs w:val="1"/>
                <w:color w:val="auto"/>
              </w:rPr>
            </w:pPr>
          </w:p>
        </w:tc>
      </w:tr>
      <w:tr>
        <w:trPr>
          <w:trHeight w:val="262"/>
        </w:trPr>
        <w:tc>
          <w:tcPr>
            <w:tcW w:w="1240" w:type="dxa"/>
            <w:vAlign w:val="bottom"/>
          </w:tcPr>
          <w:p>
            <w:pPr>
              <w:ind w:left="10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2"/>
                <w:szCs w:val="22"/>
                <w:color w:val="auto"/>
              </w:rPr>
            </w:pPr>
          </w:p>
        </w:tc>
        <w:tc>
          <w:tcPr>
            <w:tcW w:w="9900" w:type="dxa"/>
            <w:vAlign w:val="bottom"/>
            <w:gridSpan w:val="7"/>
          </w:tcPr>
          <w:p>
            <w:pPr>
              <w:spacing w:after="0"/>
              <w:rPr>
                <w:rFonts w:ascii="Arial" w:cs="Arial" w:eastAsia="Arial" w:hAnsi="Arial"/>
                <w:sz w:val="16"/>
                <w:szCs w:val="16"/>
                <w:color w:val="0000EE"/>
                <w:w w:val="91"/>
              </w:rPr>
            </w:pPr>
            <w:hyperlink w:anchor="page122">
              <w:r>
                <w:rPr>
                  <w:rFonts w:ascii="Arial" w:cs="Arial" w:eastAsia="Arial" w:hAnsi="Arial"/>
                  <w:sz w:val="16"/>
                  <w:szCs w:val="16"/>
                  <w:color w:val="0000EE"/>
                  <w:w w:val="91"/>
                </w:rPr>
                <w:t>Certification of the Principal Financial Officer and Principal Accounting Officer pursuant to Rule 13a-14(a) or 15d-14(a) of the Securities Exchange Act of</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84"/>
              </w:rPr>
            </w:pPr>
            <w:hyperlink w:anchor="page122">
              <w:r>
                <w:rPr>
                  <w:rFonts w:ascii="Arial" w:cs="Arial" w:eastAsia="Arial" w:hAnsi="Arial"/>
                  <w:sz w:val="16"/>
                  <w:szCs w:val="16"/>
                  <w:color w:val="0000EE"/>
                  <w:w w:val="84"/>
                </w:rPr>
                <w:t>1934.</w:t>
              </w:r>
            </w:hyperlink>
          </w:p>
        </w:tc>
        <w:tc>
          <w:tcPr>
            <w:tcW w:w="2920" w:type="dxa"/>
            <w:vAlign w:val="bottom"/>
            <w:tcBorders>
              <w:top w:val="single" w:sz="8" w:color="0000EE"/>
            </w:tcBorders>
          </w:tcPr>
          <w:p>
            <w:pPr>
              <w:spacing w:after="0"/>
              <w:rPr>
                <w:sz w:val="14"/>
                <w:szCs w:val="14"/>
                <w:color w:val="auto"/>
              </w:rPr>
            </w:pPr>
          </w:p>
        </w:tc>
        <w:tc>
          <w:tcPr>
            <w:tcW w:w="2120" w:type="dxa"/>
            <w:vAlign w:val="bottom"/>
            <w:tcBorders>
              <w:top w:val="single" w:sz="8" w:color="0000EE"/>
            </w:tcBorders>
          </w:tcPr>
          <w:p>
            <w:pPr>
              <w:spacing w:after="0"/>
              <w:rPr>
                <w:sz w:val="14"/>
                <w:szCs w:val="14"/>
                <w:color w:val="auto"/>
              </w:rPr>
            </w:pPr>
          </w:p>
        </w:tc>
        <w:tc>
          <w:tcPr>
            <w:tcW w:w="40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240" w:type="dxa"/>
            <w:vAlign w:val="bottom"/>
          </w:tcPr>
          <w:p>
            <w:pPr>
              <w:ind w:left="10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3"/>
                <w:szCs w:val="23"/>
                <w:color w:val="auto"/>
              </w:rPr>
            </w:pPr>
          </w:p>
        </w:tc>
        <w:tc>
          <w:tcPr>
            <w:tcW w:w="9580" w:type="dxa"/>
            <w:vAlign w:val="bottom"/>
            <w:tcBorders>
              <w:bottom w:val="single" w:sz="8" w:color="0000EE"/>
            </w:tcBorders>
            <w:gridSpan w:val="5"/>
          </w:tcPr>
          <w:p>
            <w:pPr>
              <w:spacing w:after="0"/>
              <w:rPr>
                <w:rFonts w:ascii="Arial" w:cs="Arial" w:eastAsia="Arial" w:hAnsi="Arial"/>
                <w:sz w:val="16"/>
                <w:szCs w:val="16"/>
                <w:color w:val="0000EE"/>
                <w:w w:val="90"/>
              </w:rPr>
            </w:pPr>
            <w:hyperlink w:anchor="page123">
              <w:r>
                <w:rPr>
                  <w:rFonts w:ascii="Arial" w:cs="Arial" w:eastAsia="Arial" w:hAnsi="Arial"/>
                  <w:sz w:val="16"/>
                  <w:szCs w:val="16"/>
                  <w:color w:val="0000EE"/>
                  <w:w w:val="90"/>
                </w:rPr>
                <w:t>Certification of Principal Executive Officer and Principal Financial Officer pursuant to Rule 13a-14(b) or 15d-14(b) of the Exchange Act and 18 U.S.C.</w:t>
              </w:r>
            </w:hyperlink>
          </w:p>
        </w:tc>
        <w:tc>
          <w:tcPr>
            <w:tcW w:w="3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0" w:type="dxa"/>
            <w:vAlign w:val="bottom"/>
            <w:tcBorders>
              <w:bottom w:val="single" w:sz="8" w:color="0000EE"/>
            </w:tcBorders>
            <w:gridSpan w:val="3"/>
          </w:tcPr>
          <w:p>
            <w:pPr>
              <w:spacing w:after="0" w:line="169" w:lineRule="exact"/>
              <w:rPr>
                <w:rFonts w:ascii="Arial" w:cs="Arial" w:eastAsia="Arial" w:hAnsi="Arial"/>
                <w:sz w:val="16"/>
                <w:szCs w:val="16"/>
                <w:color w:val="0000EE"/>
                <w:w w:val="88"/>
              </w:rPr>
            </w:pPr>
            <w:hyperlink w:anchor="page123">
              <w:r>
                <w:rPr>
                  <w:rFonts w:ascii="Arial" w:cs="Arial" w:eastAsia="Arial" w:hAnsi="Arial"/>
                  <w:sz w:val="16"/>
                  <w:szCs w:val="16"/>
                  <w:color w:val="0000EE"/>
                  <w:w w:val="88"/>
                </w:rPr>
                <w:t>Section 1350, as adopted pursuant to Section 906 of the Sarbanes-Oxley Act of 2002.</w:t>
              </w:r>
            </w:hyperlink>
          </w:p>
        </w:tc>
        <w:tc>
          <w:tcPr>
            <w:tcW w:w="45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101.INS</w:t>
            </w:r>
          </w:p>
        </w:tc>
        <w:tc>
          <w:tcPr>
            <w:tcW w:w="9900" w:type="dxa"/>
            <w:vAlign w:val="bottom"/>
            <w:gridSpan w:val="7"/>
          </w:tcPr>
          <w:p>
            <w:pPr>
              <w:spacing w:after="0"/>
              <w:rPr>
                <w:sz w:val="20"/>
                <w:szCs w:val="20"/>
                <w:color w:val="auto"/>
              </w:rPr>
            </w:pPr>
            <w:r>
              <w:rPr>
                <w:rFonts w:ascii="Arial" w:cs="Arial" w:eastAsia="Arial" w:hAnsi="Arial"/>
                <w:sz w:val="16"/>
                <w:szCs w:val="16"/>
                <w:color w:val="auto"/>
              </w:rPr>
              <w:t>Inline XBRL Instance Document.</w:t>
            </w:r>
          </w:p>
        </w:tc>
        <w:tc>
          <w:tcPr>
            <w:tcW w:w="0" w:type="dxa"/>
            <w:vAlign w:val="bottom"/>
          </w:tcPr>
          <w:p>
            <w:pPr>
              <w:spacing w:after="0"/>
              <w:rPr>
                <w:sz w:val="1"/>
                <w:szCs w:val="1"/>
                <w:color w:val="auto"/>
              </w:rPr>
            </w:pPr>
          </w:p>
        </w:tc>
      </w:tr>
      <w:tr>
        <w:trPr>
          <w:trHeight w:val="29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101.SCH</w:t>
            </w:r>
          </w:p>
        </w:tc>
        <w:tc>
          <w:tcPr>
            <w:tcW w:w="9900" w:type="dxa"/>
            <w:vAlign w:val="bottom"/>
            <w:gridSpan w:val="7"/>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9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101.CAL</w:t>
            </w:r>
          </w:p>
        </w:tc>
        <w:tc>
          <w:tcPr>
            <w:tcW w:w="9900" w:type="dxa"/>
            <w:vAlign w:val="bottom"/>
            <w:gridSpan w:val="7"/>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9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101.DEF</w:t>
            </w:r>
          </w:p>
        </w:tc>
        <w:tc>
          <w:tcPr>
            <w:tcW w:w="9900" w:type="dxa"/>
            <w:vAlign w:val="bottom"/>
            <w:gridSpan w:val="7"/>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9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101.LAB</w:t>
            </w:r>
          </w:p>
        </w:tc>
        <w:tc>
          <w:tcPr>
            <w:tcW w:w="9900" w:type="dxa"/>
            <w:vAlign w:val="bottom"/>
            <w:gridSpan w:val="7"/>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96"/>
        </w:trPr>
        <w:tc>
          <w:tcPr>
            <w:tcW w:w="1360" w:type="dxa"/>
            <w:vAlign w:val="bottom"/>
            <w:gridSpan w:val="2"/>
          </w:tcPr>
          <w:p>
            <w:pPr>
              <w:ind w:left="100"/>
              <w:spacing w:after="0"/>
              <w:rPr>
                <w:sz w:val="20"/>
                <w:szCs w:val="20"/>
                <w:color w:val="auto"/>
              </w:rPr>
            </w:pPr>
            <w:r>
              <w:rPr>
                <w:rFonts w:ascii="Arial" w:cs="Arial" w:eastAsia="Arial" w:hAnsi="Arial"/>
                <w:sz w:val="16"/>
                <w:szCs w:val="16"/>
                <w:color w:val="auto"/>
              </w:rPr>
              <w:t>101.PRE</w:t>
            </w:r>
          </w:p>
        </w:tc>
        <w:tc>
          <w:tcPr>
            <w:tcW w:w="9900" w:type="dxa"/>
            <w:vAlign w:val="bottom"/>
            <w:gridSpan w:val="7"/>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365" w:hanging="1252"/>
        <w:spacing w:after="0"/>
        <w:tabs>
          <w:tab w:leader="none" w:pos="1365" w:val="left"/>
        </w:tabs>
        <w:numPr>
          <w:ilvl w:val="1"/>
          <w:numId w:val="47"/>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123"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03759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8">
                      <a:extLst>
                        <a:ext uri="{28A0092B-C50C-407E-A947-70E740481C1C}"/>
                      </a:extLst>
                    </a:blip>
                    <a:srcRect/>
                    <a:stretch>
                      <a:fillRect/>
                    </a:stretch>
                  </pic:blipFill>
                  <pic:spPr bwMode="auto">
                    <a:xfrm>
                      <a:off x="0" y="0"/>
                      <a:ext cx="1037590" cy="7620"/>
                    </a:xfrm>
                    <a:prstGeom prst="rect">
                      <a:avLst/>
                    </a:prstGeom>
                    <a:noFill/>
                  </pic:spPr>
                </pic:pic>
              </a:graphicData>
            </a:graphic>
          </wp:anchor>
        </w:drawing>
      </w:r>
    </w:p>
    <w:p>
      <w:pPr>
        <w:ind w:left="585" w:hanging="585"/>
        <w:spacing w:after="0"/>
        <w:tabs>
          <w:tab w:leader="none" w:pos="585" w:val="left"/>
        </w:tabs>
        <w:numPr>
          <w:ilvl w:val="0"/>
          <w:numId w:val="48"/>
        </w:numPr>
        <w:rPr>
          <w:rFonts w:ascii="Arial" w:cs="Arial" w:eastAsia="Arial" w:hAnsi="Arial"/>
          <w:sz w:val="14"/>
          <w:szCs w:val="14"/>
          <w:color w:val="auto"/>
        </w:rPr>
      </w:pPr>
      <w:r>
        <w:rPr>
          <w:rFonts w:ascii="Arial" w:cs="Arial" w:eastAsia="Arial" w:hAnsi="Arial"/>
          <w:sz w:val="14"/>
          <w:szCs w:val="14"/>
          <w:color w:val="auto"/>
        </w:rPr>
        <w:t>Furnished herewith and not deemed to be “filed” for purposes of Section 18 of the Securities Exchange Act of 1934, as amended (the “Exchange Act”), and shall not be</w:t>
      </w:r>
    </w:p>
    <w:p>
      <w:pPr>
        <w:spacing w:after="0" w:line="28" w:lineRule="exact"/>
        <w:rPr>
          <w:sz w:val="20"/>
          <w:szCs w:val="20"/>
          <w:color w:val="auto"/>
        </w:rPr>
      </w:pPr>
    </w:p>
    <w:p>
      <w:pPr>
        <w:ind w:left="585"/>
        <w:spacing w:after="0"/>
        <w:rPr>
          <w:sz w:val="20"/>
          <w:szCs w:val="20"/>
          <w:color w:val="auto"/>
        </w:rPr>
      </w:pPr>
      <w:r>
        <w:rPr>
          <w:rFonts w:ascii="Arial" w:cs="Arial" w:eastAsia="Arial" w:hAnsi="Arial"/>
          <w:sz w:val="16"/>
          <w:szCs w:val="16"/>
          <w:color w:val="auto"/>
        </w:rPr>
        <w:t>deemed to be incorporated by reference into any filing under the Securities Act of 1933, as amended, or the Exchange Act.</w:t>
      </w:r>
    </w:p>
    <w:p>
      <w:pPr>
        <w:spacing w:after="0" w:line="5" w:lineRule="exact"/>
        <w:rPr>
          <w:sz w:val="20"/>
          <w:szCs w:val="20"/>
          <w:color w:val="auto"/>
        </w:rPr>
      </w:pPr>
    </w:p>
    <w:p>
      <w:pPr>
        <w:ind w:left="585" w:hanging="585"/>
        <w:spacing w:after="0"/>
        <w:tabs>
          <w:tab w:leader="none" w:pos="585"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Confidential treatment has been granted for certain portions of this exhibit. These portions have been omitted and filed separately with the SEC.</w:t>
      </w:r>
    </w:p>
    <w:p>
      <w:pPr>
        <w:spacing w:after="0" w:line="27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16. Form 10-K Summary</w:t>
      </w:r>
    </w:p>
    <w:p>
      <w:pPr>
        <w:spacing w:after="0" w:line="104" w:lineRule="exact"/>
        <w:rPr>
          <w:sz w:val="20"/>
          <w:szCs w:val="20"/>
          <w:color w:val="auto"/>
        </w:rPr>
      </w:pPr>
    </w:p>
    <w:p>
      <w:pPr>
        <w:ind w:left="585"/>
        <w:spacing w:after="0"/>
        <w:rPr>
          <w:sz w:val="20"/>
          <w:szCs w:val="20"/>
          <w:color w:val="auto"/>
        </w:rPr>
      </w:pPr>
      <w:r>
        <w:rPr>
          <w:rFonts w:ascii="Arial" w:cs="Arial" w:eastAsia="Arial" w:hAnsi="Arial"/>
          <w:sz w:val="16"/>
          <w:szCs w:val="16"/>
          <w:color w:val="auto"/>
        </w:rPr>
        <w:t>Not applicable.</w:t>
      </w:r>
    </w:p>
    <w:p>
      <w:pPr>
        <w:spacing w:after="0" w:line="19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946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290" w:right="319" w:bottom="144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b w:val="1"/>
          <w:bCs w:val="1"/>
          <w:color w:val="auto"/>
        </w:rPr>
        <w:t>SIGNATURES</w:t>
      </w:r>
    </w:p>
    <w:p>
      <w:pPr>
        <w:spacing w:after="0" w:line="199" w:lineRule="exact"/>
        <w:rPr>
          <w:sz w:val="20"/>
          <w:szCs w:val="20"/>
          <w:color w:val="auto"/>
        </w:rPr>
      </w:pPr>
    </w:p>
    <w:p>
      <w:pPr>
        <w:ind w:right="240" w:firstLine="590"/>
        <w:spacing w:after="0" w:line="268" w:lineRule="auto"/>
        <w:rPr>
          <w:sz w:val="20"/>
          <w:szCs w:val="20"/>
          <w:color w:val="auto"/>
        </w:rPr>
      </w:pPr>
      <w:r>
        <w:rPr>
          <w:rFonts w:ascii="Arial" w:cs="Arial" w:eastAsia="Arial" w:hAnsi="Arial"/>
          <w:sz w:val="16"/>
          <w:szCs w:val="16"/>
          <w:color w:val="auto"/>
        </w:rPr>
        <w:t>Pursuant to the requirements of Section 13 of 15(d)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40" w:type="dxa"/>
            <w:vAlign w:val="bottom"/>
          </w:tcPr>
          <w:p>
            <w:pPr>
              <w:spacing w:after="0"/>
              <w:rPr>
                <w:sz w:val="17"/>
                <w:szCs w:val="17"/>
                <w:color w:val="auto"/>
              </w:rPr>
            </w:pPr>
          </w:p>
        </w:tc>
        <w:tc>
          <w:tcPr>
            <w:tcW w:w="7320" w:type="dxa"/>
            <w:vAlign w:val="bottom"/>
            <w:gridSpan w:val="2"/>
          </w:tcPr>
          <w:p>
            <w:pPr>
              <w:ind w:left="2580"/>
              <w:spacing w:after="0"/>
              <w:rPr>
                <w:sz w:val="20"/>
                <w:szCs w:val="20"/>
                <w:color w:val="auto"/>
              </w:rPr>
            </w:pPr>
            <w:r>
              <w:rPr>
                <w:rFonts w:ascii="Arial" w:cs="Arial" w:eastAsia="Arial" w:hAnsi="Arial"/>
                <w:sz w:val="16"/>
                <w:szCs w:val="16"/>
                <w:b w:val="1"/>
                <w:bCs w:val="1"/>
                <w:color w:val="auto"/>
              </w:rPr>
              <w:t>SYNDAX PHARMACEUTICALS, INC.</w:t>
            </w:r>
          </w:p>
        </w:tc>
      </w:tr>
      <w:tr>
        <w:trPr>
          <w:trHeight w:val="380"/>
        </w:trPr>
        <w:tc>
          <w:tcPr>
            <w:tcW w:w="3940" w:type="dxa"/>
            <w:vAlign w:val="bottom"/>
          </w:tcPr>
          <w:p>
            <w:pPr>
              <w:spacing w:after="0"/>
              <w:rPr>
                <w:sz w:val="20"/>
                <w:szCs w:val="20"/>
                <w:color w:val="auto"/>
              </w:rPr>
            </w:pPr>
            <w:r>
              <w:rPr>
                <w:rFonts w:ascii="Arial" w:cs="Arial" w:eastAsia="Arial" w:hAnsi="Arial"/>
                <w:sz w:val="16"/>
                <w:szCs w:val="16"/>
                <w:color w:val="auto"/>
              </w:rPr>
              <w:t>Date: March 11, 2021</w:t>
            </w:r>
          </w:p>
        </w:tc>
        <w:tc>
          <w:tcPr>
            <w:tcW w:w="7320" w:type="dxa"/>
            <w:vAlign w:val="bottom"/>
            <w:gridSpan w:val="2"/>
          </w:tcPr>
          <w:p>
            <w:pPr>
              <w:ind w:left="2580"/>
              <w:spacing w:after="0"/>
              <w:rPr>
                <w:sz w:val="20"/>
                <w:szCs w:val="20"/>
                <w:color w:val="auto"/>
              </w:rPr>
            </w:pPr>
            <w:r>
              <w:rPr>
                <w:rFonts w:ascii="Arial" w:cs="Arial" w:eastAsia="Arial" w:hAnsi="Arial"/>
                <w:sz w:val="16"/>
                <w:szCs w:val="16"/>
                <w:color w:val="auto"/>
              </w:rPr>
              <w:t>By:/s/  Briggs W. Morrison, M.D.</w:t>
            </w:r>
          </w:p>
        </w:tc>
      </w:tr>
      <w:tr>
        <w:trPr>
          <w:trHeight w:val="169"/>
        </w:trPr>
        <w:tc>
          <w:tcPr>
            <w:tcW w:w="39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500" w:type="dxa"/>
            <w:vAlign w:val="bottom"/>
            <w:tcBorders>
              <w:top w:val="single" w:sz="8" w:color="auto"/>
            </w:tcBorders>
          </w:tcPr>
          <w:p>
            <w:pPr>
              <w:spacing w:after="0" w:line="169" w:lineRule="exact"/>
              <w:rPr>
                <w:sz w:val="20"/>
                <w:szCs w:val="20"/>
                <w:color w:val="auto"/>
              </w:rPr>
            </w:pPr>
            <w:r>
              <w:rPr>
                <w:rFonts w:ascii="Arial" w:cs="Arial" w:eastAsia="Arial" w:hAnsi="Arial"/>
                <w:sz w:val="16"/>
                <w:szCs w:val="16"/>
                <w:color w:val="auto"/>
              </w:rPr>
              <w:t>Briggs W. Morrison, M.D.</w:t>
            </w:r>
          </w:p>
        </w:tc>
      </w:tr>
      <w:tr>
        <w:trPr>
          <w:trHeight w:val="201"/>
        </w:trPr>
        <w:tc>
          <w:tcPr>
            <w:tcW w:w="39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i w:val="1"/>
                <w:iCs w:val="1"/>
                <w:color w:val="auto"/>
              </w:rPr>
              <w:t>Chief Executive Officer</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199" w:lineRule="exact"/>
        <w:rPr>
          <w:sz w:val="20"/>
          <w:szCs w:val="20"/>
          <w:color w:val="auto"/>
        </w:rPr>
      </w:pPr>
    </w:p>
    <w:p>
      <w:pPr>
        <w:ind w:right="180" w:firstLine="590"/>
        <w:spacing w:after="0" w:line="271" w:lineRule="auto"/>
        <w:rPr>
          <w:sz w:val="20"/>
          <w:szCs w:val="20"/>
          <w:color w:val="auto"/>
        </w:rPr>
      </w:pPr>
      <w:r>
        <w:rPr>
          <w:rFonts w:ascii="Arial" w:cs="Arial" w:eastAsia="Arial" w:hAnsi="Arial"/>
          <w:sz w:val="15"/>
          <w:szCs w:val="15"/>
          <w:color w:val="auto"/>
        </w:rPr>
        <w:t>Each person whose individual signature appears below hereby authorizes and appoints Briggs W. Morrison, M.D. and Luke J. Albrecht,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57" w:lineRule="exact"/>
        <w:rPr>
          <w:sz w:val="20"/>
          <w:szCs w:val="20"/>
          <w:color w:val="auto"/>
        </w:rPr>
      </w:pPr>
    </w:p>
    <w:p>
      <w:pPr>
        <w:ind w:right="220" w:firstLine="590"/>
        <w:spacing w:after="0" w:line="268"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60"/>
          </w:cols>
          <w:pgMar w:left="320" w:top="513" w:right="319" w:bottom="1440" w:gutter="0" w:footer="0" w:header="0"/>
        </w:sectPr>
      </w:pPr>
    </w:p>
    <w:p>
      <w:pPr>
        <w:spacing w:after="0" w:line="162" w:lineRule="exact"/>
        <w:rPr>
          <w:sz w:val="20"/>
          <w:szCs w:val="20"/>
          <w:color w:val="auto"/>
        </w:rPr>
      </w:pPr>
    </w:p>
    <w:p>
      <w:pPr>
        <w:jc w:val="center"/>
        <w:ind w:left="520"/>
        <w:spacing w:after="0"/>
        <w:rPr>
          <w:sz w:val="20"/>
          <w:szCs w:val="20"/>
          <w:color w:val="auto"/>
        </w:rPr>
      </w:pP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304482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0">
                      <a:extLst>
                        <a:ext uri="{28A0092B-C50C-407E-A947-70E740481C1C}"/>
                      </a:extLst>
                    </a:blip>
                    <a:srcRect/>
                    <a:stretch>
                      <a:fillRect/>
                    </a:stretch>
                  </pic:blipFill>
                  <pic:spPr bwMode="auto">
                    <a:xfrm>
                      <a:off x="0" y="0"/>
                      <a:ext cx="3044825" cy="7620"/>
                    </a:xfrm>
                    <a:prstGeom prst="rect">
                      <a:avLst/>
                    </a:prstGeom>
                    <a:noFill/>
                  </pic:spPr>
                </pic:pic>
              </a:graphicData>
            </a:graphic>
          </wp:anchor>
        </w:drawing>
      </w:r>
    </w:p>
    <w:p>
      <w:pPr>
        <w:spacing w:after="0" w:line="63" w:lineRule="exact"/>
        <w:rPr>
          <w:sz w:val="20"/>
          <w:szCs w:val="20"/>
          <w:color w:val="auto"/>
        </w:rPr>
      </w:pPr>
    </w:p>
    <w:p>
      <w:pPr>
        <w:jc w:val="center"/>
        <w:ind w:left="520"/>
        <w:spacing w:after="0"/>
        <w:rPr>
          <w:sz w:val="20"/>
          <w:szCs w:val="20"/>
          <w:color w:val="auto"/>
        </w:rPr>
      </w:pPr>
      <w:r>
        <w:rPr>
          <w:rFonts w:ascii="Arial" w:cs="Arial" w:eastAsia="Arial" w:hAnsi="Arial"/>
          <w:sz w:val="14"/>
          <w:szCs w:val="14"/>
          <w:color w:val="auto"/>
        </w:rPr>
        <w:t>/s/ Briggs W. Morrison, M.D.</w:t>
      </w:r>
    </w:p>
    <w:p>
      <w:pPr>
        <w:spacing w:after="0" w:line="40"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304482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1">
                      <a:extLst>
                        <a:ext uri="{28A0092B-C50C-407E-A947-70E740481C1C}"/>
                      </a:extLst>
                    </a:blip>
                    <a:srcRect/>
                    <a:stretch>
                      <a:fillRect/>
                    </a:stretch>
                  </pic:blipFill>
                  <pic:spPr bwMode="auto">
                    <a:xfrm>
                      <a:off x="0" y="0"/>
                      <a:ext cx="3044825" cy="7620"/>
                    </a:xfrm>
                    <a:prstGeom prst="rect">
                      <a:avLst/>
                    </a:prstGeom>
                    <a:noFill/>
                  </pic:spPr>
                </pic:pic>
              </a:graphicData>
            </a:graphic>
          </wp:anchor>
        </w:drawing>
      </w:r>
    </w:p>
    <w:p>
      <w:pPr>
        <w:spacing w:after="0" w:line="175"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/s/ Daphne Karydas</w:t>
      </w:r>
    </w:p>
    <w:p>
      <w:pPr>
        <w:spacing w:after="0" w:line="17"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Daphne Karydas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304482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2">
                      <a:extLst>
                        <a:ext uri="{28A0092B-C50C-407E-A947-70E740481C1C}"/>
                      </a:extLst>
                    </a:blip>
                    <a:srcRect/>
                    <a:stretch>
                      <a:fillRect/>
                    </a:stretch>
                  </pic:blipFill>
                  <pic:spPr bwMode="auto">
                    <a:xfrm>
                      <a:off x="0" y="0"/>
                      <a:ext cx="3044825" cy="7620"/>
                    </a:xfrm>
                    <a:prstGeom prst="rect">
                      <a:avLst/>
                    </a:prstGeom>
                    <a:noFill/>
                  </pic:spPr>
                </pic:pic>
              </a:graphicData>
            </a:graphic>
          </wp:anchor>
        </w:drawing>
      </w:r>
    </w:p>
    <w:p>
      <w:pPr>
        <w:spacing w:after="0" w:line="187"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/s/ Michael A. Metzger</w:t>
      </w:r>
    </w:p>
    <w:p>
      <w:pPr>
        <w:spacing w:after="0" w:line="17"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304482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3">
                      <a:extLst>
                        <a:ext uri="{28A0092B-C50C-407E-A947-70E740481C1C}"/>
                      </a:extLst>
                    </a:blip>
                    <a:srcRect/>
                    <a:stretch>
                      <a:fillRect/>
                    </a:stretch>
                  </pic:blipFill>
                  <pic:spPr bwMode="auto">
                    <a:xfrm>
                      <a:off x="0" y="0"/>
                      <a:ext cx="3044825" cy="7620"/>
                    </a:xfrm>
                    <a:prstGeom prst="rect">
                      <a:avLst/>
                    </a:prstGeom>
                    <a:noFill/>
                  </pic:spPr>
                </pic:pic>
              </a:graphicData>
            </a:graphic>
          </wp:anchor>
        </w:drawing>
      </w:r>
    </w:p>
    <w:p>
      <w:pPr>
        <w:spacing w:after="0" w:line="92"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/s/ Dennis G. Podlesak</w:t>
      </w:r>
    </w:p>
    <w:p>
      <w:pPr>
        <w:spacing w:after="0" w:line="17"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Dennis G. Podlesak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304482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4">
                      <a:extLst>
                        <a:ext uri="{28A0092B-C50C-407E-A947-70E740481C1C}"/>
                      </a:extLst>
                    </a:blip>
                    <a:srcRect/>
                    <a:stretch>
                      <a:fillRect/>
                    </a:stretch>
                  </pic:blipFill>
                  <pic:spPr bwMode="auto">
                    <a:xfrm>
                      <a:off x="0" y="0"/>
                      <a:ext cx="3044825" cy="7620"/>
                    </a:xfrm>
                    <a:prstGeom prst="rect">
                      <a:avLst/>
                    </a:prstGeom>
                    <a:noFill/>
                  </pic:spPr>
                </pic:pic>
              </a:graphicData>
            </a:graphic>
          </wp:anchor>
        </w:drawing>
      </w:r>
    </w:p>
    <w:p>
      <w:pPr>
        <w:spacing w:after="0" w:line="92"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/s/ Pierre Legault</w:t>
      </w:r>
    </w:p>
    <w:p>
      <w:pPr>
        <w:spacing w:after="0" w:line="17"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Pierre Legault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304482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5">
                      <a:extLst>
                        <a:ext uri="{28A0092B-C50C-407E-A947-70E740481C1C}"/>
                      </a:extLst>
                    </a:blip>
                    <a:srcRect/>
                    <a:stretch>
                      <a:fillRect/>
                    </a:stretch>
                  </pic:blipFill>
                  <pic:spPr bwMode="auto">
                    <a:xfrm>
                      <a:off x="0" y="0"/>
                      <a:ext cx="30448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3920" w:type="dxa"/>
            <w:vAlign w:val="bottom"/>
            <w:tcBorders>
              <w:bottom w:val="single" w:sz="8" w:color="auto"/>
            </w:tcBorders>
          </w:tcPr>
          <w:p>
            <w:pPr>
              <w:ind w:left="1880"/>
              <w:spacing w:after="0"/>
              <w:rPr>
                <w:sz w:val="20"/>
                <w:szCs w:val="20"/>
                <w:color w:val="auto"/>
              </w:rPr>
            </w:pPr>
            <w:r>
              <w:rPr>
                <w:rFonts w:ascii="Arial" w:cs="Arial" w:eastAsia="Arial" w:hAnsi="Arial"/>
                <w:sz w:val="13"/>
                <w:szCs w:val="13"/>
                <w:b w:val="1"/>
                <w:bCs w:val="1"/>
                <w:color w:val="auto"/>
              </w:rPr>
              <w:t>Title</w:t>
            </w:r>
          </w:p>
        </w:tc>
        <w:tc>
          <w:tcPr>
            <w:tcW w:w="100" w:type="dxa"/>
            <w:vAlign w:val="bottom"/>
          </w:tcPr>
          <w:p>
            <w:pPr>
              <w:spacing w:after="0"/>
              <w:rPr>
                <w:sz w:val="13"/>
                <w:szCs w:val="13"/>
                <w:color w:val="auto"/>
              </w:rPr>
            </w:pPr>
          </w:p>
        </w:tc>
        <w:tc>
          <w:tcPr>
            <w:tcW w:w="226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Date</w:t>
            </w:r>
          </w:p>
        </w:tc>
      </w:tr>
      <w:tr>
        <w:trPr>
          <w:trHeight w:val="252"/>
        </w:trPr>
        <w:tc>
          <w:tcPr>
            <w:tcW w:w="40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Chief Executive Officer and Director</w:t>
            </w:r>
          </w:p>
        </w:tc>
        <w:tc>
          <w:tcPr>
            <w:tcW w:w="2260" w:type="dxa"/>
            <w:vAlign w:val="bottom"/>
          </w:tcPr>
          <w:p>
            <w:pPr>
              <w:ind w:left="620"/>
              <w:spacing w:after="0"/>
              <w:rPr>
                <w:sz w:val="20"/>
                <w:szCs w:val="20"/>
                <w:color w:val="auto"/>
              </w:rPr>
            </w:pPr>
            <w:r>
              <w:rPr>
                <w:rFonts w:ascii="Arial" w:cs="Arial" w:eastAsia="Arial" w:hAnsi="Arial"/>
                <w:sz w:val="16"/>
                <w:szCs w:val="16"/>
                <w:color w:val="auto"/>
              </w:rPr>
              <w:t>March 11, 2021</w:t>
            </w:r>
          </w:p>
        </w:tc>
      </w:tr>
      <w:tr>
        <w:trPr>
          <w:trHeight w:val="201"/>
        </w:trPr>
        <w:tc>
          <w:tcPr>
            <w:tcW w:w="40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(Principal Executive Officer)</w:t>
            </w:r>
          </w:p>
        </w:tc>
        <w:tc>
          <w:tcPr>
            <w:tcW w:w="2260" w:type="dxa"/>
            <w:vAlign w:val="bottom"/>
          </w:tcPr>
          <w:p>
            <w:pPr>
              <w:spacing w:after="0"/>
              <w:rPr>
                <w:sz w:val="17"/>
                <w:szCs w:val="17"/>
                <w:color w:val="auto"/>
              </w:rPr>
            </w:pPr>
          </w:p>
        </w:tc>
      </w:tr>
      <w:tr>
        <w:trPr>
          <w:trHeight w:val="297"/>
        </w:trPr>
        <w:tc>
          <w:tcPr>
            <w:tcW w:w="40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Chief Financial Officer and Treasurer</w:t>
            </w:r>
          </w:p>
        </w:tc>
        <w:tc>
          <w:tcPr>
            <w:tcW w:w="2260" w:type="dxa"/>
            <w:vAlign w:val="bottom"/>
          </w:tcPr>
          <w:p>
            <w:pPr>
              <w:ind w:left="620"/>
              <w:spacing w:after="0"/>
              <w:rPr>
                <w:sz w:val="20"/>
                <w:szCs w:val="20"/>
                <w:color w:val="auto"/>
              </w:rPr>
            </w:pPr>
            <w:r>
              <w:rPr>
                <w:rFonts w:ascii="Arial" w:cs="Arial" w:eastAsia="Arial" w:hAnsi="Arial"/>
                <w:sz w:val="16"/>
                <w:szCs w:val="16"/>
                <w:color w:val="auto"/>
              </w:rPr>
              <w:t>March 11, 2021</w:t>
            </w:r>
          </w:p>
        </w:tc>
      </w:tr>
      <w:tr>
        <w:trPr>
          <w:trHeight w:val="189"/>
        </w:trPr>
        <w:tc>
          <w:tcPr>
            <w:tcW w:w="40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(Principal Financial Officer and</w:t>
            </w:r>
          </w:p>
        </w:tc>
        <w:tc>
          <w:tcPr>
            <w:tcW w:w="2260" w:type="dxa"/>
            <w:vAlign w:val="bottom"/>
          </w:tcPr>
          <w:p>
            <w:pPr>
              <w:spacing w:after="0"/>
              <w:rPr>
                <w:sz w:val="16"/>
                <w:szCs w:val="16"/>
                <w:color w:val="auto"/>
              </w:rPr>
            </w:pPr>
          </w:p>
        </w:tc>
      </w:tr>
      <w:tr>
        <w:trPr>
          <w:trHeight w:val="201"/>
        </w:trPr>
        <w:tc>
          <w:tcPr>
            <w:tcW w:w="40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Principal Accounting Officer)</w:t>
            </w:r>
          </w:p>
        </w:tc>
        <w:tc>
          <w:tcPr>
            <w:tcW w:w="2260" w:type="dxa"/>
            <w:vAlign w:val="bottom"/>
          </w:tcPr>
          <w:p>
            <w:pPr>
              <w:spacing w:after="0"/>
              <w:rPr>
                <w:sz w:val="17"/>
                <w:szCs w:val="17"/>
                <w:color w:val="auto"/>
              </w:rPr>
            </w:pPr>
          </w:p>
        </w:tc>
      </w:tr>
      <w:tr>
        <w:trPr>
          <w:trHeight w:val="296"/>
        </w:trPr>
        <w:tc>
          <w:tcPr>
            <w:tcW w:w="40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Chief Operating Officer and Director</w:t>
            </w:r>
          </w:p>
        </w:tc>
        <w:tc>
          <w:tcPr>
            <w:tcW w:w="2260" w:type="dxa"/>
            <w:vAlign w:val="bottom"/>
          </w:tcPr>
          <w:p>
            <w:pPr>
              <w:ind w:left="620"/>
              <w:spacing w:after="0"/>
              <w:rPr>
                <w:sz w:val="20"/>
                <w:szCs w:val="20"/>
                <w:color w:val="auto"/>
              </w:rPr>
            </w:pPr>
            <w:r>
              <w:rPr>
                <w:rFonts w:ascii="Arial" w:cs="Arial" w:eastAsia="Arial" w:hAnsi="Arial"/>
                <w:sz w:val="16"/>
                <w:szCs w:val="16"/>
                <w:color w:val="auto"/>
              </w:rPr>
              <w:t>March 11, 2021</w:t>
            </w:r>
          </w:p>
        </w:tc>
      </w:tr>
      <w:tr>
        <w:trPr>
          <w:trHeight w:val="497"/>
        </w:trPr>
        <w:tc>
          <w:tcPr>
            <w:tcW w:w="40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Chairman of the Board of Directors</w:t>
            </w:r>
          </w:p>
        </w:tc>
        <w:tc>
          <w:tcPr>
            <w:tcW w:w="2260" w:type="dxa"/>
            <w:vAlign w:val="bottom"/>
          </w:tcPr>
          <w:p>
            <w:pPr>
              <w:ind w:left="620"/>
              <w:spacing w:after="0"/>
              <w:rPr>
                <w:sz w:val="20"/>
                <w:szCs w:val="20"/>
                <w:color w:val="auto"/>
              </w:rPr>
            </w:pPr>
            <w:r>
              <w:rPr>
                <w:rFonts w:ascii="Arial" w:cs="Arial" w:eastAsia="Arial" w:hAnsi="Arial"/>
                <w:sz w:val="16"/>
                <w:szCs w:val="16"/>
                <w:color w:val="auto"/>
              </w:rPr>
              <w:t>March 11, 2021</w:t>
            </w:r>
          </w:p>
        </w:tc>
      </w:tr>
      <w:tr>
        <w:trPr>
          <w:trHeight w:val="497"/>
        </w:trPr>
        <w:tc>
          <w:tcPr>
            <w:tcW w:w="40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Director</w:t>
            </w:r>
          </w:p>
        </w:tc>
        <w:tc>
          <w:tcPr>
            <w:tcW w:w="2260" w:type="dxa"/>
            <w:vAlign w:val="bottom"/>
          </w:tcPr>
          <w:p>
            <w:pPr>
              <w:ind w:left="620"/>
              <w:spacing w:after="0"/>
              <w:rPr>
                <w:sz w:val="20"/>
                <w:szCs w:val="20"/>
                <w:color w:val="auto"/>
              </w:rPr>
            </w:pPr>
            <w:r>
              <w:rPr>
                <w:rFonts w:ascii="Arial" w:cs="Arial" w:eastAsia="Arial" w:hAnsi="Arial"/>
                <w:sz w:val="16"/>
                <w:szCs w:val="16"/>
                <w:color w:val="auto"/>
              </w:rPr>
              <w:t>March 11, 2021</w:t>
            </w:r>
          </w:p>
        </w:tc>
      </w:tr>
    </w:tbl>
    <w:p>
      <w:pPr>
        <w:spacing w:after="0" w:line="320" w:lineRule="exact"/>
        <w:rPr>
          <w:sz w:val="20"/>
          <w:szCs w:val="20"/>
          <w:color w:val="auto"/>
        </w:rPr>
      </w:pPr>
    </w:p>
    <w:p>
      <w:pPr>
        <w:sectPr>
          <w:pgSz w:w="11900" w:h="16838" w:orient="portrait"/>
          <w:cols w:equalWidth="0" w:num="2">
            <w:col w:w="4260" w:space="720"/>
            <w:col w:w="6280"/>
          </w:cols>
          <w:pgMar w:left="320" w:top="513" w:right="31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/s/ Fabrice Egros, PharmD, Ph.D.</w:t>
            </w:r>
          </w:p>
        </w:tc>
        <w:tc>
          <w:tcPr>
            <w:tcW w:w="3640" w:type="dxa"/>
            <w:vAlign w:val="bottom"/>
          </w:tcPr>
          <w:p>
            <w:pPr>
              <w:ind w:left="1900"/>
              <w:spacing w:after="0"/>
              <w:rPr>
                <w:sz w:val="20"/>
                <w:szCs w:val="20"/>
                <w:color w:val="auto"/>
              </w:rPr>
            </w:pPr>
            <w:r>
              <w:rPr>
                <w:rFonts w:ascii="Arial" w:cs="Arial" w:eastAsia="Arial" w:hAnsi="Arial"/>
                <w:sz w:val="16"/>
                <w:szCs w:val="16"/>
                <w:color w:val="auto"/>
              </w:rPr>
              <w:t>Director</w:t>
            </w:r>
          </w:p>
        </w:tc>
        <w:tc>
          <w:tcPr>
            <w:tcW w:w="2840" w:type="dxa"/>
            <w:vAlign w:val="bottom"/>
          </w:tcPr>
          <w:p>
            <w:pPr>
              <w:ind w:left="1200"/>
              <w:spacing w:after="0"/>
              <w:rPr>
                <w:sz w:val="20"/>
                <w:szCs w:val="20"/>
                <w:color w:val="auto"/>
              </w:rPr>
            </w:pPr>
            <w:r>
              <w:rPr>
                <w:rFonts w:ascii="Arial" w:cs="Arial" w:eastAsia="Arial" w:hAnsi="Arial"/>
                <w:sz w:val="16"/>
                <w:szCs w:val="16"/>
                <w:color w:val="auto"/>
              </w:rPr>
              <w:t>March 11, 2021</w:t>
            </w:r>
          </w:p>
        </w:tc>
      </w:tr>
      <w:tr>
        <w:trPr>
          <w:trHeight w:val="193"/>
        </w:trPr>
        <w:tc>
          <w:tcPr>
            <w:tcW w:w="4780" w:type="dxa"/>
            <w:vAlign w:val="bottom"/>
          </w:tcPr>
          <w:p>
            <w:pPr>
              <w:jc w:val="center"/>
              <w:spacing w:after="0"/>
              <w:rPr>
                <w:sz w:val="20"/>
                <w:szCs w:val="20"/>
                <w:color w:val="auto"/>
              </w:rPr>
            </w:pPr>
            <w:r>
              <w:rPr>
                <w:rFonts w:ascii="Arial" w:cs="Arial" w:eastAsia="Arial" w:hAnsi="Arial"/>
                <w:sz w:val="16"/>
                <w:szCs w:val="16"/>
                <w:color w:val="auto"/>
                <w:w w:val="88"/>
              </w:rPr>
              <w:t>Fabrice Egros, PharmD, Ph.D.</w:t>
            </w:r>
          </w:p>
        </w:tc>
        <w:tc>
          <w:tcPr>
            <w:tcW w:w="364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308"/>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Keith A. Katkin</w:t>
            </w:r>
          </w:p>
        </w:tc>
        <w:tc>
          <w:tcPr>
            <w:tcW w:w="3640" w:type="dxa"/>
            <w:vAlign w:val="bottom"/>
          </w:tcPr>
          <w:p>
            <w:pPr>
              <w:ind w:left="1900"/>
              <w:spacing w:after="0"/>
              <w:rPr>
                <w:sz w:val="20"/>
                <w:szCs w:val="20"/>
                <w:color w:val="auto"/>
              </w:rPr>
            </w:pPr>
            <w:r>
              <w:rPr>
                <w:rFonts w:ascii="Arial" w:cs="Arial" w:eastAsia="Arial" w:hAnsi="Arial"/>
                <w:sz w:val="16"/>
                <w:szCs w:val="16"/>
                <w:color w:val="auto"/>
              </w:rPr>
              <w:t>Director</w:t>
            </w:r>
          </w:p>
        </w:tc>
        <w:tc>
          <w:tcPr>
            <w:tcW w:w="2840" w:type="dxa"/>
            <w:vAlign w:val="bottom"/>
          </w:tcPr>
          <w:p>
            <w:pPr>
              <w:ind w:left="1200"/>
              <w:spacing w:after="0"/>
              <w:rPr>
                <w:sz w:val="20"/>
                <w:szCs w:val="20"/>
                <w:color w:val="auto"/>
              </w:rPr>
            </w:pPr>
            <w:r>
              <w:rPr>
                <w:rFonts w:ascii="Arial" w:cs="Arial" w:eastAsia="Arial" w:hAnsi="Arial"/>
                <w:sz w:val="16"/>
                <w:szCs w:val="16"/>
                <w:color w:val="auto"/>
              </w:rPr>
              <w:t>March 11, 2021</w:t>
            </w:r>
          </w:p>
        </w:tc>
      </w:tr>
      <w:tr>
        <w:trPr>
          <w:trHeight w:val="193"/>
        </w:trPr>
        <w:tc>
          <w:tcPr>
            <w:tcW w:w="4780" w:type="dxa"/>
            <w:vAlign w:val="bottom"/>
          </w:tcPr>
          <w:p>
            <w:pPr>
              <w:jc w:val="center"/>
              <w:spacing w:after="0"/>
              <w:rPr>
                <w:sz w:val="20"/>
                <w:szCs w:val="20"/>
                <w:color w:val="auto"/>
              </w:rPr>
            </w:pPr>
            <w:r>
              <w:rPr>
                <w:rFonts w:ascii="Arial" w:cs="Arial" w:eastAsia="Arial" w:hAnsi="Arial"/>
                <w:sz w:val="16"/>
                <w:szCs w:val="16"/>
                <w:color w:val="auto"/>
                <w:w w:val="97"/>
              </w:rPr>
              <w:t>Keith A. Katkin</w:t>
            </w:r>
          </w:p>
        </w:tc>
        <w:tc>
          <w:tcPr>
            <w:tcW w:w="364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308"/>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/s/ Jennifer Jarrett</w:t>
            </w:r>
          </w:p>
        </w:tc>
        <w:tc>
          <w:tcPr>
            <w:tcW w:w="3640" w:type="dxa"/>
            <w:vAlign w:val="bottom"/>
          </w:tcPr>
          <w:p>
            <w:pPr>
              <w:ind w:left="1900"/>
              <w:spacing w:after="0"/>
              <w:rPr>
                <w:sz w:val="20"/>
                <w:szCs w:val="20"/>
                <w:color w:val="auto"/>
              </w:rPr>
            </w:pPr>
            <w:r>
              <w:rPr>
                <w:rFonts w:ascii="Arial" w:cs="Arial" w:eastAsia="Arial" w:hAnsi="Arial"/>
                <w:sz w:val="16"/>
                <w:szCs w:val="16"/>
                <w:color w:val="auto"/>
              </w:rPr>
              <w:t>Director</w:t>
            </w:r>
          </w:p>
        </w:tc>
        <w:tc>
          <w:tcPr>
            <w:tcW w:w="2840" w:type="dxa"/>
            <w:vAlign w:val="bottom"/>
          </w:tcPr>
          <w:p>
            <w:pPr>
              <w:ind w:left="1200"/>
              <w:spacing w:after="0"/>
              <w:rPr>
                <w:sz w:val="20"/>
                <w:szCs w:val="20"/>
                <w:color w:val="auto"/>
              </w:rPr>
            </w:pPr>
            <w:r>
              <w:rPr>
                <w:rFonts w:ascii="Arial" w:cs="Arial" w:eastAsia="Arial" w:hAnsi="Arial"/>
                <w:sz w:val="16"/>
                <w:szCs w:val="16"/>
                <w:color w:val="auto"/>
              </w:rPr>
              <w:t>March 11, 2021</w:t>
            </w:r>
          </w:p>
        </w:tc>
      </w:tr>
      <w:tr>
        <w:trPr>
          <w:trHeight w:val="193"/>
        </w:trPr>
        <w:tc>
          <w:tcPr>
            <w:tcW w:w="4780" w:type="dxa"/>
            <w:vAlign w:val="bottom"/>
          </w:tcPr>
          <w:p>
            <w:pPr>
              <w:jc w:val="center"/>
              <w:spacing w:after="0"/>
              <w:rPr>
                <w:sz w:val="20"/>
                <w:szCs w:val="20"/>
                <w:color w:val="auto"/>
              </w:rPr>
            </w:pPr>
            <w:r>
              <w:rPr>
                <w:rFonts w:ascii="Arial" w:cs="Arial" w:eastAsia="Arial" w:hAnsi="Arial"/>
                <w:sz w:val="16"/>
                <w:szCs w:val="16"/>
                <w:color w:val="auto"/>
                <w:w w:val="88"/>
              </w:rPr>
              <w:t>Jennifer Jarrett</w:t>
            </w:r>
          </w:p>
        </w:tc>
        <w:tc>
          <w:tcPr>
            <w:tcW w:w="364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308"/>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William Meury</w:t>
            </w:r>
          </w:p>
        </w:tc>
        <w:tc>
          <w:tcPr>
            <w:tcW w:w="3640" w:type="dxa"/>
            <w:vAlign w:val="bottom"/>
          </w:tcPr>
          <w:p>
            <w:pPr>
              <w:ind w:left="1900"/>
              <w:spacing w:after="0"/>
              <w:rPr>
                <w:sz w:val="20"/>
                <w:szCs w:val="20"/>
                <w:color w:val="auto"/>
              </w:rPr>
            </w:pPr>
            <w:r>
              <w:rPr>
                <w:rFonts w:ascii="Arial" w:cs="Arial" w:eastAsia="Arial" w:hAnsi="Arial"/>
                <w:sz w:val="16"/>
                <w:szCs w:val="16"/>
                <w:color w:val="auto"/>
              </w:rPr>
              <w:t>Director</w:t>
            </w:r>
          </w:p>
        </w:tc>
        <w:tc>
          <w:tcPr>
            <w:tcW w:w="2840" w:type="dxa"/>
            <w:vAlign w:val="bottom"/>
          </w:tcPr>
          <w:p>
            <w:pPr>
              <w:ind w:left="1200"/>
              <w:spacing w:after="0"/>
              <w:rPr>
                <w:sz w:val="20"/>
                <w:szCs w:val="20"/>
                <w:color w:val="auto"/>
              </w:rPr>
            </w:pPr>
            <w:r>
              <w:rPr>
                <w:rFonts w:ascii="Arial" w:cs="Arial" w:eastAsia="Arial" w:hAnsi="Arial"/>
                <w:sz w:val="16"/>
                <w:szCs w:val="16"/>
                <w:color w:val="auto"/>
              </w:rPr>
              <w:t>March 11, 2021</w:t>
            </w:r>
          </w:p>
        </w:tc>
      </w:tr>
      <w:tr>
        <w:trPr>
          <w:trHeight w:val="193"/>
        </w:trPr>
        <w:tc>
          <w:tcPr>
            <w:tcW w:w="4780" w:type="dxa"/>
            <w:vAlign w:val="bottom"/>
          </w:tcPr>
          <w:p>
            <w:pPr>
              <w:jc w:val="center"/>
              <w:spacing w:after="0"/>
              <w:rPr>
                <w:sz w:val="20"/>
                <w:szCs w:val="20"/>
                <w:color w:val="auto"/>
              </w:rPr>
            </w:pPr>
            <w:r>
              <w:rPr>
                <w:rFonts w:ascii="Arial" w:cs="Arial" w:eastAsia="Arial" w:hAnsi="Arial"/>
                <w:sz w:val="16"/>
                <w:szCs w:val="16"/>
                <w:color w:val="auto"/>
                <w:w w:val="97"/>
              </w:rPr>
              <w:t>William Meury</w:t>
            </w:r>
          </w:p>
        </w:tc>
        <w:tc>
          <w:tcPr>
            <w:tcW w:w="364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639"/>
        </w:trPr>
        <w:tc>
          <w:tcPr>
            <w:tcW w:w="4780" w:type="dxa"/>
            <w:vAlign w:val="bottom"/>
          </w:tcPr>
          <w:p>
            <w:pPr>
              <w:spacing w:after="0"/>
              <w:rPr>
                <w:sz w:val="24"/>
                <w:szCs w:val="24"/>
                <w:color w:val="auto"/>
              </w:rPr>
            </w:pPr>
          </w:p>
        </w:tc>
        <w:tc>
          <w:tcPr>
            <w:tcW w:w="3640" w:type="dxa"/>
            <w:vAlign w:val="bottom"/>
          </w:tcPr>
          <w:p>
            <w:pPr>
              <w:ind w:left="760"/>
              <w:spacing w:after="0"/>
              <w:rPr>
                <w:sz w:val="20"/>
                <w:szCs w:val="20"/>
                <w:color w:val="auto"/>
              </w:rPr>
            </w:pPr>
            <w:r>
              <w:rPr>
                <w:rFonts w:ascii="Arial" w:cs="Arial" w:eastAsia="Arial" w:hAnsi="Arial"/>
                <w:sz w:val="16"/>
                <w:szCs w:val="16"/>
                <w:color w:val="auto"/>
              </w:rPr>
              <w:t>79</w:t>
            </w:r>
          </w:p>
        </w:tc>
        <w:tc>
          <w:tcPr>
            <w:tcW w:w="2840" w:type="dxa"/>
            <w:vAlign w:val="bottom"/>
          </w:tcPr>
          <w:p>
            <w:pPr>
              <w:spacing w:after="0"/>
              <w:rPr>
                <w:sz w:val="24"/>
                <w:szCs w:val="24"/>
                <w:color w:val="auto"/>
              </w:rPr>
            </w:pPr>
          </w:p>
        </w:tc>
      </w:tr>
      <w:tr>
        <w:trPr>
          <w:trHeight w:val="100"/>
        </w:trPr>
        <w:tc>
          <w:tcPr>
            <w:tcW w:w="47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7">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type w:val="continuous"/>
        </w:sectPr>
      </w:pPr>
    </w:p>
    <w:bookmarkStart w:id="84" w:name="page85"/>
    <w:bookmarkEnd w:id="84"/>
    <w:p>
      <w:pPr>
        <w:jc w:val="center"/>
        <w:ind w:right="20"/>
        <w:spacing w:after="0"/>
        <w:rPr>
          <w:sz w:val="20"/>
          <w:szCs w:val="20"/>
          <w:color w:val="auto"/>
        </w:rPr>
      </w:pPr>
      <w:r>
        <w:rPr>
          <w:rFonts w:ascii="Arial" w:cs="Arial" w:eastAsia="Arial" w:hAnsi="Arial"/>
          <w:sz w:val="16"/>
          <w:szCs w:val="16"/>
          <w:b w:val="1"/>
          <w:bCs w:val="1"/>
          <w:color w:val="auto"/>
        </w:rPr>
        <w:t>Syndax Pharmaceuticals, Inc.</w:t>
      </w:r>
    </w:p>
    <w:p>
      <w:pPr>
        <w:spacing w:after="0" w:line="1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620" w:type="dxa"/>
            <w:vAlign w:val="bottom"/>
          </w:tcPr>
          <w:p>
            <w:pPr>
              <w:spacing w:after="0"/>
              <w:rPr>
                <w:sz w:val="17"/>
                <w:szCs w:val="17"/>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Pages</w:t>
            </w:r>
          </w:p>
        </w:tc>
      </w:tr>
      <w:tr>
        <w:trPr>
          <w:trHeight w:val="194"/>
        </w:trPr>
        <w:tc>
          <w:tcPr>
            <w:tcW w:w="10620" w:type="dxa"/>
            <w:vAlign w:val="bottom"/>
          </w:tcPr>
          <w:p>
            <w:pPr>
              <w:spacing w:after="0"/>
              <w:rPr>
                <w:rFonts w:ascii="Arial" w:cs="Arial" w:eastAsia="Arial" w:hAnsi="Arial"/>
                <w:sz w:val="16"/>
                <w:szCs w:val="16"/>
                <w:u w:val="single" w:color="auto"/>
                <w:color w:val="0000EE"/>
              </w:rPr>
            </w:pPr>
            <w:hyperlink w:anchor="page86">
              <w:r>
                <w:rPr>
                  <w:rFonts w:ascii="Arial" w:cs="Arial" w:eastAsia="Arial" w:hAnsi="Arial"/>
                  <w:sz w:val="16"/>
                  <w:szCs w:val="16"/>
                  <w:u w:val="single" w:color="auto"/>
                  <w:color w:val="0000EE"/>
                </w:rPr>
                <w:t>Report of Independent Registered Public Accounting Firm</w:t>
              </w:r>
            </w:hyperlink>
          </w:p>
        </w:tc>
        <w:tc>
          <w:tcPr>
            <w:tcW w:w="640" w:type="dxa"/>
            <w:vAlign w:val="bottom"/>
          </w:tcPr>
          <w:p>
            <w:pPr>
              <w:ind w:left="400"/>
              <w:spacing w:after="0"/>
              <w:rPr>
                <w:sz w:val="20"/>
                <w:szCs w:val="20"/>
                <w:color w:val="auto"/>
              </w:rPr>
            </w:pPr>
            <w:r>
              <w:rPr>
                <w:rFonts w:ascii="Arial" w:cs="Arial" w:eastAsia="Arial" w:hAnsi="Arial"/>
                <w:sz w:val="16"/>
                <w:szCs w:val="16"/>
                <w:color w:val="auto"/>
                <w:w w:val="91"/>
              </w:rPr>
              <w:t>F-2</w:t>
            </w:r>
          </w:p>
        </w:tc>
      </w:tr>
      <w:tr>
        <w:trPr>
          <w:trHeight w:val="201"/>
        </w:trPr>
        <w:tc>
          <w:tcPr>
            <w:tcW w:w="10620" w:type="dxa"/>
            <w:vAlign w:val="bottom"/>
          </w:tcPr>
          <w:p>
            <w:pPr>
              <w:spacing w:after="0"/>
              <w:rPr>
                <w:rFonts w:ascii="Arial" w:cs="Arial" w:eastAsia="Arial" w:hAnsi="Arial"/>
                <w:sz w:val="16"/>
                <w:szCs w:val="16"/>
                <w:u w:val="single" w:color="auto"/>
                <w:color w:val="0000EE"/>
              </w:rPr>
            </w:pPr>
            <w:hyperlink w:anchor="page87">
              <w:r>
                <w:rPr>
                  <w:rFonts w:ascii="Arial" w:cs="Arial" w:eastAsia="Arial" w:hAnsi="Arial"/>
                  <w:sz w:val="16"/>
                  <w:szCs w:val="16"/>
                  <w:u w:val="single" w:color="auto"/>
                  <w:color w:val="0000EE"/>
                </w:rPr>
                <w:t>Consolidated Balance Sheets as of December 31, 2020 and 2019</w:t>
              </w:r>
            </w:hyperlink>
          </w:p>
        </w:tc>
        <w:tc>
          <w:tcPr>
            <w:tcW w:w="640" w:type="dxa"/>
            <w:vAlign w:val="bottom"/>
          </w:tcPr>
          <w:p>
            <w:pPr>
              <w:ind w:left="400"/>
              <w:spacing w:after="0"/>
              <w:rPr>
                <w:sz w:val="20"/>
                <w:szCs w:val="20"/>
                <w:color w:val="auto"/>
              </w:rPr>
            </w:pPr>
            <w:r>
              <w:rPr>
                <w:rFonts w:ascii="Arial" w:cs="Arial" w:eastAsia="Arial" w:hAnsi="Arial"/>
                <w:sz w:val="16"/>
                <w:szCs w:val="16"/>
                <w:color w:val="auto"/>
                <w:w w:val="91"/>
              </w:rPr>
              <w:t>F-3</w:t>
            </w:r>
          </w:p>
        </w:tc>
      </w:tr>
      <w:tr>
        <w:trPr>
          <w:trHeight w:val="201"/>
        </w:trPr>
        <w:tc>
          <w:tcPr>
            <w:tcW w:w="10620" w:type="dxa"/>
            <w:vAlign w:val="bottom"/>
          </w:tcPr>
          <w:p>
            <w:pPr>
              <w:spacing w:after="0"/>
              <w:rPr>
                <w:rFonts w:ascii="Arial" w:cs="Arial" w:eastAsia="Arial" w:hAnsi="Arial"/>
                <w:sz w:val="16"/>
                <w:szCs w:val="16"/>
                <w:u w:val="single" w:color="auto"/>
                <w:color w:val="0000EE"/>
              </w:rPr>
            </w:pPr>
            <w:hyperlink w:anchor="page88">
              <w:r>
                <w:rPr>
                  <w:rFonts w:ascii="Arial" w:cs="Arial" w:eastAsia="Arial" w:hAnsi="Arial"/>
                  <w:sz w:val="16"/>
                  <w:szCs w:val="16"/>
                  <w:u w:val="single" w:color="auto"/>
                  <w:color w:val="0000EE"/>
                </w:rPr>
                <w:t>Consolidated Statements of Operations for the Years Ended December 31, 2020, 2019 and 2018</w:t>
              </w:r>
            </w:hyperlink>
          </w:p>
        </w:tc>
        <w:tc>
          <w:tcPr>
            <w:tcW w:w="640" w:type="dxa"/>
            <w:vAlign w:val="bottom"/>
          </w:tcPr>
          <w:p>
            <w:pPr>
              <w:ind w:left="400"/>
              <w:spacing w:after="0"/>
              <w:rPr>
                <w:sz w:val="20"/>
                <w:szCs w:val="20"/>
                <w:color w:val="auto"/>
              </w:rPr>
            </w:pPr>
            <w:r>
              <w:rPr>
                <w:rFonts w:ascii="Arial" w:cs="Arial" w:eastAsia="Arial" w:hAnsi="Arial"/>
                <w:sz w:val="16"/>
                <w:szCs w:val="16"/>
                <w:color w:val="auto"/>
                <w:w w:val="91"/>
              </w:rPr>
              <w:t>F-4</w:t>
            </w:r>
          </w:p>
        </w:tc>
      </w:tr>
      <w:tr>
        <w:trPr>
          <w:trHeight w:val="201"/>
        </w:trPr>
        <w:tc>
          <w:tcPr>
            <w:tcW w:w="10620" w:type="dxa"/>
            <w:vAlign w:val="bottom"/>
          </w:tcPr>
          <w:p>
            <w:pPr>
              <w:spacing w:after="0"/>
              <w:rPr>
                <w:rFonts w:ascii="Arial" w:cs="Arial" w:eastAsia="Arial" w:hAnsi="Arial"/>
                <w:sz w:val="16"/>
                <w:szCs w:val="16"/>
                <w:u w:val="single" w:color="auto"/>
                <w:color w:val="0000EE"/>
              </w:rPr>
            </w:pPr>
            <w:hyperlink w:anchor="page89">
              <w:r>
                <w:rPr>
                  <w:rFonts w:ascii="Arial" w:cs="Arial" w:eastAsia="Arial" w:hAnsi="Arial"/>
                  <w:sz w:val="16"/>
                  <w:szCs w:val="16"/>
                  <w:u w:val="single" w:color="auto"/>
                  <w:color w:val="0000EE"/>
                </w:rPr>
                <w:t>Consolidated Statements of Comprehensive Loss for the Years Ended December 31, 2020, 2019 and 2018</w:t>
              </w:r>
            </w:hyperlink>
          </w:p>
        </w:tc>
        <w:tc>
          <w:tcPr>
            <w:tcW w:w="640" w:type="dxa"/>
            <w:vAlign w:val="bottom"/>
          </w:tcPr>
          <w:p>
            <w:pPr>
              <w:ind w:left="400"/>
              <w:spacing w:after="0"/>
              <w:rPr>
                <w:sz w:val="20"/>
                <w:szCs w:val="20"/>
                <w:color w:val="auto"/>
              </w:rPr>
            </w:pPr>
            <w:r>
              <w:rPr>
                <w:rFonts w:ascii="Arial" w:cs="Arial" w:eastAsia="Arial" w:hAnsi="Arial"/>
                <w:sz w:val="16"/>
                <w:szCs w:val="16"/>
                <w:color w:val="auto"/>
                <w:w w:val="91"/>
              </w:rPr>
              <w:t>F-5</w:t>
            </w:r>
          </w:p>
        </w:tc>
      </w:tr>
      <w:tr>
        <w:trPr>
          <w:trHeight w:val="201"/>
        </w:trPr>
        <w:tc>
          <w:tcPr>
            <w:tcW w:w="10620" w:type="dxa"/>
            <w:vAlign w:val="bottom"/>
          </w:tcPr>
          <w:p>
            <w:pPr>
              <w:spacing w:after="0"/>
              <w:rPr>
                <w:rFonts w:ascii="Arial" w:cs="Arial" w:eastAsia="Arial" w:hAnsi="Arial"/>
                <w:sz w:val="16"/>
                <w:szCs w:val="16"/>
                <w:u w:val="single" w:color="auto"/>
                <w:color w:val="0000EE"/>
              </w:rPr>
            </w:pPr>
            <w:hyperlink w:anchor="page90">
              <w:r>
                <w:rPr>
                  <w:rFonts w:ascii="Arial" w:cs="Arial" w:eastAsia="Arial" w:hAnsi="Arial"/>
                  <w:sz w:val="16"/>
                  <w:szCs w:val="16"/>
                  <w:u w:val="single" w:color="auto"/>
                  <w:color w:val="0000EE"/>
                </w:rPr>
                <w:t>Consolidated Statements of Stockholders’ Equity for the Years Ended December 31, 2020, 2019 and 2018</w:t>
              </w:r>
            </w:hyperlink>
          </w:p>
        </w:tc>
        <w:tc>
          <w:tcPr>
            <w:tcW w:w="640" w:type="dxa"/>
            <w:vAlign w:val="bottom"/>
          </w:tcPr>
          <w:p>
            <w:pPr>
              <w:ind w:left="400"/>
              <w:spacing w:after="0"/>
              <w:rPr>
                <w:sz w:val="20"/>
                <w:szCs w:val="20"/>
                <w:color w:val="auto"/>
              </w:rPr>
            </w:pPr>
            <w:r>
              <w:rPr>
                <w:rFonts w:ascii="Arial" w:cs="Arial" w:eastAsia="Arial" w:hAnsi="Arial"/>
                <w:sz w:val="16"/>
                <w:szCs w:val="16"/>
                <w:color w:val="auto"/>
                <w:w w:val="91"/>
              </w:rPr>
              <w:t>F-6</w:t>
            </w:r>
          </w:p>
        </w:tc>
      </w:tr>
      <w:tr>
        <w:trPr>
          <w:trHeight w:val="201"/>
        </w:trPr>
        <w:tc>
          <w:tcPr>
            <w:tcW w:w="10620" w:type="dxa"/>
            <w:vAlign w:val="bottom"/>
          </w:tcPr>
          <w:p>
            <w:pPr>
              <w:spacing w:after="0"/>
              <w:rPr>
                <w:rFonts w:ascii="Arial" w:cs="Arial" w:eastAsia="Arial" w:hAnsi="Arial"/>
                <w:sz w:val="16"/>
                <w:szCs w:val="16"/>
                <w:u w:val="single" w:color="auto"/>
                <w:color w:val="0000EE"/>
              </w:rPr>
            </w:pPr>
            <w:hyperlink w:anchor="page91">
              <w:r>
                <w:rPr>
                  <w:rFonts w:ascii="Arial" w:cs="Arial" w:eastAsia="Arial" w:hAnsi="Arial"/>
                  <w:sz w:val="16"/>
                  <w:szCs w:val="16"/>
                  <w:u w:val="single" w:color="auto"/>
                  <w:color w:val="0000EE"/>
                </w:rPr>
                <w:t>Consolidated Statements of Cash Flows for the Years Ended December 31, 2020, 2019 and 2018</w:t>
              </w:r>
            </w:hyperlink>
          </w:p>
        </w:tc>
        <w:tc>
          <w:tcPr>
            <w:tcW w:w="640" w:type="dxa"/>
            <w:vAlign w:val="bottom"/>
          </w:tcPr>
          <w:p>
            <w:pPr>
              <w:ind w:left="400"/>
              <w:spacing w:after="0"/>
              <w:rPr>
                <w:sz w:val="20"/>
                <w:szCs w:val="20"/>
                <w:color w:val="auto"/>
              </w:rPr>
            </w:pPr>
            <w:r>
              <w:rPr>
                <w:rFonts w:ascii="Arial" w:cs="Arial" w:eastAsia="Arial" w:hAnsi="Arial"/>
                <w:sz w:val="16"/>
                <w:szCs w:val="16"/>
                <w:color w:val="auto"/>
                <w:w w:val="91"/>
              </w:rPr>
              <w:t>F-7</w:t>
            </w:r>
          </w:p>
        </w:tc>
      </w:tr>
      <w:tr>
        <w:trPr>
          <w:trHeight w:val="201"/>
        </w:trPr>
        <w:tc>
          <w:tcPr>
            <w:tcW w:w="10620" w:type="dxa"/>
            <w:vAlign w:val="bottom"/>
          </w:tcPr>
          <w:p>
            <w:pPr>
              <w:spacing w:after="0"/>
              <w:rPr>
                <w:rFonts w:ascii="Arial" w:cs="Arial" w:eastAsia="Arial" w:hAnsi="Arial"/>
                <w:sz w:val="16"/>
                <w:szCs w:val="16"/>
                <w:u w:val="single" w:color="auto"/>
                <w:color w:val="0000EE"/>
              </w:rPr>
            </w:pPr>
            <w:hyperlink w:anchor="page92">
              <w:r>
                <w:rPr>
                  <w:rFonts w:ascii="Arial" w:cs="Arial" w:eastAsia="Arial" w:hAnsi="Arial"/>
                  <w:sz w:val="16"/>
                  <w:szCs w:val="16"/>
                  <w:u w:val="single" w:color="auto"/>
                  <w:color w:val="0000EE"/>
                </w:rPr>
                <w:t>Notes to Consolidated Financial Statements</w:t>
              </w:r>
            </w:hyperlink>
          </w:p>
        </w:tc>
        <w:tc>
          <w:tcPr>
            <w:tcW w:w="640" w:type="dxa"/>
            <w:vAlign w:val="bottom"/>
          </w:tcPr>
          <w:p>
            <w:pPr>
              <w:ind w:left="400"/>
              <w:spacing w:after="0"/>
              <w:rPr>
                <w:sz w:val="20"/>
                <w:szCs w:val="20"/>
                <w:color w:val="auto"/>
              </w:rPr>
            </w:pPr>
            <w:r>
              <w:rPr>
                <w:rFonts w:ascii="Arial" w:cs="Arial" w:eastAsia="Arial" w:hAnsi="Arial"/>
                <w:sz w:val="16"/>
                <w:szCs w:val="16"/>
                <w:color w:val="auto"/>
                <w:w w:val="91"/>
              </w:rPr>
              <w:t>F-8</w:t>
            </w:r>
          </w:p>
        </w:tc>
      </w:tr>
      <w:tr>
        <w:trPr>
          <w:trHeight w:val="568"/>
        </w:trPr>
        <w:tc>
          <w:tcPr>
            <w:tcW w:w="10620" w:type="dxa"/>
            <w:vAlign w:val="bottom"/>
          </w:tcPr>
          <w:p>
            <w:pPr>
              <w:ind w:left="5520"/>
              <w:spacing w:after="0"/>
              <w:rPr>
                <w:sz w:val="20"/>
                <w:szCs w:val="20"/>
                <w:color w:val="auto"/>
              </w:rPr>
            </w:pPr>
            <w:r>
              <w:rPr>
                <w:rFonts w:ascii="Arial" w:cs="Arial" w:eastAsia="Arial" w:hAnsi="Arial"/>
                <w:sz w:val="16"/>
                <w:szCs w:val="16"/>
                <w:color w:val="auto"/>
              </w:rPr>
              <w:t>F-1</w:t>
            </w:r>
          </w:p>
        </w:tc>
        <w:tc>
          <w:tcPr>
            <w:tcW w:w="640" w:type="dxa"/>
            <w:vAlign w:val="bottom"/>
          </w:tcPr>
          <w:p>
            <w:pPr>
              <w:spacing w:after="0"/>
              <w:rPr>
                <w:sz w:val="24"/>
                <w:szCs w:val="24"/>
                <w:color w:val="auto"/>
              </w:rPr>
            </w:pPr>
          </w:p>
        </w:tc>
      </w:tr>
      <w:tr>
        <w:trPr>
          <w:trHeight w:val="100"/>
        </w:trPr>
        <w:tc>
          <w:tcPr>
            <w:tcW w:w="106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9">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 of Syndax Pharmaceuticals, Inc.</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99"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We have audited the accompanying consolidated balance sheets of Syndax Pharmaceuticals, Inc. and its subsidiaries (the “Company”) as of December 31, 2020 and 2019, and the related consolidated statements of operations, comprehensive loss, stockholders’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9" w:lineRule="exact"/>
        <w:rPr>
          <w:sz w:val="20"/>
          <w:szCs w:val="20"/>
          <w:color w:val="auto"/>
        </w:rPr>
      </w:pPr>
    </w:p>
    <w:p>
      <w:pPr>
        <w:ind w:right="40"/>
        <w:spacing w:after="0" w:line="31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March 11, 2021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2008.</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6"/>
          <w:szCs w:val="16"/>
          <w:b w:val="1"/>
          <w:bCs w:val="1"/>
          <w:color w:val="auto"/>
        </w:rPr>
        <w:t>SYNDAX PHARMACEUTICALS, INC.</w:t>
      </w:r>
    </w:p>
    <w:p>
      <w:pPr>
        <w:spacing w:after="0" w:line="1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6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3"/>
                <w:szCs w:val="13"/>
                <w:b w:val="1"/>
                <w:bCs w:val="1"/>
                <w:color w:val="auto"/>
              </w:rPr>
              <w:t>December 31,</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620" w:type="dxa"/>
            <w:vAlign w:val="bottom"/>
            <w:tcBorders>
              <w:bottom w:val="single" w:sz="8" w:color="CFF0FC"/>
            </w:tcBorders>
          </w:tcPr>
          <w:p>
            <w:pPr>
              <w:spacing w:after="0"/>
              <w:rPr>
                <w:sz w:val="11"/>
                <w:szCs w:val="11"/>
                <w:color w:val="auto"/>
              </w:rPr>
            </w:pPr>
          </w:p>
        </w:tc>
        <w:tc>
          <w:tcPr>
            <w:tcW w:w="194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82"/>
              <w:spacing w:after="0" w:line="134"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CFF0FC"/>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82"/>
              <w:spacing w:after="0" w:line="134"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6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20" w:type="dxa"/>
            <w:vAlign w:val="bottom"/>
          </w:tcPr>
          <w:p>
            <w:pPr>
              <w:spacing w:after="0"/>
              <w:rPr>
                <w:sz w:val="20"/>
                <w:szCs w:val="20"/>
                <w:color w:val="auto"/>
              </w:rPr>
            </w:pPr>
            <w:r>
              <w:rPr>
                <w:rFonts w:ascii="Arial" w:cs="Arial" w:eastAsia="Arial" w:hAnsi="Arial"/>
                <w:sz w:val="16"/>
                <w:szCs w:val="16"/>
                <w:color w:val="auto"/>
              </w:rPr>
              <w:t>Current assets: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Cash and cash equivalents</w:t>
            </w:r>
          </w:p>
        </w:tc>
        <w:tc>
          <w:tcPr>
            <w:tcW w:w="220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115,243</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24,609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2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Short-term investments</w:t>
            </w:r>
          </w:p>
        </w:tc>
        <w:tc>
          <w:tcPr>
            <w:tcW w:w="1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177,822</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35,166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2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9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5,684</w:t>
            </w:r>
          </w:p>
        </w:tc>
        <w:tc>
          <w:tcPr>
            <w:tcW w:w="2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1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298,864</w:t>
            </w: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62,331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Right-of-use asset</w:t>
            </w:r>
          </w:p>
        </w:tc>
        <w:tc>
          <w:tcPr>
            <w:tcW w:w="1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19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w:t>
            </w:r>
          </w:p>
        </w:tc>
        <w:tc>
          <w:tcPr>
            <w:tcW w:w="2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assets</w:t>
            </w:r>
          </w:p>
        </w:tc>
        <w:tc>
          <w:tcPr>
            <w:tcW w:w="19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300,613</w:t>
            </w:r>
          </w:p>
        </w:tc>
        <w:tc>
          <w:tcPr>
            <w:tcW w:w="2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63,525</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2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20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3,508</w:t>
            </w:r>
          </w:p>
        </w:tc>
        <w:tc>
          <w:tcPr>
            <w:tcW w:w="280" w:type="dxa"/>
            <w:vAlign w:val="bottom"/>
          </w:tcPr>
          <w:p>
            <w:pPr>
              <w:spacing w:after="0"/>
              <w:rPr>
                <w:sz w:val="17"/>
                <w:szCs w:val="17"/>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6,178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1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11,246</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10,195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20" w:type="dxa"/>
            <w:vAlign w:val="bottom"/>
          </w:tcPr>
          <w:p>
            <w:pPr>
              <w:ind w:left="220"/>
              <w:spacing w:after="0"/>
              <w:rPr>
                <w:sz w:val="20"/>
                <w:szCs w:val="20"/>
                <w:color w:val="auto"/>
              </w:rPr>
            </w:pPr>
            <w:r>
              <w:rPr>
                <w:rFonts w:ascii="Arial" w:cs="Arial" w:eastAsia="Arial" w:hAnsi="Arial"/>
                <w:sz w:val="16"/>
                <w:szCs w:val="16"/>
                <w:color w:val="auto"/>
              </w:rPr>
              <w:t>Current portion of deferred revenue</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Current portion of right-of-use liability</w:t>
            </w:r>
          </w:p>
        </w:tc>
        <w:tc>
          <w:tcPr>
            <w:tcW w:w="1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20" w:type="dxa"/>
            <w:vAlign w:val="bottom"/>
          </w:tcPr>
          <w:p>
            <w:pPr>
              <w:ind w:left="220"/>
              <w:spacing w:after="0"/>
              <w:rPr>
                <w:sz w:val="20"/>
                <w:szCs w:val="20"/>
                <w:color w:val="auto"/>
              </w:rPr>
            </w:pPr>
            <w:r>
              <w:rPr>
                <w:rFonts w:ascii="Arial" w:cs="Arial" w:eastAsia="Arial" w:hAnsi="Arial"/>
                <w:sz w:val="16"/>
                <w:szCs w:val="16"/>
                <w:color w:val="auto"/>
              </w:rPr>
              <w:t>Current portion of term loan</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2,285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current liabilities</w:t>
            </w:r>
          </w:p>
        </w:tc>
        <w:tc>
          <w:tcPr>
            <w:tcW w:w="194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spacing w:after="0"/>
              <w:rPr>
                <w:sz w:val="16"/>
                <w:szCs w:val="16"/>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18,872</w:t>
            </w:r>
          </w:p>
        </w:tc>
        <w:tc>
          <w:tcPr>
            <w:tcW w:w="28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bottom w:val="single" w:sz="8" w:color="auto"/>
            </w:tcBorders>
            <w:shd w:val="clear" w:color="auto" w:fill="CFF0FC"/>
          </w:tcPr>
          <w:p>
            <w:pPr>
              <w:spacing w:after="0"/>
              <w:rPr>
                <w:sz w:val="16"/>
                <w:szCs w:val="16"/>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18,368</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20" w:type="dxa"/>
            <w:vAlign w:val="bottom"/>
          </w:tcPr>
          <w:p>
            <w:pPr>
              <w:spacing w:after="0"/>
              <w:rPr>
                <w:sz w:val="20"/>
                <w:szCs w:val="20"/>
                <w:color w:val="auto"/>
              </w:rPr>
            </w:pPr>
            <w:r>
              <w:rPr>
                <w:rFonts w:ascii="Arial" w:cs="Arial" w:eastAsia="Arial" w:hAnsi="Arial"/>
                <w:sz w:val="16"/>
                <w:szCs w:val="16"/>
                <w:color w:val="auto"/>
              </w:rPr>
              <w:t>Long-term liabilities:</w:t>
            </w: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Deferred revenue, less current portion</w:t>
            </w:r>
          </w:p>
        </w:tc>
        <w:tc>
          <w:tcPr>
            <w:tcW w:w="1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11,617</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13,133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20" w:type="dxa"/>
            <w:vAlign w:val="bottom"/>
          </w:tcPr>
          <w:p>
            <w:pPr>
              <w:ind w:left="220"/>
              <w:spacing w:after="0"/>
              <w:rPr>
                <w:sz w:val="20"/>
                <w:szCs w:val="20"/>
                <w:color w:val="auto"/>
              </w:rPr>
            </w:pPr>
            <w:r>
              <w:rPr>
                <w:rFonts w:ascii="Arial" w:cs="Arial" w:eastAsia="Arial" w:hAnsi="Arial"/>
                <w:sz w:val="16"/>
                <w:szCs w:val="16"/>
                <w:color w:val="auto"/>
              </w:rPr>
              <w:t>Right-of-use liability, less current portion</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Term loan, less current portion</w:t>
            </w:r>
          </w:p>
        </w:tc>
        <w:tc>
          <w:tcPr>
            <w:tcW w:w="1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17,834</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62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Other long-term liabilities</w:t>
            </w:r>
          </w:p>
        </w:tc>
        <w:tc>
          <w:tcPr>
            <w:tcW w:w="19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Total long-term liabilities</w:t>
            </w:r>
          </w:p>
        </w:tc>
        <w:tc>
          <w:tcPr>
            <w:tcW w:w="19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29,553</w:t>
            </w:r>
          </w:p>
        </w:tc>
        <w:tc>
          <w:tcPr>
            <w:tcW w:w="28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13,557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liabilities</w:t>
            </w:r>
          </w:p>
        </w:tc>
        <w:tc>
          <w:tcPr>
            <w:tcW w:w="19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48,425</w:t>
            </w:r>
          </w:p>
        </w:tc>
        <w:tc>
          <w:tcPr>
            <w:tcW w:w="28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31,925</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Commitments (Note 16)</w:t>
            </w:r>
          </w:p>
        </w:tc>
        <w:tc>
          <w:tcPr>
            <w:tcW w:w="1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20" w:type="dxa"/>
            <w:vAlign w:val="bottom"/>
          </w:tcPr>
          <w:p>
            <w:pPr>
              <w:spacing w:after="0"/>
              <w:rPr>
                <w:sz w:val="20"/>
                <w:szCs w:val="20"/>
                <w:color w:val="auto"/>
              </w:rPr>
            </w:pPr>
            <w:r>
              <w:rPr>
                <w:rFonts w:ascii="Arial" w:cs="Arial" w:eastAsia="Arial" w:hAnsi="Arial"/>
                <w:sz w:val="16"/>
                <w:szCs w:val="16"/>
                <w:color w:val="auto"/>
              </w:rPr>
              <w:t>Stockholders' equity:</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Preferred stock, $0.001 par value, 10,000,000 shares authorized;</w:t>
            </w:r>
          </w:p>
        </w:tc>
        <w:tc>
          <w:tcPr>
            <w:tcW w:w="1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0 shares outstanding at December 31, 2020 and December 31, 2019,</w:t>
            </w:r>
          </w:p>
        </w:tc>
        <w:tc>
          <w:tcPr>
            <w:tcW w:w="1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respectively</w:t>
            </w:r>
          </w:p>
        </w:tc>
        <w:tc>
          <w:tcPr>
            <w:tcW w:w="1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620" w:type="dxa"/>
            <w:vAlign w:val="bottom"/>
          </w:tcPr>
          <w:p>
            <w:pPr>
              <w:ind w:left="220"/>
              <w:spacing w:after="0"/>
              <w:rPr>
                <w:sz w:val="20"/>
                <w:szCs w:val="20"/>
                <w:color w:val="auto"/>
              </w:rPr>
            </w:pPr>
            <w:r>
              <w:rPr>
                <w:rFonts w:ascii="Arial" w:cs="Arial" w:eastAsia="Arial" w:hAnsi="Arial"/>
                <w:sz w:val="16"/>
                <w:szCs w:val="16"/>
                <w:color w:val="auto"/>
              </w:rPr>
              <w:t>Common stock, $0.0001 par value, 100,000,000 shares authorized;</w:t>
            </w: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320"/>
              <w:spacing w:after="0"/>
              <w:rPr>
                <w:sz w:val="20"/>
                <w:szCs w:val="20"/>
                <w:color w:val="auto"/>
              </w:rPr>
            </w:pPr>
            <w:r>
              <w:rPr>
                <w:rFonts w:ascii="Arial" w:cs="Arial" w:eastAsia="Arial" w:hAnsi="Arial"/>
                <w:sz w:val="16"/>
                <w:szCs w:val="16"/>
                <w:color w:val="auto"/>
              </w:rPr>
              <w:t>47,881,223 and 27,140,484 shares outstanding at December 31, 2020</w:t>
            </w: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20" w:type="dxa"/>
            <w:vAlign w:val="bottom"/>
          </w:tcPr>
          <w:p>
            <w:pPr>
              <w:ind w:left="320"/>
              <w:spacing w:after="0"/>
              <w:rPr>
                <w:sz w:val="20"/>
                <w:szCs w:val="20"/>
                <w:color w:val="auto"/>
              </w:rPr>
            </w:pPr>
            <w:r>
              <w:rPr>
                <w:rFonts w:ascii="Arial" w:cs="Arial" w:eastAsia="Arial" w:hAnsi="Arial"/>
                <w:sz w:val="16"/>
                <w:szCs w:val="16"/>
                <w:color w:val="auto"/>
              </w:rPr>
              <w:t>and December 31, 2019, respectively</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Additional paid-in capital</w:t>
            </w:r>
          </w:p>
        </w:tc>
        <w:tc>
          <w:tcPr>
            <w:tcW w:w="1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820,815</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527,067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2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6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Accumulated deficit</w:t>
            </w:r>
          </w:p>
        </w:tc>
        <w:tc>
          <w:tcPr>
            <w:tcW w:w="1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(568,628)</w:t>
            </w:r>
          </w:p>
        </w:tc>
        <w:tc>
          <w:tcPr>
            <w:tcW w:w="3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(495,470)</w:t>
            </w:r>
          </w:p>
        </w:tc>
        <w:tc>
          <w:tcPr>
            <w:tcW w:w="0" w:type="dxa"/>
            <w:vAlign w:val="bottom"/>
          </w:tcPr>
          <w:p>
            <w:pPr>
              <w:spacing w:after="0"/>
              <w:rPr>
                <w:sz w:val="1"/>
                <w:szCs w:val="1"/>
                <w:color w:val="auto"/>
              </w:rPr>
            </w:pPr>
          </w:p>
        </w:tc>
      </w:tr>
      <w:tr>
        <w:trPr>
          <w:trHeight w:val="193"/>
        </w:trPr>
        <w:tc>
          <w:tcPr>
            <w:tcW w:w="6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stockholders' equity</w:t>
            </w:r>
          </w:p>
        </w:tc>
        <w:tc>
          <w:tcPr>
            <w:tcW w:w="1940" w:type="dxa"/>
            <w:vAlign w:val="bottom"/>
            <w:tcBorders>
              <w:bottom w:val="single" w:sz="8" w:color="CFF0FC"/>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252,188</w:t>
            </w:r>
          </w:p>
        </w:tc>
        <w:tc>
          <w:tcPr>
            <w:tcW w:w="280" w:type="dxa"/>
            <w:vAlign w:val="bottom"/>
            <w:tcBorders>
              <w:bottom w:val="single" w:sz="8" w:color="CFF0FC"/>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31,600</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liabilities and stockholders' equity</w:t>
            </w:r>
          </w:p>
        </w:tc>
        <w:tc>
          <w:tcPr>
            <w:tcW w:w="19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300,613</w:t>
            </w:r>
          </w:p>
        </w:tc>
        <w:tc>
          <w:tcPr>
            <w:tcW w:w="2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63,525</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87" w:name="page88"/>
    <w:bookmarkEnd w:id="87"/>
    <w:p>
      <w:pPr>
        <w:ind w:left="4260"/>
        <w:spacing w:after="0"/>
        <w:rPr>
          <w:sz w:val="20"/>
          <w:szCs w:val="20"/>
          <w:color w:val="auto"/>
        </w:rPr>
      </w:pPr>
      <w:r>
        <w:rPr>
          <w:rFonts w:ascii="Arial" w:cs="Arial" w:eastAsia="Arial" w:hAnsi="Arial"/>
          <w:sz w:val="16"/>
          <w:szCs w:val="16"/>
          <w:b w:val="1"/>
          <w:bCs w:val="1"/>
          <w:color w:val="auto"/>
        </w:rPr>
        <w:t>SYNDAX PHARMACEUTICALS, INC.</w:t>
      </w:r>
    </w:p>
    <w:p>
      <w:pPr>
        <w:spacing w:after="0" w:line="100"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w w:val="86"/>
              </w:rPr>
              <w:t>Years Ended December 31,</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7460" w:type="dxa"/>
            <w:vAlign w:val="bottom"/>
            <w:tcBorders>
              <w:bottom w:val="single" w:sz="8" w:color="CFF0FC"/>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22"/>
              <w:spacing w:after="0" w:line="134" w:lineRule="exact"/>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22"/>
              <w:spacing w:after="0" w:line="134"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22"/>
              <w:spacing w:after="0" w:line="134"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46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460" w:type="dxa"/>
            <w:vAlign w:val="bottom"/>
          </w:tcPr>
          <w:p>
            <w:pPr>
              <w:ind w:left="220"/>
              <w:spacing w:after="0"/>
              <w:rPr>
                <w:sz w:val="20"/>
                <w:szCs w:val="20"/>
                <w:color w:val="auto"/>
              </w:rPr>
            </w:pPr>
            <w:r>
              <w:rPr>
                <w:rFonts w:ascii="Arial" w:cs="Arial" w:eastAsia="Arial" w:hAnsi="Arial"/>
                <w:sz w:val="16"/>
                <w:szCs w:val="16"/>
                <w:color w:val="auto"/>
              </w:rPr>
              <w:t>License fees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1,517</w:t>
            </w:r>
          </w:p>
        </w:tc>
        <w:tc>
          <w:tcPr>
            <w:tcW w:w="60" w:type="dxa"/>
            <w:vAlign w:val="bottom"/>
          </w:tcPr>
          <w:p>
            <w:pPr>
              <w:spacing w:after="0"/>
              <w:rPr>
                <w:sz w:val="17"/>
                <w:szCs w:val="17"/>
                <w:color w:val="auto"/>
              </w:rPr>
            </w:pPr>
          </w:p>
        </w:tc>
        <w:tc>
          <w:tcPr>
            <w:tcW w:w="420" w:type="dxa"/>
            <w:vAlign w:val="bottom"/>
            <w:gridSpan w:val="2"/>
          </w:tcPr>
          <w:p>
            <w:pPr>
              <w:jc w:val="right"/>
              <w:ind w:right="47"/>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1,517</w:t>
            </w:r>
          </w:p>
        </w:tc>
        <w:tc>
          <w:tcPr>
            <w:tcW w:w="240" w:type="dxa"/>
            <w:vAlign w:val="bottom"/>
          </w:tcPr>
          <w:p>
            <w:pPr>
              <w:spacing w:after="0"/>
              <w:rPr>
                <w:sz w:val="17"/>
                <w:szCs w:val="17"/>
                <w:color w:val="auto"/>
              </w:rPr>
            </w:pPr>
          </w:p>
        </w:tc>
        <w:tc>
          <w:tcPr>
            <w:tcW w:w="240" w:type="dxa"/>
            <w:vAlign w:val="bottom"/>
            <w:gridSpan w:val="2"/>
          </w:tcPr>
          <w:p>
            <w:pPr>
              <w:jc w:val="right"/>
              <w:ind w:right="47"/>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200" w:type="dxa"/>
            <w:vAlign w:val="bottom"/>
            <w:tcBorders>
              <w:top w:val="single" w:sz="8" w:color="auto"/>
              <w:bottom w:val="single" w:sz="8" w:color="auto"/>
            </w:tcBorders>
            <w:shd w:val="clear" w:color="auto" w:fill="CFF0FC"/>
          </w:tcPr>
          <w:p>
            <w:pPr>
              <w:spacing w:after="0"/>
              <w:rPr>
                <w:sz w:val="16"/>
                <w:szCs w:val="16"/>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1,517</w:t>
            </w:r>
          </w:p>
        </w:tc>
        <w:tc>
          <w:tcPr>
            <w:tcW w:w="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spacing w:after="0"/>
              <w:rPr>
                <w:sz w:val="16"/>
                <w:szCs w:val="16"/>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1,517</w:t>
            </w:r>
          </w:p>
        </w:tc>
        <w:tc>
          <w:tcPr>
            <w:tcW w:w="24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spacing w:after="0"/>
              <w:rPr>
                <w:sz w:val="16"/>
                <w:szCs w:val="16"/>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1,517</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60" w:type="dxa"/>
            <w:vAlign w:val="bottom"/>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4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50,435</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42,994</w:t>
            </w: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60,106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6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22,505</w:t>
            </w:r>
          </w:p>
        </w:tc>
        <w:tc>
          <w:tcPr>
            <w:tcW w:w="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16,062</w:t>
            </w:r>
          </w:p>
        </w:tc>
        <w:tc>
          <w:tcPr>
            <w:tcW w:w="24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6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72,940</w:t>
            </w: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59,056</w:t>
            </w:r>
          </w:p>
        </w:tc>
        <w:tc>
          <w:tcPr>
            <w:tcW w:w="2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77,393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460" w:type="dxa"/>
            <w:vAlign w:val="bottom"/>
          </w:tcPr>
          <w:p>
            <w:pPr>
              <w:spacing w:after="0"/>
              <w:rPr>
                <w:sz w:val="20"/>
                <w:szCs w:val="20"/>
                <w:color w:val="auto"/>
              </w:rPr>
            </w:pPr>
            <w:r>
              <w:rPr>
                <w:rFonts w:ascii="Arial" w:cs="Arial" w:eastAsia="Arial" w:hAnsi="Arial"/>
                <w:sz w:val="16"/>
                <w:szCs w:val="16"/>
                <w:color w:val="auto"/>
              </w:rPr>
              <w:t>Loss from operations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(71,423)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(57,539)</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(75,876)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46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(2,357)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4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1,571</w:t>
            </w: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60" w:type="dxa"/>
            <w:vAlign w:val="bottom"/>
          </w:tcPr>
          <w:p>
            <w:pPr>
              <w:ind w:left="220"/>
              <w:spacing w:after="0"/>
              <w:rPr>
                <w:sz w:val="20"/>
                <w:szCs w:val="20"/>
                <w:color w:val="auto"/>
              </w:rPr>
            </w:pPr>
            <w:r>
              <w:rPr>
                <w:rFonts w:ascii="Arial" w:cs="Arial" w:eastAsia="Arial" w:hAnsi="Arial"/>
                <w:sz w:val="16"/>
                <w:szCs w:val="16"/>
                <w:color w:val="auto"/>
              </w:rPr>
              <w:t>Other (expense) income, net</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(219)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(79)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3"/>
        </w:trPr>
        <w:tc>
          <w:tcPr>
            <w:tcW w:w="7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top w:val="single" w:sz="8" w:color="auto"/>
              <w:bottom w:val="single" w:sz="8" w:color="auto"/>
            </w:tcBorders>
            <w:shd w:val="clear" w:color="auto" w:fill="CFF0FC"/>
          </w:tcPr>
          <w:p>
            <w:pPr>
              <w:spacing w:after="0"/>
              <w:rPr>
                <w:sz w:val="16"/>
                <w:szCs w:val="16"/>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(1,735)</w:t>
            </w:r>
          </w:p>
        </w:tc>
        <w:tc>
          <w:tcPr>
            <w:tcW w:w="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spacing w:after="0"/>
              <w:rPr>
                <w:sz w:val="16"/>
                <w:szCs w:val="16"/>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1,492</w:t>
            </w:r>
          </w:p>
        </w:tc>
        <w:tc>
          <w:tcPr>
            <w:tcW w:w="24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spacing w:after="0"/>
              <w:rPr>
                <w:sz w:val="16"/>
                <w:szCs w:val="16"/>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(73,158)</w:t>
            </w: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(56,047)</w:t>
            </w:r>
          </w:p>
        </w:tc>
        <w:tc>
          <w:tcPr>
            <w:tcW w:w="24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(73,961)</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7460" w:type="dxa"/>
            <w:vAlign w:val="bottom"/>
            <w:tcBorders>
              <w:bottom w:val="single" w:sz="8" w:color="CFF0FC"/>
            </w:tcBorders>
            <w:shd w:val="clear" w:color="auto" w:fill="CFF0FC"/>
          </w:tcPr>
          <w:p>
            <w:pPr>
              <w:spacing w:after="0" w:line="176" w:lineRule="exact"/>
              <w:rPr>
                <w:sz w:val="20"/>
                <w:szCs w:val="20"/>
                <w:color w:val="auto"/>
              </w:rPr>
            </w:pPr>
            <w:r>
              <w:rPr>
                <w:rFonts w:ascii="Arial" w:cs="Arial" w:eastAsia="Arial" w:hAnsi="Arial"/>
                <w:sz w:val="16"/>
                <w:szCs w:val="16"/>
                <w:color w:val="auto"/>
              </w:rPr>
              <w:t>Net loss attributable to common stockholders</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(77,064)</w:t>
            </w:r>
          </w:p>
        </w:tc>
        <w:tc>
          <w:tcPr>
            <w:tcW w:w="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(56,047)</w:t>
            </w:r>
          </w:p>
        </w:tc>
        <w:tc>
          <w:tcPr>
            <w:tcW w:w="24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(73,961)</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6"/>
                <w:szCs w:val="16"/>
                <w:color w:val="auto"/>
              </w:rPr>
              <w:t>Net loss per share attributable to common stockholders—basic</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4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7460" w:type="dxa"/>
            <w:vAlign w:val="bottom"/>
          </w:tcPr>
          <w:p>
            <w:pPr>
              <w:ind w:left="120"/>
              <w:spacing w:after="0"/>
              <w:rPr>
                <w:sz w:val="20"/>
                <w:szCs w:val="20"/>
                <w:color w:val="auto"/>
              </w:rPr>
            </w:pPr>
            <w:r>
              <w:rPr>
                <w:rFonts w:ascii="Arial" w:cs="Arial" w:eastAsia="Arial" w:hAnsi="Arial"/>
                <w:sz w:val="16"/>
                <w:szCs w:val="16"/>
                <w:color w:val="auto"/>
              </w:rPr>
              <w:t>and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(1.87)</w:t>
            </w:r>
          </w:p>
        </w:tc>
        <w:tc>
          <w:tcPr>
            <w:tcW w:w="420" w:type="dxa"/>
            <w:vAlign w:val="bottom"/>
            <w:gridSpan w:val="2"/>
          </w:tcPr>
          <w:p>
            <w:pPr>
              <w:jc w:val="right"/>
              <w:ind w:right="47"/>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(1.84)</w:t>
            </w:r>
          </w:p>
        </w:tc>
        <w:tc>
          <w:tcPr>
            <w:tcW w:w="240" w:type="dxa"/>
            <w:vAlign w:val="bottom"/>
            <w:gridSpan w:val="2"/>
          </w:tcPr>
          <w:p>
            <w:pPr>
              <w:jc w:val="right"/>
              <w:ind w:right="47"/>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165"/>
        </w:trPr>
        <w:tc>
          <w:tcPr>
            <w:tcW w:w="7460" w:type="dxa"/>
            <w:vAlign w:val="bottom"/>
            <w:tcBorders>
              <w:top w:val="single" w:sz="8" w:color="CFF0FC"/>
            </w:tcBorders>
            <w:shd w:val="clear" w:color="auto" w:fill="CFF0FC"/>
          </w:tcPr>
          <w:p>
            <w:pPr>
              <w:spacing w:after="0" w:line="165" w:lineRule="exact"/>
              <w:rPr>
                <w:sz w:val="20"/>
                <w:szCs w:val="20"/>
                <w:color w:val="auto"/>
              </w:rPr>
            </w:pPr>
            <w:r>
              <w:rPr>
                <w:rFonts w:ascii="Arial" w:cs="Arial" w:eastAsia="Arial" w:hAnsi="Arial"/>
                <w:sz w:val="16"/>
                <w:szCs w:val="16"/>
                <w:color w:val="auto"/>
              </w:rPr>
              <w:t>Weighted-average common shares outstanding—basic</w:t>
            </w:r>
          </w:p>
        </w:tc>
        <w:tc>
          <w:tcPr>
            <w:tcW w:w="2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4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and diluted</w:t>
            </w:r>
          </w:p>
        </w:tc>
        <w:tc>
          <w:tcPr>
            <w:tcW w:w="2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41,308,242</w:t>
            </w:r>
          </w:p>
        </w:tc>
        <w:tc>
          <w:tcPr>
            <w:tcW w:w="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30,490,783</w:t>
            </w:r>
          </w:p>
        </w:tc>
        <w:tc>
          <w:tcPr>
            <w:tcW w:w="2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25,371,511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88" w:name="page89"/>
    <w:bookmarkEnd w:id="88"/>
    <w:p>
      <w:pPr>
        <w:ind w:left="4260"/>
        <w:spacing w:after="0"/>
        <w:rPr>
          <w:sz w:val="20"/>
          <w:szCs w:val="20"/>
          <w:color w:val="auto"/>
        </w:rPr>
      </w:pPr>
      <w:r>
        <w:rPr>
          <w:rFonts w:ascii="Arial" w:cs="Arial" w:eastAsia="Arial" w:hAnsi="Arial"/>
          <w:sz w:val="16"/>
          <w:szCs w:val="16"/>
          <w:b w:val="1"/>
          <w:bCs w:val="1"/>
          <w:color w:val="auto"/>
        </w:rPr>
        <w:t>SYNDAX PHARMACEUTICALS, INC.</w:t>
      </w:r>
    </w:p>
    <w:p>
      <w:pPr>
        <w:spacing w:after="0" w:line="100"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CONSOLIDATED STATEMENTS OF COMPREHENSIVE LOSS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88"/>
              </w:rPr>
              <w:t>Years Ended December 31,</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4"/>
        </w:trPr>
        <w:tc>
          <w:tcPr>
            <w:tcW w:w="7580" w:type="dxa"/>
            <w:vAlign w:val="bottom"/>
            <w:tcBorders>
              <w:bottom w:val="single" w:sz="8" w:color="CFF0F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05"/>
              <w:spacing w:after="0" w:line="134" w:lineRule="exact"/>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05"/>
              <w:spacing w:after="0" w:line="134" w:lineRule="exact"/>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05"/>
              <w:spacing w:after="0" w:line="134"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1"/>
                <w:szCs w:val="11"/>
                <w:color w:val="auto"/>
              </w:rPr>
            </w:pPr>
          </w:p>
        </w:tc>
      </w:tr>
      <w:tr>
        <w:trPr>
          <w:trHeight w:val="193"/>
        </w:trPr>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(73,158)</w:t>
            </w: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(56,047)</w:t>
            </w: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(73,961)</w:t>
            </w:r>
          </w:p>
        </w:tc>
        <w:tc>
          <w:tcPr>
            <w:tcW w:w="120" w:type="dxa"/>
            <w:vAlign w:val="bottom"/>
            <w:shd w:val="clear" w:color="auto" w:fill="CFF0FC"/>
          </w:tcPr>
          <w:p>
            <w:pPr>
              <w:spacing w:after="0"/>
              <w:rPr>
                <w:sz w:val="16"/>
                <w:szCs w:val="16"/>
                <w:color w:val="auto"/>
              </w:rPr>
            </w:pPr>
          </w:p>
        </w:tc>
      </w:tr>
      <w:tr>
        <w:trPr>
          <w:trHeight w:val="201"/>
        </w:trPr>
        <w:tc>
          <w:tcPr>
            <w:tcW w:w="758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7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Unrealized gains (losses) on marketable securities, net of tax</w:t>
            </w: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FF0FC"/>
          </w:tcPr>
          <w:p>
            <w:pPr>
              <w:spacing w:after="0"/>
              <w:rPr>
                <w:sz w:val="17"/>
                <w:szCs w:val="17"/>
                <w:color w:val="auto"/>
              </w:rPr>
            </w:pPr>
          </w:p>
        </w:tc>
      </w:tr>
      <w:tr>
        <w:trPr>
          <w:trHeight w:val="193"/>
        </w:trPr>
        <w:tc>
          <w:tcPr>
            <w:tcW w:w="7580" w:type="dxa"/>
            <w:vAlign w:val="bottom"/>
          </w:tcPr>
          <w:p>
            <w:pPr>
              <w:spacing w:after="0"/>
              <w:rPr>
                <w:sz w:val="20"/>
                <w:szCs w:val="20"/>
                <w:color w:val="auto"/>
              </w:rPr>
            </w:pPr>
            <w:r>
              <w:rPr>
                <w:rFonts w:ascii="Arial" w:cs="Arial" w:eastAsia="Arial" w:hAnsi="Arial"/>
                <w:sz w:val="16"/>
                <w:szCs w:val="16"/>
                <w:color w:val="auto"/>
              </w:rPr>
              <w:t>Comprehensive loss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(73,162)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(56,022)</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(73,843)</w:t>
            </w:r>
          </w:p>
        </w:tc>
        <w:tc>
          <w:tcPr>
            <w:tcW w:w="120" w:type="dxa"/>
            <w:vAlign w:val="bottom"/>
          </w:tcPr>
          <w:p>
            <w:pPr>
              <w:spacing w:after="0"/>
              <w:rPr>
                <w:sz w:val="16"/>
                <w:szCs w:val="16"/>
                <w:color w:val="auto"/>
              </w:rPr>
            </w:pP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89" w:name="page90"/>
    <w:bookmarkEnd w:id="89"/>
    <w:p>
      <w:pPr>
        <w:ind w:left="4260"/>
        <w:spacing w:after="0"/>
        <w:rPr>
          <w:sz w:val="20"/>
          <w:szCs w:val="20"/>
          <w:color w:val="auto"/>
        </w:rPr>
      </w:pPr>
      <w:r>
        <w:rPr>
          <w:rFonts w:ascii="Arial" w:cs="Arial" w:eastAsia="Arial" w:hAnsi="Arial"/>
          <w:sz w:val="16"/>
          <w:szCs w:val="16"/>
          <w:b w:val="1"/>
          <w:bCs w:val="1"/>
          <w:color w:val="auto"/>
        </w:rPr>
        <w:t>SYNDAX PHARMACEUTICALS, INC.</w:t>
      </w:r>
    </w:p>
    <w:p>
      <w:pPr>
        <w:spacing w:after="0" w:line="53"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CONSOLIDATED STATEMENTS OF</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STOCKHOLDERS’ EQUITY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4780" w:type="dxa"/>
            <w:vAlign w:val="bottom"/>
          </w:tcPr>
          <w:p>
            <w:pPr>
              <w:spacing w:after="0"/>
              <w:rPr>
                <w:sz w:val="9"/>
                <w:szCs w:val="9"/>
                <w:color w:val="auto"/>
              </w:rPr>
            </w:pPr>
          </w:p>
        </w:tc>
        <w:tc>
          <w:tcPr>
            <w:tcW w:w="1740" w:type="dxa"/>
            <w:vAlign w:val="bottom"/>
            <w:gridSpan w:val="4"/>
          </w:tcPr>
          <w:p>
            <w:pPr>
              <w:jc w:val="center"/>
              <w:ind w:left="149"/>
              <w:spacing w:after="0"/>
              <w:rPr>
                <w:sz w:val="20"/>
                <w:szCs w:val="20"/>
                <w:color w:val="auto"/>
              </w:rPr>
            </w:pPr>
            <w:r>
              <w:rPr>
                <w:rFonts w:ascii="Arial" w:cs="Arial" w:eastAsia="Arial" w:hAnsi="Arial"/>
                <w:sz w:val="9"/>
                <w:szCs w:val="9"/>
                <w:b w:val="1"/>
                <w:bCs w:val="1"/>
                <w:color w:val="auto"/>
                <w:w w:val="93"/>
              </w:rPr>
              <w:t>Common Stock</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5"/>
              </w:rPr>
              <w:t>Accumulated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rPr>
              <w:t>Total</w:t>
            </w:r>
          </w:p>
        </w:tc>
      </w:tr>
      <w:tr>
        <w:trPr>
          <w:trHeight w:val="107"/>
        </w:trPr>
        <w:tc>
          <w:tcPr>
            <w:tcW w:w="4780" w:type="dxa"/>
            <w:vAlign w:val="bottom"/>
          </w:tcPr>
          <w:p>
            <w:pPr>
              <w:spacing w:after="0"/>
              <w:rPr>
                <w:sz w:val="9"/>
                <w:szCs w:val="9"/>
                <w:color w:val="auto"/>
              </w:rPr>
            </w:pPr>
          </w:p>
        </w:tc>
        <w:tc>
          <w:tcPr>
            <w:tcW w:w="1740" w:type="dxa"/>
            <w:vAlign w:val="bottom"/>
            <w:gridSpan w:val="4"/>
          </w:tcPr>
          <w:p>
            <w:pPr>
              <w:jc w:val="center"/>
              <w:ind w:left="149"/>
              <w:spacing w:after="0"/>
              <w:rPr>
                <w:sz w:val="20"/>
                <w:szCs w:val="20"/>
                <w:color w:val="auto"/>
              </w:rPr>
            </w:pPr>
            <w:r>
              <w:rPr>
                <w:rFonts w:ascii="Arial" w:cs="Arial" w:eastAsia="Arial" w:hAnsi="Arial"/>
                <w:sz w:val="9"/>
                <w:szCs w:val="9"/>
                <w:b w:val="1"/>
                <w:bCs w:val="1"/>
                <w:color w:val="auto"/>
                <w:w w:val="92"/>
              </w:rPr>
              <w:t>$0.0001</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9"/>
                <w:szCs w:val="9"/>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1"/>
              </w:rPr>
              <w:t>Stockholders'</w:t>
            </w:r>
          </w:p>
        </w:tc>
      </w:tr>
      <w:tr>
        <w:trPr>
          <w:trHeight w:val="118"/>
        </w:trPr>
        <w:tc>
          <w:tcPr>
            <w:tcW w:w="4780" w:type="dxa"/>
            <w:vAlign w:val="bottom"/>
          </w:tcPr>
          <w:p>
            <w:pPr>
              <w:spacing w:after="0"/>
              <w:rPr>
                <w:sz w:val="10"/>
                <w:szCs w:val="10"/>
                <w:color w:val="auto"/>
              </w:rPr>
            </w:pPr>
          </w:p>
        </w:tc>
        <w:tc>
          <w:tcPr>
            <w:tcW w:w="1740" w:type="dxa"/>
            <w:vAlign w:val="bottom"/>
            <w:tcBorders>
              <w:bottom w:val="single" w:sz="8" w:color="auto"/>
            </w:tcBorders>
            <w:gridSpan w:val="4"/>
          </w:tcPr>
          <w:p>
            <w:pPr>
              <w:jc w:val="center"/>
              <w:ind w:left="129"/>
              <w:spacing w:after="0"/>
              <w:rPr>
                <w:sz w:val="20"/>
                <w:szCs w:val="20"/>
                <w:color w:val="auto"/>
              </w:rPr>
            </w:pPr>
            <w:r>
              <w:rPr>
                <w:rFonts w:ascii="Arial" w:cs="Arial" w:eastAsia="Arial" w:hAnsi="Arial"/>
                <w:sz w:val="9"/>
                <w:szCs w:val="9"/>
                <w:b w:val="1"/>
                <w:bCs w:val="1"/>
                <w:color w:val="auto"/>
                <w:w w:val="97"/>
              </w:rPr>
              <w:t>Par Value</w:t>
            </w:r>
          </w:p>
        </w:tc>
        <w:tc>
          <w:tcPr>
            <w:tcW w:w="2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9"/>
                <w:szCs w:val="9"/>
                <w:b w:val="1"/>
                <w:bCs w:val="1"/>
                <w:color w:val="auto"/>
              </w:rPr>
              <w:t>Paid-In</w:t>
            </w:r>
          </w:p>
        </w:tc>
        <w:tc>
          <w:tcPr>
            <w:tcW w:w="80" w:type="dxa"/>
            <w:vAlign w:val="bottom"/>
          </w:tcPr>
          <w:p>
            <w:pPr>
              <w:spacing w:after="0"/>
              <w:rPr>
                <w:sz w:val="10"/>
                <w:szCs w:val="1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1"/>
              </w:rPr>
              <w:t>Comprehensive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Equity</w:t>
            </w:r>
          </w:p>
        </w:tc>
      </w:tr>
      <w:tr>
        <w:trPr>
          <w:trHeight w:val="110"/>
        </w:trPr>
        <w:tc>
          <w:tcPr>
            <w:tcW w:w="4780" w:type="dxa"/>
            <w:vAlign w:val="bottom"/>
            <w:tcBorders>
              <w:bottom w:val="single" w:sz="8" w:color="CFF0FC"/>
            </w:tcBorders>
          </w:tcPr>
          <w:p>
            <w:pPr>
              <w:spacing w:after="0"/>
              <w:rPr>
                <w:sz w:val="9"/>
                <w:szCs w:val="9"/>
                <w:color w:val="auto"/>
              </w:rPr>
            </w:pPr>
          </w:p>
        </w:tc>
        <w:tc>
          <w:tcPr>
            <w:tcW w:w="86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Shares</w:t>
            </w: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9"/>
                <w:szCs w:val="9"/>
                <w:b w:val="1"/>
                <w:bCs w:val="1"/>
                <w:color w:val="auto"/>
              </w:rPr>
              <w:t>Amount</w:t>
            </w: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69"/>
              <w:spacing w:after="0"/>
              <w:rPr>
                <w:sz w:val="20"/>
                <w:szCs w:val="20"/>
                <w:color w:val="auto"/>
              </w:rPr>
            </w:pPr>
            <w:r>
              <w:rPr>
                <w:rFonts w:ascii="Arial" w:cs="Arial" w:eastAsia="Arial" w:hAnsi="Arial"/>
                <w:sz w:val="9"/>
                <w:szCs w:val="9"/>
                <w:b w:val="1"/>
                <w:bCs w:val="1"/>
                <w:color w:val="auto"/>
              </w:rPr>
              <w:t>Capital</w:t>
            </w:r>
          </w:p>
        </w:tc>
        <w:tc>
          <w:tcPr>
            <w:tcW w:w="24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center"/>
              <w:ind w:right="49"/>
              <w:spacing w:after="0"/>
              <w:rPr>
                <w:sz w:val="20"/>
                <w:szCs w:val="20"/>
                <w:color w:val="auto"/>
              </w:rPr>
            </w:pPr>
            <w:r>
              <w:rPr>
                <w:rFonts w:ascii="Arial" w:cs="Arial" w:eastAsia="Arial" w:hAnsi="Arial"/>
                <w:sz w:val="9"/>
                <w:szCs w:val="9"/>
                <w:b w:val="1"/>
                <w:bCs w:val="1"/>
                <w:color w:val="auto"/>
                <w:w w:val="94"/>
              </w:rPr>
              <w:t>Income (Loss)</w:t>
            </w: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Deficit</w:t>
            </w: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center"/>
              <w:ind w:right="69"/>
              <w:spacing w:after="0"/>
              <w:rPr>
                <w:sz w:val="20"/>
                <w:szCs w:val="20"/>
                <w:color w:val="auto"/>
              </w:rPr>
            </w:pPr>
            <w:r>
              <w:rPr>
                <w:rFonts w:ascii="Arial" w:cs="Arial" w:eastAsia="Arial" w:hAnsi="Arial"/>
                <w:sz w:val="9"/>
                <w:szCs w:val="9"/>
                <w:b w:val="1"/>
                <w:bCs w:val="1"/>
                <w:color w:val="auto"/>
              </w:rPr>
              <w:t>(Deficit)</w:t>
            </w:r>
          </w:p>
        </w:tc>
        <w:tc>
          <w:tcPr>
            <w:tcW w:w="120" w:type="dxa"/>
            <w:vAlign w:val="bottom"/>
            <w:tcBorders>
              <w:bottom w:val="single" w:sz="8" w:color="CFF0FC"/>
            </w:tcBorders>
          </w:tcPr>
          <w:p>
            <w:pPr>
              <w:spacing w:after="0"/>
              <w:rPr>
                <w:sz w:val="9"/>
                <w:szCs w:val="9"/>
                <w:color w:val="auto"/>
              </w:rPr>
            </w:pPr>
          </w:p>
        </w:tc>
      </w:tr>
      <w:tr>
        <w:trPr>
          <w:trHeight w:val="122"/>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Balance—January 1, 2018</w:t>
            </w:r>
          </w:p>
        </w:tc>
        <w:tc>
          <w:tcPr>
            <w:tcW w:w="8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24,390,033</w:t>
            </w:r>
          </w:p>
        </w:tc>
        <w:tc>
          <w:tcPr>
            <w:tcW w:w="14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550"/>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w:t>
            </w:r>
          </w:p>
        </w:tc>
        <w:tc>
          <w:tcPr>
            <w:tcW w:w="360" w:type="dxa"/>
            <w:vAlign w:val="bottom"/>
            <w:gridSpan w:val="2"/>
            <w:shd w:val="clear" w:color="auto" w:fill="CFF0FC"/>
          </w:tcPr>
          <w:p>
            <w:pPr>
              <w:jc w:val="right"/>
              <w:ind w:right="29"/>
              <w:spacing w:after="0"/>
              <w:rPr>
                <w:sz w:val="20"/>
                <w:szCs w:val="20"/>
                <w:color w:val="auto"/>
              </w:rPr>
            </w:pPr>
            <w:r>
              <w:rPr>
                <w:rFonts w:ascii="Arial" w:cs="Arial" w:eastAsia="Arial" w:hAnsi="Arial"/>
                <w:sz w:val="10"/>
                <w:szCs w:val="10"/>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470,571</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(143)</w:t>
            </w:r>
          </w:p>
        </w:tc>
        <w:tc>
          <w:tcPr>
            <w:tcW w:w="200" w:type="dxa"/>
            <w:vAlign w:val="bottom"/>
            <w:gridSpan w:val="2"/>
            <w:shd w:val="clear" w:color="auto" w:fill="CFF0FC"/>
          </w:tcPr>
          <w:p>
            <w:pPr>
              <w:jc w:val="right"/>
              <w:ind w:right="9"/>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(366,111)</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104,319</w:t>
            </w:r>
          </w:p>
        </w:tc>
        <w:tc>
          <w:tcPr>
            <w:tcW w:w="120" w:type="dxa"/>
            <w:vAlign w:val="bottom"/>
            <w:shd w:val="clear" w:color="auto" w:fill="CFF0FC"/>
          </w:tcPr>
          <w:p>
            <w:pPr>
              <w:spacing w:after="0"/>
              <w:rPr>
                <w:sz w:val="10"/>
                <w:szCs w:val="10"/>
                <w:color w:val="auto"/>
              </w:rPr>
            </w:pPr>
          </w:p>
        </w:tc>
      </w:tr>
      <w:tr>
        <w:trPr>
          <w:trHeight w:val="130"/>
        </w:trPr>
        <w:tc>
          <w:tcPr>
            <w:tcW w:w="4780" w:type="dxa"/>
            <w:vAlign w:val="bottom"/>
          </w:tcPr>
          <w:p>
            <w:pPr>
              <w:spacing w:after="0"/>
              <w:rPr>
                <w:sz w:val="20"/>
                <w:szCs w:val="20"/>
                <w:color w:val="auto"/>
              </w:rPr>
            </w:pPr>
            <w:r>
              <w:rPr>
                <w:rFonts w:ascii="Arial" w:cs="Arial" w:eastAsia="Arial" w:hAnsi="Arial"/>
                <w:sz w:val="10"/>
                <w:szCs w:val="10"/>
                <w:color w:val="auto"/>
              </w:rPr>
              <w:t>Proceeds from "At-the-market" offering, net of offering cost of $67</w:t>
            </w:r>
          </w:p>
        </w:tc>
        <w:tc>
          <w:tcPr>
            <w:tcW w:w="860" w:type="dxa"/>
            <w:vAlign w:val="bottom"/>
          </w:tcPr>
          <w:p>
            <w:pPr>
              <w:jc w:val="right"/>
              <w:spacing w:after="0"/>
              <w:rPr>
                <w:sz w:val="20"/>
                <w:szCs w:val="20"/>
                <w:color w:val="auto"/>
              </w:rPr>
            </w:pPr>
            <w:r>
              <w:rPr>
                <w:rFonts w:ascii="Arial" w:cs="Arial" w:eastAsia="Arial" w:hAnsi="Arial"/>
                <w:sz w:val="10"/>
                <w:szCs w:val="10"/>
                <w:color w:val="auto"/>
              </w:rPr>
              <w:t>2,114,169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15,497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15,497</w:t>
            </w:r>
          </w:p>
        </w:tc>
        <w:tc>
          <w:tcPr>
            <w:tcW w:w="120" w:type="dxa"/>
            <w:vAlign w:val="bottom"/>
          </w:tcPr>
          <w:p>
            <w:pPr>
              <w:spacing w:after="0"/>
              <w:rPr>
                <w:sz w:val="11"/>
                <w:szCs w:val="11"/>
                <w:color w:val="auto"/>
              </w:rPr>
            </w:pPr>
          </w:p>
        </w:tc>
      </w:tr>
      <w:tr>
        <w:trPr>
          <w:trHeight w:val="130"/>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Proceeds from exercise of stock options</w:t>
            </w:r>
          </w:p>
        </w:tc>
        <w:tc>
          <w:tcPr>
            <w:tcW w:w="8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7,850</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26</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26</w:t>
            </w:r>
          </w:p>
        </w:tc>
        <w:tc>
          <w:tcPr>
            <w:tcW w:w="120" w:type="dxa"/>
            <w:vAlign w:val="bottom"/>
            <w:shd w:val="clear" w:color="auto" w:fill="CFF0FC"/>
          </w:tcPr>
          <w:p>
            <w:pPr>
              <w:spacing w:after="0"/>
              <w:rPr>
                <w:sz w:val="11"/>
                <w:szCs w:val="11"/>
                <w:color w:val="auto"/>
              </w:rPr>
            </w:pPr>
          </w:p>
        </w:tc>
      </w:tr>
      <w:tr>
        <w:trPr>
          <w:trHeight w:val="130"/>
        </w:trPr>
        <w:tc>
          <w:tcPr>
            <w:tcW w:w="4780" w:type="dxa"/>
            <w:vAlign w:val="bottom"/>
          </w:tcPr>
          <w:p>
            <w:pPr>
              <w:spacing w:after="0"/>
              <w:rPr>
                <w:sz w:val="20"/>
                <w:szCs w:val="20"/>
                <w:color w:val="auto"/>
              </w:rPr>
            </w:pPr>
            <w:r>
              <w:rPr>
                <w:rFonts w:ascii="Arial" w:cs="Arial" w:eastAsia="Arial" w:hAnsi="Arial"/>
                <w:sz w:val="10"/>
                <w:szCs w:val="10"/>
                <w:color w:val="auto"/>
              </w:rPr>
              <w:t>Stock issuance due to warrant exercise, cashless</w:t>
            </w:r>
          </w:p>
        </w:tc>
        <w:tc>
          <w:tcPr>
            <w:tcW w:w="860" w:type="dxa"/>
            <w:vAlign w:val="bottom"/>
          </w:tcPr>
          <w:p>
            <w:pPr>
              <w:jc w:val="right"/>
              <w:spacing w:after="0"/>
              <w:rPr>
                <w:sz w:val="20"/>
                <w:szCs w:val="20"/>
                <w:color w:val="auto"/>
              </w:rPr>
            </w:pPr>
            <w:r>
              <w:rPr>
                <w:rFonts w:ascii="Arial" w:cs="Arial" w:eastAsia="Arial" w:hAnsi="Arial"/>
                <w:sz w:val="10"/>
                <w:szCs w:val="10"/>
                <w:color w:val="auto"/>
              </w:rPr>
              <w:t>299,215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r>
      <w:tr>
        <w:trPr>
          <w:trHeight w:val="130"/>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Stock purchase under ESPP</w:t>
            </w:r>
          </w:p>
        </w:tc>
        <w:tc>
          <w:tcPr>
            <w:tcW w:w="8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24,684</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r>
      <w:tr>
        <w:trPr>
          <w:trHeight w:val="130"/>
        </w:trPr>
        <w:tc>
          <w:tcPr>
            <w:tcW w:w="4780" w:type="dxa"/>
            <w:vAlign w:val="bottom"/>
          </w:tcPr>
          <w:p>
            <w:pPr>
              <w:spacing w:after="0"/>
              <w:rPr>
                <w:sz w:val="20"/>
                <w:szCs w:val="20"/>
                <w:color w:val="auto"/>
              </w:rPr>
            </w:pPr>
            <w:r>
              <w:rPr>
                <w:rFonts w:ascii="Arial" w:cs="Arial" w:eastAsia="Arial" w:hAnsi="Arial"/>
                <w:sz w:val="10"/>
                <w:szCs w:val="10"/>
                <w:color w:val="auto"/>
              </w:rPr>
              <w:t>Stock-based compensation expense</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6,201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6,201</w:t>
            </w:r>
          </w:p>
        </w:tc>
        <w:tc>
          <w:tcPr>
            <w:tcW w:w="120" w:type="dxa"/>
            <w:vAlign w:val="bottom"/>
          </w:tcPr>
          <w:p>
            <w:pPr>
              <w:spacing w:after="0"/>
              <w:rPr>
                <w:sz w:val="11"/>
                <w:szCs w:val="11"/>
                <w:color w:val="auto"/>
              </w:rPr>
            </w:pPr>
          </w:p>
        </w:tc>
      </w:tr>
      <w:tr>
        <w:trPr>
          <w:trHeight w:val="130"/>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Unrealized gains on short-term investments</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118</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118</w:t>
            </w:r>
          </w:p>
        </w:tc>
        <w:tc>
          <w:tcPr>
            <w:tcW w:w="120" w:type="dxa"/>
            <w:vAlign w:val="bottom"/>
            <w:shd w:val="clear" w:color="auto" w:fill="CFF0FC"/>
          </w:tcPr>
          <w:p>
            <w:pPr>
              <w:spacing w:after="0"/>
              <w:rPr>
                <w:sz w:val="11"/>
                <w:szCs w:val="11"/>
                <w:color w:val="auto"/>
              </w:rPr>
            </w:pPr>
          </w:p>
        </w:tc>
      </w:tr>
      <w:tr>
        <w:trPr>
          <w:trHeight w:val="130"/>
        </w:trPr>
        <w:tc>
          <w:tcPr>
            <w:tcW w:w="4780" w:type="dxa"/>
            <w:vAlign w:val="bottom"/>
          </w:tcPr>
          <w:p>
            <w:pPr>
              <w:spacing w:after="0"/>
              <w:rPr>
                <w:sz w:val="20"/>
                <w:szCs w:val="20"/>
                <w:color w:val="auto"/>
              </w:rPr>
            </w:pPr>
            <w:r>
              <w:rPr>
                <w:rFonts w:ascii="Arial" w:cs="Arial" w:eastAsia="Arial" w:hAnsi="Arial"/>
                <w:sz w:val="10"/>
                <w:szCs w:val="10"/>
                <w:color w:val="auto"/>
              </w:rPr>
              <w:t>Employee withholdings ESPP</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198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198</w:t>
            </w:r>
          </w:p>
        </w:tc>
        <w:tc>
          <w:tcPr>
            <w:tcW w:w="120" w:type="dxa"/>
            <w:vAlign w:val="bottom"/>
          </w:tcPr>
          <w:p>
            <w:pPr>
              <w:spacing w:after="0"/>
              <w:rPr>
                <w:sz w:val="11"/>
                <w:szCs w:val="11"/>
                <w:color w:val="auto"/>
              </w:rPr>
            </w:pPr>
          </w:p>
        </w:tc>
      </w:tr>
      <w:tr>
        <w:trPr>
          <w:trHeight w:val="126"/>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Cumulative effect adjustment of adoption ASU</w:t>
            </w: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23"/>
        </w:trPr>
        <w:tc>
          <w:tcPr>
            <w:tcW w:w="4780" w:type="dxa"/>
            <w:vAlign w:val="bottom"/>
            <w:shd w:val="clear" w:color="auto" w:fill="CFF0FC"/>
          </w:tcPr>
          <w:p>
            <w:pPr>
              <w:ind w:left="80"/>
              <w:spacing w:after="0"/>
              <w:rPr>
                <w:sz w:val="20"/>
                <w:szCs w:val="20"/>
                <w:color w:val="auto"/>
              </w:rPr>
            </w:pPr>
            <w:r>
              <w:rPr>
                <w:rFonts w:ascii="Arial" w:cs="Arial" w:eastAsia="Arial" w:hAnsi="Arial"/>
                <w:sz w:val="10"/>
                <w:szCs w:val="10"/>
                <w:color w:val="auto"/>
              </w:rPr>
              <w:t>2014-09</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649</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649</w:t>
            </w:r>
          </w:p>
        </w:tc>
        <w:tc>
          <w:tcPr>
            <w:tcW w:w="120" w:type="dxa"/>
            <w:vAlign w:val="bottom"/>
            <w:shd w:val="clear" w:color="auto" w:fill="CFF0FC"/>
          </w:tcPr>
          <w:p>
            <w:pPr>
              <w:spacing w:after="0"/>
              <w:rPr>
                <w:sz w:val="10"/>
                <w:szCs w:val="10"/>
                <w:color w:val="auto"/>
              </w:rPr>
            </w:pPr>
          </w:p>
        </w:tc>
      </w:tr>
      <w:tr>
        <w:trPr>
          <w:trHeight w:val="126"/>
        </w:trPr>
        <w:tc>
          <w:tcPr>
            <w:tcW w:w="4780" w:type="dxa"/>
            <w:vAlign w:val="bottom"/>
          </w:tcPr>
          <w:p>
            <w:pPr>
              <w:spacing w:after="0"/>
              <w:rPr>
                <w:sz w:val="20"/>
                <w:szCs w:val="20"/>
                <w:color w:val="auto"/>
              </w:rPr>
            </w:pPr>
            <w:r>
              <w:rPr>
                <w:rFonts w:ascii="Arial" w:cs="Arial" w:eastAsia="Arial" w:hAnsi="Arial"/>
                <w:sz w:val="10"/>
                <w:szCs w:val="10"/>
                <w:color w:val="auto"/>
              </w:rPr>
              <w:t>Retirement of common stock in exchange</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3"/>
        </w:trPr>
        <w:tc>
          <w:tcPr>
            <w:tcW w:w="4780" w:type="dxa"/>
            <w:vAlign w:val="bottom"/>
          </w:tcPr>
          <w:p>
            <w:pPr>
              <w:ind w:left="80"/>
              <w:spacing w:after="0"/>
              <w:rPr>
                <w:sz w:val="20"/>
                <w:szCs w:val="20"/>
                <w:color w:val="auto"/>
              </w:rPr>
            </w:pPr>
            <w:r>
              <w:rPr>
                <w:rFonts w:ascii="Arial" w:cs="Arial" w:eastAsia="Arial" w:hAnsi="Arial"/>
                <w:sz w:val="10"/>
                <w:szCs w:val="10"/>
                <w:color w:val="auto"/>
              </w:rPr>
              <w:t>for common stock warrant</w:t>
            </w:r>
          </w:p>
        </w:tc>
        <w:tc>
          <w:tcPr>
            <w:tcW w:w="1000" w:type="dxa"/>
            <w:vAlign w:val="bottom"/>
            <w:gridSpan w:val="2"/>
          </w:tcPr>
          <w:p>
            <w:pPr>
              <w:jc w:val="right"/>
              <w:ind w:right="100"/>
              <w:spacing w:after="0"/>
              <w:rPr>
                <w:sz w:val="20"/>
                <w:szCs w:val="20"/>
                <w:color w:val="auto"/>
              </w:rPr>
            </w:pPr>
            <w:r>
              <w:rPr>
                <w:rFonts w:ascii="Arial" w:cs="Arial" w:eastAsia="Arial" w:hAnsi="Arial"/>
                <w:sz w:val="10"/>
                <w:szCs w:val="10"/>
                <w:color w:val="auto"/>
              </w:rPr>
              <w:t>(2,000,000)</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0"/>
                <w:szCs w:val="10"/>
                <w:color w:val="auto"/>
              </w:rPr>
              <w:t>(16,780)</w:t>
            </w:r>
          </w:p>
        </w:tc>
        <w:tc>
          <w:tcPr>
            <w:tcW w:w="8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(16,780)</w:t>
            </w:r>
          </w:p>
        </w:tc>
      </w:tr>
      <w:tr>
        <w:trPr>
          <w:trHeight w:val="126"/>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Issuance of common stock warrant in exchange</w:t>
            </w: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23"/>
        </w:trPr>
        <w:tc>
          <w:tcPr>
            <w:tcW w:w="4780" w:type="dxa"/>
            <w:vAlign w:val="bottom"/>
            <w:shd w:val="clear" w:color="auto" w:fill="CFF0FC"/>
          </w:tcPr>
          <w:p>
            <w:pPr>
              <w:ind w:left="40"/>
              <w:spacing w:after="0"/>
              <w:rPr>
                <w:sz w:val="20"/>
                <w:szCs w:val="20"/>
                <w:color w:val="auto"/>
              </w:rPr>
            </w:pPr>
            <w:r>
              <w:rPr>
                <w:rFonts w:ascii="Arial" w:cs="Arial" w:eastAsia="Arial" w:hAnsi="Arial"/>
                <w:sz w:val="10"/>
                <w:szCs w:val="10"/>
                <w:color w:val="auto"/>
              </w:rPr>
              <w:t>for retirement of common stock</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16,780</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16,780</w:t>
            </w:r>
          </w:p>
        </w:tc>
        <w:tc>
          <w:tcPr>
            <w:tcW w:w="120" w:type="dxa"/>
            <w:vAlign w:val="bottom"/>
            <w:shd w:val="clear" w:color="auto" w:fill="CFF0FC"/>
          </w:tcPr>
          <w:p>
            <w:pPr>
              <w:spacing w:after="0"/>
              <w:rPr>
                <w:sz w:val="10"/>
                <w:szCs w:val="10"/>
                <w:color w:val="auto"/>
              </w:rPr>
            </w:pPr>
          </w:p>
        </w:tc>
      </w:tr>
      <w:tr>
        <w:trPr>
          <w:trHeight w:val="130"/>
        </w:trPr>
        <w:tc>
          <w:tcPr>
            <w:tcW w:w="4780" w:type="dxa"/>
            <w:vAlign w:val="bottom"/>
          </w:tcPr>
          <w:p>
            <w:pPr>
              <w:spacing w:after="0"/>
              <w:rPr>
                <w:sz w:val="20"/>
                <w:szCs w:val="20"/>
                <w:color w:val="auto"/>
              </w:rPr>
            </w:pPr>
            <w:r>
              <w:rPr>
                <w:rFonts w:ascii="Arial" w:cs="Arial" w:eastAsia="Arial" w:hAnsi="Arial"/>
                <w:sz w:val="10"/>
                <w:szCs w:val="10"/>
                <w:color w:val="auto"/>
              </w:rPr>
              <w:t>Net loss</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(73,961)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(73,961)</w:t>
            </w:r>
          </w:p>
        </w:tc>
      </w:tr>
      <w:tr>
        <w:trPr>
          <w:trHeight w:val="20"/>
        </w:trPr>
        <w:tc>
          <w:tcPr>
            <w:tcW w:w="47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2"/>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Balance—December 31, 2018</w:t>
            </w:r>
          </w:p>
        </w:tc>
        <w:tc>
          <w:tcPr>
            <w:tcW w:w="8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24,835,951</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550"/>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492,493</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(25)</w:t>
            </w:r>
          </w:p>
        </w:tc>
        <w:tc>
          <w:tcPr>
            <w:tcW w:w="200" w:type="dxa"/>
            <w:vAlign w:val="bottom"/>
            <w:gridSpan w:val="2"/>
            <w:shd w:val="clear" w:color="auto" w:fill="CFF0FC"/>
          </w:tcPr>
          <w:p>
            <w:pPr>
              <w:jc w:val="right"/>
              <w:ind w:right="9"/>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(439,423)</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53,047</w:t>
            </w:r>
          </w:p>
        </w:tc>
        <w:tc>
          <w:tcPr>
            <w:tcW w:w="120" w:type="dxa"/>
            <w:vAlign w:val="bottom"/>
            <w:shd w:val="clear" w:color="auto" w:fill="CFF0FC"/>
          </w:tcPr>
          <w:p>
            <w:pPr>
              <w:spacing w:after="0"/>
              <w:rPr>
                <w:sz w:val="10"/>
                <w:szCs w:val="10"/>
                <w:color w:val="auto"/>
              </w:rPr>
            </w:pPr>
          </w:p>
        </w:tc>
      </w:tr>
      <w:tr>
        <w:trPr>
          <w:trHeight w:val="130"/>
        </w:trPr>
        <w:tc>
          <w:tcPr>
            <w:tcW w:w="4780" w:type="dxa"/>
            <w:vAlign w:val="bottom"/>
          </w:tcPr>
          <w:p>
            <w:pPr>
              <w:spacing w:after="0"/>
              <w:rPr>
                <w:sz w:val="20"/>
                <w:szCs w:val="20"/>
                <w:color w:val="auto"/>
              </w:rPr>
            </w:pPr>
            <w:r>
              <w:rPr>
                <w:rFonts w:ascii="Arial" w:cs="Arial" w:eastAsia="Arial" w:hAnsi="Arial"/>
                <w:sz w:val="10"/>
                <w:szCs w:val="10"/>
                <w:color w:val="auto"/>
              </w:rPr>
              <w:t>Proceeds from "At-the-market" offering, net of $34 offering expense</w:t>
            </w:r>
          </w:p>
        </w:tc>
        <w:tc>
          <w:tcPr>
            <w:tcW w:w="860" w:type="dxa"/>
            <w:vAlign w:val="bottom"/>
          </w:tcPr>
          <w:p>
            <w:pPr>
              <w:jc w:val="right"/>
              <w:spacing w:after="0"/>
              <w:rPr>
                <w:sz w:val="20"/>
                <w:szCs w:val="20"/>
                <w:color w:val="auto"/>
              </w:rPr>
            </w:pPr>
            <w:r>
              <w:rPr>
                <w:rFonts w:ascii="Arial" w:cs="Arial" w:eastAsia="Arial" w:hAnsi="Arial"/>
                <w:sz w:val="10"/>
                <w:szCs w:val="10"/>
                <w:color w:val="auto"/>
              </w:rPr>
              <w:t>140,819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830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830</w:t>
            </w:r>
          </w:p>
        </w:tc>
        <w:tc>
          <w:tcPr>
            <w:tcW w:w="120" w:type="dxa"/>
            <w:vAlign w:val="bottom"/>
          </w:tcPr>
          <w:p>
            <w:pPr>
              <w:spacing w:after="0"/>
              <w:rPr>
                <w:sz w:val="11"/>
                <w:szCs w:val="11"/>
                <w:color w:val="auto"/>
              </w:rPr>
            </w:pPr>
          </w:p>
        </w:tc>
      </w:tr>
      <w:tr>
        <w:trPr>
          <w:trHeight w:val="126"/>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Proceeds from direct offering, net of $1,571 in common stock warrants,</w:t>
            </w: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23"/>
        </w:trPr>
        <w:tc>
          <w:tcPr>
            <w:tcW w:w="4780" w:type="dxa"/>
            <w:vAlign w:val="bottom"/>
            <w:shd w:val="clear" w:color="auto" w:fill="CFF0FC"/>
          </w:tcPr>
          <w:p>
            <w:pPr>
              <w:ind w:left="40"/>
              <w:spacing w:after="0"/>
              <w:rPr>
                <w:sz w:val="20"/>
                <w:szCs w:val="20"/>
                <w:color w:val="auto"/>
              </w:rPr>
            </w:pPr>
            <w:r>
              <w:rPr>
                <w:rFonts w:ascii="Arial" w:cs="Arial" w:eastAsia="Arial" w:hAnsi="Arial"/>
                <w:sz w:val="10"/>
                <w:szCs w:val="10"/>
                <w:color w:val="auto"/>
              </w:rPr>
              <w:t>$98 offering expenses</w:t>
            </w:r>
          </w:p>
        </w:tc>
        <w:tc>
          <w:tcPr>
            <w:tcW w:w="8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2,095,039</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10,901</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10,902</w:t>
            </w:r>
          </w:p>
        </w:tc>
        <w:tc>
          <w:tcPr>
            <w:tcW w:w="120" w:type="dxa"/>
            <w:vAlign w:val="bottom"/>
            <w:shd w:val="clear" w:color="auto" w:fill="CFF0FC"/>
          </w:tcPr>
          <w:p>
            <w:pPr>
              <w:spacing w:after="0"/>
              <w:rPr>
                <w:sz w:val="10"/>
                <w:szCs w:val="10"/>
                <w:color w:val="auto"/>
              </w:rPr>
            </w:pPr>
          </w:p>
        </w:tc>
      </w:tr>
      <w:tr>
        <w:trPr>
          <w:trHeight w:val="126"/>
        </w:trPr>
        <w:tc>
          <w:tcPr>
            <w:tcW w:w="4780" w:type="dxa"/>
            <w:vAlign w:val="bottom"/>
          </w:tcPr>
          <w:p>
            <w:pPr>
              <w:spacing w:after="0"/>
              <w:rPr>
                <w:sz w:val="20"/>
                <w:szCs w:val="20"/>
                <w:color w:val="auto"/>
              </w:rPr>
            </w:pPr>
            <w:r>
              <w:rPr>
                <w:rFonts w:ascii="Arial" w:cs="Arial" w:eastAsia="Arial" w:hAnsi="Arial"/>
                <w:sz w:val="10"/>
                <w:szCs w:val="10"/>
                <w:color w:val="auto"/>
              </w:rPr>
              <w:t>Proceeds from pre-funded common stock warrant from direct offering,</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3"/>
        </w:trPr>
        <w:tc>
          <w:tcPr>
            <w:tcW w:w="4780" w:type="dxa"/>
            <w:vAlign w:val="bottom"/>
          </w:tcPr>
          <w:p>
            <w:pPr>
              <w:ind w:left="40"/>
              <w:spacing w:after="0"/>
              <w:rPr>
                <w:sz w:val="20"/>
                <w:szCs w:val="20"/>
                <w:color w:val="auto"/>
              </w:rPr>
            </w:pPr>
            <w:r>
              <w:rPr>
                <w:rFonts w:ascii="Arial" w:cs="Arial" w:eastAsia="Arial" w:hAnsi="Arial"/>
                <w:sz w:val="10"/>
                <w:szCs w:val="10"/>
                <w:color w:val="auto"/>
              </w:rPr>
              <w:t>net of $1,875 in common stock warrants, $93 offering expenses</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13,032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13,032</w:t>
            </w:r>
          </w:p>
        </w:tc>
        <w:tc>
          <w:tcPr>
            <w:tcW w:w="120" w:type="dxa"/>
            <w:vAlign w:val="bottom"/>
          </w:tcPr>
          <w:p>
            <w:pPr>
              <w:spacing w:after="0"/>
              <w:rPr>
                <w:sz w:val="10"/>
                <w:szCs w:val="10"/>
                <w:color w:val="auto"/>
              </w:rPr>
            </w:pPr>
          </w:p>
        </w:tc>
      </w:tr>
      <w:tr>
        <w:trPr>
          <w:trHeight w:val="130"/>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Issuance of common stock warrant with direct offering</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3,446</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3,446</w:t>
            </w:r>
          </w:p>
        </w:tc>
        <w:tc>
          <w:tcPr>
            <w:tcW w:w="120" w:type="dxa"/>
            <w:vAlign w:val="bottom"/>
            <w:shd w:val="clear" w:color="auto" w:fill="CFF0FC"/>
          </w:tcPr>
          <w:p>
            <w:pPr>
              <w:spacing w:after="0"/>
              <w:rPr>
                <w:sz w:val="11"/>
                <w:szCs w:val="11"/>
                <w:color w:val="auto"/>
              </w:rPr>
            </w:pPr>
          </w:p>
        </w:tc>
      </w:tr>
      <w:tr>
        <w:trPr>
          <w:trHeight w:val="130"/>
        </w:trPr>
        <w:tc>
          <w:tcPr>
            <w:tcW w:w="4780" w:type="dxa"/>
            <w:vAlign w:val="bottom"/>
          </w:tcPr>
          <w:p>
            <w:pPr>
              <w:spacing w:after="0"/>
              <w:rPr>
                <w:sz w:val="20"/>
                <w:szCs w:val="20"/>
                <w:color w:val="auto"/>
              </w:rPr>
            </w:pPr>
            <w:r>
              <w:rPr>
                <w:rFonts w:ascii="Arial" w:cs="Arial" w:eastAsia="Arial" w:hAnsi="Arial"/>
                <w:sz w:val="10"/>
                <w:szCs w:val="10"/>
                <w:color w:val="auto"/>
              </w:rPr>
              <w:t>Stock purchase under ESPP</w:t>
            </w:r>
          </w:p>
        </w:tc>
        <w:tc>
          <w:tcPr>
            <w:tcW w:w="860" w:type="dxa"/>
            <w:vAlign w:val="bottom"/>
          </w:tcPr>
          <w:p>
            <w:pPr>
              <w:jc w:val="right"/>
              <w:spacing w:after="0"/>
              <w:rPr>
                <w:sz w:val="20"/>
                <w:szCs w:val="20"/>
                <w:color w:val="auto"/>
              </w:rPr>
            </w:pPr>
            <w:r>
              <w:rPr>
                <w:rFonts w:ascii="Arial" w:cs="Arial" w:eastAsia="Arial" w:hAnsi="Arial"/>
                <w:sz w:val="10"/>
                <w:szCs w:val="10"/>
                <w:color w:val="auto"/>
              </w:rPr>
              <w:t>42,818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r>
      <w:tr>
        <w:trPr>
          <w:trHeight w:val="130"/>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Stock-based compensation expense</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6,005</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6,005</w:t>
            </w:r>
          </w:p>
        </w:tc>
        <w:tc>
          <w:tcPr>
            <w:tcW w:w="120" w:type="dxa"/>
            <w:vAlign w:val="bottom"/>
            <w:shd w:val="clear" w:color="auto" w:fill="CFF0FC"/>
          </w:tcPr>
          <w:p>
            <w:pPr>
              <w:spacing w:after="0"/>
              <w:rPr>
                <w:sz w:val="11"/>
                <w:szCs w:val="11"/>
                <w:color w:val="auto"/>
              </w:rPr>
            </w:pPr>
          </w:p>
        </w:tc>
      </w:tr>
      <w:tr>
        <w:trPr>
          <w:trHeight w:val="130"/>
        </w:trPr>
        <w:tc>
          <w:tcPr>
            <w:tcW w:w="4780" w:type="dxa"/>
            <w:vAlign w:val="bottom"/>
          </w:tcPr>
          <w:p>
            <w:pPr>
              <w:spacing w:after="0"/>
              <w:rPr>
                <w:sz w:val="20"/>
                <w:szCs w:val="20"/>
                <w:color w:val="auto"/>
              </w:rPr>
            </w:pPr>
            <w:r>
              <w:rPr>
                <w:rFonts w:ascii="Arial" w:cs="Arial" w:eastAsia="Arial" w:hAnsi="Arial"/>
                <w:sz w:val="10"/>
                <w:szCs w:val="10"/>
                <w:color w:val="auto"/>
              </w:rPr>
              <w:t>Unrealized gains on short-term investments</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25</w:t>
            </w:r>
          </w:p>
        </w:tc>
        <w:tc>
          <w:tcPr>
            <w:tcW w:w="120" w:type="dxa"/>
            <w:vAlign w:val="bottom"/>
          </w:tcPr>
          <w:p>
            <w:pPr>
              <w:spacing w:after="0"/>
              <w:rPr>
                <w:sz w:val="11"/>
                <w:szCs w:val="11"/>
                <w:color w:val="auto"/>
              </w:rPr>
            </w:pPr>
          </w:p>
        </w:tc>
      </w:tr>
      <w:tr>
        <w:trPr>
          <w:trHeight w:val="130"/>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Employee withholdings ESPP</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182</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182</w:t>
            </w:r>
          </w:p>
        </w:tc>
        <w:tc>
          <w:tcPr>
            <w:tcW w:w="120" w:type="dxa"/>
            <w:vAlign w:val="bottom"/>
            <w:shd w:val="clear" w:color="auto" w:fill="CFF0FC"/>
          </w:tcPr>
          <w:p>
            <w:pPr>
              <w:spacing w:after="0"/>
              <w:rPr>
                <w:sz w:val="11"/>
                <w:szCs w:val="11"/>
                <w:color w:val="auto"/>
              </w:rPr>
            </w:pPr>
          </w:p>
        </w:tc>
      </w:tr>
      <w:tr>
        <w:trPr>
          <w:trHeight w:val="130"/>
        </w:trPr>
        <w:tc>
          <w:tcPr>
            <w:tcW w:w="4780" w:type="dxa"/>
            <w:vAlign w:val="bottom"/>
          </w:tcPr>
          <w:p>
            <w:pPr>
              <w:spacing w:after="0"/>
              <w:rPr>
                <w:sz w:val="20"/>
                <w:szCs w:val="20"/>
                <w:color w:val="auto"/>
              </w:rPr>
            </w:pPr>
            <w:r>
              <w:rPr>
                <w:rFonts w:ascii="Arial" w:cs="Arial" w:eastAsia="Arial" w:hAnsi="Arial"/>
                <w:sz w:val="10"/>
                <w:szCs w:val="10"/>
                <w:color w:val="auto"/>
              </w:rPr>
              <w:t>Proceeds from exercise of stock options</w:t>
            </w:r>
          </w:p>
        </w:tc>
        <w:tc>
          <w:tcPr>
            <w:tcW w:w="860" w:type="dxa"/>
            <w:vAlign w:val="bottom"/>
          </w:tcPr>
          <w:p>
            <w:pPr>
              <w:jc w:val="right"/>
              <w:spacing w:after="0"/>
              <w:rPr>
                <w:sz w:val="20"/>
                <w:szCs w:val="20"/>
                <w:color w:val="auto"/>
              </w:rPr>
            </w:pPr>
            <w:r>
              <w:rPr>
                <w:rFonts w:ascii="Arial" w:cs="Arial" w:eastAsia="Arial" w:hAnsi="Arial"/>
                <w:sz w:val="10"/>
                <w:szCs w:val="10"/>
                <w:color w:val="auto"/>
              </w:rPr>
              <w:t>25,857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178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178</w:t>
            </w:r>
          </w:p>
        </w:tc>
        <w:tc>
          <w:tcPr>
            <w:tcW w:w="120" w:type="dxa"/>
            <w:vAlign w:val="bottom"/>
          </w:tcPr>
          <w:p>
            <w:pPr>
              <w:spacing w:after="0"/>
              <w:rPr>
                <w:sz w:val="11"/>
                <w:szCs w:val="11"/>
                <w:color w:val="auto"/>
              </w:rPr>
            </w:pPr>
          </w:p>
        </w:tc>
      </w:tr>
      <w:tr>
        <w:trPr>
          <w:trHeight w:val="130"/>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(56,047)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(56,047)</w:t>
            </w:r>
          </w:p>
        </w:tc>
      </w:tr>
      <w:tr>
        <w:trPr>
          <w:trHeight w:val="20"/>
        </w:trPr>
        <w:tc>
          <w:tcPr>
            <w:tcW w:w="4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2"/>
        </w:trPr>
        <w:tc>
          <w:tcPr>
            <w:tcW w:w="4780" w:type="dxa"/>
            <w:vAlign w:val="bottom"/>
          </w:tcPr>
          <w:p>
            <w:pPr>
              <w:spacing w:after="0"/>
              <w:rPr>
                <w:sz w:val="20"/>
                <w:szCs w:val="20"/>
                <w:color w:val="auto"/>
              </w:rPr>
            </w:pPr>
            <w:r>
              <w:rPr>
                <w:rFonts w:ascii="Arial" w:cs="Arial" w:eastAsia="Arial" w:hAnsi="Arial"/>
                <w:sz w:val="10"/>
                <w:szCs w:val="10"/>
                <w:color w:val="auto"/>
              </w:rPr>
              <w:t>Balance—December 31, 2019</w:t>
            </w:r>
          </w:p>
        </w:tc>
        <w:tc>
          <w:tcPr>
            <w:tcW w:w="860" w:type="dxa"/>
            <w:vAlign w:val="bottom"/>
          </w:tcPr>
          <w:p>
            <w:pPr>
              <w:jc w:val="right"/>
              <w:spacing w:after="0"/>
              <w:rPr>
                <w:sz w:val="20"/>
                <w:szCs w:val="20"/>
                <w:color w:val="auto"/>
              </w:rPr>
            </w:pPr>
            <w:r>
              <w:rPr>
                <w:rFonts w:ascii="Arial" w:cs="Arial" w:eastAsia="Arial" w:hAnsi="Arial"/>
                <w:sz w:val="10"/>
                <w:szCs w:val="10"/>
                <w:color w:val="auto"/>
              </w:rPr>
              <w:t>27,140,484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3</w:t>
            </w:r>
          </w:p>
        </w:tc>
        <w:tc>
          <w:tcPr>
            <w:tcW w:w="220" w:type="dxa"/>
            <w:vAlign w:val="bottom"/>
          </w:tcPr>
          <w:p>
            <w:pPr>
              <w:spacing w:after="0"/>
              <w:rPr>
                <w:sz w:val="10"/>
                <w:szCs w:val="10"/>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527,067</w:t>
            </w:r>
          </w:p>
        </w:tc>
        <w:tc>
          <w:tcPr>
            <w:tcW w:w="240" w:type="dxa"/>
            <w:vAlign w:val="bottom"/>
          </w:tcPr>
          <w:p>
            <w:pPr>
              <w:spacing w:after="0"/>
              <w:rPr>
                <w:sz w:val="10"/>
                <w:szCs w:val="10"/>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(495,470)</w:t>
            </w:r>
          </w:p>
        </w:tc>
        <w:tc>
          <w:tcPr>
            <w:tcW w:w="2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31,600</w:t>
            </w:r>
          </w:p>
        </w:tc>
        <w:tc>
          <w:tcPr>
            <w:tcW w:w="120" w:type="dxa"/>
            <w:vAlign w:val="bottom"/>
          </w:tcPr>
          <w:p>
            <w:pPr>
              <w:spacing w:after="0"/>
              <w:rPr>
                <w:sz w:val="10"/>
                <w:szCs w:val="10"/>
                <w:color w:val="auto"/>
              </w:rPr>
            </w:pPr>
          </w:p>
        </w:tc>
      </w:tr>
      <w:tr>
        <w:trPr>
          <w:trHeight w:val="130"/>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Proceeds from direct offering, net of $93 offering expenses</w:t>
            </w:r>
          </w:p>
        </w:tc>
        <w:tc>
          <w:tcPr>
            <w:tcW w:w="8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3,036,719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24,201</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24,201</w:t>
            </w:r>
          </w:p>
        </w:tc>
        <w:tc>
          <w:tcPr>
            <w:tcW w:w="120" w:type="dxa"/>
            <w:vAlign w:val="bottom"/>
            <w:shd w:val="clear" w:color="auto" w:fill="CFF0FC"/>
          </w:tcPr>
          <w:p>
            <w:pPr>
              <w:spacing w:after="0"/>
              <w:rPr>
                <w:sz w:val="11"/>
                <w:szCs w:val="11"/>
                <w:color w:val="auto"/>
              </w:rPr>
            </w:pPr>
          </w:p>
        </w:tc>
      </w:tr>
      <w:tr>
        <w:trPr>
          <w:trHeight w:val="126"/>
        </w:trPr>
        <w:tc>
          <w:tcPr>
            <w:tcW w:w="4780" w:type="dxa"/>
            <w:vAlign w:val="bottom"/>
          </w:tcPr>
          <w:p>
            <w:pPr>
              <w:spacing w:after="0"/>
              <w:rPr>
                <w:sz w:val="20"/>
                <w:szCs w:val="20"/>
                <w:color w:val="auto"/>
              </w:rPr>
            </w:pPr>
            <w:r>
              <w:rPr>
                <w:rFonts w:ascii="Arial" w:cs="Arial" w:eastAsia="Arial" w:hAnsi="Arial"/>
                <w:sz w:val="10"/>
                <w:szCs w:val="10"/>
                <w:color w:val="auto"/>
              </w:rPr>
              <w:t>Proceeds from pre-funded common stock warrant from direct offering,</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3"/>
        </w:trPr>
        <w:tc>
          <w:tcPr>
            <w:tcW w:w="4780" w:type="dxa"/>
            <w:vAlign w:val="bottom"/>
          </w:tcPr>
          <w:p>
            <w:pPr>
              <w:ind w:left="40"/>
              <w:spacing w:after="0"/>
              <w:rPr>
                <w:sz w:val="20"/>
                <w:szCs w:val="20"/>
                <w:color w:val="auto"/>
              </w:rPr>
            </w:pPr>
            <w:r>
              <w:rPr>
                <w:rFonts w:ascii="Arial" w:cs="Arial" w:eastAsia="Arial" w:hAnsi="Arial"/>
                <w:sz w:val="10"/>
                <w:szCs w:val="10"/>
                <w:color w:val="auto"/>
              </w:rPr>
              <w:t>net of $41 offering expenses</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10,665</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10,665</w:t>
            </w:r>
          </w:p>
        </w:tc>
        <w:tc>
          <w:tcPr>
            <w:tcW w:w="120" w:type="dxa"/>
            <w:vAlign w:val="bottom"/>
          </w:tcPr>
          <w:p>
            <w:pPr>
              <w:spacing w:after="0"/>
              <w:rPr>
                <w:sz w:val="10"/>
                <w:szCs w:val="10"/>
                <w:color w:val="auto"/>
              </w:rPr>
            </w:pPr>
          </w:p>
        </w:tc>
      </w:tr>
      <w:tr>
        <w:trPr>
          <w:trHeight w:val="130"/>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Proceeds from direct offering, net of $7,132 offering expenses</w:t>
            </w:r>
          </w:p>
        </w:tc>
        <w:tc>
          <w:tcPr>
            <w:tcW w:w="8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6,388,889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107,867</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107,868</w:t>
            </w:r>
          </w:p>
        </w:tc>
        <w:tc>
          <w:tcPr>
            <w:tcW w:w="120" w:type="dxa"/>
            <w:vAlign w:val="bottom"/>
            <w:shd w:val="clear" w:color="auto" w:fill="CFF0FC"/>
          </w:tcPr>
          <w:p>
            <w:pPr>
              <w:spacing w:after="0"/>
              <w:rPr>
                <w:sz w:val="11"/>
                <w:szCs w:val="11"/>
                <w:color w:val="auto"/>
              </w:rPr>
            </w:pPr>
          </w:p>
        </w:tc>
      </w:tr>
      <w:tr>
        <w:trPr>
          <w:trHeight w:val="130"/>
        </w:trPr>
        <w:tc>
          <w:tcPr>
            <w:tcW w:w="4780" w:type="dxa"/>
            <w:vAlign w:val="bottom"/>
          </w:tcPr>
          <w:p>
            <w:pPr>
              <w:spacing w:after="0"/>
              <w:rPr>
                <w:sz w:val="20"/>
                <w:szCs w:val="20"/>
                <w:color w:val="auto"/>
              </w:rPr>
            </w:pPr>
            <w:r>
              <w:rPr>
                <w:rFonts w:ascii="Arial" w:cs="Arial" w:eastAsia="Arial" w:hAnsi="Arial"/>
                <w:sz w:val="10"/>
                <w:szCs w:val="10"/>
                <w:color w:val="auto"/>
              </w:rPr>
              <w:t>Proceeds from direct offering, net of $8,770 offering expenses</w:t>
            </w:r>
          </w:p>
        </w:tc>
        <w:tc>
          <w:tcPr>
            <w:tcW w:w="860" w:type="dxa"/>
            <w:vAlign w:val="bottom"/>
          </w:tcPr>
          <w:p>
            <w:pPr>
              <w:jc w:val="right"/>
              <w:spacing w:after="0"/>
              <w:rPr>
                <w:sz w:val="20"/>
                <w:szCs w:val="20"/>
                <w:color w:val="auto"/>
              </w:rPr>
            </w:pPr>
            <w:r>
              <w:rPr>
                <w:rFonts w:ascii="Arial" w:cs="Arial" w:eastAsia="Arial" w:hAnsi="Arial"/>
                <w:sz w:val="10"/>
                <w:szCs w:val="10"/>
                <w:color w:val="auto"/>
              </w:rPr>
              <w:t>6,250,000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134,980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134,981</w:t>
            </w:r>
          </w:p>
        </w:tc>
        <w:tc>
          <w:tcPr>
            <w:tcW w:w="120" w:type="dxa"/>
            <w:vAlign w:val="bottom"/>
          </w:tcPr>
          <w:p>
            <w:pPr>
              <w:spacing w:after="0"/>
              <w:rPr>
                <w:sz w:val="11"/>
                <w:szCs w:val="11"/>
                <w:color w:val="auto"/>
              </w:rPr>
            </w:pPr>
          </w:p>
        </w:tc>
      </w:tr>
      <w:tr>
        <w:trPr>
          <w:trHeight w:val="130"/>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Deemed dividend from repricing Series 1 and 2 warrants</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3,906</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3,906</w:t>
            </w:r>
          </w:p>
        </w:tc>
        <w:tc>
          <w:tcPr>
            <w:tcW w:w="120" w:type="dxa"/>
            <w:vAlign w:val="bottom"/>
            <w:shd w:val="clear" w:color="auto" w:fill="CFF0FC"/>
          </w:tcPr>
          <w:p>
            <w:pPr>
              <w:spacing w:after="0"/>
              <w:rPr>
                <w:sz w:val="11"/>
                <w:szCs w:val="11"/>
                <w:color w:val="auto"/>
              </w:rPr>
            </w:pPr>
          </w:p>
        </w:tc>
      </w:tr>
      <w:tr>
        <w:trPr>
          <w:trHeight w:val="130"/>
        </w:trPr>
        <w:tc>
          <w:tcPr>
            <w:tcW w:w="4780" w:type="dxa"/>
            <w:vAlign w:val="bottom"/>
          </w:tcPr>
          <w:p>
            <w:pPr>
              <w:spacing w:after="0"/>
              <w:rPr>
                <w:sz w:val="20"/>
                <w:szCs w:val="20"/>
                <w:color w:val="auto"/>
              </w:rPr>
            </w:pPr>
            <w:r>
              <w:rPr>
                <w:rFonts w:ascii="Arial" w:cs="Arial" w:eastAsia="Arial" w:hAnsi="Arial"/>
                <w:sz w:val="10"/>
                <w:szCs w:val="10"/>
                <w:color w:val="auto"/>
              </w:rPr>
              <w:t>Repricing Series 1 and 2 warrants</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0"/>
                <w:szCs w:val="10"/>
                <w:color w:val="auto"/>
              </w:rPr>
              <w:t>(3,906)</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(3,906)</w:t>
            </w:r>
          </w:p>
        </w:tc>
      </w:tr>
      <w:tr>
        <w:trPr>
          <w:trHeight w:val="130"/>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Stock purchase under ESPP</w:t>
            </w:r>
          </w:p>
        </w:tc>
        <w:tc>
          <w:tcPr>
            <w:tcW w:w="8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33,706</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r>
      <w:tr>
        <w:trPr>
          <w:trHeight w:val="130"/>
        </w:trPr>
        <w:tc>
          <w:tcPr>
            <w:tcW w:w="4780" w:type="dxa"/>
            <w:vAlign w:val="bottom"/>
          </w:tcPr>
          <w:p>
            <w:pPr>
              <w:spacing w:after="0"/>
              <w:rPr>
                <w:sz w:val="20"/>
                <w:szCs w:val="20"/>
                <w:color w:val="auto"/>
              </w:rPr>
            </w:pPr>
            <w:r>
              <w:rPr>
                <w:rFonts w:ascii="Arial" w:cs="Arial" w:eastAsia="Arial" w:hAnsi="Arial"/>
                <w:sz w:val="10"/>
                <w:szCs w:val="10"/>
                <w:color w:val="auto"/>
              </w:rPr>
              <w:t>Pre-funded warrant exercise</w:t>
            </w:r>
          </w:p>
        </w:tc>
        <w:tc>
          <w:tcPr>
            <w:tcW w:w="860" w:type="dxa"/>
            <w:vAlign w:val="bottom"/>
          </w:tcPr>
          <w:p>
            <w:pPr>
              <w:jc w:val="right"/>
              <w:spacing w:after="0"/>
              <w:rPr>
                <w:sz w:val="20"/>
                <w:szCs w:val="20"/>
                <w:color w:val="auto"/>
              </w:rPr>
            </w:pPr>
            <w:r>
              <w:rPr>
                <w:rFonts w:ascii="Arial" w:cs="Arial" w:eastAsia="Arial" w:hAnsi="Arial"/>
                <w:sz w:val="10"/>
                <w:szCs w:val="10"/>
                <w:color w:val="auto"/>
              </w:rPr>
              <w:t>2,280,318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r>
      <w:tr>
        <w:trPr>
          <w:trHeight w:val="130"/>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Stock-based compensation expense</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9,057</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9,057</w:t>
            </w:r>
          </w:p>
        </w:tc>
        <w:tc>
          <w:tcPr>
            <w:tcW w:w="120" w:type="dxa"/>
            <w:vAlign w:val="bottom"/>
            <w:shd w:val="clear" w:color="auto" w:fill="CFF0FC"/>
          </w:tcPr>
          <w:p>
            <w:pPr>
              <w:spacing w:after="0"/>
              <w:rPr>
                <w:sz w:val="11"/>
                <w:szCs w:val="11"/>
                <w:color w:val="auto"/>
              </w:rPr>
            </w:pPr>
          </w:p>
        </w:tc>
      </w:tr>
      <w:tr>
        <w:trPr>
          <w:trHeight w:val="130"/>
        </w:trPr>
        <w:tc>
          <w:tcPr>
            <w:tcW w:w="4780" w:type="dxa"/>
            <w:vAlign w:val="bottom"/>
          </w:tcPr>
          <w:p>
            <w:pPr>
              <w:spacing w:after="0"/>
              <w:rPr>
                <w:sz w:val="20"/>
                <w:szCs w:val="20"/>
                <w:color w:val="auto"/>
              </w:rPr>
            </w:pPr>
            <w:r>
              <w:rPr>
                <w:rFonts w:ascii="Arial" w:cs="Arial" w:eastAsia="Arial" w:hAnsi="Arial"/>
                <w:sz w:val="10"/>
                <w:szCs w:val="10"/>
                <w:color w:val="auto"/>
              </w:rPr>
              <w:t>Unrealized losses on short-term investments</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(4)</w:t>
            </w:r>
          </w:p>
        </w:tc>
      </w:tr>
      <w:tr>
        <w:trPr>
          <w:trHeight w:val="130"/>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Exercise of Series 1 and Series 2 warrants</w:t>
            </w:r>
          </w:p>
        </w:tc>
        <w:tc>
          <w:tcPr>
            <w:tcW w:w="8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1,995,941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r>
      <w:tr>
        <w:trPr>
          <w:trHeight w:val="130"/>
        </w:trPr>
        <w:tc>
          <w:tcPr>
            <w:tcW w:w="4780" w:type="dxa"/>
            <w:vAlign w:val="bottom"/>
          </w:tcPr>
          <w:p>
            <w:pPr>
              <w:spacing w:after="0"/>
              <w:rPr>
                <w:sz w:val="20"/>
                <w:szCs w:val="20"/>
                <w:color w:val="auto"/>
              </w:rPr>
            </w:pPr>
            <w:r>
              <w:rPr>
                <w:rFonts w:ascii="Arial" w:cs="Arial" w:eastAsia="Arial" w:hAnsi="Arial"/>
                <w:sz w:val="10"/>
                <w:szCs w:val="10"/>
                <w:color w:val="auto"/>
              </w:rPr>
              <w:t>Employee withholdings ESPP</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345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345</w:t>
            </w:r>
          </w:p>
        </w:tc>
        <w:tc>
          <w:tcPr>
            <w:tcW w:w="120" w:type="dxa"/>
            <w:vAlign w:val="bottom"/>
          </w:tcPr>
          <w:p>
            <w:pPr>
              <w:spacing w:after="0"/>
              <w:rPr>
                <w:sz w:val="11"/>
                <w:szCs w:val="11"/>
                <w:color w:val="auto"/>
              </w:rPr>
            </w:pPr>
          </w:p>
        </w:tc>
      </w:tr>
      <w:tr>
        <w:trPr>
          <w:trHeight w:val="130"/>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Proceeds from exercise of stock options</w:t>
            </w:r>
          </w:p>
        </w:tc>
        <w:tc>
          <w:tcPr>
            <w:tcW w:w="8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755,166</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6,633</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6,633</w:t>
            </w:r>
          </w:p>
        </w:tc>
        <w:tc>
          <w:tcPr>
            <w:tcW w:w="120" w:type="dxa"/>
            <w:vAlign w:val="bottom"/>
            <w:shd w:val="clear" w:color="auto" w:fill="CFF0FC"/>
          </w:tcPr>
          <w:p>
            <w:pPr>
              <w:spacing w:after="0"/>
              <w:rPr>
                <w:sz w:val="11"/>
                <w:szCs w:val="11"/>
                <w:color w:val="auto"/>
              </w:rPr>
            </w:pPr>
          </w:p>
        </w:tc>
      </w:tr>
      <w:tr>
        <w:trPr>
          <w:trHeight w:val="130"/>
        </w:trPr>
        <w:tc>
          <w:tcPr>
            <w:tcW w:w="4780" w:type="dxa"/>
            <w:vAlign w:val="bottom"/>
          </w:tcPr>
          <w:p>
            <w:pPr>
              <w:spacing w:after="0"/>
              <w:rPr>
                <w:sz w:val="20"/>
                <w:szCs w:val="20"/>
                <w:color w:val="auto"/>
              </w:rPr>
            </w:pPr>
            <w:r>
              <w:rPr>
                <w:rFonts w:ascii="Arial" w:cs="Arial" w:eastAsia="Arial" w:hAnsi="Arial"/>
                <w:sz w:val="10"/>
                <w:szCs w:val="10"/>
                <w:color w:val="auto"/>
              </w:rPr>
              <w:t>Net loss</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(73,158)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0"/>
                <w:szCs w:val="10"/>
                <w:color w:val="auto"/>
              </w:rPr>
              <w:t>(73,158)</w:t>
            </w:r>
          </w:p>
        </w:tc>
      </w:tr>
      <w:tr>
        <w:trPr>
          <w:trHeight w:val="20"/>
        </w:trPr>
        <w:tc>
          <w:tcPr>
            <w:tcW w:w="47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2"/>
        </w:trPr>
        <w:tc>
          <w:tcPr>
            <w:tcW w:w="4780" w:type="dxa"/>
            <w:vAlign w:val="bottom"/>
            <w:shd w:val="clear" w:color="auto" w:fill="CFF0FC"/>
          </w:tcPr>
          <w:p>
            <w:pPr>
              <w:spacing w:after="0"/>
              <w:rPr>
                <w:sz w:val="20"/>
                <w:szCs w:val="20"/>
                <w:color w:val="auto"/>
              </w:rPr>
            </w:pPr>
            <w:r>
              <w:rPr>
                <w:rFonts w:ascii="Arial" w:cs="Arial" w:eastAsia="Arial" w:hAnsi="Arial"/>
                <w:sz w:val="10"/>
                <w:szCs w:val="10"/>
                <w:color w:val="auto"/>
              </w:rPr>
              <w:t>Balance—December 31, 2020</w:t>
            </w:r>
          </w:p>
        </w:tc>
        <w:tc>
          <w:tcPr>
            <w:tcW w:w="8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47,881,223</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550"/>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820,815</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(4)</w:t>
            </w:r>
          </w:p>
        </w:tc>
        <w:tc>
          <w:tcPr>
            <w:tcW w:w="200" w:type="dxa"/>
            <w:vAlign w:val="bottom"/>
            <w:gridSpan w:val="2"/>
            <w:shd w:val="clear" w:color="auto" w:fill="CFF0FC"/>
          </w:tcPr>
          <w:p>
            <w:pPr>
              <w:jc w:val="right"/>
              <w:ind w:right="9"/>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(568,628)</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252,188</w:t>
            </w:r>
          </w:p>
        </w:tc>
        <w:tc>
          <w:tcPr>
            <w:tcW w:w="120" w:type="dxa"/>
            <w:vAlign w:val="bottom"/>
            <w:shd w:val="clear" w:color="auto" w:fill="CFF0FC"/>
          </w:tcPr>
          <w:p>
            <w:pPr>
              <w:spacing w:after="0"/>
              <w:rPr>
                <w:sz w:val="10"/>
                <w:szCs w:val="10"/>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90" w:name="page91"/>
    <w:bookmarkEnd w:id="90"/>
    <w:p>
      <w:pPr>
        <w:ind w:left="4260"/>
        <w:spacing w:after="0"/>
        <w:rPr>
          <w:sz w:val="20"/>
          <w:szCs w:val="20"/>
          <w:color w:val="auto"/>
        </w:rPr>
      </w:pPr>
      <w:r>
        <w:rPr>
          <w:rFonts w:ascii="Arial" w:cs="Arial" w:eastAsia="Arial" w:hAnsi="Arial"/>
          <w:sz w:val="16"/>
          <w:szCs w:val="16"/>
          <w:b w:val="1"/>
          <w:bCs w:val="1"/>
          <w:color w:val="auto"/>
        </w:rPr>
        <w:t>SYNDAX PHARMACEUTICALS, INC.</w:t>
      </w:r>
    </w:p>
    <w:p>
      <w:pPr>
        <w:spacing w:after="0" w:line="100"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0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87"/>
              </w:rPr>
              <w:t>Years Ended December 31,</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4"/>
        </w:trPr>
        <w:tc>
          <w:tcPr>
            <w:tcW w:w="704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93"/>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1"/>
                <w:szCs w:val="11"/>
                <w:color w:val="auto"/>
              </w:rPr>
            </w:pPr>
          </w:p>
        </w:tc>
        <w:tc>
          <w:tcPr>
            <w:tcW w:w="20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73"/>
              <w:spacing w:after="0" w:line="134" w:lineRule="exact"/>
              <w:rPr>
                <w:sz w:val="20"/>
                <w:szCs w:val="20"/>
                <w:color w:val="auto"/>
              </w:rPr>
            </w:pPr>
            <w:r>
              <w:rPr>
                <w:rFonts w:ascii="Arial" w:cs="Arial" w:eastAsia="Arial" w:hAnsi="Arial"/>
                <w:sz w:val="13"/>
                <w:szCs w:val="13"/>
                <w:b w:val="1"/>
                <w:bCs w:val="1"/>
                <w:color w:val="auto"/>
                <w:w w:val="82"/>
              </w:rPr>
              <w:t>2019</w:t>
            </w:r>
          </w:p>
        </w:tc>
        <w:tc>
          <w:tcPr>
            <w:tcW w:w="32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93"/>
              <w:spacing w:after="0" w:line="134"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1"/>
                <w:szCs w:val="11"/>
                <w:color w:val="auto"/>
              </w:rPr>
            </w:pPr>
          </w:p>
        </w:tc>
      </w:tr>
      <w:tr>
        <w:trPr>
          <w:trHeight w:val="146"/>
        </w:trPr>
        <w:tc>
          <w:tcPr>
            <w:tcW w:w="7040" w:type="dxa"/>
            <w:vAlign w:val="bottom"/>
            <w:shd w:val="clear" w:color="auto" w:fill="CFF0FC"/>
          </w:tcPr>
          <w:p>
            <w:pPr>
              <w:spacing w:after="0" w:line="146" w:lineRule="exact"/>
              <w:rPr>
                <w:sz w:val="20"/>
                <w:szCs w:val="20"/>
                <w:color w:val="auto"/>
              </w:rPr>
            </w:pPr>
            <w:r>
              <w:rPr>
                <w:rFonts w:ascii="Arial" w:cs="Arial" w:eastAsia="Arial" w:hAnsi="Arial"/>
                <w:sz w:val="13"/>
                <w:szCs w:val="13"/>
                <w:b w:val="1"/>
                <w:bCs w:val="1"/>
                <w:color w:val="auto"/>
              </w:rPr>
              <w:t>CASH FLOWS FROM OPERATING ACTIVITIES:</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7040" w:type="dxa"/>
            <w:vAlign w:val="bottom"/>
          </w:tcPr>
          <w:p>
            <w:pPr>
              <w:ind w:left="220"/>
              <w:spacing w:after="0"/>
              <w:rPr>
                <w:sz w:val="20"/>
                <w:szCs w:val="20"/>
                <w:color w:val="auto"/>
              </w:rPr>
            </w:pPr>
            <w:r>
              <w:rPr>
                <w:rFonts w:ascii="Arial" w:cs="Arial" w:eastAsia="Arial" w:hAnsi="Arial"/>
                <w:sz w:val="13"/>
                <w:szCs w:val="13"/>
                <w:color w:val="auto"/>
              </w:rPr>
              <w:t>Net loss</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(73,158)</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(56,047)</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(73,961)</w:t>
            </w:r>
          </w:p>
        </w:tc>
      </w:tr>
      <w:tr>
        <w:trPr>
          <w:trHeight w:val="141"/>
        </w:trPr>
        <w:tc>
          <w:tcPr>
            <w:tcW w:w="7040" w:type="dxa"/>
            <w:vAlign w:val="bottom"/>
            <w:shd w:val="clear" w:color="auto" w:fill="CFF0FC"/>
          </w:tcPr>
          <w:p>
            <w:pPr>
              <w:ind w:left="220"/>
              <w:spacing w:after="0" w:line="141" w:lineRule="exact"/>
              <w:rPr>
                <w:sz w:val="20"/>
                <w:szCs w:val="20"/>
                <w:color w:val="auto"/>
              </w:rPr>
            </w:pPr>
            <w:r>
              <w:rPr>
                <w:rFonts w:ascii="Arial" w:cs="Arial" w:eastAsia="Arial" w:hAnsi="Arial"/>
                <w:sz w:val="13"/>
                <w:szCs w:val="13"/>
                <w:color w:val="auto"/>
              </w:rPr>
              <w:t>Adjustments to reconcile net loss to net cash used in operating</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5"/>
        </w:trPr>
        <w:tc>
          <w:tcPr>
            <w:tcW w:w="7040" w:type="dxa"/>
            <w:vAlign w:val="bottom"/>
            <w:shd w:val="clear" w:color="auto" w:fill="CFF0FC"/>
          </w:tcPr>
          <w:p>
            <w:pPr>
              <w:ind w:left="320"/>
              <w:spacing w:after="0"/>
              <w:rPr>
                <w:sz w:val="20"/>
                <w:szCs w:val="20"/>
                <w:color w:val="auto"/>
              </w:rPr>
            </w:pPr>
            <w:r>
              <w:rPr>
                <w:rFonts w:ascii="Arial" w:cs="Arial" w:eastAsia="Arial" w:hAnsi="Arial"/>
                <w:sz w:val="13"/>
                <w:szCs w:val="13"/>
                <w:color w:val="auto"/>
              </w:rPr>
              <w:t>activities:</w:t>
            </w: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040" w:type="dxa"/>
            <w:vAlign w:val="bottom"/>
          </w:tcPr>
          <w:p>
            <w:pPr>
              <w:ind w:left="420"/>
              <w:spacing w:after="0"/>
              <w:rPr>
                <w:sz w:val="20"/>
                <w:szCs w:val="20"/>
                <w:color w:val="auto"/>
              </w:rPr>
            </w:pPr>
            <w:r>
              <w:rPr>
                <w:rFonts w:ascii="Arial" w:cs="Arial" w:eastAsia="Arial" w:hAnsi="Arial"/>
                <w:sz w:val="13"/>
                <w:szCs w:val="13"/>
                <w:color w:val="auto"/>
              </w:rPr>
              <w:t>Depreciation</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3"/>
                <w:szCs w:val="13"/>
                <w:color w:val="auto"/>
              </w:rPr>
            </w:pPr>
          </w:p>
        </w:tc>
      </w:tr>
      <w:tr>
        <w:trPr>
          <w:trHeight w:val="154"/>
        </w:trPr>
        <w:tc>
          <w:tcPr>
            <w:tcW w:w="7040" w:type="dxa"/>
            <w:vAlign w:val="bottom"/>
            <w:shd w:val="clear" w:color="auto" w:fill="CFF0FC"/>
          </w:tcPr>
          <w:p>
            <w:pPr>
              <w:ind w:left="420"/>
              <w:spacing w:after="0"/>
              <w:rPr>
                <w:sz w:val="20"/>
                <w:szCs w:val="20"/>
                <w:color w:val="auto"/>
              </w:rPr>
            </w:pPr>
            <w:r>
              <w:rPr>
                <w:rFonts w:ascii="Arial" w:cs="Arial" w:eastAsia="Arial" w:hAnsi="Arial"/>
                <w:sz w:val="13"/>
                <w:szCs w:val="13"/>
                <w:color w:val="auto"/>
              </w:rPr>
              <w:t>Amortization and accretion of investments</w:t>
            </w: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(130)</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(780)</w:t>
            </w: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(558)</w:t>
            </w:r>
          </w:p>
        </w:tc>
      </w:tr>
      <w:tr>
        <w:trPr>
          <w:trHeight w:val="154"/>
        </w:trPr>
        <w:tc>
          <w:tcPr>
            <w:tcW w:w="7040" w:type="dxa"/>
            <w:vAlign w:val="bottom"/>
          </w:tcPr>
          <w:p>
            <w:pPr>
              <w:ind w:left="420"/>
              <w:spacing w:after="0"/>
              <w:rPr>
                <w:sz w:val="20"/>
                <w:szCs w:val="20"/>
                <w:color w:val="auto"/>
              </w:rPr>
            </w:pPr>
            <w:r>
              <w:rPr>
                <w:rFonts w:ascii="Arial" w:cs="Arial" w:eastAsia="Arial" w:hAnsi="Arial"/>
                <w:sz w:val="13"/>
                <w:szCs w:val="13"/>
                <w:color w:val="auto"/>
              </w:rPr>
              <w:t>Non-cash operating lease expense</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359</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54"/>
        </w:trPr>
        <w:tc>
          <w:tcPr>
            <w:tcW w:w="7040" w:type="dxa"/>
            <w:vAlign w:val="bottom"/>
            <w:shd w:val="clear" w:color="auto" w:fill="CFF0FC"/>
          </w:tcPr>
          <w:p>
            <w:pPr>
              <w:ind w:left="420"/>
              <w:spacing w:after="0"/>
              <w:rPr>
                <w:sz w:val="20"/>
                <w:szCs w:val="20"/>
                <w:color w:val="auto"/>
              </w:rPr>
            </w:pPr>
            <w:r>
              <w:rPr>
                <w:rFonts w:ascii="Arial" w:cs="Arial" w:eastAsia="Arial" w:hAnsi="Arial"/>
                <w:sz w:val="13"/>
                <w:szCs w:val="13"/>
                <w:color w:val="auto"/>
              </w:rPr>
              <w:t>Non-cash interest expense</w:t>
            </w: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389</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54"/>
        </w:trPr>
        <w:tc>
          <w:tcPr>
            <w:tcW w:w="7040" w:type="dxa"/>
            <w:vAlign w:val="bottom"/>
          </w:tcPr>
          <w:p>
            <w:pPr>
              <w:ind w:left="420"/>
              <w:spacing w:after="0"/>
              <w:rPr>
                <w:sz w:val="20"/>
                <w:szCs w:val="20"/>
                <w:color w:val="auto"/>
              </w:rPr>
            </w:pPr>
            <w:r>
              <w:rPr>
                <w:rFonts w:ascii="Arial" w:cs="Arial" w:eastAsia="Arial" w:hAnsi="Arial"/>
                <w:sz w:val="13"/>
                <w:szCs w:val="13"/>
                <w:color w:val="auto"/>
              </w:rPr>
              <w:t>Stock-based compensation</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9,057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6,005</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6,201</w:t>
            </w:r>
          </w:p>
        </w:tc>
        <w:tc>
          <w:tcPr>
            <w:tcW w:w="120" w:type="dxa"/>
            <w:vAlign w:val="bottom"/>
          </w:tcPr>
          <w:p>
            <w:pPr>
              <w:spacing w:after="0"/>
              <w:rPr>
                <w:sz w:val="13"/>
                <w:szCs w:val="13"/>
                <w:color w:val="auto"/>
              </w:rPr>
            </w:pPr>
          </w:p>
        </w:tc>
      </w:tr>
      <w:tr>
        <w:trPr>
          <w:trHeight w:val="154"/>
        </w:trPr>
        <w:tc>
          <w:tcPr>
            <w:tcW w:w="7040" w:type="dxa"/>
            <w:vAlign w:val="bottom"/>
            <w:shd w:val="clear" w:color="auto" w:fill="CFF0FC"/>
          </w:tcPr>
          <w:p>
            <w:pPr>
              <w:ind w:left="420"/>
              <w:spacing w:after="0"/>
              <w:rPr>
                <w:sz w:val="20"/>
                <w:szCs w:val="20"/>
                <w:color w:val="auto"/>
              </w:rPr>
            </w:pPr>
            <w:r>
              <w:rPr>
                <w:rFonts w:ascii="Arial" w:cs="Arial" w:eastAsia="Arial" w:hAnsi="Arial"/>
                <w:sz w:val="13"/>
                <w:szCs w:val="13"/>
                <w:color w:val="auto"/>
              </w:rPr>
              <w:t>Other</w:t>
            </w: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FF0FC"/>
          </w:tcPr>
          <w:p>
            <w:pPr>
              <w:spacing w:after="0"/>
              <w:rPr>
                <w:sz w:val="13"/>
                <w:szCs w:val="13"/>
                <w:color w:val="auto"/>
              </w:rPr>
            </w:pPr>
          </w:p>
        </w:tc>
      </w:tr>
      <w:tr>
        <w:trPr>
          <w:trHeight w:val="154"/>
        </w:trPr>
        <w:tc>
          <w:tcPr>
            <w:tcW w:w="7040" w:type="dxa"/>
            <w:vAlign w:val="bottom"/>
          </w:tcPr>
          <w:p>
            <w:pPr>
              <w:ind w:left="420"/>
              <w:spacing w:after="0"/>
              <w:rPr>
                <w:sz w:val="20"/>
                <w:szCs w:val="20"/>
                <w:color w:val="auto"/>
              </w:rPr>
            </w:pPr>
            <w:r>
              <w:rPr>
                <w:rFonts w:ascii="Arial" w:cs="Arial" w:eastAsia="Arial" w:hAnsi="Arial"/>
                <w:sz w:val="13"/>
                <w:szCs w:val="13"/>
                <w:color w:val="auto"/>
              </w:rPr>
              <w:t>Changes in operating assets and liabilities: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040" w:type="dxa"/>
            <w:vAlign w:val="bottom"/>
            <w:shd w:val="clear" w:color="auto" w:fill="CFF0FC"/>
          </w:tcPr>
          <w:p>
            <w:pPr>
              <w:ind w:left="640"/>
              <w:spacing w:after="0"/>
              <w:rPr>
                <w:sz w:val="20"/>
                <w:szCs w:val="20"/>
                <w:color w:val="auto"/>
              </w:rPr>
            </w:pPr>
            <w:r>
              <w:rPr>
                <w:rFonts w:ascii="Arial" w:cs="Arial" w:eastAsia="Arial" w:hAnsi="Arial"/>
                <w:sz w:val="13"/>
                <w:szCs w:val="13"/>
                <w:color w:val="auto"/>
              </w:rPr>
              <w:t>Prepaid expenses and other assets</w:t>
            </w: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(4,314)</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(52)</w:t>
            </w: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1,033</w:t>
            </w:r>
          </w:p>
        </w:tc>
        <w:tc>
          <w:tcPr>
            <w:tcW w:w="120" w:type="dxa"/>
            <w:vAlign w:val="bottom"/>
            <w:shd w:val="clear" w:color="auto" w:fill="CFF0FC"/>
          </w:tcPr>
          <w:p>
            <w:pPr>
              <w:spacing w:after="0"/>
              <w:rPr>
                <w:sz w:val="13"/>
                <w:szCs w:val="13"/>
                <w:color w:val="auto"/>
              </w:rPr>
            </w:pPr>
          </w:p>
        </w:tc>
      </w:tr>
      <w:tr>
        <w:trPr>
          <w:trHeight w:val="154"/>
        </w:trPr>
        <w:tc>
          <w:tcPr>
            <w:tcW w:w="7040" w:type="dxa"/>
            <w:vAlign w:val="bottom"/>
          </w:tcPr>
          <w:p>
            <w:pPr>
              <w:ind w:left="640"/>
              <w:spacing w:after="0"/>
              <w:rPr>
                <w:sz w:val="20"/>
                <w:szCs w:val="20"/>
                <w:color w:val="auto"/>
              </w:rPr>
            </w:pPr>
            <w:r>
              <w:rPr>
                <w:rFonts w:ascii="Arial" w:cs="Arial" w:eastAsia="Arial" w:hAnsi="Arial"/>
                <w:sz w:val="13"/>
                <w:szCs w:val="13"/>
                <w:color w:val="auto"/>
              </w:rPr>
              <w:t>Accounts payable</w:t>
            </w:r>
          </w:p>
        </w:tc>
        <w:tc>
          <w:tcPr>
            <w:tcW w:w="26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(2,670)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4,739</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(792)</w:t>
            </w:r>
          </w:p>
        </w:tc>
      </w:tr>
      <w:tr>
        <w:trPr>
          <w:trHeight w:val="154"/>
        </w:trPr>
        <w:tc>
          <w:tcPr>
            <w:tcW w:w="7040" w:type="dxa"/>
            <w:vAlign w:val="bottom"/>
            <w:shd w:val="clear" w:color="auto" w:fill="CFF0FC"/>
          </w:tcPr>
          <w:p>
            <w:pPr>
              <w:ind w:left="640"/>
              <w:spacing w:after="0"/>
              <w:rPr>
                <w:sz w:val="20"/>
                <w:szCs w:val="20"/>
                <w:color w:val="auto"/>
              </w:rPr>
            </w:pPr>
            <w:r>
              <w:rPr>
                <w:rFonts w:ascii="Arial" w:cs="Arial" w:eastAsia="Arial" w:hAnsi="Arial"/>
                <w:sz w:val="13"/>
                <w:szCs w:val="13"/>
                <w:color w:val="auto"/>
              </w:rPr>
              <w:t>Deferred revenue</w:t>
            </w: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(1,517)</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(1,517)</w:t>
            </w: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(1,517)</w:t>
            </w:r>
          </w:p>
        </w:tc>
      </w:tr>
      <w:tr>
        <w:trPr>
          <w:trHeight w:val="154"/>
        </w:trPr>
        <w:tc>
          <w:tcPr>
            <w:tcW w:w="7040" w:type="dxa"/>
            <w:vAlign w:val="bottom"/>
          </w:tcPr>
          <w:p>
            <w:pPr>
              <w:ind w:left="640"/>
              <w:spacing w:after="0"/>
              <w:rPr>
                <w:sz w:val="20"/>
                <w:szCs w:val="20"/>
                <w:color w:val="auto"/>
              </w:rPr>
            </w:pPr>
            <w:r>
              <w:rPr>
                <w:rFonts w:ascii="Arial" w:cs="Arial" w:eastAsia="Arial" w:hAnsi="Arial"/>
                <w:sz w:val="13"/>
                <w:szCs w:val="13"/>
                <w:color w:val="auto"/>
              </w:rPr>
              <w:t>Accrued expenses and other liabilities</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(3,411)</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974</w:t>
            </w:r>
          </w:p>
        </w:tc>
        <w:tc>
          <w:tcPr>
            <w:tcW w:w="120" w:type="dxa"/>
            <w:vAlign w:val="bottom"/>
          </w:tcPr>
          <w:p>
            <w:pPr>
              <w:spacing w:after="0"/>
              <w:rPr>
                <w:sz w:val="13"/>
                <w:szCs w:val="13"/>
                <w:color w:val="auto"/>
              </w:rPr>
            </w:pPr>
          </w:p>
        </w:tc>
      </w:tr>
      <w:tr>
        <w:trPr>
          <w:trHeight w:val="146"/>
        </w:trPr>
        <w:tc>
          <w:tcPr>
            <w:tcW w:w="7040" w:type="dxa"/>
            <w:vAlign w:val="bottom"/>
            <w:tcBorders>
              <w:top w:val="single" w:sz="8" w:color="CFF0FC"/>
            </w:tcBorders>
            <w:shd w:val="clear" w:color="auto" w:fill="CFF0FC"/>
          </w:tcPr>
          <w:p>
            <w:pPr>
              <w:ind w:left="640"/>
              <w:spacing w:after="0" w:line="146" w:lineRule="exact"/>
              <w:rPr>
                <w:sz w:val="20"/>
                <w:szCs w:val="20"/>
                <w:color w:val="auto"/>
              </w:rPr>
            </w:pPr>
            <w:r>
              <w:rPr>
                <w:rFonts w:ascii="Arial" w:cs="Arial" w:eastAsia="Arial" w:hAnsi="Arial"/>
                <w:sz w:val="13"/>
                <w:szCs w:val="13"/>
                <w:color w:val="auto"/>
              </w:rPr>
              <w:t>Net cash used in operating activities</w:t>
            </w: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(71,260)</w:t>
            </w: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(50,612)</w:t>
            </w:r>
          </w:p>
        </w:tc>
        <w:tc>
          <w:tcPr>
            <w:tcW w:w="3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(68,531)</w:t>
            </w:r>
          </w:p>
        </w:tc>
        <w:tc>
          <w:tcPr>
            <w:tcW w:w="120" w:type="dxa"/>
            <w:vAlign w:val="bottom"/>
            <w:tcBorders>
              <w:top w:val="single" w:sz="8" w:color="CFF0FC"/>
            </w:tcBorders>
            <w:shd w:val="clear" w:color="auto" w:fill="CFF0FC"/>
          </w:tcPr>
          <w:p>
            <w:pPr>
              <w:spacing w:after="0"/>
              <w:rPr>
                <w:sz w:val="12"/>
                <w:szCs w:val="12"/>
                <w:color w:val="auto"/>
              </w:rPr>
            </w:pPr>
          </w:p>
        </w:tc>
      </w:tr>
      <w:tr>
        <w:trPr>
          <w:trHeight w:val="146"/>
        </w:trPr>
        <w:tc>
          <w:tcPr>
            <w:tcW w:w="7040" w:type="dxa"/>
            <w:vAlign w:val="bottom"/>
          </w:tcPr>
          <w:p>
            <w:pPr>
              <w:spacing w:after="0" w:line="146" w:lineRule="exact"/>
              <w:rPr>
                <w:sz w:val="20"/>
                <w:szCs w:val="20"/>
                <w:color w:val="auto"/>
              </w:rPr>
            </w:pPr>
            <w:r>
              <w:rPr>
                <w:rFonts w:ascii="Arial" w:cs="Arial" w:eastAsia="Arial" w:hAnsi="Arial"/>
                <w:sz w:val="13"/>
                <w:szCs w:val="13"/>
                <w:b w:val="1"/>
                <w:bCs w:val="1"/>
                <w:color w:val="auto"/>
              </w:rPr>
              <w:t>CASH FLOWS FROM INVESTING ACTIVITIES: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70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Purchases of property and equipment</w:t>
            </w: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(187)</w:t>
            </w:r>
          </w:p>
        </w:tc>
      </w:tr>
      <w:tr>
        <w:trPr>
          <w:trHeight w:val="154"/>
        </w:trPr>
        <w:tc>
          <w:tcPr>
            <w:tcW w:w="7040" w:type="dxa"/>
            <w:vAlign w:val="bottom"/>
          </w:tcPr>
          <w:p>
            <w:pPr>
              <w:ind w:left="220"/>
              <w:spacing w:after="0"/>
              <w:rPr>
                <w:sz w:val="20"/>
                <w:szCs w:val="20"/>
                <w:color w:val="auto"/>
              </w:rPr>
            </w:pPr>
            <w:r>
              <w:rPr>
                <w:rFonts w:ascii="Arial" w:cs="Arial" w:eastAsia="Arial" w:hAnsi="Arial"/>
                <w:sz w:val="13"/>
                <w:szCs w:val="13"/>
                <w:color w:val="auto"/>
              </w:rPr>
              <w:t>Purchases of short-term investments</w:t>
            </w:r>
          </w:p>
        </w:tc>
        <w:tc>
          <w:tcPr>
            <w:tcW w:w="26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(278,937)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(104,018)</w:t>
            </w:r>
          </w:p>
        </w:tc>
        <w:tc>
          <w:tcPr>
            <w:tcW w:w="26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(78,844)</w:t>
            </w:r>
          </w:p>
        </w:tc>
      </w:tr>
      <w:tr>
        <w:trPr>
          <w:trHeight w:val="154"/>
        </w:trPr>
        <w:tc>
          <w:tcPr>
            <w:tcW w:w="70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Proceeds from sales and maturities of short-term investments</w:t>
            </w:r>
          </w:p>
        </w:tc>
        <w:tc>
          <w:tcPr>
            <w:tcW w:w="2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136,407</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116,799</w:t>
            </w:r>
          </w:p>
        </w:tc>
        <w:tc>
          <w:tcPr>
            <w:tcW w:w="3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130,429</w:t>
            </w:r>
          </w:p>
        </w:tc>
        <w:tc>
          <w:tcPr>
            <w:tcW w:w="120" w:type="dxa"/>
            <w:vAlign w:val="bottom"/>
            <w:shd w:val="clear" w:color="auto" w:fill="CFF0FC"/>
          </w:tcPr>
          <w:p>
            <w:pPr>
              <w:spacing w:after="0"/>
              <w:rPr>
                <w:sz w:val="13"/>
                <w:szCs w:val="13"/>
                <w:color w:val="auto"/>
              </w:rPr>
            </w:pPr>
          </w:p>
        </w:tc>
      </w:tr>
      <w:tr>
        <w:trPr>
          <w:trHeight w:val="146"/>
        </w:trPr>
        <w:tc>
          <w:tcPr>
            <w:tcW w:w="7040" w:type="dxa"/>
            <w:vAlign w:val="bottom"/>
            <w:tcBorders>
              <w:bottom w:val="single" w:sz="8" w:color="CFF0FC"/>
            </w:tcBorders>
          </w:tcPr>
          <w:p>
            <w:pPr>
              <w:ind w:left="420"/>
              <w:spacing w:after="0" w:line="146" w:lineRule="exact"/>
              <w:rPr>
                <w:sz w:val="20"/>
                <w:szCs w:val="20"/>
                <w:color w:val="auto"/>
              </w:rPr>
            </w:pPr>
            <w:r>
              <w:rPr>
                <w:rFonts w:ascii="Arial" w:cs="Arial" w:eastAsia="Arial" w:hAnsi="Arial"/>
                <w:sz w:val="13"/>
                <w:szCs w:val="13"/>
                <w:color w:val="auto"/>
              </w:rPr>
              <w:t>Net cash provided by (used in) investing activities</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(142,530)</w:t>
            </w:r>
          </w:p>
        </w:tc>
        <w:tc>
          <w:tcPr>
            <w:tcW w:w="10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12,781</w:t>
            </w:r>
          </w:p>
        </w:tc>
        <w:tc>
          <w:tcPr>
            <w:tcW w:w="3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51,398</w:t>
            </w:r>
          </w:p>
        </w:tc>
        <w:tc>
          <w:tcPr>
            <w:tcW w:w="120" w:type="dxa"/>
            <w:vAlign w:val="bottom"/>
            <w:tcBorders>
              <w:bottom w:val="single" w:sz="8" w:color="CFF0FC"/>
            </w:tcBorders>
          </w:tcPr>
          <w:p>
            <w:pPr>
              <w:spacing w:after="0"/>
              <w:rPr>
                <w:sz w:val="12"/>
                <w:szCs w:val="12"/>
                <w:color w:val="auto"/>
              </w:rPr>
            </w:pPr>
          </w:p>
        </w:tc>
      </w:tr>
      <w:tr>
        <w:trPr>
          <w:trHeight w:val="146"/>
        </w:trPr>
        <w:tc>
          <w:tcPr>
            <w:tcW w:w="7040" w:type="dxa"/>
            <w:vAlign w:val="bottom"/>
            <w:shd w:val="clear" w:color="auto" w:fill="CFF0FC"/>
          </w:tcPr>
          <w:p>
            <w:pPr>
              <w:spacing w:after="0" w:line="146" w:lineRule="exact"/>
              <w:rPr>
                <w:sz w:val="20"/>
                <w:szCs w:val="20"/>
                <w:color w:val="auto"/>
              </w:rPr>
            </w:pPr>
            <w:r>
              <w:rPr>
                <w:rFonts w:ascii="Arial" w:cs="Arial" w:eastAsia="Arial" w:hAnsi="Arial"/>
                <w:sz w:val="13"/>
                <w:szCs w:val="13"/>
                <w:b w:val="1"/>
                <w:bCs w:val="1"/>
                <w:color w:val="auto"/>
              </w:rPr>
              <w:t>CASH FLOWS FROM FINANCING ACTIVITIES:</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7040" w:type="dxa"/>
            <w:vAlign w:val="bottom"/>
          </w:tcPr>
          <w:p>
            <w:pPr>
              <w:ind w:left="220"/>
              <w:spacing w:after="0"/>
              <w:rPr>
                <w:sz w:val="20"/>
                <w:szCs w:val="20"/>
                <w:color w:val="auto"/>
              </w:rPr>
            </w:pPr>
            <w:r>
              <w:rPr>
                <w:rFonts w:ascii="Arial" w:cs="Arial" w:eastAsia="Arial" w:hAnsi="Arial"/>
                <w:sz w:val="13"/>
                <w:szCs w:val="13"/>
                <w:color w:val="auto"/>
              </w:rPr>
              <w:t>Proceeds from issuance of common stock in follow on public offerings, net</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242,849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54"/>
        </w:trPr>
        <w:tc>
          <w:tcPr>
            <w:tcW w:w="70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Proceeds from issuance of common stock in at-the-market offering, net</w:t>
            </w: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830</w:t>
            </w:r>
          </w:p>
        </w:tc>
        <w:tc>
          <w:tcPr>
            <w:tcW w:w="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15,497</w:t>
            </w:r>
          </w:p>
        </w:tc>
        <w:tc>
          <w:tcPr>
            <w:tcW w:w="120" w:type="dxa"/>
            <w:vAlign w:val="bottom"/>
            <w:shd w:val="clear" w:color="auto" w:fill="CFF0FC"/>
          </w:tcPr>
          <w:p>
            <w:pPr>
              <w:spacing w:after="0"/>
              <w:rPr>
                <w:sz w:val="13"/>
                <w:szCs w:val="13"/>
                <w:color w:val="auto"/>
              </w:rPr>
            </w:pPr>
          </w:p>
        </w:tc>
      </w:tr>
      <w:tr>
        <w:trPr>
          <w:trHeight w:val="154"/>
        </w:trPr>
        <w:tc>
          <w:tcPr>
            <w:tcW w:w="7040" w:type="dxa"/>
            <w:vAlign w:val="bottom"/>
          </w:tcPr>
          <w:p>
            <w:pPr>
              <w:ind w:left="220"/>
              <w:spacing w:after="0"/>
              <w:rPr>
                <w:sz w:val="20"/>
                <w:szCs w:val="20"/>
                <w:color w:val="auto"/>
              </w:rPr>
            </w:pPr>
            <w:r>
              <w:rPr>
                <w:rFonts w:ascii="Arial" w:cs="Arial" w:eastAsia="Arial" w:hAnsi="Arial"/>
                <w:sz w:val="13"/>
                <w:szCs w:val="13"/>
                <w:color w:val="auto"/>
              </w:rPr>
              <w:t>Proceeds from issuance of common stock in direct placement offering, net</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34,866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27,380</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54"/>
        </w:trPr>
        <w:tc>
          <w:tcPr>
            <w:tcW w:w="70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Proceeds from term loan agreement, net</w:t>
            </w: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19,730</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54"/>
        </w:trPr>
        <w:tc>
          <w:tcPr>
            <w:tcW w:w="7040" w:type="dxa"/>
            <w:vAlign w:val="bottom"/>
          </w:tcPr>
          <w:p>
            <w:pPr>
              <w:ind w:left="220"/>
              <w:spacing w:after="0"/>
              <w:rPr>
                <w:sz w:val="20"/>
                <w:szCs w:val="20"/>
                <w:color w:val="auto"/>
              </w:rPr>
            </w:pPr>
            <w:r>
              <w:rPr>
                <w:rFonts w:ascii="Arial" w:cs="Arial" w:eastAsia="Arial" w:hAnsi="Arial"/>
                <w:sz w:val="13"/>
                <w:szCs w:val="13"/>
                <w:color w:val="auto"/>
              </w:rPr>
              <w:t>Proceeds from Employee Stock Purchase Plan</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182</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13"/>
                <w:szCs w:val="13"/>
                <w:color w:val="auto"/>
              </w:rPr>
            </w:pPr>
          </w:p>
        </w:tc>
      </w:tr>
      <w:tr>
        <w:trPr>
          <w:trHeight w:val="154"/>
        </w:trPr>
        <w:tc>
          <w:tcPr>
            <w:tcW w:w="70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Proceeds from exercise of stock options</w:t>
            </w: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6,633</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w:t>
            </w:r>
          </w:p>
        </w:tc>
        <w:tc>
          <w:tcPr>
            <w:tcW w:w="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FF0FC"/>
          </w:tcPr>
          <w:p>
            <w:pPr>
              <w:spacing w:after="0"/>
              <w:rPr>
                <w:sz w:val="13"/>
                <w:szCs w:val="13"/>
                <w:color w:val="auto"/>
              </w:rPr>
            </w:pPr>
          </w:p>
        </w:tc>
      </w:tr>
      <w:tr>
        <w:trPr>
          <w:trHeight w:val="154"/>
        </w:trPr>
        <w:tc>
          <w:tcPr>
            <w:tcW w:w="7040" w:type="dxa"/>
            <w:vAlign w:val="bottom"/>
          </w:tcPr>
          <w:p>
            <w:pPr>
              <w:ind w:left="220"/>
              <w:spacing w:after="0"/>
              <w:rPr>
                <w:sz w:val="20"/>
                <w:szCs w:val="20"/>
                <w:color w:val="auto"/>
              </w:rPr>
            </w:pPr>
            <w:r>
              <w:rPr>
                <w:rFonts w:ascii="Arial" w:cs="Arial" w:eastAsia="Arial" w:hAnsi="Arial"/>
                <w:sz w:val="13"/>
                <w:szCs w:val="13"/>
                <w:color w:val="auto"/>
              </w:rPr>
              <w:t>Other</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r>
      <w:tr>
        <w:trPr>
          <w:trHeight w:val="146"/>
        </w:trPr>
        <w:tc>
          <w:tcPr>
            <w:tcW w:w="7040" w:type="dxa"/>
            <w:vAlign w:val="bottom"/>
            <w:tcBorders>
              <w:top w:val="single" w:sz="8" w:color="CFF0FC"/>
            </w:tcBorders>
            <w:shd w:val="clear" w:color="auto" w:fill="CFF0FC"/>
          </w:tcPr>
          <w:p>
            <w:pPr>
              <w:ind w:left="420"/>
              <w:spacing w:after="0" w:line="146" w:lineRule="exact"/>
              <w:rPr>
                <w:sz w:val="20"/>
                <w:szCs w:val="20"/>
                <w:color w:val="auto"/>
              </w:rPr>
            </w:pPr>
            <w:r>
              <w:rPr>
                <w:rFonts w:ascii="Arial" w:cs="Arial" w:eastAsia="Arial" w:hAnsi="Arial"/>
                <w:sz w:val="13"/>
                <w:szCs w:val="13"/>
                <w:color w:val="auto"/>
              </w:rPr>
              <w:t>Net cash provided by financing activities</w:t>
            </w: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304,424</w:t>
            </w: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28,570</w:t>
            </w:r>
          </w:p>
        </w:tc>
        <w:tc>
          <w:tcPr>
            <w:tcW w:w="3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15,729</w:t>
            </w:r>
          </w:p>
        </w:tc>
        <w:tc>
          <w:tcPr>
            <w:tcW w:w="120" w:type="dxa"/>
            <w:vAlign w:val="bottom"/>
            <w:tcBorders>
              <w:top w:val="single" w:sz="8" w:color="CFF0FC"/>
            </w:tcBorders>
            <w:shd w:val="clear" w:color="auto" w:fill="CFF0FC"/>
          </w:tcPr>
          <w:p>
            <w:pPr>
              <w:spacing w:after="0"/>
              <w:rPr>
                <w:sz w:val="12"/>
                <w:szCs w:val="12"/>
                <w:color w:val="auto"/>
              </w:rPr>
            </w:pPr>
          </w:p>
        </w:tc>
      </w:tr>
      <w:tr>
        <w:trPr>
          <w:trHeight w:val="133"/>
        </w:trPr>
        <w:tc>
          <w:tcPr>
            <w:tcW w:w="7040" w:type="dxa"/>
            <w:vAlign w:val="bottom"/>
          </w:tcPr>
          <w:p>
            <w:pPr>
              <w:spacing w:after="0" w:line="133" w:lineRule="exact"/>
              <w:rPr>
                <w:sz w:val="20"/>
                <w:szCs w:val="20"/>
                <w:color w:val="auto"/>
              </w:rPr>
            </w:pPr>
            <w:r>
              <w:rPr>
                <w:rFonts w:ascii="Arial" w:cs="Arial" w:eastAsia="Arial" w:hAnsi="Arial"/>
                <w:sz w:val="13"/>
                <w:szCs w:val="13"/>
                <w:color w:val="auto"/>
              </w:rPr>
              <w:t>NET (DECREASE) INCREASE IN CASH, CASH EQUIVALENTS AND</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7040" w:type="dxa"/>
            <w:vAlign w:val="bottom"/>
          </w:tcPr>
          <w:p>
            <w:pPr>
              <w:ind w:left="100"/>
              <w:spacing w:after="0"/>
              <w:rPr>
                <w:sz w:val="20"/>
                <w:szCs w:val="20"/>
                <w:color w:val="auto"/>
              </w:rPr>
            </w:pPr>
            <w:r>
              <w:rPr>
                <w:rFonts w:ascii="Arial" w:cs="Arial" w:eastAsia="Arial" w:hAnsi="Arial"/>
                <w:sz w:val="13"/>
                <w:szCs w:val="13"/>
                <w:color w:val="auto"/>
              </w:rPr>
              <w:t>RESTRICTED CASH</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90,634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(9,261)</w:t>
            </w:r>
          </w:p>
        </w:tc>
        <w:tc>
          <w:tcPr>
            <w:tcW w:w="26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(1,404)</w:t>
            </w:r>
          </w:p>
        </w:tc>
      </w:tr>
      <w:tr>
        <w:trPr>
          <w:trHeight w:val="154"/>
        </w:trPr>
        <w:tc>
          <w:tcPr>
            <w:tcW w:w="704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CASH—beginning of year</w:t>
            </w:r>
          </w:p>
        </w:tc>
        <w:tc>
          <w:tcPr>
            <w:tcW w:w="2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24,724</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33,985</w:t>
            </w:r>
          </w:p>
        </w:tc>
        <w:tc>
          <w:tcPr>
            <w:tcW w:w="3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35,389</w:t>
            </w:r>
          </w:p>
        </w:tc>
        <w:tc>
          <w:tcPr>
            <w:tcW w:w="120" w:type="dxa"/>
            <w:vAlign w:val="bottom"/>
            <w:shd w:val="clear" w:color="auto" w:fill="CFF0FC"/>
          </w:tcPr>
          <w:p>
            <w:pPr>
              <w:spacing w:after="0"/>
              <w:rPr>
                <w:sz w:val="13"/>
                <w:szCs w:val="13"/>
                <w:color w:val="auto"/>
              </w:rPr>
            </w:pPr>
          </w:p>
        </w:tc>
      </w:tr>
      <w:tr>
        <w:trPr>
          <w:trHeight w:val="146"/>
        </w:trPr>
        <w:tc>
          <w:tcPr>
            <w:tcW w:w="7040" w:type="dxa"/>
            <w:vAlign w:val="bottom"/>
          </w:tcPr>
          <w:p>
            <w:pPr>
              <w:spacing w:after="0" w:line="146" w:lineRule="exact"/>
              <w:rPr>
                <w:sz w:val="20"/>
                <w:szCs w:val="20"/>
                <w:color w:val="auto"/>
              </w:rPr>
            </w:pPr>
            <w:r>
              <w:rPr>
                <w:rFonts w:ascii="Arial" w:cs="Arial" w:eastAsia="Arial" w:hAnsi="Arial"/>
                <w:sz w:val="13"/>
                <w:szCs w:val="13"/>
                <w:color w:val="auto"/>
              </w:rPr>
              <w:t>CASH, CASH EQUIVALENTS AND RESTRICTED CASH—end of year</w:t>
            </w: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115,358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24,724</w:t>
            </w:r>
          </w:p>
        </w:tc>
        <w:tc>
          <w:tcPr>
            <w:tcW w:w="320" w:type="dxa"/>
            <w:vAlign w:val="bottom"/>
          </w:tcPr>
          <w:p>
            <w:pPr>
              <w:spacing w:after="0"/>
              <w:rPr>
                <w:sz w:val="12"/>
                <w:szCs w:val="1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33,985</w:t>
            </w:r>
          </w:p>
        </w:tc>
        <w:tc>
          <w:tcPr>
            <w:tcW w:w="120" w:type="dxa"/>
            <w:vAlign w:val="bottom"/>
          </w:tcPr>
          <w:p>
            <w:pPr>
              <w:spacing w:after="0"/>
              <w:rPr>
                <w:sz w:val="12"/>
                <w:szCs w:val="12"/>
                <w:color w:val="auto"/>
              </w:rPr>
            </w:pPr>
          </w:p>
        </w:tc>
      </w:tr>
      <w:tr>
        <w:trPr>
          <w:trHeight w:val="20"/>
        </w:trPr>
        <w:tc>
          <w:tcPr>
            <w:tcW w:w="7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8"/>
        </w:trPr>
        <w:tc>
          <w:tcPr>
            <w:tcW w:w="7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87"/>
              </w:rPr>
              <w:t>Years Ended December 31,</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4"/>
        </w:trPr>
        <w:tc>
          <w:tcPr>
            <w:tcW w:w="70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93"/>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73"/>
              <w:spacing w:after="0" w:line="134" w:lineRule="exact"/>
              <w:rPr>
                <w:sz w:val="20"/>
                <w:szCs w:val="20"/>
                <w:color w:val="auto"/>
              </w:rPr>
            </w:pPr>
            <w:r>
              <w:rPr>
                <w:rFonts w:ascii="Arial" w:cs="Arial" w:eastAsia="Arial" w:hAnsi="Arial"/>
                <w:sz w:val="13"/>
                <w:szCs w:val="13"/>
                <w:b w:val="1"/>
                <w:bCs w:val="1"/>
                <w:color w:val="auto"/>
                <w:w w:val="82"/>
              </w:rPr>
              <w:t>2019</w:t>
            </w:r>
          </w:p>
        </w:tc>
        <w:tc>
          <w:tcPr>
            <w:tcW w:w="3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93"/>
              <w:spacing w:after="0" w:line="134"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1"/>
                <w:szCs w:val="11"/>
                <w:color w:val="auto"/>
              </w:rPr>
            </w:pPr>
          </w:p>
        </w:tc>
      </w:tr>
      <w:tr>
        <w:trPr>
          <w:trHeight w:val="134"/>
        </w:trPr>
        <w:tc>
          <w:tcPr>
            <w:tcW w:w="7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440"/>
              <w:spacing w:after="0" w:line="134" w:lineRule="exact"/>
              <w:rPr>
                <w:sz w:val="20"/>
                <w:szCs w:val="20"/>
                <w:color w:val="auto"/>
              </w:rPr>
            </w:pPr>
            <w:r>
              <w:rPr>
                <w:rFonts w:ascii="Arial" w:cs="Arial" w:eastAsia="Arial" w:hAnsi="Arial"/>
                <w:sz w:val="13"/>
                <w:szCs w:val="13"/>
                <w:i w:val="1"/>
                <w:iCs w:val="1"/>
                <w:color w:val="auto"/>
                <w:w w:val="88"/>
              </w:rPr>
              <w:t>(In thousands)</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4"/>
        </w:trPr>
        <w:tc>
          <w:tcPr>
            <w:tcW w:w="7040" w:type="dxa"/>
            <w:vAlign w:val="bottom"/>
            <w:shd w:val="clear" w:color="auto" w:fill="CFF0FC"/>
          </w:tcPr>
          <w:p>
            <w:pPr>
              <w:spacing w:after="0"/>
              <w:rPr>
                <w:sz w:val="20"/>
                <w:szCs w:val="20"/>
                <w:color w:val="auto"/>
              </w:rPr>
            </w:pPr>
            <w:r>
              <w:rPr>
                <w:rFonts w:ascii="Arial" w:cs="Arial" w:eastAsia="Arial" w:hAnsi="Arial"/>
                <w:sz w:val="13"/>
                <w:szCs w:val="13"/>
                <w:color w:val="auto"/>
              </w:rPr>
              <w:t>Cash and cash equivalents</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115,243</w:t>
            </w:r>
          </w:p>
        </w:tc>
        <w:tc>
          <w:tcPr>
            <w:tcW w:w="10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24,609</w:t>
            </w:r>
          </w:p>
        </w:tc>
        <w:tc>
          <w:tcPr>
            <w:tcW w:w="32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33,769</w:t>
            </w:r>
          </w:p>
        </w:tc>
        <w:tc>
          <w:tcPr>
            <w:tcW w:w="120" w:type="dxa"/>
            <w:vAlign w:val="bottom"/>
            <w:shd w:val="clear" w:color="auto" w:fill="CFF0FC"/>
          </w:tcPr>
          <w:p>
            <w:pPr>
              <w:spacing w:after="0"/>
              <w:rPr>
                <w:sz w:val="13"/>
                <w:szCs w:val="13"/>
                <w:color w:val="auto"/>
              </w:rPr>
            </w:pPr>
          </w:p>
        </w:tc>
      </w:tr>
      <w:tr>
        <w:trPr>
          <w:trHeight w:val="154"/>
        </w:trPr>
        <w:tc>
          <w:tcPr>
            <w:tcW w:w="70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Restricted cash included in current and noncurrent assets</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3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w:t>
            </w:r>
          </w:p>
        </w:tc>
        <w:tc>
          <w:tcPr>
            <w:tcW w:w="120" w:type="dxa"/>
            <w:vAlign w:val="bottom"/>
            <w:tcBorders>
              <w:bottom w:val="single" w:sz="8" w:color="CFF0FC"/>
            </w:tcBorders>
          </w:tcPr>
          <w:p>
            <w:pPr>
              <w:spacing w:after="0"/>
              <w:rPr>
                <w:sz w:val="13"/>
                <w:szCs w:val="13"/>
                <w:color w:val="auto"/>
              </w:rPr>
            </w:pPr>
          </w:p>
        </w:tc>
      </w:tr>
      <w:tr>
        <w:trPr>
          <w:trHeight w:val="146"/>
        </w:trPr>
        <w:tc>
          <w:tcPr>
            <w:tcW w:w="7040" w:type="dxa"/>
            <w:vAlign w:val="bottom"/>
            <w:tcBorders>
              <w:bottom w:val="single" w:sz="8" w:color="CFF0FC"/>
            </w:tcBorders>
            <w:shd w:val="clear" w:color="auto" w:fill="CFF0FC"/>
          </w:tcPr>
          <w:p>
            <w:pPr>
              <w:spacing w:after="0" w:line="146" w:lineRule="exact"/>
              <w:rPr>
                <w:sz w:val="20"/>
                <w:szCs w:val="20"/>
                <w:color w:val="auto"/>
              </w:rPr>
            </w:pPr>
            <w:r>
              <w:rPr>
                <w:rFonts w:ascii="Arial" w:cs="Arial" w:eastAsia="Arial" w:hAnsi="Arial"/>
                <w:sz w:val="13"/>
                <w:szCs w:val="13"/>
                <w:color w:val="auto"/>
              </w:rPr>
              <w:t>Cash, cash equivalents and restricted cash</w:t>
            </w:r>
          </w:p>
        </w:tc>
        <w:tc>
          <w:tcPr>
            <w:tcW w:w="2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115,358</w:t>
            </w: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24,724</w:t>
            </w:r>
          </w:p>
        </w:tc>
        <w:tc>
          <w:tcPr>
            <w:tcW w:w="3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FF0FC"/>
          </w:tcPr>
          <w:p>
            <w:pPr>
              <w:jc w:val="right"/>
              <w:spacing w:after="0" w:line="146" w:lineRule="exact"/>
              <w:rPr>
                <w:sz w:val="20"/>
                <w:szCs w:val="20"/>
                <w:color w:val="auto"/>
              </w:rPr>
            </w:pPr>
            <w:r>
              <w:rPr>
                <w:rFonts w:ascii="Arial" w:cs="Arial" w:eastAsia="Arial" w:hAnsi="Arial"/>
                <w:sz w:val="13"/>
                <w:szCs w:val="13"/>
                <w:color w:val="auto"/>
              </w:rPr>
              <w:t>33,985</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20"/>
        </w:trPr>
        <w:tc>
          <w:tcPr>
            <w:tcW w:w="7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Supplemental disclosures of cash flow information (Note 17).</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b w:val="1"/>
          <w:bCs w:val="1"/>
          <w:color w:val="auto"/>
        </w:rPr>
        <w:t>SYNDAX PHARMACEUTICALS, INC.</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Business</w:t>
      </w:r>
    </w:p>
    <w:p>
      <w:pPr>
        <w:spacing w:after="0" w:line="104" w:lineRule="exact"/>
        <w:rPr>
          <w:sz w:val="20"/>
          <w:szCs w:val="20"/>
          <w:color w:val="auto"/>
        </w:rPr>
      </w:pPr>
    </w:p>
    <w:p>
      <w:pPr>
        <w:ind w:right="60" w:firstLine="590"/>
        <w:spacing w:after="0" w:line="251" w:lineRule="auto"/>
        <w:rPr>
          <w:sz w:val="20"/>
          <w:szCs w:val="20"/>
          <w:color w:val="auto"/>
        </w:rPr>
      </w:pPr>
      <w:r>
        <w:rPr>
          <w:rFonts w:ascii="Arial" w:cs="Arial" w:eastAsia="Arial" w:hAnsi="Arial"/>
          <w:sz w:val="16"/>
          <w:szCs w:val="16"/>
          <w:color w:val="auto"/>
        </w:rPr>
        <w:t>Syndax Pharmaceuticals, Inc. (“the Company”) is a clinical stage biopharmaceutical company developing an innovative pipeline of cancer therapies. The Company is developing SNDX-5613, targeting the binding interaction of menin with the mixed lineage leukemia 1 (MLL1) protein for the treatment of MLL-rearranged, or MLLr, acute leukemias and nucleophosmin 1, or NPM1, mutant acute myeloid leukemia (AML), as well as axatilimab, a monoclonal antibody that blocks the colony stimulating factor 1, or CSF-1 receptor. The Company has deprioritized the development of entinostat, a once-weekly, oral, small molecule, Class I HDAC inhibitor, to focus resources on advancing the remainder of our pipeline. The Company plans to continue to leverage the technical and business expertise of its management team and scientific collaborators to license, acquire and develop additional cancer therapies to expand its pipeline.</w:t>
      </w:r>
    </w:p>
    <w:p>
      <w:pPr>
        <w:spacing w:after="0" w:line="171" w:lineRule="exact"/>
        <w:rPr>
          <w:sz w:val="20"/>
          <w:szCs w:val="20"/>
          <w:color w:val="auto"/>
        </w:rPr>
      </w:pPr>
    </w:p>
    <w:p>
      <w:pPr>
        <w:ind w:firstLine="590"/>
        <w:spacing w:after="0" w:line="289" w:lineRule="auto"/>
        <w:rPr>
          <w:sz w:val="20"/>
          <w:szCs w:val="20"/>
          <w:color w:val="auto"/>
        </w:rPr>
      </w:pPr>
      <w:r>
        <w:rPr>
          <w:rFonts w:ascii="Arial" w:cs="Arial" w:eastAsia="Arial" w:hAnsi="Arial"/>
          <w:sz w:val="14"/>
          <w:szCs w:val="14"/>
          <w:color w:val="auto"/>
        </w:rPr>
        <w:t>Since its inception, the Company has devoted its efforts principally to research and development and raising capital. The 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develop and market its product candidates, expand its oncology drug pipeline, earn revenue, obtain additional capital when needed, and ultimately, achieve profitable operations. The Company anticipates that it will be several years before any of its product candidates is approved, if ever, and the Company begins to generate revenue from sales of such product candidates. Accordingly, management expects to incur substantial losses on the ongoing development of its product candidates and does not expect to achieve positive cash flow from operations for the foreseeable future, if ever.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49" w:lineRule="exact"/>
        <w:rPr>
          <w:sz w:val="20"/>
          <w:szCs w:val="20"/>
          <w:color w:val="auto"/>
        </w:rPr>
      </w:pPr>
    </w:p>
    <w:p>
      <w:pPr>
        <w:ind w:right="120" w:firstLine="590"/>
        <w:spacing w:after="0" w:line="271" w:lineRule="auto"/>
        <w:rPr>
          <w:sz w:val="20"/>
          <w:szCs w:val="20"/>
          <w:color w:val="auto"/>
        </w:rPr>
      </w:pPr>
      <w:r>
        <w:rPr>
          <w:rFonts w:ascii="Arial" w:cs="Arial" w:eastAsia="Arial" w:hAnsi="Arial"/>
          <w:sz w:val="15"/>
          <w:szCs w:val="15"/>
          <w:color w:val="auto"/>
        </w:rPr>
        <w:t>The Company’s management believes that the cash, cash equivalents and short-term investments balances as of December 31, 2020, should enable the Company to maintain its planned operations for at least twelve months from the date these financial statements were issued. The Company’s ability to fund all of its planned operations internally beyond that date, including the completion of its ongoing and planned clinical trial activities, may be substantially dependent upon whether the Company can obtain sufficient funding on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general and administrative activities.</w:t>
      </w:r>
    </w:p>
    <w:p>
      <w:pPr>
        <w:spacing w:after="0" w:line="157" w:lineRule="exact"/>
        <w:rPr>
          <w:sz w:val="20"/>
          <w:szCs w:val="20"/>
          <w:color w:val="auto"/>
        </w:rPr>
      </w:pPr>
    </w:p>
    <w:p>
      <w:pPr>
        <w:ind w:right="20" w:firstLine="590"/>
        <w:spacing w:after="0" w:line="269" w:lineRule="auto"/>
        <w:rPr>
          <w:sz w:val="20"/>
          <w:szCs w:val="20"/>
          <w:color w:val="auto"/>
        </w:rPr>
      </w:pPr>
      <w:r>
        <w:rPr>
          <w:rFonts w:ascii="Arial" w:cs="Arial" w:eastAsia="Arial" w:hAnsi="Arial"/>
          <w:sz w:val="15"/>
          <w:szCs w:val="15"/>
          <w:color w:val="auto"/>
        </w:rPr>
        <w:t>With the global spread of the ongoing COVID-19 pandemic in 2020, the Company has implemented business continuity plans designed to address and mitigate the impact of the COVID-19 pandemic on its business. The Company anticipates that the COVID-19 pandemic could have an impact on the clinical development timelines for one or more of its clinical programs. The extent to which the COVID-19 pandemic impacts the Company’s business, clinical development, manufacturing of clinical and commercial drug substance and drug product, and regulatory efforts, the corporate development objectives and the value of and market for the Company’s common stock, will depend on future developments that are highly uncertain and cannot be predicted with confidence at this time, such as the ultimate duration of the pandemic, travel restrictions, quarantines, social distancing and business closure requirements in the United States, Europe and other countries, and the effectiveness of actions taken globally to contain and treat the disease. The global economic slowdown, the overall disruption of global healthcare systems and the other risks and uncertainties associated with the pandemic could have a material adverse effect on its business, financial condition, results of operations and growth prospects.</w:t>
      </w:r>
    </w:p>
    <w:p>
      <w:pPr>
        <w:spacing w:after="0" w:line="158" w:lineRule="exact"/>
        <w:rPr>
          <w:sz w:val="20"/>
          <w:szCs w:val="20"/>
          <w:color w:val="auto"/>
        </w:rPr>
      </w:pPr>
    </w:p>
    <w:p>
      <w:pPr>
        <w:ind w:right="60" w:firstLine="590"/>
        <w:spacing w:after="0" w:line="268" w:lineRule="auto"/>
        <w:rPr>
          <w:sz w:val="20"/>
          <w:szCs w:val="20"/>
          <w:color w:val="auto"/>
        </w:rPr>
      </w:pPr>
      <w:r>
        <w:rPr>
          <w:rFonts w:ascii="Arial" w:cs="Arial" w:eastAsia="Arial" w:hAnsi="Arial"/>
          <w:sz w:val="16"/>
          <w:szCs w:val="16"/>
          <w:color w:val="auto"/>
        </w:rPr>
        <w:t>In addition, the Company is subject to other challenges and risks specific to its business and ability to execute on the strategy, as well as risks and uncertainties common to companies in the pharmaceutical industry with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92" w:name="page93"/>
    <w:bookmarkEnd w:id="92"/>
    <w:p>
      <w:pPr>
        <w:spacing w:after="0" w:line="297" w:lineRule="auto"/>
        <w:rPr>
          <w:sz w:val="20"/>
          <w:szCs w:val="20"/>
          <w:color w:val="auto"/>
        </w:rPr>
      </w:pPr>
      <w:r>
        <w:rPr>
          <w:rFonts w:ascii="Arial" w:cs="Arial" w:eastAsia="Arial" w:hAnsi="Arial"/>
          <w:sz w:val="14"/>
          <w:szCs w:val="14"/>
          <w:color w:val="auto"/>
        </w:rPr>
        <w:t>development and commercial operations, including, without limitation, risks and uncertainties associated with: obtaining regulatory approval of the Company’s late-stage product candidate; delays or problems in the supply of the Company’s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the Company’s intellectual property rights; complying with applicable regulatory requirements. In addition, to the extent the ongoing COVID-19 pandemic adversely affects the Company’s business and results of operations, it may also have the effect of heightening many of the other risks and uncertainties discussed above.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104" w:lineRule="exact"/>
        <w:rPr>
          <w:sz w:val="20"/>
          <w:szCs w:val="20"/>
          <w:color w:val="auto"/>
        </w:rPr>
      </w:pPr>
    </w:p>
    <w:p>
      <w:pPr>
        <w:ind w:right="280" w:firstLine="590"/>
        <w:spacing w:after="0" w:line="268" w:lineRule="auto"/>
        <w:rPr>
          <w:sz w:val="20"/>
          <w:szCs w:val="20"/>
          <w:color w:val="auto"/>
        </w:rPr>
      </w:pPr>
      <w:r>
        <w:rPr>
          <w:rFonts w:ascii="Arial" w:cs="Arial" w:eastAsia="Arial" w:hAnsi="Arial"/>
          <w:sz w:val="16"/>
          <w:szCs w:val="16"/>
          <w:color w:val="auto"/>
        </w:rPr>
        <w:t>The Company has prepared the accompanying consolidated financial statements in conformity with accounting principles generally accepted in the United States of America (“U.S. GAAP”).</w:t>
      </w:r>
    </w:p>
    <w:p>
      <w:pPr>
        <w:spacing w:after="0" w:line="157" w:lineRule="exact"/>
        <w:rPr>
          <w:sz w:val="20"/>
          <w:szCs w:val="20"/>
          <w:color w:val="auto"/>
        </w:rPr>
      </w:pPr>
    </w:p>
    <w:p>
      <w:pPr>
        <w:ind w:right="220" w:firstLine="590"/>
        <w:spacing w:after="0" w:line="257" w:lineRule="auto"/>
        <w:rPr>
          <w:sz w:val="20"/>
          <w:szCs w:val="20"/>
          <w:color w:val="auto"/>
        </w:rPr>
      </w:pPr>
      <w:r>
        <w:rPr>
          <w:rFonts w:ascii="Arial" w:cs="Arial" w:eastAsia="Arial" w:hAnsi="Arial"/>
          <w:sz w:val="16"/>
          <w:szCs w:val="16"/>
          <w:color w:val="auto"/>
        </w:rPr>
        <w:t>In 2011, the Company established a wholly owned subsidiary in the United Kingdom. There have been no activities for this entity to date. In 2014, the Company established a wholly owned U.S. subsidiary, Syndax Securities Corporation. The consolidated financial statements include the accounts of the Company and its wholly owned subsidiaries. All intercompany balances and transactions have been eliminated in consolidation.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Summary of Significant Accounting Policies</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Estimates</w:t>
      </w:r>
    </w:p>
    <w:p>
      <w:pPr>
        <w:spacing w:after="0" w:line="100" w:lineRule="exact"/>
        <w:rPr>
          <w:sz w:val="20"/>
          <w:szCs w:val="20"/>
          <w:color w:val="auto"/>
        </w:rPr>
      </w:pPr>
    </w:p>
    <w:p>
      <w:pPr>
        <w:ind w:right="200" w:firstLine="590"/>
        <w:spacing w:after="0" w:line="252"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76" w:lineRule="exact"/>
        <w:rPr>
          <w:sz w:val="20"/>
          <w:szCs w:val="20"/>
          <w:color w:val="auto"/>
        </w:rPr>
      </w:pPr>
    </w:p>
    <w:p>
      <w:pPr>
        <w:ind w:right="20" w:firstLine="590"/>
        <w:spacing w:after="0" w:line="251" w:lineRule="auto"/>
        <w:rPr>
          <w:sz w:val="20"/>
          <w:szCs w:val="20"/>
          <w:color w:val="auto"/>
        </w:rPr>
      </w:pPr>
      <w:r>
        <w:rPr>
          <w:rFonts w:ascii="Arial" w:cs="Arial" w:eastAsia="Arial" w:hAnsi="Arial"/>
          <w:sz w:val="16"/>
          <w:szCs w:val="16"/>
          <w:color w:val="auto"/>
        </w:rPr>
        <w:t>Management anticipates that the COVID-19 pandemic will have an impact on the clinical and pre-clinical development timelines for the Company’s clinical and pre-clinical programs.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Cash Equivalents</w:t>
      </w:r>
    </w:p>
    <w:p>
      <w:pPr>
        <w:spacing w:after="0" w:line="100" w:lineRule="exact"/>
        <w:rPr>
          <w:sz w:val="20"/>
          <w:szCs w:val="20"/>
          <w:color w:val="auto"/>
        </w:rPr>
      </w:pPr>
    </w:p>
    <w:p>
      <w:pPr>
        <w:ind w:right="500" w:firstLine="590"/>
        <w:spacing w:after="0" w:line="268" w:lineRule="auto"/>
        <w:rPr>
          <w:sz w:val="20"/>
          <w:szCs w:val="20"/>
          <w:color w:val="auto"/>
        </w:rPr>
      </w:pPr>
      <w:r>
        <w:rPr>
          <w:rFonts w:ascii="Arial" w:cs="Arial" w:eastAsia="Arial" w:hAnsi="Arial"/>
          <w:sz w:val="16"/>
          <w:szCs w:val="16"/>
          <w:color w:val="auto"/>
        </w:rPr>
        <w:t>Cash equivalents include all highly liquid investments maturing within 90 days or less from the date of purchase. Cash equivalents include money market funds, corporate debt securities, U.S. government agency notes, and overnight deposits.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Restricted Cash</w:t>
      </w:r>
    </w:p>
    <w:p>
      <w:pPr>
        <w:spacing w:after="0" w:line="100" w:lineRule="exact"/>
        <w:rPr>
          <w:sz w:val="20"/>
          <w:szCs w:val="20"/>
          <w:color w:val="auto"/>
        </w:rPr>
      </w:pPr>
    </w:p>
    <w:p>
      <w:pPr>
        <w:ind w:right="440" w:firstLine="590"/>
        <w:spacing w:after="0" w:line="268" w:lineRule="auto"/>
        <w:rPr>
          <w:sz w:val="20"/>
          <w:szCs w:val="20"/>
          <w:color w:val="auto"/>
        </w:rPr>
      </w:pPr>
      <w:r>
        <w:rPr>
          <w:rFonts w:ascii="Arial" w:cs="Arial" w:eastAsia="Arial" w:hAnsi="Arial"/>
          <w:sz w:val="16"/>
          <w:szCs w:val="16"/>
          <w:color w:val="auto"/>
        </w:rPr>
        <w:t>The Company classifies as restricted cash all cash pledged as collateral to secure long-term obligations and all cash whose use is otherwise limited by contractual provisions. Amounts are reported as non-current unless restrictions are expected to be released in the next 12 months.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100" w:lineRule="exact"/>
        <w:rPr>
          <w:sz w:val="20"/>
          <w:szCs w:val="20"/>
          <w:color w:val="auto"/>
        </w:rPr>
      </w:pPr>
    </w:p>
    <w:p>
      <w:pPr>
        <w:ind w:right="440" w:firstLine="590"/>
        <w:spacing w:after="0" w:line="268" w:lineRule="auto"/>
        <w:rPr>
          <w:sz w:val="20"/>
          <w:szCs w:val="20"/>
          <w:color w:val="auto"/>
        </w:rPr>
      </w:pPr>
      <w:r>
        <w:rPr>
          <w:rFonts w:ascii="Arial" w:cs="Arial" w:eastAsia="Arial" w:hAnsi="Arial"/>
          <w:sz w:val="16"/>
          <w:szCs w:val="16"/>
          <w:color w:val="auto"/>
        </w:rPr>
        <w:t>Short-term investments include marketable securities with maturities of less than one year or where management’s intent is to use the investments to fund current operations or to make them available for current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506" w:right="359" w:bottom="1440" w:gutter="0" w:footer="0" w:header="0"/>
        </w:sectPr>
      </w:pPr>
    </w:p>
    <w:bookmarkStart w:id="93" w:name="page94"/>
    <w:bookmarkEnd w:id="93"/>
    <w:p>
      <w:pPr>
        <w:jc w:val="both"/>
        <w:spacing w:after="0" w:line="254" w:lineRule="auto"/>
        <w:rPr>
          <w:sz w:val="20"/>
          <w:szCs w:val="20"/>
          <w:color w:val="auto"/>
        </w:rPr>
      </w:pPr>
      <w:r>
        <w:rPr>
          <w:rFonts w:ascii="Arial" w:cs="Arial" w:eastAsia="Arial" w:hAnsi="Arial"/>
          <w:sz w:val="16"/>
          <w:szCs w:val="16"/>
          <w:color w:val="auto"/>
        </w:rPr>
        <w:t>operations. All investments in marketable securities are classified as available-for-sale and are reported at fair value with unrealized gains and losses excluded from earnings and reported net of tax in accumulated other comprehensive income, which is a component of stockholders’ equity.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Segment Reporting</w:t>
      </w:r>
    </w:p>
    <w:p>
      <w:pPr>
        <w:spacing w:after="0" w:line="100" w:lineRule="exact"/>
        <w:rPr>
          <w:sz w:val="20"/>
          <w:szCs w:val="20"/>
          <w:color w:val="auto"/>
        </w:rPr>
      </w:pPr>
    </w:p>
    <w:p>
      <w:pPr>
        <w:ind w:right="180" w:firstLine="590"/>
        <w:spacing w:after="0" w:line="341" w:lineRule="auto"/>
        <w:rPr>
          <w:sz w:val="20"/>
          <w:szCs w:val="20"/>
          <w:color w:val="auto"/>
        </w:rPr>
      </w:pPr>
      <w:r>
        <w:rPr>
          <w:rFonts w:ascii="Arial" w:cs="Arial" w:eastAsia="Arial" w:hAnsi="Arial"/>
          <w:sz w:val="14"/>
          <w:szCs w:val="14"/>
          <w:color w:val="auto"/>
        </w:rPr>
        <w:t>Operating segments are identified as components of an enterprise about which separate discrete financial information is available for evaluation by the chief operating decision maker, or decision-making group, in making decisions regarding resource allocation and assessing performance. The Company has one operating segment.</w:t>
      </w:r>
    </w:p>
    <w:p>
      <w:pPr>
        <w:spacing w:after="0" w:line="11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Concentrations of Credit Risk</w:t>
      </w:r>
    </w:p>
    <w:p>
      <w:pPr>
        <w:spacing w:after="0" w:line="100" w:lineRule="exact"/>
        <w:rPr>
          <w:sz w:val="20"/>
          <w:szCs w:val="20"/>
          <w:color w:val="auto"/>
        </w:rPr>
      </w:pPr>
    </w:p>
    <w:p>
      <w:pPr>
        <w:ind w:right="220" w:firstLine="590"/>
        <w:spacing w:after="0" w:line="251" w:lineRule="auto"/>
        <w:rPr>
          <w:sz w:val="20"/>
          <w:szCs w:val="20"/>
          <w:color w:val="auto"/>
        </w:rPr>
      </w:pPr>
      <w:r>
        <w:rPr>
          <w:rFonts w:ascii="Arial" w:cs="Arial" w:eastAsia="Arial" w:hAnsi="Arial"/>
          <w:sz w:val="16"/>
          <w:szCs w:val="16"/>
          <w:color w:val="auto"/>
        </w:rPr>
        <w:t>Cash and cash equivalents, restricted cash, and short-term investments are financial instruments that potentially subject the Company to concentrations of credit risk. Substantially all of the Company’s cash, cash equivalents, and short-term investments were deposited in accounts at two financial institutions, and at times, such deposits may exceed federally insured limits. The Company has not experienced any losses in such accounts, and management believes that the Company is not exposed to significant credit risk due to the financial position of the depository institutions in which those deposits are held. The Company’s available-for-sale investments primarily consist of government money market funds, corporate debt securities, commercial paper, credit card asset-backed securities and overnight deposits and potentially subject the Company to concentrations of credit risk.</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100" w:lineRule="exact"/>
        <w:rPr>
          <w:sz w:val="20"/>
          <w:szCs w:val="20"/>
          <w:color w:val="auto"/>
        </w:rPr>
      </w:pPr>
    </w:p>
    <w:p>
      <w:pPr>
        <w:ind w:right="60" w:firstLine="590"/>
        <w:spacing w:after="0" w:line="257" w:lineRule="auto"/>
        <w:rPr>
          <w:sz w:val="20"/>
          <w:szCs w:val="20"/>
          <w:color w:val="auto"/>
        </w:rPr>
      </w:pPr>
      <w:r>
        <w:rPr>
          <w:rFonts w:ascii="Arial" w:cs="Arial" w:eastAsia="Arial" w:hAnsi="Arial"/>
          <w:sz w:val="16"/>
          <w:szCs w:val="16"/>
          <w:color w:val="auto"/>
        </w:rPr>
        <w:t>Property and equipment are recorded at cost. Depreciation is recorded using the straight-line method over the estimated useful lives of the assets (three to five years). Assets under capital leases are amortized over the shorter of their useful lives or lease term using the straight-line method. Major replacements and improvements are capitalized, while general repairs and maintenance are expensed as incurred.</w:t>
      </w:r>
    </w:p>
    <w:p>
      <w:pPr>
        <w:spacing w:after="0" w:line="26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00" w:lineRule="exact"/>
        <w:rPr>
          <w:sz w:val="20"/>
          <w:szCs w:val="20"/>
          <w:color w:val="auto"/>
        </w:rPr>
      </w:pPr>
    </w:p>
    <w:p>
      <w:pPr>
        <w:ind w:right="280" w:firstLine="590"/>
        <w:spacing w:after="0" w:line="311" w:lineRule="auto"/>
        <w:rPr>
          <w:sz w:val="20"/>
          <w:szCs w:val="20"/>
          <w:color w:val="auto"/>
        </w:rPr>
      </w:pPr>
      <w:r>
        <w:rPr>
          <w:rFonts w:ascii="Arial" w:cs="Arial" w:eastAsia="Arial" w:hAnsi="Arial"/>
          <w:sz w:val="14"/>
          <w:szCs w:val="14"/>
          <w:color w:val="auto"/>
        </w:rPr>
        <w:t>Long-lived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To date, no such impairments have been recognized.</w:t>
      </w:r>
    </w:p>
    <w:p>
      <w:pPr>
        <w:spacing w:after="0" w:line="22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Debt Issuance Cost</w:t>
      </w:r>
    </w:p>
    <w:p>
      <w:pPr>
        <w:spacing w:after="0" w:line="100" w:lineRule="exact"/>
        <w:rPr>
          <w:sz w:val="20"/>
          <w:szCs w:val="20"/>
          <w:color w:val="auto"/>
        </w:rPr>
      </w:pPr>
    </w:p>
    <w:p>
      <w:pPr>
        <w:ind w:right="20" w:firstLine="590"/>
        <w:spacing w:after="0" w:line="276" w:lineRule="auto"/>
        <w:rPr>
          <w:sz w:val="20"/>
          <w:szCs w:val="20"/>
          <w:color w:val="auto"/>
        </w:rPr>
      </w:pPr>
      <w:r>
        <w:rPr>
          <w:rFonts w:ascii="Arial" w:cs="Arial" w:eastAsia="Arial" w:hAnsi="Arial"/>
          <w:sz w:val="15"/>
          <w:szCs w:val="15"/>
          <w:color w:val="auto"/>
        </w:rPr>
        <w:t>Debt issuance costs consist of payments made to secure commitments under certain debt financing arrangements. These amounts are recognized as interest expense over the period of the financing arrangement using the effective interest method. If the financing arrangement is cancelled or forfeited, or if the utility of the arrangement to the Company is otherwise compromised, these costs are recognized as interest expense immediately. The Company’s consolidated financial statements present debt issuance costs related to a recognized debt liability as a direct reduction from the carrying amount of that debt liability.</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Derivative Financial Instruments</w:t>
      </w:r>
    </w:p>
    <w:p>
      <w:pPr>
        <w:spacing w:after="0" w:line="100" w:lineRule="exact"/>
        <w:rPr>
          <w:sz w:val="20"/>
          <w:szCs w:val="20"/>
          <w:color w:val="auto"/>
        </w:rPr>
      </w:pPr>
    </w:p>
    <w:p>
      <w:pPr>
        <w:ind w:right="140" w:firstLine="590"/>
        <w:spacing w:after="0" w:line="254" w:lineRule="auto"/>
        <w:rPr>
          <w:sz w:val="20"/>
          <w:szCs w:val="20"/>
          <w:color w:val="auto"/>
        </w:rPr>
      </w:pPr>
      <w:r>
        <w:rPr>
          <w:rFonts w:ascii="Arial" w:cs="Arial" w:eastAsia="Arial" w:hAnsi="Arial"/>
          <w:sz w:val="16"/>
          <w:szCs w:val="16"/>
          <w:color w:val="auto"/>
        </w:rPr>
        <w:t xml:space="preserve">The Company accounts for derivative financial instruments as either equity or liabilities in accordance with Accounting Standards Codification Topic 815, </w:t>
      </w:r>
      <w:r>
        <w:rPr>
          <w:rFonts w:ascii="Arial" w:cs="Arial" w:eastAsia="Arial" w:hAnsi="Arial"/>
          <w:sz w:val="16"/>
          <w:szCs w:val="16"/>
          <w:i w:val="1"/>
          <w:iCs w:val="1"/>
          <w:color w:val="auto"/>
        </w:rPr>
        <w:t>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and Hedging</w:t>
      </w:r>
      <w:r>
        <w:rPr>
          <w:rFonts w:ascii="Arial" w:cs="Arial" w:eastAsia="Arial" w:hAnsi="Arial"/>
          <w:sz w:val="16"/>
          <w:szCs w:val="16"/>
          <w:color w:val="auto"/>
        </w:rPr>
        <w:t>, based on the characteristics and provisions of each instrument. Embedded derivatives are required to be bifurcated from the host instruments and recorded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if the derivatives are not clearly and closely related to the host instruments on issuance date. The Company did not have any material embedded derivatives that required bifurcation upon issuance or as of December 31, 2020.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411" w:right="319" w:bottom="1440" w:gutter="0" w:footer="0" w:header="0"/>
        </w:sectPr>
      </w:pPr>
    </w:p>
    <w:bookmarkStart w:id="94" w:name="page95"/>
    <w:bookmarkEnd w:id="94"/>
    <w:p>
      <w:pPr>
        <w:ind w:left="58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95" w:lineRule="exact"/>
        <w:rPr>
          <w:sz w:val="20"/>
          <w:szCs w:val="20"/>
          <w:color w:val="auto"/>
        </w:rPr>
      </w:pPr>
    </w:p>
    <w:p>
      <w:pPr>
        <w:ind w:right="880" w:firstLine="590"/>
        <w:spacing w:after="0" w:line="302" w:lineRule="auto"/>
        <w:rPr>
          <w:sz w:val="20"/>
          <w:szCs w:val="20"/>
          <w:color w:val="auto"/>
        </w:rPr>
      </w:pPr>
      <w:r>
        <w:rPr>
          <w:rFonts w:ascii="Arial" w:cs="Arial" w:eastAsia="Arial" w:hAnsi="Arial"/>
          <w:sz w:val="15"/>
          <w:szCs w:val="15"/>
          <w:color w:val="auto"/>
        </w:rPr>
        <w:t>The Company has a license agreement with Kyowa Kirin Co., Ltd. (“KKC”), under which the Company granted KKC an exclusive license to develop and commercialize entinostat in Japan and Korea (the “KKC License Agreement”). The KKC License Agreement is discussed further in Note 4.</w:t>
      </w:r>
    </w:p>
    <w:p>
      <w:pPr>
        <w:spacing w:after="0" w:line="134" w:lineRule="exact"/>
        <w:rPr>
          <w:sz w:val="20"/>
          <w:szCs w:val="20"/>
          <w:color w:val="auto"/>
        </w:rPr>
      </w:pPr>
    </w:p>
    <w:p>
      <w:pPr>
        <w:ind w:firstLine="590"/>
        <w:spacing w:after="0" w:line="273" w:lineRule="auto"/>
        <w:rPr>
          <w:sz w:val="20"/>
          <w:szCs w:val="20"/>
          <w:color w:val="auto"/>
        </w:rPr>
      </w:pPr>
      <w:r>
        <w:rPr>
          <w:rFonts w:ascii="Arial" w:cs="Arial" w:eastAsia="Arial" w:hAnsi="Arial"/>
          <w:sz w:val="15"/>
          <w:szCs w:val="15"/>
          <w:color w:val="auto"/>
        </w:rPr>
        <w:t>The Company enters into license agreements for the development and commercialization of its product candidates. License agreements may include non-refundable upfront payments, contingent payments based on the occurrence of specified events under the Company’s license arrangements, partial or complete reimbursement of research and development expenses, license fees and royalties on sales of entinostat if they are successfully approved and commercialized. The Company’s performance obligations under the license agreements may include the transfer of intellectual property rights in the form of licenses, obligations to provide research and development services and related materials and participation on certain development and/or commercialization committees.</w:t>
      </w:r>
    </w:p>
    <w:p>
      <w:pPr>
        <w:spacing w:after="0" w:line="156" w:lineRule="exact"/>
        <w:rPr>
          <w:sz w:val="20"/>
          <w:szCs w:val="20"/>
          <w:color w:val="auto"/>
        </w:rPr>
      </w:pPr>
    </w:p>
    <w:p>
      <w:pPr>
        <w:ind w:right="40" w:firstLine="590"/>
        <w:spacing w:after="0" w:line="294" w:lineRule="auto"/>
        <w:rPr>
          <w:sz w:val="20"/>
          <w:szCs w:val="20"/>
          <w:color w:val="auto"/>
        </w:rPr>
      </w:pPr>
      <w:r>
        <w:rPr>
          <w:rFonts w:ascii="Arial" w:cs="Arial" w:eastAsia="Arial" w:hAnsi="Arial"/>
          <w:sz w:val="14"/>
          <w:szCs w:val="14"/>
          <w:color w:val="auto"/>
        </w:rPr>
        <w:t>Revenue is recognized when, or as, performance obligations are satisfied, which occurs when control of the promised products or services is transferred to customers. Revenue is measured as the amount of consideration the Company expects to receive in exchange for transferring products or services to a customer (“transaction price”). To the extent that the transaction price includes variable consideration, the Company estimates the amount of variable consideration that should be included in the transaction price utilizing the most likely amount method. Variable consideration is included in the transaction price if, in the Company’s judgment, it is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143" w:lineRule="exact"/>
        <w:rPr>
          <w:sz w:val="20"/>
          <w:szCs w:val="20"/>
          <w:color w:val="auto"/>
        </w:rPr>
      </w:pPr>
    </w:p>
    <w:p>
      <w:pPr>
        <w:jc w:val="both"/>
        <w:ind w:right="20" w:firstLine="590"/>
        <w:spacing w:after="0" w:line="283" w:lineRule="auto"/>
        <w:rPr>
          <w:sz w:val="20"/>
          <w:szCs w:val="20"/>
          <w:color w:val="auto"/>
        </w:rPr>
      </w:pPr>
      <w:r>
        <w:rPr>
          <w:rFonts w:ascii="Arial" w:cs="Arial" w:eastAsia="Arial" w:hAnsi="Arial"/>
          <w:sz w:val="15"/>
          <w:szCs w:val="15"/>
          <w:color w:val="auto"/>
        </w:rPr>
        <w:t>The Company assesses the promises to determine if they are distinct performance obligations. Once the performance obligations are determined, the transaction price is allocated based on a relative standalone selling price basis. Milestone payments and royalties are typically considered variable consideration at the outset of the contract and are recognized in the transaction price either upon occurrence or when the constraint of a probable reversal is no longer applicable.</w:t>
      </w:r>
    </w:p>
    <w:p>
      <w:pPr>
        <w:spacing w:after="0" w:line="148" w:lineRule="exact"/>
        <w:rPr>
          <w:sz w:val="20"/>
          <w:szCs w:val="20"/>
          <w:color w:val="auto"/>
        </w:rPr>
      </w:pPr>
    </w:p>
    <w:p>
      <w:pPr>
        <w:ind w:firstLine="590"/>
        <w:spacing w:after="0" w:line="290" w:lineRule="auto"/>
        <w:rPr>
          <w:sz w:val="20"/>
          <w:szCs w:val="20"/>
          <w:color w:val="auto"/>
        </w:rPr>
      </w:pPr>
      <w:r>
        <w:rPr>
          <w:rFonts w:ascii="Arial" w:cs="Arial" w:eastAsia="Arial" w:hAnsi="Arial"/>
          <w:sz w:val="14"/>
          <w:szCs w:val="14"/>
          <w:color w:val="auto"/>
        </w:rPr>
        <w:t>Licenses of intellectual property: 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Arrangements containing licenses to the Company’s intellectual property typically provide for a know-how transfer period. These arrangements may or may not also include rights to future updates of that intellectual property and related know-how. Revenues from non-refundable, up-front fees allocated to the licenses are recognized as the license is transferred to the customer and the customer is able to use and benefit from the license. This generally takes place over the related know-how transfer period, or if applicable, over the term of transfer of future updates to the intellectual property.</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600" w:right="379" w:bottom="1440" w:gutter="0" w:footer="0" w:header="0"/>
        </w:sectPr>
      </w:pPr>
    </w:p>
    <w:bookmarkStart w:id="95" w:name="page96"/>
    <w:bookmarkEnd w:id="95"/>
    <w:p>
      <w:pPr>
        <w:ind w:firstLine="590"/>
        <w:spacing w:after="0" w:line="267" w:lineRule="auto"/>
        <w:rPr>
          <w:sz w:val="20"/>
          <w:szCs w:val="20"/>
          <w:color w:val="auto"/>
        </w:rPr>
      </w:pPr>
      <w:r>
        <w:rPr>
          <w:rFonts w:ascii="Arial" w:cs="Arial" w:eastAsia="Arial" w:hAnsi="Arial"/>
          <w:sz w:val="15"/>
          <w:szCs w:val="15"/>
          <w:color w:val="auto"/>
        </w:rPr>
        <w:t>Development Milestone Payments: At the inception of each arrangement that includes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fees and earnings in the period of adjustment. For development milestones related to the KKC Agreement, the Company does not take a substantive role or control the research, development or commercialization of any products generated by KKC. Therefore, the Company is not able to reasonably estimate when, if at all, any development milestone payments may be payable to the Company. As such, the development milestone payments associated with the KKC Agreement involve a substantial degree of uncertainty and risk that they may never be received.</w:t>
      </w:r>
    </w:p>
    <w:p>
      <w:pPr>
        <w:spacing w:after="0" w:line="162" w:lineRule="exact"/>
        <w:rPr>
          <w:sz w:val="20"/>
          <w:szCs w:val="20"/>
          <w:color w:val="auto"/>
        </w:rPr>
      </w:pPr>
    </w:p>
    <w:p>
      <w:pPr>
        <w:ind w:right="140" w:firstLine="590"/>
        <w:spacing w:after="0" w:line="254" w:lineRule="auto"/>
        <w:rPr>
          <w:sz w:val="20"/>
          <w:szCs w:val="20"/>
          <w:color w:val="auto"/>
        </w:rPr>
      </w:pPr>
      <w:r>
        <w:rPr>
          <w:rFonts w:ascii="Arial" w:cs="Arial" w:eastAsia="Arial" w:hAnsi="Arial"/>
          <w:sz w:val="16"/>
          <w:szCs w:val="16"/>
          <w:color w:val="auto"/>
        </w:rPr>
        <w:t>Commercial Milestone Payments and Royalties: For arrangements that include sales-based royalties, including milestone payments based on the level of commercial sales, and the license is deemed to be the predominant item to which the royalties or commercial milestones relate, the Company will recognize revenue at the later of when the related sales occur or when the performance obligation to which some or all of the royalty has been allocated has been satisfied (or partially satisfied). To date no commercial milestone payments or royalties have been achieved.</w:t>
      </w:r>
    </w:p>
    <w:p>
      <w:pPr>
        <w:spacing w:after="0" w:line="168" w:lineRule="exact"/>
        <w:rPr>
          <w:sz w:val="20"/>
          <w:szCs w:val="20"/>
          <w:color w:val="auto"/>
        </w:rPr>
      </w:pPr>
    </w:p>
    <w:p>
      <w:pPr>
        <w:ind w:right="100" w:firstLine="590"/>
        <w:spacing w:after="0" w:line="254" w:lineRule="auto"/>
        <w:rPr>
          <w:sz w:val="20"/>
          <w:szCs w:val="20"/>
          <w:color w:val="auto"/>
        </w:rPr>
      </w:pPr>
      <w:r>
        <w:rPr>
          <w:rFonts w:ascii="Arial" w:cs="Arial" w:eastAsia="Arial" w:hAnsi="Arial"/>
          <w:sz w:val="16"/>
          <w:szCs w:val="16"/>
          <w:color w:val="auto"/>
        </w:rPr>
        <w:t>When no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fees.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168" w:lineRule="exact"/>
        <w:rPr>
          <w:sz w:val="20"/>
          <w:szCs w:val="20"/>
          <w:color w:val="auto"/>
        </w:rPr>
      </w:pPr>
    </w:p>
    <w:p>
      <w:pPr>
        <w:ind w:right="220" w:firstLine="590"/>
        <w:spacing w:after="0" w:line="276" w:lineRule="auto"/>
        <w:rPr>
          <w:sz w:val="20"/>
          <w:szCs w:val="20"/>
          <w:color w:val="auto"/>
        </w:rPr>
      </w:pPr>
      <w:r>
        <w:rPr>
          <w:rFonts w:ascii="Arial" w:cs="Arial" w:eastAsia="Arial" w:hAnsi="Arial"/>
          <w:sz w:val="15"/>
          <w:szCs w:val="15"/>
          <w:color w:val="auto"/>
        </w:rPr>
        <w:t>Deferred revenue arises from amounts received in advance of the culmination of the earnings process and is recognized as revenue in future periods as performance obligations are satisfied. Deferred revenue expected to be recognized within the next twelve months is classified as a current liability.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00" w:lineRule="exact"/>
        <w:rPr>
          <w:sz w:val="20"/>
          <w:szCs w:val="20"/>
          <w:color w:val="auto"/>
        </w:rPr>
      </w:pPr>
    </w:p>
    <w:p>
      <w:pPr>
        <w:ind w:firstLine="590"/>
        <w:spacing w:after="0" w:line="276" w:lineRule="auto"/>
        <w:rPr>
          <w:sz w:val="20"/>
          <w:szCs w:val="20"/>
          <w:color w:val="auto"/>
        </w:rPr>
      </w:pPr>
      <w:r>
        <w:rPr>
          <w:rFonts w:ascii="Arial" w:cs="Arial" w:eastAsia="Arial" w:hAnsi="Arial"/>
          <w:sz w:val="15"/>
          <w:szCs w:val="15"/>
          <w:color w:val="auto"/>
        </w:rPr>
        <w:t>Research and development costs are expensed as incurred. Research and development expenses include payroll and personnel expenses, consulting costs, external contract research and development expenses, and allocated overhead, including rent, equipment depreciation, and utilities. Research and development costs that are paid in advance of performance are capitalized as a prepaid expense and amortized over the service period as the services are provided. The Company expenses upfront license payments related to acquired technologies that have not yet reached technological feasibility and have no alternative future use.</w:t>
      </w:r>
    </w:p>
    <w:p>
      <w:pPr>
        <w:spacing w:after="0" w:line="154" w:lineRule="exact"/>
        <w:rPr>
          <w:sz w:val="20"/>
          <w:szCs w:val="20"/>
          <w:color w:val="auto"/>
        </w:rPr>
      </w:pPr>
    </w:p>
    <w:p>
      <w:pPr>
        <w:ind w:firstLine="590"/>
        <w:spacing w:after="0" w:line="273" w:lineRule="auto"/>
        <w:rPr>
          <w:sz w:val="20"/>
          <w:szCs w:val="20"/>
          <w:color w:val="auto"/>
        </w:rPr>
      </w:pPr>
      <w:r>
        <w:rPr>
          <w:rFonts w:ascii="Arial" w:cs="Arial" w:eastAsia="Arial" w:hAnsi="Arial"/>
          <w:sz w:val="15"/>
          <w:szCs w:val="15"/>
          <w:color w:val="auto"/>
        </w:rPr>
        <w:t>In instances where the Company enters into cost-sharing arrangements, all research and development costs reimbursed by the collaborators are accounted for as reductions to research and development expense. During the year ended December 31, 2020, the Company incurred no external costs related to cost-sharing collaborations. During the year ended December 31, 2019, the Company incurred $2.0 million in external costs related to cost-sharing collaborations, of which $1.0 million has been recorded as a reduction to research and development expense. During the year ended December 31, 2018, the Company incurred $4.7 million in external costs related to cost-sharing collaborations, of which $2.4 million has been recorded as a reduction to research and development expense.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506" w:right="359" w:bottom="1440" w:gutter="0" w:footer="0" w:header="0"/>
        </w:sectPr>
      </w:pPr>
    </w:p>
    <w:bookmarkStart w:id="96" w:name="page97"/>
    <w:bookmarkEnd w:id="96"/>
    <w:p>
      <w:pPr>
        <w:ind w:left="580"/>
        <w:spacing w:after="0"/>
        <w:rPr>
          <w:sz w:val="20"/>
          <w:szCs w:val="20"/>
          <w:color w:val="auto"/>
        </w:rPr>
      </w:pPr>
      <w:r>
        <w:rPr>
          <w:rFonts w:ascii="Arial" w:cs="Arial" w:eastAsia="Arial" w:hAnsi="Arial"/>
          <w:sz w:val="16"/>
          <w:szCs w:val="16"/>
          <w:b w:val="1"/>
          <w:bCs w:val="1"/>
          <w:i w:val="1"/>
          <w:iCs w:val="1"/>
          <w:color w:val="auto"/>
        </w:rPr>
        <w:t>Clinical Trial Costs</w:t>
      </w:r>
    </w:p>
    <w:p>
      <w:pPr>
        <w:spacing w:after="0" w:line="100" w:lineRule="exact"/>
        <w:rPr>
          <w:sz w:val="20"/>
          <w:szCs w:val="20"/>
          <w:color w:val="auto"/>
        </w:rPr>
      </w:pPr>
    </w:p>
    <w:p>
      <w:pPr>
        <w:ind w:firstLine="590"/>
        <w:spacing w:after="0" w:line="341" w:lineRule="auto"/>
        <w:rPr>
          <w:sz w:val="20"/>
          <w:szCs w:val="20"/>
          <w:color w:val="auto"/>
        </w:rPr>
      </w:pPr>
      <w:r>
        <w:rPr>
          <w:rFonts w:ascii="Arial" w:cs="Arial" w:eastAsia="Arial" w:hAnsi="Arial"/>
          <w:sz w:val="14"/>
          <w:szCs w:val="14"/>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activations, or other information provided to us by our vendors.</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Income Taxes</w:t>
      </w:r>
    </w:p>
    <w:p>
      <w:pPr>
        <w:spacing w:after="0" w:line="100" w:lineRule="exact"/>
        <w:rPr>
          <w:sz w:val="20"/>
          <w:szCs w:val="20"/>
          <w:color w:val="auto"/>
        </w:rPr>
      </w:pPr>
    </w:p>
    <w:p>
      <w:pPr>
        <w:ind w:right="120" w:firstLine="590"/>
        <w:spacing w:after="0" w:line="250" w:lineRule="auto"/>
        <w:rPr>
          <w:sz w:val="20"/>
          <w:szCs w:val="20"/>
          <w:color w:val="auto"/>
        </w:rPr>
      </w:pPr>
      <w:r>
        <w:rPr>
          <w:rFonts w:ascii="Arial" w:cs="Arial" w:eastAsia="Arial" w:hAnsi="Arial"/>
          <w:sz w:val="16"/>
          <w:szCs w:val="16"/>
          <w:color w:val="auto"/>
        </w:rPr>
        <w:t>The Company records deferred tax assets and liabilities for the expected future tax consequences of temporary differences between the Company’s financial statement carrying amounts and the tax bases of assets and liabilities and for loss and credit carryforwards using enacted tax rates expected to be in effect in the years in which the differences reverse. A valuation allowance is provided to reduce the net deferred tax assets to the amount that will more likely than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26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Guarantees and Indemnifications</w:t>
      </w:r>
    </w:p>
    <w:p>
      <w:pPr>
        <w:spacing w:after="0" w:line="100" w:lineRule="exact"/>
        <w:rPr>
          <w:sz w:val="20"/>
          <w:szCs w:val="20"/>
          <w:color w:val="auto"/>
        </w:rPr>
      </w:pPr>
    </w:p>
    <w:p>
      <w:pPr>
        <w:ind w:right="160" w:firstLine="590"/>
        <w:spacing w:after="0" w:line="271" w:lineRule="auto"/>
        <w:rPr>
          <w:sz w:val="20"/>
          <w:szCs w:val="20"/>
          <w:color w:val="auto"/>
        </w:rPr>
      </w:pPr>
      <w:r>
        <w:rPr>
          <w:rFonts w:ascii="Arial" w:cs="Arial" w:eastAsia="Arial" w:hAnsi="Arial"/>
          <w:sz w:val="15"/>
          <w:szCs w:val="15"/>
          <w:color w:val="auto"/>
        </w:rPr>
        <w:t>As permitted under Delaware law, the Company indemnifies its officers, directors, and employees for certain events or occurrences that happen by reason of the relationship with, or position held at, the Company. The Company has standard indemnification arrangements under office leases (as described in Note 14) that require it to indemnify the landlord against all costs, expenses, fines, suits, claims, demands, liabilities, and actions directly resulting from any breach, violation, or nonperformance of any covenant or condition of the Company’s lease. Through December 31, 2020,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00" w:lineRule="exact"/>
        <w:rPr>
          <w:sz w:val="20"/>
          <w:szCs w:val="20"/>
          <w:color w:val="auto"/>
        </w:rPr>
      </w:pPr>
    </w:p>
    <w:p>
      <w:pPr>
        <w:ind w:right="160" w:firstLine="590"/>
        <w:spacing w:after="0" w:line="254" w:lineRule="auto"/>
        <w:rPr>
          <w:sz w:val="20"/>
          <w:szCs w:val="20"/>
          <w:color w:val="auto"/>
        </w:rPr>
      </w:pPr>
      <w:r>
        <w:rPr>
          <w:rFonts w:ascii="Arial" w:cs="Arial" w:eastAsia="Arial" w:hAnsi="Arial"/>
          <w:sz w:val="16"/>
          <w:szCs w:val="16"/>
          <w:color w:val="auto"/>
        </w:rPr>
        <w:t>The Company accounts for all stock option awards granted to employees and non-employees using a fair value method. Stock-based compensation is measured at the grant date fair value of the stock option grants and is recognized over the requisite service period of the awards (usually the vesting period) on a straight-line basis. For equity awards that have a performance condition, the Company recognizes compensation expense based on its assessment of the probability that the performance condition will be achieved. The Company accounts for forfeitures as they occur.</w:t>
      </w:r>
    </w:p>
    <w:p>
      <w:pPr>
        <w:spacing w:after="0" w:line="26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Recently Issued and Adopted Accounting Pronouncements</w:t>
      </w:r>
    </w:p>
    <w:p>
      <w:pPr>
        <w:spacing w:after="0" w:line="100" w:lineRule="exact"/>
        <w:rPr>
          <w:sz w:val="20"/>
          <w:szCs w:val="20"/>
          <w:color w:val="auto"/>
        </w:rPr>
      </w:pPr>
    </w:p>
    <w:p>
      <w:pPr>
        <w:ind w:firstLine="590"/>
        <w:spacing w:after="0" w:line="268" w:lineRule="auto"/>
        <w:rPr>
          <w:sz w:val="20"/>
          <w:szCs w:val="20"/>
          <w:color w:val="auto"/>
        </w:rPr>
      </w:pPr>
      <w:r>
        <w:rPr>
          <w:rFonts w:ascii="Arial" w:cs="Arial" w:eastAsia="Arial" w:hAnsi="Arial"/>
          <w:sz w:val="16"/>
          <w:szCs w:val="16"/>
          <w:color w:val="auto"/>
        </w:rPr>
        <w:t>The Company has evaluated recently issued and adopted accounting pronouncements and has concluded that that the impact of recently issued standards that are not yet effective will not have a material impact on our financial position or results of operations upon adoption.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from Contracts with Customers</w:t>
      </w:r>
    </w:p>
    <w:p>
      <w:pPr>
        <w:spacing w:after="0" w:line="199" w:lineRule="exact"/>
        <w:rPr>
          <w:sz w:val="20"/>
          <w:szCs w:val="20"/>
          <w:color w:val="auto"/>
        </w:rPr>
      </w:pPr>
    </w:p>
    <w:p>
      <w:pPr>
        <w:ind w:right="20" w:firstLine="590"/>
        <w:spacing w:after="0" w:line="302" w:lineRule="auto"/>
        <w:rPr>
          <w:sz w:val="20"/>
          <w:szCs w:val="20"/>
          <w:color w:val="auto"/>
        </w:rPr>
      </w:pPr>
      <w:r>
        <w:rPr>
          <w:rFonts w:ascii="Arial" w:cs="Arial" w:eastAsia="Arial" w:hAnsi="Arial"/>
          <w:sz w:val="14"/>
          <w:szCs w:val="14"/>
          <w:color w:val="auto"/>
        </w:rPr>
        <w:t>On December 19, 2014 (the “Effective Date”), the Company entered into the KKC License Agreement, under which the Company granted KKC an exclusive license to develop and commercialize entinostat in Japan and Korea. Under the terms of the KKC License Agreement, the Company will be responsible for the manufacture and supply of the products during the development activities. In addition to the license and manufacturing obligations, the Company is obligated to provide KKC access to know-how and regulatory information the Company may develop over the life of the entinostat patent. Lastly, to the extent additional intellectual property is developed during the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600" w:right="379" w:bottom="1440" w:gutter="0" w:footer="0" w:header="0"/>
        </w:sectPr>
      </w:pPr>
    </w:p>
    <w:bookmarkStart w:id="97" w:name="page98"/>
    <w:bookmarkEnd w:id="97"/>
    <w:p>
      <w:pPr>
        <w:ind w:right="40"/>
        <w:spacing w:after="0" w:line="250" w:lineRule="auto"/>
        <w:rPr>
          <w:sz w:val="20"/>
          <w:szCs w:val="20"/>
          <w:color w:val="auto"/>
        </w:rPr>
      </w:pPr>
      <w:r>
        <w:rPr>
          <w:rFonts w:ascii="Arial" w:cs="Arial" w:eastAsia="Arial" w:hAnsi="Arial"/>
          <w:sz w:val="16"/>
          <w:szCs w:val="16"/>
          <w:color w:val="auto"/>
        </w:rPr>
        <w:t>term of the agreement, KKC will receive the right to the intellectual property when and if available. KKC will conduct the development, regulatory approval filings, and commercialization activities of entinostat in Japan and Korea. KKC paid the Company $25.0 million upfront, which included a $7.5 million equity investment and a $17.5 million non-refundable cash payment. In addition, to the extent certain development and commercial milestones are achieved, KKC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74" w:lineRule="exact"/>
        <w:rPr>
          <w:sz w:val="20"/>
          <w:szCs w:val="20"/>
          <w:color w:val="auto"/>
        </w:rPr>
      </w:pPr>
    </w:p>
    <w:p>
      <w:pPr>
        <w:ind w:right="20" w:firstLine="590"/>
        <w:spacing w:after="0" w:line="257" w:lineRule="auto"/>
        <w:rPr>
          <w:sz w:val="20"/>
          <w:szCs w:val="20"/>
          <w:color w:val="auto"/>
        </w:rPr>
      </w:pPr>
      <w:r>
        <w:rPr>
          <w:rFonts w:ascii="Arial" w:cs="Arial" w:eastAsia="Arial" w:hAnsi="Arial"/>
          <w:sz w:val="16"/>
          <w:szCs w:val="16"/>
          <w:color w:val="auto"/>
        </w:rPr>
        <w:t>The equity purchase and the up-front payment of the license fee were accounted for separately. The Company allocated the amount of consideration equal to the fair value of the shares on the Effective Date, which resulted in $7.7 million of proceeds allocated to the equity purchase and the remaining consideration of $17.3 million allocated to the up-front license fee.</w:t>
      </w:r>
    </w:p>
    <w:p>
      <w:pPr>
        <w:spacing w:after="0" w:line="167" w:lineRule="exact"/>
        <w:rPr>
          <w:sz w:val="20"/>
          <w:szCs w:val="20"/>
          <w:color w:val="auto"/>
        </w:rPr>
      </w:pPr>
    </w:p>
    <w:p>
      <w:pPr>
        <w:ind w:right="360" w:firstLine="590"/>
        <w:spacing w:after="0" w:line="257" w:lineRule="auto"/>
        <w:rPr>
          <w:sz w:val="20"/>
          <w:szCs w:val="20"/>
          <w:color w:val="auto"/>
        </w:rPr>
      </w:pPr>
      <w:r>
        <w:rPr>
          <w:rFonts w:ascii="Arial" w:cs="Arial" w:eastAsia="Arial" w:hAnsi="Arial"/>
          <w:sz w:val="16"/>
          <w:szCs w:val="16"/>
          <w:color w:val="auto"/>
        </w:rPr>
        <w:t>In October 2017, the Company announced that KKC enrolled the first Japanese patient into a local pivotal study of entinostat for the treatment of hormone receptor positive, human epidermal growth factor receptor 2 negative breast cancer. In accordance with the terms of the license agreement, KKC paid the Company a $5.0 million milestone payment which the Company received in December 2017.</w:t>
      </w:r>
    </w:p>
    <w:p>
      <w:pPr>
        <w:spacing w:after="0" w:line="167" w:lineRule="exact"/>
        <w:rPr>
          <w:sz w:val="20"/>
          <w:szCs w:val="20"/>
          <w:color w:val="auto"/>
        </w:rPr>
      </w:pPr>
    </w:p>
    <w:p>
      <w:pPr>
        <w:ind w:right="20" w:firstLine="590"/>
        <w:spacing w:after="0" w:line="266" w:lineRule="auto"/>
        <w:rPr>
          <w:sz w:val="20"/>
          <w:szCs w:val="20"/>
          <w:color w:val="auto"/>
        </w:rPr>
      </w:pPr>
      <w:r>
        <w:rPr>
          <w:rFonts w:ascii="Arial" w:cs="Arial" w:eastAsia="Arial" w:hAnsi="Arial"/>
          <w:sz w:val="15"/>
          <w:szCs w:val="15"/>
          <w:color w:val="auto"/>
        </w:rPr>
        <w:t>The Company determined that the performance obligations associated with the KKC License Agreement include (i) the combined license, rights to access and use materials and data, and rights to additional intellectual property, and (ii) the clinical supply obligation. All other goods or services promised to KKC are immaterial in the context of the agreement. Under ASC 606, the identification of the clinical supply obligation as a distinct performance obligation separate and apart from the license performance obligation resulted in a change in the performance period. The start of the performance period under ASC 606 was determined to be the contract inception date, December 19, 2014. The clinical supply was identified as a separate performance obligation under ASC 606 as (i) the Company is not providing a significant service of integration whereby the clinical supply and other promises are inputs into a combined output, (ii) the clinical supply does not significantly modify or customize the other promises nor is it significantly modified or customized by them, and (iii) the clinical supply is not highly interdependent or highly interrelated with the other promises in the agreement as KKC could choose not to purchase the clinical supply from the Company without significantly affecting the other promised goods or services. The Company further concluded that the clinical supply represented an immaterial performance obligation and therefore the entire $17.3 million allocated to the upfront payment was allocated to the combined license and will be recognized ratably over the performance period, representing contract inception though 2029. In 2017, KKC achieved a development milestone, and was required to pay the Company $5.0 million. The Company is recognizing the development milestone consideration over the performance period coinciding with the license to intellectual property. As the Company determined that its performance obligations associated with the KKC Agreement at contract inception were not distinct and represented a single performance obligation, and that the obligations for goods and services provided would be completed over the performance period of the agreement, any payments received by the Company from KKC, including the upfront payment and progress-dependent development and regulatory milestone payments, are recognized as revenue using a time-based proportional performance model over the contract term (December 2014 through 2029) of the collaboration, within license fees. To date no commercial milestone payments or royalties have been achieved.</w:t>
      </w:r>
    </w:p>
    <w:p>
      <w:pPr>
        <w:spacing w:after="0" w:line="161" w:lineRule="exact"/>
        <w:rPr>
          <w:sz w:val="20"/>
          <w:szCs w:val="20"/>
          <w:color w:val="auto"/>
        </w:rPr>
      </w:pPr>
    </w:p>
    <w:p>
      <w:pPr>
        <w:ind w:firstLine="590"/>
        <w:spacing w:after="0" w:line="283" w:lineRule="auto"/>
        <w:rPr>
          <w:sz w:val="20"/>
          <w:szCs w:val="20"/>
          <w:color w:val="auto"/>
        </w:rPr>
      </w:pPr>
      <w:r>
        <w:rPr>
          <w:rFonts w:ascii="Arial" w:cs="Arial" w:eastAsia="Arial" w:hAnsi="Arial"/>
          <w:sz w:val="15"/>
          <w:szCs w:val="15"/>
          <w:color w:val="auto"/>
        </w:rPr>
        <w:t>Contract liabilities consisted of deferred revenue, as presented on the consolidated balance sheet, as of December 31, 2020. Deferred revenue related to the KKC License Agreement was $13.1 million as of December 31, 2020 and will be recognized over the remainder of the contract term. The Company will continue to monitor the impact of the results of E2112 on the KKC License Agreement. As of the date of these financial statements the agreement remains in force.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98" w:name="page99"/>
    <w:bookmarkEnd w:id="98"/>
    <w:p>
      <w:pPr>
        <w:ind w:left="5" w:right="10560" w:hanging="5"/>
        <w:spacing w:after="0" w:line="445" w:lineRule="auto"/>
        <w:tabs>
          <w:tab w:leader="none" w:pos="163" w:val="left"/>
        </w:tabs>
        <w:numPr>
          <w:ilvl w:val="0"/>
          <w:numId w:val="5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Leases </w:t>
      </w:r>
      <w:r>
        <w:rPr>
          <w:rFonts w:ascii="Arial" w:cs="Arial" w:eastAsia="Arial" w:hAnsi="Arial"/>
          <w:sz w:val="12"/>
          <w:szCs w:val="12"/>
          <w:b w:val="1"/>
          <w:bCs w:val="1"/>
          <w:i w:val="1"/>
          <w:iCs w:val="1"/>
          <w:color w:val="auto"/>
        </w:rPr>
        <w:t>Leases</w:t>
      </w:r>
    </w:p>
    <w:p>
      <w:pPr>
        <w:spacing w:after="0" w:line="61" w:lineRule="exact"/>
        <w:rPr>
          <w:sz w:val="20"/>
          <w:szCs w:val="20"/>
          <w:color w:val="auto"/>
        </w:rPr>
      </w:pPr>
    </w:p>
    <w:p>
      <w:pPr>
        <w:ind w:left="5" w:right="80" w:firstLine="590"/>
        <w:spacing w:after="0" w:line="292" w:lineRule="auto"/>
        <w:rPr>
          <w:sz w:val="20"/>
          <w:szCs w:val="20"/>
          <w:color w:val="auto"/>
        </w:rPr>
      </w:pPr>
      <w:r>
        <w:rPr>
          <w:rFonts w:ascii="Arial" w:cs="Arial" w:eastAsia="Arial" w:hAnsi="Arial"/>
          <w:sz w:val="14"/>
          <w:szCs w:val="14"/>
          <w:color w:val="auto"/>
        </w:rPr>
        <w:t>The Company accounts for leases in accordance with ASC 842, Leases, and determines whether an arrangement is a lease at inception. Operating lease right-of-use (“ROU”) assets and lease liabilities are recognized based on the present value of the future minimum lease payments over the lease term at commencement date. Lease agreements with lease and non-lease components are accounted for separately. For leases that do not provide an implicit rate, the Company uses the incremental borrowing rate based on the information available at commencement date in determining the present value of future payments. The ROU asset also includes any lease payments made and excludes lease incentives and initial direct costs incurred. The lease terms may include options to extend or terminate the lease when it is reasonably certain that the Company will exercise that option. Leases with an initial term of 12 months or less are not recorded on the balance sheet as the Company has elected to apply the short-term lease exemption. Lease expense for minimum lease payments is recognized on a straight-line basis over the lease term.</w:t>
      </w:r>
    </w:p>
    <w:p>
      <w:pPr>
        <w:spacing w:after="0" w:line="144" w:lineRule="exact"/>
        <w:rPr>
          <w:sz w:val="20"/>
          <w:szCs w:val="20"/>
          <w:color w:val="auto"/>
        </w:rPr>
      </w:pPr>
    </w:p>
    <w:p>
      <w:pPr>
        <w:ind w:left="5" w:right="100" w:firstLine="590"/>
        <w:spacing w:after="0" w:line="269" w:lineRule="auto"/>
        <w:rPr>
          <w:sz w:val="20"/>
          <w:szCs w:val="20"/>
          <w:color w:val="auto"/>
        </w:rPr>
      </w:pPr>
      <w:r>
        <w:rPr>
          <w:rFonts w:ascii="Arial" w:cs="Arial" w:eastAsia="Arial" w:hAnsi="Arial"/>
          <w:sz w:val="15"/>
          <w:szCs w:val="15"/>
          <w:color w:val="auto"/>
        </w:rPr>
        <w:t>The Company identified two existing long-term building leases on the adoption date of ASC 842 that are classified as operating leases. In September 2016, the Company entered into a five-year operating lease for 12,207 square feet of office space in Waltham, Massachusetts, with a lease commencement date of March 1, 2017. In December 2015, the Company entered into a 62-month operating lease for 4,039 square feet of space in New York, New York, which commenced on January 1, 2016. The remaining lease terms as of December 31, 2020 for the facility in Waltham, Massachusetts and New York, New York, were 14 months and 2 months, respectively. As of December 31, 2020, the consolidated balance sheet includes a $0.3 million operating lease ROU asset and a $0.4 million ROU liability. The Company used a weighted average discount rate of 14% to calculate its lease obligations, and an increase or decrease in the rate does not have a significant impact on the ROU asset or ROU liability. The ROU asset is amortized on a straight-line basis over the remainder of the lease term. For the year ended December 31, 2020, the Company recorded approximately $425,000 in operating lease expense and made approximately $597,000 in lease payments.</w:t>
      </w:r>
    </w:p>
    <w:p>
      <w:pPr>
        <w:spacing w:after="0" w:line="158" w:lineRule="exact"/>
        <w:rPr>
          <w:sz w:val="20"/>
          <w:szCs w:val="20"/>
          <w:color w:val="auto"/>
        </w:rPr>
      </w:pPr>
    </w:p>
    <w:p>
      <w:pPr>
        <w:ind w:left="5" w:firstLine="590"/>
        <w:spacing w:after="0" w:line="268" w:lineRule="auto"/>
        <w:rPr>
          <w:sz w:val="20"/>
          <w:szCs w:val="20"/>
          <w:color w:val="auto"/>
        </w:rPr>
      </w:pPr>
      <w:r>
        <w:rPr>
          <w:rFonts w:ascii="Arial" w:cs="Arial" w:eastAsia="Arial" w:hAnsi="Arial"/>
          <w:sz w:val="16"/>
          <w:szCs w:val="16"/>
          <w:color w:val="auto"/>
        </w:rPr>
        <w:t>In February 2021, the Company signed an 18-month extension to the lease for the New York office, with aggregate payments of $270,000, with a lease commencement date of March 1, 2021.</w:t>
      </w:r>
    </w:p>
    <w:p>
      <w:pPr>
        <w:spacing w:after="0" w:line="157" w:lineRule="exact"/>
        <w:rPr>
          <w:sz w:val="20"/>
          <w:szCs w:val="20"/>
          <w:color w:val="auto"/>
        </w:rPr>
      </w:pPr>
    </w:p>
    <w:p>
      <w:pPr>
        <w:ind w:left="585"/>
        <w:spacing w:after="0"/>
        <w:rPr>
          <w:sz w:val="20"/>
          <w:szCs w:val="20"/>
          <w:color w:val="auto"/>
        </w:rPr>
      </w:pPr>
      <w:r>
        <w:rPr>
          <w:rFonts w:ascii="Arial" w:cs="Arial" w:eastAsia="Arial" w:hAnsi="Arial"/>
          <w:sz w:val="16"/>
          <w:szCs w:val="16"/>
          <w:color w:val="auto"/>
        </w:rPr>
        <w:t>Future minimum lease payments under the Company’s operating leases, were as follows:</w:t>
      </w:r>
    </w:p>
    <w:p>
      <w:pPr>
        <w:spacing w:after="0" w:line="203" w:lineRule="exact"/>
        <w:rPr>
          <w:sz w:val="20"/>
          <w:szCs w:val="20"/>
          <w:color w:val="auto"/>
        </w:rPr>
      </w:pPr>
    </w:p>
    <w:tbl>
      <w:tblPr>
        <w:tblLayout w:type="fixed"/>
        <w:tblInd w:w="565" w:type="dxa"/>
        <w:tblCellMar>
          <w:top w:w="0" w:type="dxa"/>
          <w:left w:w="0" w:type="dxa"/>
          <w:bottom w:w="0" w:type="dxa"/>
          <w:right w:w="0" w:type="dxa"/>
        </w:tblCellMar>
      </w:tblPr>
      <w:tr>
        <w:trPr>
          <w:trHeight w:val="201"/>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Maturity of lease liabilities</w:t>
            </w:r>
          </w:p>
        </w:tc>
        <w:tc>
          <w:tcPr>
            <w:tcW w:w="360" w:type="dxa"/>
            <w:vAlign w:val="bottom"/>
          </w:tcPr>
          <w:p>
            <w:pPr>
              <w:spacing w:after="0"/>
              <w:rPr>
                <w:sz w:val="17"/>
                <w:szCs w:val="17"/>
                <w:color w:val="auto"/>
              </w:rPr>
            </w:pPr>
          </w:p>
        </w:tc>
        <w:tc>
          <w:tcPr>
            <w:tcW w:w="2440" w:type="dxa"/>
            <w:vAlign w:val="bottom"/>
            <w:gridSpan w:val="2"/>
          </w:tcPr>
          <w:p>
            <w:pPr>
              <w:jc w:val="right"/>
              <w:ind w:right="1320"/>
              <w:spacing w:after="0"/>
              <w:rPr>
                <w:sz w:val="20"/>
                <w:szCs w:val="20"/>
                <w:color w:val="auto"/>
              </w:rPr>
            </w:pPr>
            <w:r>
              <w:rPr>
                <w:rFonts w:ascii="Arial" w:cs="Arial" w:eastAsia="Arial" w:hAnsi="Arial"/>
                <w:sz w:val="16"/>
                <w:szCs w:val="16"/>
                <w:b w:val="1"/>
                <w:bCs w:val="1"/>
                <w:color w:val="auto"/>
              </w:rPr>
              <w:t>As of</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60" w:type="dxa"/>
            <w:vAlign w:val="bottom"/>
            <w:gridSpan w:val="2"/>
          </w:tcPr>
          <w:p>
            <w:pPr>
              <w:jc w:val="right"/>
              <w:ind w:right="1240"/>
              <w:spacing w:after="0"/>
              <w:rPr>
                <w:sz w:val="20"/>
                <w:szCs w:val="20"/>
                <w:color w:val="auto"/>
              </w:rPr>
            </w:pPr>
            <w:r>
              <w:rPr>
                <w:rFonts w:ascii="Arial" w:cs="Arial" w:eastAsia="Arial" w:hAnsi="Arial"/>
                <w:sz w:val="16"/>
                <w:szCs w:val="16"/>
                <w:b w:val="1"/>
                <w:bCs w:val="1"/>
                <w:color w:val="auto"/>
              </w:rPr>
              <w:t>As of</w:t>
            </w:r>
          </w:p>
        </w:tc>
      </w:tr>
      <w:tr>
        <w:trPr>
          <w:trHeight w:val="205"/>
        </w:trPr>
        <w:tc>
          <w:tcPr>
            <w:tcW w:w="44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60" w:type="dxa"/>
            <w:vAlign w:val="bottom"/>
          </w:tcPr>
          <w:p>
            <w:pPr>
              <w:spacing w:after="0"/>
              <w:rPr>
                <w:sz w:val="17"/>
                <w:szCs w:val="17"/>
                <w:color w:val="auto"/>
              </w:rPr>
            </w:pPr>
          </w:p>
        </w:tc>
        <w:tc>
          <w:tcPr>
            <w:tcW w:w="2440" w:type="dxa"/>
            <w:vAlign w:val="bottom"/>
            <w:gridSpan w:val="2"/>
          </w:tcPr>
          <w:p>
            <w:pPr>
              <w:jc w:val="right"/>
              <w:ind w:right="860"/>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6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December 31, 2019</w:t>
            </w:r>
          </w:p>
        </w:tc>
      </w:tr>
      <w:tr>
        <w:trPr>
          <w:trHeight w:val="194"/>
        </w:trPr>
        <w:tc>
          <w:tcPr>
            <w:tcW w:w="424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6"/>
                <w:szCs w:val="16"/>
                <w:color w:val="auto"/>
              </w:rPr>
              <w:t>2020</w:t>
            </w:r>
          </w:p>
        </w:tc>
        <w:tc>
          <w:tcPr>
            <w:tcW w:w="22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2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585</w:t>
            </w:r>
          </w:p>
        </w:tc>
        <w:tc>
          <w:tcPr>
            <w:tcW w:w="80" w:type="dxa"/>
            <w:vAlign w:val="bottom"/>
            <w:tcBorders>
              <w:top w:val="single" w:sz="8" w:color="CFF0FC"/>
            </w:tcBorders>
            <w:shd w:val="clear" w:color="auto" w:fill="CFF0FC"/>
          </w:tcPr>
          <w:p>
            <w:pPr>
              <w:spacing w:after="0"/>
              <w:rPr>
                <w:sz w:val="16"/>
                <w:szCs w:val="16"/>
                <w:color w:val="auto"/>
              </w:rPr>
            </w:pPr>
          </w:p>
        </w:tc>
      </w:tr>
      <w:tr>
        <w:trPr>
          <w:trHeight w:val="201"/>
        </w:trPr>
        <w:tc>
          <w:tcPr>
            <w:tcW w:w="4240" w:type="dxa"/>
            <w:vAlign w:val="bottom"/>
          </w:tcPr>
          <w:p>
            <w:pPr>
              <w:ind w:left="160"/>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394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394</w:t>
            </w:r>
          </w:p>
        </w:tc>
        <w:tc>
          <w:tcPr>
            <w:tcW w:w="80" w:type="dxa"/>
            <w:vAlign w:val="bottom"/>
          </w:tcPr>
          <w:p>
            <w:pPr>
              <w:spacing w:after="0"/>
              <w:rPr>
                <w:sz w:val="17"/>
                <w:szCs w:val="17"/>
                <w:color w:val="auto"/>
              </w:rPr>
            </w:pPr>
          </w:p>
        </w:tc>
      </w:tr>
      <w:tr>
        <w:trPr>
          <w:trHeight w:val="202"/>
        </w:trPr>
        <w:tc>
          <w:tcPr>
            <w:tcW w:w="42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2022</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FF0FC"/>
          </w:tcPr>
          <w:p>
            <w:pPr>
              <w:spacing w:after="0"/>
              <w:rPr>
                <w:sz w:val="17"/>
                <w:szCs w:val="17"/>
                <w:color w:val="auto"/>
              </w:rPr>
            </w:pPr>
          </w:p>
        </w:tc>
      </w:tr>
      <w:tr>
        <w:trPr>
          <w:trHeight w:val="201"/>
        </w:trPr>
        <w:tc>
          <w:tcPr>
            <w:tcW w:w="4460" w:type="dxa"/>
            <w:vAlign w:val="bottom"/>
            <w:gridSpan w:val="2"/>
          </w:tcPr>
          <w:p>
            <w:pPr>
              <w:ind w:left="160"/>
              <w:spacing w:after="0"/>
              <w:rPr>
                <w:sz w:val="20"/>
                <w:szCs w:val="20"/>
                <w:color w:val="auto"/>
              </w:rPr>
            </w:pPr>
            <w:r>
              <w:rPr>
                <w:rFonts w:ascii="Arial" w:cs="Arial" w:eastAsia="Arial" w:hAnsi="Arial"/>
                <w:sz w:val="16"/>
                <w:szCs w:val="16"/>
                <w:color w:val="auto"/>
              </w:rPr>
              <w:t>Thereafter</w:t>
            </w:r>
          </w:p>
        </w:tc>
        <w:tc>
          <w:tcPr>
            <w:tcW w:w="360" w:type="dxa"/>
            <w:vAlign w:val="bottom"/>
          </w:tcPr>
          <w:p>
            <w:pPr>
              <w:spacing w:after="0"/>
              <w:rPr>
                <w:sz w:val="17"/>
                <w:szCs w:val="17"/>
                <w:color w:val="auto"/>
              </w:rPr>
            </w:pPr>
          </w:p>
        </w:tc>
        <w:tc>
          <w:tcPr>
            <w:tcW w:w="2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4460" w:type="dxa"/>
            <w:vAlign w:val="bottom"/>
            <w:tcBorders>
              <w:top w:val="single" w:sz="8" w:color="CFF0FC"/>
            </w:tcBorders>
            <w:gridSpan w:val="2"/>
            <w:shd w:val="clear" w:color="auto" w:fill="CFF0FC"/>
          </w:tcPr>
          <w:p>
            <w:pPr>
              <w:ind w:left="160"/>
              <w:spacing w:after="0"/>
              <w:rPr>
                <w:sz w:val="20"/>
                <w:szCs w:val="20"/>
                <w:color w:val="auto"/>
              </w:rPr>
            </w:pPr>
            <w:r>
              <w:rPr>
                <w:rFonts w:ascii="Arial" w:cs="Arial" w:eastAsia="Arial" w:hAnsi="Arial"/>
                <w:sz w:val="16"/>
                <w:szCs w:val="16"/>
                <w:color w:val="auto"/>
              </w:rPr>
              <w:t>Total lease payments</w:t>
            </w: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453</w:t>
            </w: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2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1,038</w:t>
            </w:r>
          </w:p>
        </w:tc>
        <w:tc>
          <w:tcPr>
            <w:tcW w:w="80" w:type="dxa"/>
            <w:vAlign w:val="bottom"/>
            <w:tcBorders>
              <w:top w:val="single" w:sz="8" w:color="CFF0FC"/>
            </w:tcBorders>
            <w:shd w:val="clear" w:color="auto" w:fill="CFF0FC"/>
          </w:tcPr>
          <w:p>
            <w:pPr>
              <w:spacing w:after="0"/>
              <w:rPr>
                <w:sz w:val="16"/>
                <w:szCs w:val="16"/>
                <w:color w:val="auto"/>
              </w:rPr>
            </w:pPr>
          </w:p>
        </w:tc>
      </w:tr>
      <w:tr>
        <w:trPr>
          <w:trHeight w:val="201"/>
        </w:trPr>
        <w:tc>
          <w:tcPr>
            <w:tcW w:w="4460" w:type="dxa"/>
            <w:vAlign w:val="bottom"/>
            <w:gridSpan w:val="2"/>
          </w:tcPr>
          <w:p>
            <w:pPr>
              <w:ind w:left="360"/>
              <w:spacing w:after="0"/>
              <w:rPr>
                <w:sz w:val="20"/>
                <w:szCs w:val="20"/>
                <w:color w:val="auto"/>
              </w:rPr>
            </w:pPr>
            <w:r>
              <w:rPr>
                <w:rFonts w:ascii="Arial" w:cs="Arial" w:eastAsia="Arial" w:hAnsi="Arial"/>
                <w:sz w:val="16"/>
                <w:szCs w:val="16"/>
                <w:color w:val="auto"/>
              </w:rPr>
              <w:t>Less: imputed interest</w:t>
            </w:r>
          </w:p>
        </w:tc>
        <w:tc>
          <w:tcPr>
            <w:tcW w:w="360" w:type="dxa"/>
            <w:vAlign w:val="bottom"/>
          </w:tcPr>
          <w:p>
            <w:pPr>
              <w:spacing w:after="0"/>
              <w:rPr>
                <w:sz w:val="17"/>
                <w:szCs w:val="17"/>
                <w:color w:val="auto"/>
              </w:rPr>
            </w:pPr>
          </w:p>
        </w:tc>
        <w:tc>
          <w:tcPr>
            <w:tcW w:w="2440" w:type="dxa"/>
            <w:vAlign w:val="bottom"/>
            <w:gridSpan w:val="2"/>
          </w:tcPr>
          <w:p>
            <w:pPr>
              <w:jc w:val="right"/>
              <w:ind w:right="120"/>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60" w:type="dxa"/>
            <w:vAlign w:val="bottom"/>
            <w:gridSpan w:val="2"/>
          </w:tcPr>
          <w:p>
            <w:pPr>
              <w:jc w:val="right"/>
              <w:ind w:right="40"/>
              <w:spacing w:after="0"/>
              <w:rPr>
                <w:sz w:val="20"/>
                <w:szCs w:val="20"/>
                <w:color w:val="auto"/>
              </w:rPr>
            </w:pPr>
            <w:r>
              <w:rPr>
                <w:rFonts w:ascii="Arial" w:cs="Arial" w:eastAsia="Arial" w:hAnsi="Arial"/>
                <w:sz w:val="16"/>
                <w:szCs w:val="16"/>
                <w:color w:val="auto"/>
              </w:rPr>
              <w:t>(141)</w:t>
            </w:r>
          </w:p>
        </w:tc>
      </w:tr>
      <w:tr>
        <w:trPr>
          <w:trHeight w:val="193"/>
        </w:trPr>
        <w:tc>
          <w:tcPr>
            <w:tcW w:w="4460" w:type="dxa"/>
            <w:vAlign w:val="bottom"/>
            <w:tcBorders>
              <w:top w:val="single" w:sz="8" w:color="CFF0FC"/>
              <w:bottom w:val="single" w:sz="8" w:color="CFF0FC"/>
            </w:tcBorders>
            <w:gridSpan w:val="2"/>
            <w:shd w:val="clear" w:color="auto" w:fill="CFF0FC"/>
          </w:tcPr>
          <w:p>
            <w:pPr>
              <w:ind w:left="160"/>
              <w:spacing w:after="0"/>
              <w:rPr>
                <w:sz w:val="20"/>
                <w:szCs w:val="20"/>
                <w:color w:val="auto"/>
              </w:rPr>
            </w:pPr>
            <w:r>
              <w:rPr>
                <w:rFonts w:ascii="Arial" w:cs="Arial" w:eastAsia="Arial" w:hAnsi="Arial"/>
                <w:sz w:val="16"/>
                <w:szCs w:val="16"/>
                <w:color w:val="auto"/>
              </w:rPr>
              <w:t>Total operating lease liability</w:t>
            </w: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2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897</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ind w:left="585"/>
        <w:spacing w:after="0"/>
        <w:rPr>
          <w:sz w:val="20"/>
          <w:szCs w:val="20"/>
          <w:color w:val="auto"/>
        </w:rPr>
      </w:pPr>
      <w:r>
        <w:rPr>
          <w:rFonts w:ascii="Arial" w:cs="Arial" w:eastAsia="Arial" w:hAnsi="Arial"/>
          <w:sz w:val="16"/>
          <w:szCs w:val="16"/>
          <w:color w:val="auto"/>
        </w:rPr>
        <w:t>Future minimum lease payments under the Company’s capital leases as of December 31, 2020 and 2019, were $5,000 and $9,000, respectively.</w:t>
      </w:r>
    </w:p>
    <w:p>
      <w:pPr>
        <w:spacing w:after="0" w:line="195" w:lineRule="exact"/>
        <w:rPr>
          <w:sz w:val="20"/>
          <w:szCs w:val="20"/>
          <w:color w:val="auto"/>
        </w:rPr>
      </w:pPr>
    </w:p>
    <w:p>
      <w:pPr>
        <w:jc w:val="center"/>
        <w:ind w:right="-104"/>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946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165"/>
          </w:cols>
          <w:pgMar w:left="315" w:top="502" w:right="41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6. Net Loss per Share Attributable to Common Stockholders</w:t>
      </w:r>
    </w:p>
    <w:p>
      <w:pPr>
        <w:spacing w:after="0" w:line="104" w:lineRule="exact"/>
        <w:rPr>
          <w:sz w:val="20"/>
          <w:szCs w:val="20"/>
          <w:color w:val="auto"/>
        </w:rPr>
      </w:pPr>
    </w:p>
    <w:p>
      <w:pPr>
        <w:ind w:right="60" w:firstLine="590"/>
        <w:spacing w:after="0" w:line="276" w:lineRule="auto"/>
        <w:rPr>
          <w:sz w:val="20"/>
          <w:szCs w:val="20"/>
          <w:color w:val="auto"/>
        </w:rPr>
      </w:pPr>
      <w:r>
        <w:rPr>
          <w:rFonts w:ascii="Arial" w:cs="Arial" w:eastAsia="Arial" w:hAnsi="Arial"/>
          <w:sz w:val="15"/>
          <w:szCs w:val="15"/>
          <w:color w:val="auto"/>
        </w:rPr>
        <w:t>Basic net loss attributable to common stockholders per share is computed by dividing the net loss attributable to common stockholders by the weighted-average number of common shares outstanding for the period. Because the Company has reported a net loss for the three years ended December 31, 2020, 2019, and 2018, diluted net loss per common share is the same as basic net loss per common share for those periods. The following table summarizes the computation of basic and diluted net loss per share attributable to common stockholders of the Company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4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w w:val="86"/>
              </w:rPr>
              <w:t>Years Ended December 31,</w:t>
            </w: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4"/>
        </w:trPr>
        <w:tc>
          <w:tcPr>
            <w:tcW w:w="746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24"/>
              <w:spacing w:after="0" w:line="134" w:lineRule="exact"/>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FF0FC"/>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24"/>
              <w:spacing w:after="0" w:line="134"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24"/>
              <w:spacing w:after="0" w:line="134"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1"/>
                <w:szCs w:val="11"/>
                <w:color w:val="auto"/>
              </w:rPr>
            </w:pPr>
          </w:p>
        </w:tc>
      </w:tr>
      <w:tr>
        <w:trPr>
          <w:trHeight w:val="193"/>
        </w:trPr>
        <w:tc>
          <w:tcPr>
            <w:tcW w:w="74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Numerator--basic and diluted:</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1"/>
        </w:trPr>
        <w:tc>
          <w:tcPr>
            <w:tcW w:w="7460" w:type="dxa"/>
            <w:vAlign w:val="bottom"/>
          </w:tcPr>
          <w:p>
            <w:pPr>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(73,158)</w:t>
            </w:r>
          </w:p>
        </w:tc>
        <w:tc>
          <w:tcPr>
            <w:tcW w:w="46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(56,047)</w:t>
            </w:r>
          </w:p>
        </w:tc>
        <w:tc>
          <w:tcPr>
            <w:tcW w:w="260" w:type="dxa"/>
            <w:vAlign w:val="bottom"/>
            <w:gridSpan w:val="2"/>
          </w:tcPr>
          <w:p>
            <w:pPr>
              <w:jc w:val="right"/>
              <w:ind w:right="67"/>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(73,961)</w:t>
            </w:r>
          </w:p>
        </w:tc>
      </w:tr>
      <w:tr>
        <w:trPr>
          <w:trHeight w:val="202"/>
        </w:trPr>
        <w:tc>
          <w:tcPr>
            <w:tcW w:w="7460" w:type="dxa"/>
            <w:vAlign w:val="bottom"/>
            <w:shd w:val="clear" w:color="auto" w:fill="CFF0FC"/>
          </w:tcPr>
          <w:p>
            <w:pPr>
              <w:spacing w:after="0"/>
              <w:rPr>
                <w:sz w:val="20"/>
                <w:szCs w:val="20"/>
                <w:color w:val="auto"/>
              </w:rPr>
            </w:pPr>
            <w:r>
              <w:rPr>
                <w:rFonts w:ascii="Arial" w:cs="Arial" w:eastAsia="Arial" w:hAnsi="Arial"/>
                <w:sz w:val="16"/>
                <w:szCs w:val="16"/>
                <w:color w:val="auto"/>
              </w:rPr>
              <w:t>Deemed dividend due to warrant reset</w:t>
            </w: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(3,906)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33"/>
        </w:trPr>
        <w:tc>
          <w:tcPr>
            <w:tcW w:w="7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 attributable to common stockholders--basic and diluted</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(77,064)</w:t>
            </w: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(56,047)</w:t>
            </w:r>
          </w:p>
        </w:tc>
        <w:tc>
          <w:tcPr>
            <w:tcW w:w="24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(73,961)</w:t>
            </w:r>
          </w:p>
        </w:tc>
        <w:tc>
          <w:tcPr>
            <w:tcW w:w="120" w:type="dxa"/>
            <w:vAlign w:val="bottom"/>
            <w:tcBorders>
              <w:bottom w:val="single" w:sz="8" w:color="CFF0FC"/>
            </w:tcBorders>
          </w:tcPr>
          <w:p>
            <w:pPr>
              <w:spacing w:after="0"/>
              <w:rPr>
                <w:sz w:val="20"/>
                <w:szCs w:val="20"/>
                <w:color w:val="auto"/>
              </w:rPr>
            </w:pPr>
          </w:p>
        </w:tc>
      </w:tr>
      <w:tr>
        <w:trPr>
          <w:trHeight w:val="177"/>
        </w:trPr>
        <w:tc>
          <w:tcPr>
            <w:tcW w:w="7460" w:type="dxa"/>
            <w:vAlign w:val="bottom"/>
            <w:tcBorders>
              <w:bottom w:val="single" w:sz="8" w:color="CFF0FC"/>
            </w:tcBorders>
            <w:shd w:val="clear" w:color="auto" w:fill="CFF0FC"/>
          </w:tcPr>
          <w:p>
            <w:pPr>
              <w:spacing w:after="0" w:line="176" w:lineRule="exact"/>
              <w:rPr>
                <w:sz w:val="20"/>
                <w:szCs w:val="20"/>
                <w:color w:val="auto"/>
              </w:rPr>
            </w:pPr>
            <w:r>
              <w:rPr>
                <w:rFonts w:ascii="Arial" w:cs="Arial" w:eastAsia="Arial" w:hAnsi="Arial"/>
                <w:sz w:val="16"/>
                <w:szCs w:val="16"/>
                <w:color w:val="auto"/>
              </w:rPr>
              <w:t>Net loss per share—basic and diluted</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(1.87)</w:t>
            </w:r>
          </w:p>
        </w:tc>
        <w:tc>
          <w:tcPr>
            <w:tcW w:w="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(1.84)</w:t>
            </w:r>
          </w:p>
        </w:tc>
        <w:tc>
          <w:tcPr>
            <w:tcW w:w="24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(2.92)</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00" w:type="dxa"/>
            <w:vAlign w:val="bottom"/>
          </w:tcPr>
          <w:p>
            <w:pPr>
              <w:spacing w:after="0"/>
              <w:rPr>
                <w:sz w:val="20"/>
                <w:szCs w:val="20"/>
                <w:color w:val="auto"/>
              </w:rPr>
            </w:pPr>
            <w:r>
              <w:rPr>
                <w:rFonts w:ascii="Arial" w:cs="Arial" w:eastAsia="Arial" w:hAnsi="Arial"/>
                <w:sz w:val="16"/>
                <w:szCs w:val="16"/>
                <w:b w:val="1"/>
                <w:bCs w:val="1"/>
                <w:color w:val="auto"/>
              </w:rPr>
              <w:t>Denominator—basic and diluted:</w:t>
            </w:r>
          </w:p>
        </w:tc>
        <w:tc>
          <w:tcPr>
            <w:tcW w:w="2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9"/>
        </w:trPr>
        <w:tc>
          <w:tcPr>
            <w:tcW w:w="5900" w:type="dxa"/>
            <w:vAlign w:val="bottom"/>
          </w:tcPr>
          <w:p>
            <w:pPr>
              <w:spacing w:after="0"/>
              <w:rPr>
                <w:sz w:val="20"/>
                <w:szCs w:val="20"/>
                <w:color w:val="auto"/>
              </w:rPr>
            </w:pPr>
            <w:r>
              <w:rPr>
                <w:rFonts w:ascii="Arial" w:cs="Arial" w:eastAsia="Arial" w:hAnsi="Arial"/>
                <w:sz w:val="16"/>
                <w:szCs w:val="16"/>
                <w:color w:val="auto"/>
              </w:rPr>
              <w:t>Weighted-average common shares used to compute net loss per</w:t>
            </w:r>
          </w:p>
        </w:tc>
        <w:tc>
          <w:tcPr>
            <w:tcW w:w="2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1"/>
        </w:trPr>
        <w:tc>
          <w:tcPr>
            <w:tcW w:w="5900" w:type="dxa"/>
            <w:vAlign w:val="bottom"/>
          </w:tcPr>
          <w:p>
            <w:pPr>
              <w:ind w:left="120"/>
              <w:spacing w:after="0"/>
              <w:rPr>
                <w:sz w:val="20"/>
                <w:szCs w:val="20"/>
                <w:color w:val="auto"/>
              </w:rPr>
            </w:pPr>
            <w:r>
              <w:rPr>
                <w:rFonts w:ascii="Arial" w:cs="Arial" w:eastAsia="Arial" w:hAnsi="Arial"/>
                <w:sz w:val="16"/>
                <w:szCs w:val="16"/>
                <w:color w:val="auto"/>
              </w:rPr>
              <w:t>share—basic and diluted</w:t>
            </w:r>
          </w:p>
        </w:tc>
        <w:tc>
          <w:tcPr>
            <w:tcW w:w="2900" w:type="dxa"/>
            <w:vAlign w:val="bottom"/>
          </w:tcPr>
          <w:p>
            <w:pPr>
              <w:jc w:val="right"/>
              <w:ind w:right="221"/>
              <w:spacing w:after="0"/>
              <w:rPr>
                <w:sz w:val="20"/>
                <w:szCs w:val="20"/>
                <w:color w:val="auto"/>
              </w:rPr>
            </w:pPr>
            <w:r>
              <w:rPr>
                <w:rFonts w:ascii="Arial" w:cs="Arial" w:eastAsia="Arial" w:hAnsi="Arial"/>
                <w:sz w:val="16"/>
                <w:szCs w:val="16"/>
                <w:color w:val="auto"/>
              </w:rPr>
              <w:t>41,308,242</w:t>
            </w:r>
          </w:p>
        </w:tc>
        <w:tc>
          <w:tcPr>
            <w:tcW w:w="1320" w:type="dxa"/>
            <w:vAlign w:val="bottom"/>
          </w:tcPr>
          <w:p>
            <w:pPr>
              <w:jc w:val="right"/>
              <w:ind w:right="241"/>
              <w:spacing w:after="0"/>
              <w:rPr>
                <w:sz w:val="20"/>
                <w:szCs w:val="20"/>
                <w:color w:val="auto"/>
              </w:rPr>
            </w:pPr>
            <w:r>
              <w:rPr>
                <w:rFonts w:ascii="Arial" w:cs="Arial" w:eastAsia="Arial" w:hAnsi="Arial"/>
                <w:sz w:val="16"/>
                <w:szCs w:val="16"/>
                <w:color w:val="auto"/>
              </w:rPr>
              <w:t>30,490,783</w:t>
            </w:r>
          </w:p>
        </w:tc>
        <w:tc>
          <w:tcPr>
            <w:tcW w:w="1000" w:type="dxa"/>
            <w:vAlign w:val="bottom"/>
          </w:tcPr>
          <w:p>
            <w:pPr>
              <w:jc w:val="right"/>
              <w:spacing w:after="0"/>
              <w:rPr>
                <w:sz w:val="20"/>
                <w:szCs w:val="20"/>
                <w:color w:val="auto"/>
              </w:rPr>
            </w:pPr>
            <w:r>
              <w:rPr>
                <w:rFonts w:ascii="Arial" w:cs="Arial" w:eastAsia="Arial" w:hAnsi="Arial"/>
                <w:sz w:val="16"/>
                <w:szCs w:val="16"/>
                <w:color w:val="auto"/>
              </w:rPr>
              <w:t>25,371,511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-246380</wp:posOffset>
            </wp:positionV>
            <wp:extent cx="7149465" cy="270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4">
                      <a:extLst>
                        <a:ext uri="{28A0092B-C50C-407E-A947-70E740481C1C}"/>
                      </a:extLst>
                    </a:blip>
                    <a:srcRect/>
                    <a:stretch>
                      <a:fillRect/>
                    </a:stretch>
                  </pic:blipFill>
                  <pic:spPr bwMode="auto">
                    <a:xfrm>
                      <a:off x="0" y="0"/>
                      <a:ext cx="7149465" cy="270510"/>
                    </a:xfrm>
                    <a:prstGeom prst="rect">
                      <a:avLst/>
                    </a:prstGeom>
                    <a:noFill/>
                  </pic:spPr>
                </pic:pic>
              </a:graphicData>
            </a:graphic>
          </wp:anchor>
        </w:drawing>
      </w:r>
    </w:p>
    <w:p>
      <w:pPr>
        <w:spacing w:after="0" w:line="229" w:lineRule="exact"/>
        <w:rPr>
          <w:sz w:val="20"/>
          <w:szCs w:val="20"/>
          <w:color w:val="auto"/>
        </w:rPr>
      </w:pPr>
    </w:p>
    <w:p>
      <w:pPr>
        <w:ind w:right="160" w:firstLine="590"/>
        <w:spacing w:after="0" w:line="268" w:lineRule="auto"/>
        <w:rPr>
          <w:sz w:val="20"/>
          <w:szCs w:val="20"/>
          <w:color w:val="auto"/>
        </w:rPr>
      </w:pPr>
      <w:r>
        <w:rPr>
          <w:rFonts w:ascii="Arial" w:cs="Arial" w:eastAsia="Arial" w:hAnsi="Arial"/>
          <w:sz w:val="16"/>
          <w:szCs w:val="16"/>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4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4"/>
        </w:trPr>
        <w:tc>
          <w:tcPr>
            <w:tcW w:w="7460" w:type="dxa"/>
            <w:vAlign w:val="bottom"/>
            <w:tcBorders>
              <w:bottom w:val="single" w:sz="8" w:color="CFF0FC"/>
            </w:tcBorders>
          </w:tcPr>
          <w:p>
            <w:pPr>
              <w:spacing w:after="0"/>
              <w:rPr>
                <w:sz w:val="11"/>
                <w:szCs w:val="11"/>
                <w:color w:val="auto"/>
              </w:rPr>
            </w:pPr>
          </w:p>
        </w:tc>
        <w:tc>
          <w:tcPr>
            <w:tcW w:w="1040" w:type="dxa"/>
            <w:vAlign w:val="bottom"/>
            <w:tcBorders>
              <w:bottom w:val="single" w:sz="8" w:color="auto"/>
            </w:tcBorders>
          </w:tcPr>
          <w:p>
            <w:pPr>
              <w:jc w:val="right"/>
              <w:ind w:right="324"/>
              <w:spacing w:after="0" w:line="134"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CFF0FC"/>
            </w:tcBorders>
          </w:tcPr>
          <w:p>
            <w:pPr>
              <w:spacing w:after="0"/>
              <w:rPr>
                <w:sz w:val="11"/>
                <w:szCs w:val="11"/>
                <w:color w:val="auto"/>
              </w:rPr>
            </w:pPr>
          </w:p>
        </w:tc>
        <w:tc>
          <w:tcPr>
            <w:tcW w:w="1040" w:type="dxa"/>
            <w:vAlign w:val="bottom"/>
            <w:tcBorders>
              <w:bottom w:val="single" w:sz="8" w:color="auto"/>
            </w:tcBorders>
          </w:tcPr>
          <w:p>
            <w:pPr>
              <w:jc w:val="right"/>
              <w:ind w:right="326"/>
              <w:spacing w:after="0" w:line="134" w:lineRule="exact"/>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CFF0FC"/>
            </w:tcBorders>
          </w:tcPr>
          <w:p>
            <w:pPr>
              <w:spacing w:after="0"/>
              <w:rPr>
                <w:sz w:val="11"/>
                <w:szCs w:val="11"/>
                <w:color w:val="auto"/>
              </w:rPr>
            </w:pPr>
          </w:p>
        </w:tc>
        <w:tc>
          <w:tcPr>
            <w:tcW w:w="1040" w:type="dxa"/>
            <w:vAlign w:val="bottom"/>
            <w:tcBorders>
              <w:bottom w:val="single" w:sz="8" w:color="auto"/>
            </w:tcBorders>
          </w:tcPr>
          <w:p>
            <w:pPr>
              <w:jc w:val="right"/>
              <w:ind w:right="324"/>
              <w:spacing w:after="0" w:line="134"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1"/>
                <w:szCs w:val="11"/>
                <w:color w:val="auto"/>
              </w:rPr>
            </w:pPr>
          </w:p>
        </w:tc>
      </w:tr>
      <w:tr>
        <w:trPr>
          <w:trHeight w:val="193"/>
        </w:trPr>
        <w:tc>
          <w:tcPr>
            <w:tcW w:w="7460" w:type="dxa"/>
            <w:vAlign w:val="bottom"/>
            <w:shd w:val="clear" w:color="auto" w:fill="CFF0FC"/>
          </w:tcPr>
          <w:p>
            <w:pPr>
              <w:spacing w:after="0"/>
              <w:rPr>
                <w:sz w:val="20"/>
                <w:szCs w:val="20"/>
                <w:color w:val="auto"/>
              </w:rPr>
            </w:pPr>
            <w:r>
              <w:rPr>
                <w:rFonts w:ascii="Arial" w:cs="Arial" w:eastAsia="Arial" w:hAnsi="Arial"/>
                <w:sz w:val="16"/>
                <w:szCs w:val="16"/>
                <w:color w:val="auto"/>
              </w:rPr>
              <w:t>Options to purchase common stock</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6,379,235</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6,057,011</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4,252,983</w:t>
            </w:r>
          </w:p>
        </w:tc>
        <w:tc>
          <w:tcPr>
            <w:tcW w:w="120" w:type="dxa"/>
            <w:vAlign w:val="bottom"/>
            <w:shd w:val="clear" w:color="auto" w:fill="CFF0FC"/>
          </w:tcPr>
          <w:p>
            <w:pPr>
              <w:spacing w:after="0"/>
              <w:rPr>
                <w:sz w:val="16"/>
                <w:szCs w:val="16"/>
                <w:color w:val="auto"/>
              </w:rPr>
            </w:pPr>
          </w:p>
        </w:tc>
      </w:tr>
      <w:tr>
        <w:trPr>
          <w:trHeight w:val="201"/>
        </w:trPr>
        <w:tc>
          <w:tcPr>
            <w:tcW w:w="7460" w:type="dxa"/>
            <w:vAlign w:val="bottom"/>
          </w:tcPr>
          <w:p>
            <w:pPr>
              <w:spacing w:after="0"/>
              <w:rPr>
                <w:sz w:val="20"/>
                <w:szCs w:val="20"/>
                <w:color w:val="auto"/>
              </w:rPr>
            </w:pPr>
            <w:r>
              <w:rPr>
                <w:rFonts w:ascii="Arial" w:cs="Arial" w:eastAsia="Arial" w:hAnsi="Arial"/>
                <w:sz w:val="16"/>
                <w:szCs w:val="16"/>
                <w:color w:val="auto"/>
              </w:rPr>
              <w:t>Restricted stock units (RSUs)</w:t>
            </w:r>
          </w:p>
        </w:tc>
        <w:tc>
          <w:tcPr>
            <w:tcW w:w="1040" w:type="dxa"/>
            <w:vAlign w:val="bottom"/>
          </w:tcPr>
          <w:p>
            <w:pPr>
              <w:jc w:val="right"/>
              <w:spacing w:after="0"/>
              <w:rPr>
                <w:sz w:val="20"/>
                <w:szCs w:val="20"/>
                <w:color w:val="auto"/>
              </w:rPr>
            </w:pPr>
            <w:r>
              <w:rPr>
                <w:rFonts w:ascii="Arial" w:cs="Arial" w:eastAsia="Arial" w:hAnsi="Arial"/>
                <w:sz w:val="16"/>
                <w:szCs w:val="16"/>
                <w:color w:val="auto"/>
              </w:rPr>
              <w:t>18,500</w:t>
            </w:r>
          </w:p>
        </w:tc>
        <w:tc>
          <w:tcPr>
            <w:tcW w:w="28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2"/>
        </w:trPr>
        <w:tc>
          <w:tcPr>
            <w:tcW w:w="7460" w:type="dxa"/>
            <w:vAlign w:val="bottom"/>
            <w:shd w:val="clear" w:color="auto" w:fill="CFF0FC"/>
          </w:tcPr>
          <w:p>
            <w:pPr>
              <w:spacing w:after="0"/>
              <w:rPr>
                <w:sz w:val="20"/>
                <w:szCs w:val="20"/>
                <w:color w:val="auto"/>
              </w:rPr>
            </w:pPr>
            <w:r>
              <w:rPr>
                <w:rFonts w:ascii="Arial" w:cs="Arial" w:eastAsia="Arial" w:hAnsi="Arial"/>
                <w:sz w:val="16"/>
                <w:szCs w:val="16"/>
                <w:color w:val="auto"/>
              </w:rPr>
              <w:t>Common stock warrants</w:t>
            </w: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4,595,039</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1"/>
        </w:trPr>
        <w:tc>
          <w:tcPr>
            <w:tcW w:w="7460" w:type="dxa"/>
            <w:vAlign w:val="bottom"/>
          </w:tcPr>
          <w:p>
            <w:pPr>
              <w:spacing w:after="0"/>
              <w:rPr>
                <w:sz w:val="20"/>
                <w:szCs w:val="20"/>
                <w:color w:val="auto"/>
              </w:rPr>
            </w:pPr>
            <w:r>
              <w:rPr>
                <w:rFonts w:ascii="Arial" w:cs="Arial" w:eastAsia="Arial" w:hAnsi="Arial"/>
                <w:sz w:val="16"/>
                <w:szCs w:val="16"/>
                <w:color w:val="auto"/>
              </w:rPr>
              <w:t>ESPP shares</w:t>
            </w:r>
          </w:p>
        </w:tc>
        <w:tc>
          <w:tcPr>
            <w:tcW w:w="1040" w:type="dxa"/>
            <w:vAlign w:val="bottom"/>
          </w:tcPr>
          <w:p>
            <w:pPr>
              <w:jc w:val="right"/>
              <w:spacing w:after="0"/>
              <w:rPr>
                <w:sz w:val="20"/>
                <w:szCs w:val="20"/>
                <w:color w:val="auto"/>
              </w:rPr>
            </w:pPr>
            <w:r>
              <w:rPr>
                <w:rFonts w:ascii="Arial" w:cs="Arial" w:eastAsia="Arial" w:hAnsi="Arial"/>
                <w:sz w:val="16"/>
                <w:szCs w:val="16"/>
                <w:color w:val="auto"/>
              </w:rPr>
              <w:t>16,382</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15,223</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29,736</w:t>
            </w:r>
          </w:p>
        </w:tc>
        <w:tc>
          <w:tcPr>
            <w:tcW w:w="120" w:type="dxa"/>
            <w:vAlign w:val="bottom"/>
          </w:tcPr>
          <w:p>
            <w:pPr>
              <w:spacing w:after="0"/>
              <w:rPr>
                <w:sz w:val="17"/>
                <w:szCs w:val="17"/>
                <w:color w:val="auto"/>
              </w:rPr>
            </w:pPr>
          </w:p>
        </w:tc>
      </w:tr>
    </w:tbl>
    <w:p>
      <w:pPr>
        <w:spacing w:after="0" w:line="201" w:lineRule="exact"/>
        <w:rPr>
          <w:sz w:val="20"/>
          <w:szCs w:val="20"/>
          <w:color w:val="auto"/>
        </w:rPr>
      </w:pPr>
    </w:p>
    <w:p>
      <w:pPr>
        <w:ind w:right="80" w:firstLine="590"/>
        <w:spacing w:after="0" w:line="271" w:lineRule="auto"/>
        <w:rPr>
          <w:sz w:val="20"/>
          <w:szCs w:val="20"/>
          <w:color w:val="auto"/>
        </w:rPr>
      </w:pPr>
      <w:r>
        <w:rPr>
          <w:rFonts w:ascii="Arial" w:cs="Arial" w:eastAsia="Arial" w:hAnsi="Arial"/>
          <w:sz w:val="15"/>
          <w:szCs w:val="15"/>
          <w:color w:val="auto"/>
        </w:rPr>
        <w:t>As discussed in Note 12, in June 2018, the Company signed an exchange agreement with an investor under which the investor exchanged 2,000,000 shares of common stock for 2,000,000 pre-funded warrant shares. Further, in March 2019, the Company sold an additional 2,500,000 pre-funded warrant shares. The pre-funded warrants are exercisable into shares of common stock for $0.0001 per share. The shares of common stock into which the pre-funded warrants may be exercised are considered outstanding for the purposes of computing earnings per share. In January 2020, the Company sold 3,036,719 shares of common stock at a price of $8.00 per share and pre-funded warrants to purchase 1,338,287 shares of our common stock. During the year ended December 31, 2020, 2,280,335 pre-funded warrants were exchanged for shares of common stock in a cashless exercise. As of December 31, 2020, 3,557,952 pre-funded warrants were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Significant Agreements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Vitae Pharmaceuticals, Inc.</w:t>
      </w:r>
    </w:p>
    <w:p>
      <w:pPr>
        <w:spacing w:after="0" w:line="100" w:lineRule="exact"/>
        <w:rPr>
          <w:sz w:val="20"/>
          <w:szCs w:val="20"/>
          <w:color w:val="auto"/>
        </w:rPr>
      </w:pPr>
    </w:p>
    <w:p>
      <w:pPr>
        <w:ind w:right="80" w:firstLine="590"/>
        <w:spacing w:after="0" w:line="270" w:lineRule="auto"/>
        <w:rPr>
          <w:sz w:val="20"/>
          <w:szCs w:val="20"/>
          <w:color w:val="auto"/>
        </w:rPr>
      </w:pPr>
      <w:r>
        <w:rPr>
          <w:rFonts w:ascii="Arial" w:cs="Arial" w:eastAsia="Arial" w:hAnsi="Arial"/>
          <w:sz w:val="15"/>
          <w:szCs w:val="15"/>
          <w:color w:val="auto"/>
        </w:rPr>
        <w:t>In October 2017, the Company entered into a license agreement (the “Allergan License Agreement”) with Vitae Pharmaceuticals, Inc., a subsidiary of Allergan (“Allergan”), under which Allergan granted the Company an exclusive, sublicensable, worldwide license to a portfolio of preclinical, orally available, small molecule inhibitors of the interaction of menin with Mixed Lineage Leukemia (“MLL”) protein (the “Menin Assets”). The Company made a nonrefundable upfront payment of $5.0 million to Allergan in the fourth quarter of 2017. Additionally,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502" w:right="319" w:bottom="1440" w:gutter="0" w:footer="0" w:header="0"/>
        </w:sectPr>
      </w:pPr>
    </w:p>
    <w:bookmarkStart w:id="100" w:name="page101"/>
    <w:bookmarkEnd w:id="100"/>
    <w:p>
      <w:pPr>
        <w:ind w:left="5"/>
        <w:spacing w:after="0" w:line="250" w:lineRule="auto"/>
        <w:rPr>
          <w:sz w:val="20"/>
          <w:szCs w:val="20"/>
          <w:color w:val="auto"/>
        </w:rPr>
      </w:pPr>
      <w:r>
        <w:rPr>
          <w:rFonts w:ascii="Arial" w:cs="Arial" w:eastAsia="Arial" w:hAnsi="Arial"/>
          <w:sz w:val="16"/>
          <w:szCs w:val="16"/>
          <w:color w:val="auto"/>
        </w:rPr>
        <w:t>milestone payments based on achievement of certain annual sales thresholds. Under certain circumstances, the Company may be required to share a percentage of non-royalty income from sublicensees, subject to certain deductions, with Allergan. The Company is solely responsible for the development and commercialization of the 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172" w:lineRule="exact"/>
        <w:rPr>
          <w:sz w:val="20"/>
          <w:szCs w:val="20"/>
          <w:color w:val="auto"/>
        </w:rPr>
      </w:pPr>
    </w:p>
    <w:p>
      <w:pPr>
        <w:ind w:left="5" w:right="20" w:firstLine="590"/>
        <w:spacing w:after="0" w:line="302" w:lineRule="auto"/>
        <w:rPr>
          <w:sz w:val="20"/>
          <w:szCs w:val="20"/>
          <w:color w:val="auto"/>
        </w:rPr>
      </w:pPr>
      <w:r>
        <w:rPr>
          <w:rFonts w:ascii="Arial" w:cs="Arial" w:eastAsia="Arial" w:hAnsi="Arial"/>
          <w:sz w:val="14"/>
          <w:szCs w:val="14"/>
          <w:color w:val="auto"/>
        </w:rPr>
        <w:t>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2017, the upfront payment of $5.0 million was recorded as research and development expense in the consolidated statements of operations. In June 2019, the Company achieved certain development and regulatory milestones. As a result, in June 2019, the Company recorded $4.0 million as research and development expense. The amount was paid in 2020.</w:t>
      </w:r>
    </w:p>
    <w:p>
      <w:pPr>
        <w:spacing w:after="0" w:line="137" w:lineRule="exact"/>
        <w:rPr>
          <w:sz w:val="20"/>
          <w:szCs w:val="20"/>
          <w:color w:val="auto"/>
        </w:rPr>
      </w:pPr>
    </w:p>
    <w:p>
      <w:pPr>
        <w:ind w:left="585"/>
        <w:spacing w:after="0"/>
        <w:rPr>
          <w:sz w:val="20"/>
          <w:szCs w:val="20"/>
          <w:color w:val="auto"/>
        </w:rPr>
      </w:pPr>
      <w:r>
        <w:rPr>
          <w:rFonts w:ascii="Arial" w:cs="Arial" w:eastAsia="Arial" w:hAnsi="Arial"/>
          <w:sz w:val="16"/>
          <w:szCs w:val="16"/>
          <w:b w:val="1"/>
          <w:bCs w:val="1"/>
          <w:i w:val="1"/>
          <w:iCs w:val="1"/>
          <w:color w:val="auto"/>
        </w:rPr>
        <w:t>UCB Biopharma Sprl</w:t>
      </w:r>
    </w:p>
    <w:p>
      <w:pPr>
        <w:spacing w:after="0" w:line="100" w:lineRule="exact"/>
        <w:rPr>
          <w:sz w:val="20"/>
          <w:szCs w:val="20"/>
          <w:color w:val="auto"/>
        </w:rPr>
      </w:pPr>
    </w:p>
    <w:p>
      <w:pPr>
        <w:ind w:left="5" w:right="20" w:firstLine="590"/>
        <w:spacing w:after="0" w:line="283" w:lineRule="auto"/>
        <w:rPr>
          <w:sz w:val="20"/>
          <w:szCs w:val="20"/>
          <w:color w:val="auto"/>
        </w:rPr>
      </w:pPr>
      <w:r>
        <w:rPr>
          <w:rFonts w:ascii="Arial" w:cs="Arial" w:eastAsia="Arial" w:hAnsi="Arial"/>
          <w:sz w:val="14"/>
          <w:szCs w:val="14"/>
          <w:color w:val="auto"/>
        </w:rPr>
        <w:t>In July 2016, the Company entered into a license agreement (the “UCB License Agreement”) with UCB Biopharma Sprl (“UCB”), under which UCB granted to the Company a worldwide, sublicenseable, exclusive license to UCB6352, which the Company refers to as SNDX-6352 or axatilimab, an IND-ready anti-CSF-1R monoclonal antibody. The Company made a nonrefundable upfront payment of $5.0 million to UCB in the third quarter of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SNDX-6352,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will be solely responsible for the development and commercialization of SNDX-6352, except that UCB is performing a limited set of transitional chemistry, manufacturing and control tasks related to SNDX-6352.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w:t>
      </w:r>
    </w:p>
    <w:p>
      <w:pPr>
        <w:spacing w:after="0" w:line="6" w:lineRule="exact"/>
        <w:rPr>
          <w:sz w:val="20"/>
          <w:szCs w:val="20"/>
          <w:color w:val="auto"/>
        </w:rPr>
      </w:pPr>
    </w:p>
    <w:p>
      <w:pPr>
        <w:ind w:left="5" w:right="280" w:hanging="5"/>
        <w:spacing w:after="0" w:line="254" w:lineRule="auto"/>
        <w:tabs>
          <w:tab w:leader="none" w:pos="193"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168" w:lineRule="exact"/>
        <w:rPr>
          <w:sz w:val="20"/>
          <w:szCs w:val="20"/>
          <w:color w:val="auto"/>
        </w:rPr>
      </w:pPr>
    </w:p>
    <w:p>
      <w:pPr>
        <w:ind w:left="5" w:right="40" w:firstLine="590"/>
        <w:spacing w:after="0" w:line="302" w:lineRule="auto"/>
        <w:rPr>
          <w:sz w:val="20"/>
          <w:szCs w:val="20"/>
          <w:color w:val="auto"/>
        </w:rPr>
      </w:pPr>
      <w:r>
        <w:rPr>
          <w:rFonts w:ascii="Arial" w:cs="Arial" w:eastAsia="Arial" w:hAnsi="Arial"/>
          <w:sz w:val="14"/>
          <w:szCs w:val="14"/>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In July 2020, the Company achieved certain development and regulatory milestones. As a result, in July 2020, the Company recorded $2.0 million as research and development expense, which has been fully paid.</w:t>
      </w:r>
    </w:p>
    <w:p>
      <w:pPr>
        <w:spacing w:after="0" w:line="137" w:lineRule="exact"/>
        <w:rPr>
          <w:sz w:val="20"/>
          <w:szCs w:val="20"/>
          <w:color w:val="auto"/>
        </w:rPr>
      </w:pPr>
    </w:p>
    <w:p>
      <w:pPr>
        <w:ind w:left="585"/>
        <w:spacing w:after="0"/>
        <w:rPr>
          <w:sz w:val="20"/>
          <w:szCs w:val="20"/>
          <w:color w:val="auto"/>
        </w:rPr>
      </w:pPr>
      <w:r>
        <w:rPr>
          <w:rFonts w:ascii="Arial" w:cs="Arial" w:eastAsia="Arial" w:hAnsi="Arial"/>
          <w:sz w:val="16"/>
          <w:szCs w:val="16"/>
          <w:b w:val="1"/>
          <w:bCs w:val="1"/>
          <w:i w:val="1"/>
          <w:iCs w:val="1"/>
          <w:color w:val="auto"/>
        </w:rPr>
        <w:t>Eastern Cooperative Oncology Group</w:t>
      </w:r>
    </w:p>
    <w:p>
      <w:pPr>
        <w:spacing w:after="0" w:line="100" w:lineRule="exact"/>
        <w:rPr>
          <w:sz w:val="20"/>
          <w:szCs w:val="20"/>
          <w:color w:val="auto"/>
        </w:rPr>
      </w:pPr>
    </w:p>
    <w:p>
      <w:pPr>
        <w:ind w:left="5" w:firstLine="590"/>
        <w:spacing w:after="0" w:line="341" w:lineRule="auto"/>
        <w:rPr>
          <w:sz w:val="20"/>
          <w:szCs w:val="20"/>
          <w:color w:val="auto"/>
        </w:rPr>
      </w:pPr>
      <w:r>
        <w:rPr>
          <w:rFonts w:ascii="Arial" w:cs="Arial" w:eastAsia="Arial" w:hAnsi="Arial"/>
          <w:sz w:val="14"/>
          <w:szCs w:val="14"/>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w:t>
      </w:r>
    </w:p>
    <w:p>
      <w:pPr>
        <w:spacing w:after="0" w:line="11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946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5"/>
          </w:cols>
          <w:pgMar w:left="315" w:top="411" w:right="339" w:bottom="1440" w:gutter="0" w:footer="0" w:header="0"/>
        </w:sectPr>
      </w:pPr>
    </w:p>
    <w:bookmarkStart w:id="101" w:name="page102"/>
    <w:bookmarkEnd w:id="101"/>
    <w:p>
      <w:pPr>
        <w:ind w:right="20"/>
        <w:spacing w:after="0" w:line="270" w:lineRule="auto"/>
        <w:rPr>
          <w:sz w:val="20"/>
          <w:szCs w:val="20"/>
          <w:color w:val="auto"/>
        </w:rPr>
      </w:pPr>
      <w:r>
        <w:rPr>
          <w:rFonts w:ascii="Arial" w:cs="Arial" w:eastAsia="Arial" w:hAnsi="Arial"/>
          <w:sz w:val="15"/>
          <w:szCs w:val="15"/>
          <w:color w:val="auto"/>
        </w:rPr>
        <w:t>sponsored pivotal Phase 3 clinical trial of entinostat. Under the terms of the ECOG Agreement, ECOG-ACRIN will perform this clinical trial in accordance with the clinical trial protocol and a mutually agreed scope of work. The Company will provide a fixed level of financial support for the clinical trial through an upfront payment of $0.7 million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From the second quarter of 2016 through the fourth quarter of 2018, the Company has entered into a number of amendments to the agreement to provide for additional study activities resulting in an increase of the contractual obligation of $5.3 million. The Company has agreed to provide this additional financial support to fund the additional activities required to ensure that the E2112 clinical trial will satisfy FDA registration requirements.</w:t>
      </w:r>
    </w:p>
    <w:p>
      <w:pPr>
        <w:spacing w:after="0" w:line="62" w:lineRule="exact"/>
        <w:rPr>
          <w:sz w:val="20"/>
          <w:szCs w:val="20"/>
          <w:color w:val="auto"/>
        </w:rPr>
      </w:pPr>
    </w:p>
    <w:p>
      <w:pPr>
        <w:ind w:right="40" w:firstLine="590"/>
        <w:spacing w:after="0" w:line="252" w:lineRule="auto"/>
        <w:rPr>
          <w:sz w:val="20"/>
          <w:szCs w:val="20"/>
          <w:color w:val="auto"/>
        </w:rPr>
      </w:pPr>
      <w:r>
        <w:rPr>
          <w:rFonts w:ascii="Arial" w:cs="Arial" w:eastAsia="Arial" w:hAnsi="Arial"/>
          <w:sz w:val="16"/>
          <w:szCs w:val="16"/>
          <w:color w:val="auto"/>
        </w:rPr>
        <w:t>In May 2020, the Company announced that the E2112 trial did not achieve the primary endpoint of demonstrating a statistically significant overall survival benefit over hormone therapy alone. As a result, the Company has decided to deprioritize the entinostat program to focus resources on advancing the remainder of its pipeline. As of December 31, 2020, the Company’s aggregate payment obligations under this agreement are approximately $24.7 million; and its estimated remaining payment obligations under the agreement are approximately $3.2 million, which are estimated to be paid over a period of approximately one year. As of December 31, 2020, the Company has accrued $1.6 million related to the ECOG Agreement.</w:t>
      </w:r>
    </w:p>
    <w:p>
      <w:pPr>
        <w:spacing w:after="0" w:line="171" w:lineRule="exact"/>
        <w:rPr>
          <w:sz w:val="20"/>
          <w:szCs w:val="20"/>
          <w:color w:val="auto"/>
        </w:rPr>
      </w:pPr>
    </w:p>
    <w:p>
      <w:pPr>
        <w:ind w:right="20" w:firstLine="590"/>
        <w:spacing w:after="0" w:line="290" w:lineRule="auto"/>
        <w:rPr>
          <w:sz w:val="20"/>
          <w:szCs w:val="20"/>
          <w:color w:val="auto"/>
        </w:rPr>
      </w:pPr>
      <w:r>
        <w:rPr>
          <w:rFonts w:ascii="Arial" w:cs="Arial" w:eastAsia="Arial" w:hAnsi="Arial"/>
          <w:sz w:val="14"/>
          <w:szCs w:val="14"/>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U.S. Food and Drug Administration (“FDA”) or National Cancer Institute (“NCI”) withdraws the authorization to perform the clinical trial in the United States. The parties may jointly terminate the ECOG Agreement if the parties agree that safety-related issues support termination of the clinical trial. The Company accounts for these expenses according to the progress of the clinical trial as measured by patient enrollment and the timing of various aspects of the clinical trial. The Company determines accrual estimates through financial models,taking into account discussion with applicable personnel and ECOG-ACRIN as to the progress of consummation of the clinical trial or the services completed.</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Bayer Pharma AG (formerly known as Bayer Schering Pharma AG)</w:t>
      </w:r>
    </w:p>
    <w:p>
      <w:pPr>
        <w:spacing w:after="0" w:line="100" w:lineRule="exact"/>
        <w:rPr>
          <w:sz w:val="20"/>
          <w:szCs w:val="20"/>
          <w:color w:val="auto"/>
        </w:rPr>
      </w:pPr>
    </w:p>
    <w:p>
      <w:pPr>
        <w:ind w:right="60" w:firstLine="590"/>
        <w:spacing w:after="0" w:line="251" w:lineRule="auto"/>
        <w:rPr>
          <w:sz w:val="20"/>
          <w:szCs w:val="20"/>
          <w:color w:val="auto"/>
        </w:rPr>
      </w:pPr>
      <w:r>
        <w:rPr>
          <w:rFonts w:ascii="Arial" w:cs="Arial" w:eastAsia="Arial" w:hAnsi="Arial"/>
          <w:sz w:val="16"/>
          <w:szCs w:val="16"/>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Property and Equipment, net</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Property and equipment, net, consisted of the following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6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34"/>
        </w:trPr>
        <w:tc>
          <w:tcPr>
            <w:tcW w:w="1680" w:type="dxa"/>
            <w:vAlign w:val="bottom"/>
          </w:tcPr>
          <w:p>
            <w:pPr>
              <w:spacing w:after="0"/>
              <w:rPr>
                <w:sz w:val="11"/>
                <w:szCs w:val="11"/>
                <w:color w:val="auto"/>
              </w:rPr>
            </w:pPr>
          </w:p>
        </w:tc>
        <w:tc>
          <w:tcPr>
            <w:tcW w:w="3060" w:type="dxa"/>
            <w:vAlign w:val="bottom"/>
            <w:tcBorders>
              <w:bottom w:val="single" w:sz="8" w:color="CFF0FC"/>
            </w:tcBorders>
          </w:tcPr>
          <w:p>
            <w:pPr>
              <w:spacing w:after="0"/>
              <w:rPr>
                <w:sz w:val="11"/>
                <w:szCs w:val="11"/>
                <w:color w:val="auto"/>
              </w:rPr>
            </w:pPr>
          </w:p>
        </w:tc>
        <w:tc>
          <w:tcPr>
            <w:tcW w:w="290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4"/>
              <w:spacing w:after="0" w:line="13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23"/>
              <w:spacing w:after="0" w:line="134" w:lineRule="exact"/>
              <w:rPr>
                <w:sz w:val="20"/>
                <w:szCs w:val="20"/>
                <w:color w:val="auto"/>
              </w:rPr>
            </w:pPr>
            <w:r>
              <w:rPr>
                <w:rFonts w:ascii="Arial" w:cs="Arial" w:eastAsia="Arial" w:hAnsi="Arial"/>
                <w:sz w:val="13"/>
                <w:szCs w:val="13"/>
                <w:b w:val="1"/>
                <w:bCs w:val="1"/>
                <w:color w:val="auto"/>
                <w:w w:val="82"/>
              </w:rPr>
              <w:t>2019</w:t>
            </w:r>
          </w:p>
        </w:tc>
        <w:tc>
          <w:tcPr>
            <w:tcW w:w="80" w:type="dxa"/>
            <w:vAlign w:val="bottom"/>
            <w:tcBorders>
              <w:bottom w:val="single" w:sz="8" w:color="CFF0FC"/>
            </w:tcBorders>
          </w:tcPr>
          <w:p>
            <w:pPr>
              <w:spacing w:after="0"/>
              <w:rPr>
                <w:sz w:val="11"/>
                <w:szCs w:val="11"/>
                <w:color w:val="auto"/>
              </w:rPr>
            </w:pPr>
          </w:p>
        </w:tc>
        <w:tc>
          <w:tcPr>
            <w:tcW w:w="1700" w:type="dxa"/>
            <w:vAlign w:val="bottom"/>
          </w:tcPr>
          <w:p>
            <w:pPr>
              <w:spacing w:after="0"/>
              <w:rPr>
                <w:sz w:val="11"/>
                <w:szCs w:val="11"/>
                <w:color w:val="auto"/>
              </w:rPr>
            </w:pPr>
          </w:p>
        </w:tc>
      </w:tr>
      <w:tr>
        <w:trPr>
          <w:trHeight w:val="193"/>
        </w:trPr>
        <w:tc>
          <w:tcPr>
            <w:tcW w:w="1680" w:type="dxa"/>
            <w:vAlign w:val="bottom"/>
          </w:tcPr>
          <w:p>
            <w:pPr>
              <w:spacing w:after="0"/>
              <w:rPr>
                <w:sz w:val="16"/>
                <w:szCs w:val="16"/>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Equipment</w:t>
            </w:r>
          </w:p>
        </w:tc>
        <w:tc>
          <w:tcPr>
            <w:tcW w:w="290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80" w:type="dxa"/>
            <w:vAlign w:val="bottom"/>
            <w:shd w:val="clear" w:color="auto" w:fill="CFF0FC"/>
          </w:tcPr>
          <w:p>
            <w:pPr>
              <w:spacing w:after="0"/>
              <w:rPr>
                <w:sz w:val="16"/>
                <w:szCs w:val="16"/>
                <w:color w:val="auto"/>
              </w:rPr>
            </w:pPr>
          </w:p>
        </w:tc>
        <w:tc>
          <w:tcPr>
            <w:tcW w:w="1700" w:type="dxa"/>
            <w:vAlign w:val="bottom"/>
          </w:tcPr>
          <w:p>
            <w:pPr>
              <w:spacing w:after="0"/>
              <w:rPr>
                <w:sz w:val="16"/>
                <w:szCs w:val="16"/>
                <w:color w:val="auto"/>
              </w:rPr>
            </w:pPr>
          </w:p>
        </w:tc>
      </w:tr>
      <w:tr>
        <w:trPr>
          <w:trHeight w:val="201"/>
        </w:trPr>
        <w:tc>
          <w:tcPr>
            <w:tcW w:w="168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6"/>
                <w:szCs w:val="16"/>
                <w:color w:val="auto"/>
              </w:rPr>
              <w:t>Leasehold improvements</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2"/>
        </w:trPr>
        <w:tc>
          <w:tcPr>
            <w:tcW w:w="1680" w:type="dxa"/>
            <w:vAlign w:val="bottom"/>
          </w:tcPr>
          <w:p>
            <w:pPr>
              <w:spacing w:after="0"/>
              <w:rPr>
                <w:sz w:val="17"/>
                <w:szCs w:val="17"/>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Furniture and fixtures</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80" w:type="dxa"/>
            <w:vAlign w:val="bottom"/>
            <w:shd w:val="clear" w:color="auto" w:fill="CFF0FC"/>
          </w:tcPr>
          <w:p>
            <w:pPr>
              <w:spacing w:after="0"/>
              <w:rPr>
                <w:sz w:val="17"/>
                <w:szCs w:val="17"/>
                <w:color w:val="auto"/>
              </w:rPr>
            </w:pPr>
          </w:p>
        </w:tc>
        <w:tc>
          <w:tcPr>
            <w:tcW w:w="1700" w:type="dxa"/>
            <w:vAlign w:val="bottom"/>
          </w:tcPr>
          <w:p>
            <w:pPr>
              <w:spacing w:after="0"/>
              <w:rPr>
                <w:sz w:val="17"/>
                <w:szCs w:val="17"/>
                <w:color w:val="auto"/>
              </w:rPr>
            </w:pPr>
          </w:p>
        </w:tc>
      </w:tr>
      <w:tr>
        <w:trPr>
          <w:trHeight w:val="201"/>
        </w:trPr>
        <w:tc>
          <w:tcPr>
            <w:tcW w:w="168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6"/>
                <w:szCs w:val="16"/>
                <w:color w:val="auto"/>
              </w:rPr>
              <w:t>Office and computer equipment</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2"/>
        </w:trPr>
        <w:tc>
          <w:tcPr>
            <w:tcW w:w="1680" w:type="dxa"/>
            <w:vAlign w:val="bottom"/>
          </w:tcPr>
          <w:p>
            <w:pPr>
              <w:spacing w:after="0"/>
              <w:rPr>
                <w:sz w:val="17"/>
                <w:szCs w:val="17"/>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Office equipment under capital lease</w:t>
            </w:r>
          </w:p>
        </w:tc>
        <w:tc>
          <w:tcPr>
            <w:tcW w:w="29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FF0FC"/>
          </w:tcPr>
          <w:p>
            <w:pPr>
              <w:spacing w:after="0"/>
              <w:rPr>
                <w:sz w:val="17"/>
                <w:szCs w:val="17"/>
                <w:color w:val="auto"/>
              </w:rPr>
            </w:pPr>
          </w:p>
        </w:tc>
        <w:tc>
          <w:tcPr>
            <w:tcW w:w="1700" w:type="dxa"/>
            <w:vAlign w:val="bottom"/>
          </w:tcPr>
          <w:p>
            <w:pPr>
              <w:spacing w:after="0"/>
              <w:rPr>
                <w:sz w:val="17"/>
                <w:szCs w:val="17"/>
                <w:color w:val="auto"/>
              </w:rPr>
            </w:pPr>
          </w:p>
        </w:tc>
      </w:tr>
      <w:tr>
        <w:trPr>
          <w:trHeight w:val="192"/>
        </w:trPr>
        <w:tc>
          <w:tcPr>
            <w:tcW w:w="1680" w:type="dxa"/>
            <w:vAlign w:val="bottom"/>
          </w:tcPr>
          <w:p>
            <w:pPr>
              <w:spacing w:after="0"/>
              <w:rPr>
                <w:sz w:val="16"/>
                <w:szCs w:val="16"/>
                <w:color w:val="auto"/>
              </w:rPr>
            </w:pPr>
          </w:p>
        </w:tc>
        <w:tc>
          <w:tcPr>
            <w:tcW w:w="3060" w:type="dxa"/>
            <w:vAlign w:val="bottom"/>
          </w:tcPr>
          <w:p>
            <w:pPr>
              <w:ind w:left="220"/>
              <w:spacing w:after="0"/>
              <w:rPr>
                <w:sz w:val="20"/>
                <w:szCs w:val="20"/>
                <w:color w:val="auto"/>
              </w:rPr>
            </w:pPr>
            <w:r>
              <w:rPr>
                <w:rFonts w:ascii="Arial" w:cs="Arial" w:eastAsia="Arial" w:hAnsi="Arial"/>
                <w:sz w:val="16"/>
                <w:szCs w:val="16"/>
                <w:color w:val="auto"/>
              </w:rPr>
              <w:t>Total property and equipment</w:t>
            </w:r>
          </w:p>
        </w:tc>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591</w:t>
            </w: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02"/>
        </w:trPr>
        <w:tc>
          <w:tcPr>
            <w:tcW w:w="1680" w:type="dxa"/>
            <w:vAlign w:val="bottom"/>
          </w:tcPr>
          <w:p>
            <w:pPr>
              <w:spacing w:after="0"/>
              <w:rPr>
                <w:sz w:val="17"/>
                <w:szCs w:val="17"/>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Accumulated depreciation</w:t>
            </w:r>
          </w:p>
        </w:tc>
        <w:tc>
          <w:tcPr>
            <w:tcW w:w="2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(399)</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(310)</w:t>
            </w:r>
          </w:p>
        </w:tc>
        <w:tc>
          <w:tcPr>
            <w:tcW w:w="1700" w:type="dxa"/>
            <w:vAlign w:val="bottom"/>
          </w:tcPr>
          <w:p>
            <w:pPr>
              <w:spacing w:after="0"/>
              <w:rPr>
                <w:sz w:val="17"/>
                <w:szCs w:val="17"/>
                <w:color w:val="auto"/>
              </w:rPr>
            </w:pPr>
          </w:p>
        </w:tc>
      </w:tr>
      <w:tr>
        <w:trPr>
          <w:trHeight w:val="193"/>
        </w:trPr>
        <w:tc>
          <w:tcPr>
            <w:tcW w:w="4740" w:type="dxa"/>
            <w:vAlign w:val="bottom"/>
            <w:gridSpan w:val="2"/>
          </w:tcPr>
          <w:p>
            <w:pPr>
              <w:ind w:left="1680"/>
              <w:spacing w:after="0"/>
              <w:rPr>
                <w:sz w:val="20"/>
                <w:szCs w:val="20"/>
                <w:color w:val="auto"/>
              </w:rPr>
            </w:pPr>
            <w:r>
              <w:rPr>
                <w:rFonts w:ascii="Arial" w:cs="Arial" w:eastAsia="Arial" w:hAnsi="Arial"/>
                <w:sz w:val="16"/>
                <w:szCs w:val="16"/>
                <w:color w:val="auto"/>
              </w:rPr>
              <w:t>Property and equipment, net</w:t>
            </w:r>
          </w:p>
        </w:tc>
        <w:tc>
          <w:tcPr>
            <w:tcW w:w="29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0"/>
        </w:trPr>
        <w:tc>
          <w:tcPr>
            <w:tcW w:w="1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53"/>
        </w:trPr>
        <w:tc>
          <w:tcPr>
            <w:tcW w:w="16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80" w:type="dxa"/>
            <w:vAlign w:val="bottom"/>
            <w:gridSpan w:val="2"/>
          </w:tcPr>
          <w:p>
            <w:pPr>
              <w:jc w:val="right"/>
              <w:ind w:right="1967"/>
              <w:spacing w:after="0"/>
              <w:rPr>
                <w:sz w:val="20"/>
                <w:szCs w:val="20"/>
                <w:color w:val="auto"/>
              </w:rPr>
            </w:pPr>
            <w:r>
              <w:rPr>
                <w:rFonts w:ascii="Arial" w:cs="Arial" w:eastAsia="Arial" w:hAnsi="Arial"/>
                <w:sz w:val="16"/>
                <w:szCs w:val="16"/>
                <w:color w:val="auto"/>
              </w:rPr>
              <w:t>F-18</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00"/>
        </w:trPr>
        <w:tc>
          <w:tcPr>
            <w:tcW w:w="1680" w:type="dxa"/>
            <w:vAlign w:val="bottom"/>
            <w:tcBorders>
              <w:bottom w:val="single" w:sz="8" w:color="9A9A9A"/>
            </w:tcBorders>
          </w:tcPr>
          <w:p>
            <w:pPr>
              <w:spacing w:after="0"/>
              <w:rPr>
                <w:sz w:val="8"/>
                <w:szCs w:val="8"/>
                <w:color w:val="auto"/>
              </w:rPr>
            </w:pPr>
          </w:p>
        </w:tc>
        <w:tc>
          <w:tcPr>
            <w:tcW w:w="3060" w:type="dxa"/>
            <w:vAlign w:val="bottom"/>
            <w:tcBorders>
              <w:bottom w:val="single" w:sz="8" w:color="9A9A9A"/>
            </w:tcBorders>
          </w:tcPr>
          <w:p>
            <w:pPr>
              <w:spacing w:after="0"/>
              <w:rPr>
                <w:sz w:val="8"/>
                <w:szCs w:val="8"/>
                <w:color w:val="auto"/>
              </w:rPr>
            </w:pPr>
          </w:p>
        </w:tc>
        <w:tc>
          <w:tcPr>
            <w:tcW w:w="2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411" w:right="31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color w:val="auto"/>
        </w:rPr>
        <w:t>9. Fair Value Measurements</w:t>
      </w:r>
    </w:p>
    <w:p>
      <w:pPr>
        <w:spacing w:after="0" w:line="104" w:lineRule="exact"/>
        <w:rPr>
          <w:sz w:val="20"/>
          <w:szCs w:val="20"/>
          <w:color w:val="auto"/>
        </w:rPr>
      </w:pPr>
    </w:p>
    <w:p>
      <w:pPr>
        <w:ind w:right="100" w:firstLine="590"/>
        <w:spacing w:after="0" w:line="251" w:lineRule="auto"/>
        <w:rPr>
          <w:sz w:val="20"/>
          <w:szCs w:val="20"/>
          <w:color w:val="auto"/>
        </w:rPr>
      </w:pPr>
      <w:r>
        <w:rPr>
          <w:rFonts w:ascii="Arial" w:cs="Arial" w:eastAsia="Arial" w:hAnsi="Arial"/>
          <w:sz w:val="16"/>
          <w:szCs w:val="16"/>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Quoted prices (unadjusted) in active markets that are accessible at the market date for identical unrestricted assets or liabilities.</w:t>
      </w:r>
    </w:p>
    <w:p>
      <w:pPr>
        <w:spacing w:after="0" w:line="100" w:lineRule="exact"/>
        <w:rPr>
          <w:sz w:val="20"/>
          <w:szCs w:val="20"/>
          <w:color w:val="auto"/>
        </w:rPr>
      </w:pPr>
    </w:p>
    <w:p>
      <w:pPr>
        <w:ind w:right="220"/>
        <w:spacing w:after="0" w:line="341" w:lineRule="auto"/>
        <w:rPr>
          <w:sz w:val="20"/>
          <w:szCs w:val="20"/>
          <w:color w:val="auto"/>
        </w:rPr>
      </w:pPr>
      <w:r>
        <w:rPr>
          <w:rFonts w:ascii="Arial" w:cs="Arial" w:eastAsia="Arial" w:hAnsi="Arial"/>
          <w:sz w:val="14"/>
          <w:szCs w:val="14"/>
          <w:i w:val="1"/>
          <w:iCs w:val="1"/>
          <w:color w:val="auto"/>
        </w:rPr>
        <w:t>Level 2—</w:t>
      </w:r>
      <w:r>
        <w:rPr>
          <w:rFonts w:ascii="Arial" w:cs="Arial" w:eastAsia="Arial" w:hAnsi="Arial"/>
          <w:sz w:val="14"/>
          <w:szCs w:val="14"/>
          <w:color w:val="auto"/>
        </w:rPr>
        <w:t>Inputs other than Level 1 that are observable, either directly or indirectly, such as quoted prices for similar assets or liabilities; quoted prices in markets that are not</w:t>
      </w:r>
      <w:r>
        <w:rPr>
          <w:rFonts w:ascii="Arial" w:cs="Arial" w:eastAsia="Arial" w:hAnsi="Arial"/>
          <w:sz w:val="14"/>
          <w:szCs w:val="14"/>
          <w:i w:val="1"/>
          <w:iCs w:val="1"/>
          <w:color w:val="auto"/>
        </w:rPr>
        <w:t xml:space="preserve"> </w:t>
      </w:r>
      <w:r>
        <w:rPr>
          <w:rFonts w:ascii="Arial" w:cs="Arial" w:eastAsia="Arial" w:hAnsi="Arial"/>
          <w:sz w:val="14"/>
          <w:szCs w:val="14"/>
          <w:color w:val="auto"/>
        </w:rPr>
        <w:t>active; or other inputs for which all significant inputs are observable or can be corroborated by observable market data for substantially the full term of the assets or liabilities.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195" w:lineRule="exact"/>
        <w:rPr>
          <w:sz w:val="20"/>
          <w:szCs w:val="20"/>
          <w:color w:val="auto"/>
        </w:rPr>
      </w:pPr>
    </w:p>
    <w:p>
      <w:pPr>
        <w:ind w:firstLine="590"/>
        <w:spacing w:after="0" w:line="257" w:lineRule="auto"/>
        <w:rPr>
          <w:sz w:val="20"/>
          <w:szCs w:val="20"/>
          <w:color w:val="auto"/>
        </w:rPr>
      </w:pPr>
      <w:r>
        <w:rPr>
          <w:rFonts w:ascii="Arial" w:cs="Arial" w:eastAsia="Arial" w:hAnsi="Arial"/>
          <w:sz w:val="16"/>
          <w:szCs w:val="16"/>
          <w:color w:val="auto"/>
        </w:rPr>
        <w:t>During the years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during the years ended December 31, 2020, 2019 and 2018.</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summary of the assets and liabilities carried at fair value in accordance with the hierarchy defined above is as follows (in thousands):</w:t>
      </w:r>
    </w:p>
    <w:p>
      <w:pPr>
        <w:spacing w:after="0" w:line="270"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12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6"/>
          </w:tcPr>
          <w:p>
            <w:pPr>
              <w:jc w:val="center"/>
              <w:ind w:left="709"/>
              <w:spacing w:after="0"/>
              <w:rPr>
                <w:sz w:val="20"/>
                <w:szCs w:val="20"/>
                <w:color w:val="auto"/>
              </w:rPr>
            </w:pPr>
            <w:r>
              <w:rPr>
                <w:rFonts w:ascii="Arial" w:cs="Arial" w:eastAsia="Arial" w:hAnsi="Arial"/>
                <w:sz w:val="13"/>
                <w:szCs w:val="13"/>
                <w:b w:val="1"/>
                <w:bCs w:val="1"/>
                <w:color w:val="auto"/>
                <w:w w:val="87"/>
              </w:rPr>
              <w:t>Fair Value Measurements Using</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2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jc w:val="center"/>
              <w:ind w:right="440"/>
              <w:spacing w:after="0" w:line="114"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9"/>
                <w:szCs w:val="9"/>
                <w:color w:val="auto"/>
              </w:rPr>
            </w:pPr>
          </w:p>
        </w:tc>
        <w:tc>
          <w:tcPr>
            <w:tcW w:w="1180" w:type="dxa"/>
            <w:vAlign w:val="bottom"/>
            <w:gridSpan w:val="2"/>
          </w:tcPr>
          <w:p>
            <w:pPr>
              <w:jc w:val="center"/>
              <w:ind w:right="400"/>
              <w:spacing w:after="0" w:line="114"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9"/>
                <w:szCs w:val="9"/>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30"/>
        </w:trPr>
        <w:tc>
          <w:tcPr>
            <w:tcW w:w="12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jc w:val="center"/>
              <w:ind w:right="44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1"/>
                <w:szCs w:val="11"/>
                <w:color w:val="auto"/>
              </w:rPr>
            </w:pPr>
          </w:p>
        </w:tc>
        <w:tc>
          <w:tcPr>
            <w:tcW w:w="1160" w:type="dxa"/>
            <w:vAlign w:val="bottom"/>
            <w:gridSpan w:val="2"/>
          </w:tcPr>
          <w:p>
            <w:pPr>
              <w:jc w:val="center"/>
              <w:ind w:right="460"/>
              <w:spacing w:after="0" w:line="131" w:lineRule="exact"/>
              <w:rPr>
                <w:sz w:val="20"/>
                <w:szCs w:val="20"/>
                <w:color w:val="auto"/>
              </w:rPr>
            </w:pPr>
            <w:r>
              <w:rPr>
                <w:rFonts w:ascii="Arial" w:cs="Arial" w:eastAsia="Arial" w:hAnsi="Arial"/>
                <w:sz w:val="13"/>
                <w:szCs w:val="13"/>
                <w:b w:val="1"/>
                <w:bCs w:val="1"/>
                <w:color w:val="auto"/>
                <w:w w:val="86"/>
              </w:rPr>
              <w:t>Prices</w:t>
            </w:r>
          </w:p>
        </w:tc>
        <w:tc>
          <w:tcPr>
            <w:tcW w:w="140" w:type="dxa"/>
            <w:vAlign w:val="bottom"/>
          </w:tcPr>
          <w:p>
            <w:pPr>
              <w:spacing w:after="0"/>
              <w:rPr>
                <w:sz w:val="11"/>
                <w:szCs w:val="11"/>
                <w:color w:val="auto"/>
              </w:rPr>
            </w:pPr>
          </w:p>
        </w:tc>
        <w:tc>
          <w:tcPr>
            <w:tcW w:w="1180" w:type="dxa"/>
            <w:vAlign w:val="bottom"/>
            <w:gridSpan w:val="2"/>
          </w:tcPr>
          <w:p>
            <w:pPr>
              <w:jc w:val="center"/>
              <w:ind w:right="400"/>
              <w:spacing w:after="0" w:line="131"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2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440"/>
              <w:spacing w:after="0" w:line="131" w:lineRule="exact"/>
              <w:rPr>
                <w:sz w:val="20"/>
                <w:szCs w:val="20"/>
                <w:color w:val="auto"/>
              </w:rPr>
            </w:pPr>
            <w:r>
              <w:rPr>
                <w:rFonts w:ascii="Arial" w:cs="Arial" w:eastAsia="Arial" w:hAnsi="Arial"/>
                <w:sz w:val="13"/>
                <w:szCs w:val="13"/>
                <w:b w:val="1"/>
                <w:bCs w:val="1"/>
                <w:color w:val="auto"/>
                <w:w w:val="88"/>
              </w:rPr>
              <w:t>in Active</w:t>
            </w:r>
          </w:p>
        </w:tc>
        <w:tc>
          <w:tcPr>
            <w:tcW w:w="140" w:type="dxa"/>
            <w:vAlign w:val="bottom"/>
          </w:tcPr>
          <w:p>
            <w:pPr>
              <w:spacing w:after="0"/>
              <w:rPr>
                <w:sz w:val="11"/>
                <w:szCs w:val="11"/>
                <w:color w:val="auto"/>
              </w:rPr>
            </w:pPr>
          </w:p>
        </w:tc>
        <w:tc>
          <w:tcPr>
            <w:tcW w:w="1180" w:type="dxa"/>
            <w:vAlign w:val="bottom"/>
            <w:gridSpan w:val="2"/>
          </w:tcPr>
          <w:p>
            <w:pPr>
              <w:jc w:val="center"/>
              <w:ind w:right="400"/>
              <w:spacing w:after="0" w:line="131"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6"/>
              </w:rPr>
              <w:t>Unobservable</w:t>
            </w:r>
          </w:p>
        </w:tc>
        <w:tc>
          <w:tcPr>
            <w:tcW w:w="0" w:type="dxa"/>
            <w:vAlign w:val="bottom"/>
          </w:tcPr>
          <w:p>
            <w:pPr>
              <w:spacing w:after="0"/>
              <w:rPr>
                <w:sz w:val="1"/>
                <w:szCs w:val="1"/>
                <w:color w:val="auto"/>
              </w:rPr>
            </w:pPr>
          </w:p>
        </w:tc>
      </w:tr>
      <w:tr>
        <w:trPr>
          <w:trHeight w:val="130"/>
        </w:trPr>
        <w:tc>
          <w:tcPr>
            <w:tcW w:w="12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460"/>
              <w:spacing w:after="0" w:line="131" w:lineRule="exact"/>
              <w:rPr>
                <w:sz w:val="20"/>
                <w:szCs w:val="20"/>
                <w:color w:val="auto"/>
              </w:rPr>
            </w:pPr>
            <w:r>
              <w:rPr>
                <w:rFonts w:ascii="Arial" w:cs="Arial" w:eastAsia="Arial" w:hAnsi="Arial"/>
                <w:sz w:val="13"/>
                <w:szCs w:val="13"/>
                <w:b w:val="1"/>
                <w:bCs w:val="1"/>
                <w:color w:val="auto"/>
                <w:w w:val="93"/>
              </w:rPr>
              <w:t>Carrying</w:t>
            </w:r>
          </w:p>
        </w:tc>
        <w:tc>
          <w:tcPr>
            <w:tcW w:w="180" w:type="dxa"/>
            <w:vAlign w:val="bottom"/>
          </w:tcPr>
          <w:p>
            <w:pPr>
              <w:spacing w:after="0"/>
              <w:rPr>
                <w:sz w:val="11"/>
                <w:szCs w:val="11"/>
                <w:color w:val="auto"/>
              </w:rPr>
            </w:pPr>
          </w:p>
        </w:tc>
        <w:tc>
          <w:tcPr>
            <w:tcW w:w="1160" w:type="dxa"/>
            <w:vAlign w:val="bottom"/>
            <w:gridSpan w:val="2"/>
          </w:tcPr>
          <w:p>
            <w:pPr>
              <w:jc w:val="center"/>
              <w:ind w:right="460"/>
              <w:spacing w:after="0" w:line="131" w:lineRule="exact"/>
              <w:rPr>
                <w:sz w:val="20"/>
                <w:szCs w:val="20"/>
                <w:color w:val="auto"/>
              </w:rPr>
            </w:pPr>
            <w:r>
              <w:rPr>
                <w:rFonts w:ascii="Arial" w:cs="Arial" w:eastAsia="Arial" w:hAnsi="Arial"/>
                <w:sz w:val="13"/>
                <w:szCs w:val="13"/>
                <w:b w:val="1"/>
                <w:bCs w:val="1"/>
                <w:color w:val="auto"/>
                <w:w w:val="93"/>
              </w:rPr>
              <w:t>Markets</w:t>
            </w:r>
          </w:p>
        </w:tc>
        <w:tc>
          <w:tcPr>
            <w:tcW w:w="140" w:type="dxa"/>
            <w:vAlign w:val="bottom"/>
          </w:tcPr>
          <w:p>
            <w:pPr>
              <w:spacing w:after="0"/>
              <w:rPr>
                <w:sz w:val="11"/>
                <w:szCs w:val="11"/>
                <w:color w:val="auto"/>
              </w:rPr>
            </w:pPr>
          </w:p>
        </w:tc>
        <w:tc>
          <w:tcPr>
            <w:tcW w:w="1180" w:type="dxa"/>
            <w:vAlign w:val="bottom"/>
            <w:gridSpan w:val="2"/>
          </w:tcPr>
          <w:p>
            <w:pPr>
              <w:jc w:val="center"/>
              <w:ind w:right="400"/>
              <w:spacing w:after="0" w:line="131" w:lineRule="exact"/>
              <w:rPr>
                <w:sz w:val="20"/>
                <w:szCs w:val="20"/>
                <w:color w:val="auto"/>
              </w:rPr>
            </w:pPr>
            <w:r>
              <w:rPr>
                <w:rFonts w:ascii="Arial" w:cs="Arial" w:eastAsia="Arial" w:hAnsi="Arial"/>
                <w:sz w:val="13"/>
                <w:szCs w:val="13"/>
                <w:b w:val="1"/>
                <w:bCs w:val="1"/>
                <w:color w:val="auto"/>
                <w:w w:val="87"/>
              </w:rPr>
              <w:t>Inputs</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150"/>
        </w:trPr>
        <w:tc>
          <w:tcPr>
            <w:tcW w:w="12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6"/>
              </w:rPr>
              <w:t>Value</w:t>
            </w:r>
          </w:p>
        </w:tc>
        <w:tc>
          <w:tcPr>
            <w:tcW w:w="180" w:type="dxa"/>
            <w:vAlign w:val="bottom"/>
          </w:tcPr>
          <w:p>
            <w:pPr>
              <w:spacing w:after="0"/>
              <w:rPr>
                <w:sz w:val="13"/>
                <w:szCs w:val="13"/>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7"/>
              </w:rPr>
              <w:t>(Level 1)</w:t>
            </w:r>
          </w:p>
        </w:tc>
        <w:tc>
          <w:tcPr>
            <w:tcW w:w="140" w:type="dxa"/>
            <w:vAlign w:val="bottom"/>
          </w:tcPr>
          <w:p>
            <w:pPr>
              <w:spacing w:after="0"/>
              <w:rPr>
                <w:sz w:val="13"/>
                <w:szCs w:val="13"/>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7"/>
              </w:rPr>
              <w:t>(Level 2)</w:t>
            </w:r>
          </w:p>
        </w:tc>
        <w:tc>
          <w:tcPr>
            <w:tcW w:w="14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(Level 3)</w:t>
            </w:r>
          </w:p>
        </w:tc>
        <w:tc>
          <w:tcPr>
            <w:tcW w:w="0" w:type="dxa"/>
            <w:vAlign w:val="bottom"/>
          </w:tcPr>
          <w:p>
            <w:pPr>
              <w:spacing w:after="0"/>
              <w:rPr>
                <w:sz w:val="1"/>
                <w:szCs w:val="1"/>
                <w:color w:val="auto"/>
              </w:rPr>
            </w:pPr>
          </w:p>
        </w:tc>
      </w:tr>
      <w:tr>
        <w:trPr>
          <w:trHeight w:val="173"/>
        </w:trPr>
        <w:tc>
          <w:tcPr>
            <w:tcW w:w="1280" w:type="dxa"/>
            <w:vAlign w:val="bottom"/>
            <w:tcBorders>
              <w:top w:val="single" w:sz="8" w:color="CFF0FC"/>
              <w:bottom w:val="single" w:sz="8" w:color="auto"/>
            </w:tcBorders>
            <w:shd w:val="clear" w:color="auto" w:fill="CFF0FC"/>
          </w:tcPr>
          <w:p>
            <w:pPr>
              <w:spacing w:after="0" w:line="158" w:lineRule="exact"/>
              <w:rPr>
                <w:sz w:val="20"/>
                <w:szCs w:val="20"/>
                <w:color w:val="auto"/>
              </w:rPr>
            </w:pPr>
            <w:r>
              <w:rPr>
                <w:rFonts w:ascii="Arial" w:cs="Arial" w:eastAsia="Arial" w:hAnsi="Arial"/>
                <w:sz w:val="16"/>
                <w:szCs w:val="16"/>
                <w:b w:val="1"/>
                <w:bCs w:val="1"/>
                <w:color w:val="auto"/>
                <w:w w:val="87"/>
              </w:rPr>
              <w:t>December 31, 2020</w:t>
            </w:r>
          </w:p>
        </w:tc>
        <w:tc>
          <w:tcPr>
            <w:tcW w:w="2020" w:type="dxa"/>
            <w:vAlign w:val="bottom"/>
            <w:tcBorders>
              <w:top w:val="single" w:sz="8" w:color="CFF0FC"/>
              <w:bottom w:val="single" w:sz="8" w:color="CFF0FC"/>
            </w:tcBorders>
            <w:shd w:val="clear" w:color="auto" w:fill="CFF0FC"/>
          </w:tcPr>
          <w:p>
            <w:pPr>
              <w:spacing w:after="0"/>
              <w:rPr>
                <w:sz w:val="15"/>
                <w:szCs w:val="15"/>
                <w:color w:val="auto"/>
              </w:rPr>
            </w:pPr>
          </w:p>
        </w:tc>
        <w:tc>
          <w:tcPr>
            <w:tcW w:w="162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CFF0FC"/>
            </w:tcBorders>
            <w:shd w:val="clear" w:color="auto" w:fill="CFF0FC"/>
          </w:tcPr>
          <w:p>
            <w:pPr>
              <w:spacing w:after="0"/>
              <w:rPr>
                <w:sz w:val="15"/>
                <w:szCs w:val="15"/>
                <w:color w:val="auto"/>
              </w:rPr>
            </w:pPr>
          </w:p>
        </w:tc>
        <w:tc>
          <w:tcPr>
            <w:tcW w:w="900" w:type="dxa"/>
            <w:vAlign w:val="bottom"/>
            <w:tcBorders>
              <w:top w:val="single" w:sz="8" w:color="auto"/>
              <w:bottom w:val="single" w:sz="8" w:color="CFF0FC"/>
            </w:tcBorders>
            <w:shd w:val="clear" w:color="auto" w:fill="CFF0FC"/>
          </w:tcPr>
          <w:p>
            <w:pPr>
              <w:spacing w:after="0"/>
              <w:rPr>
                <w:sz w:val="15"/>
                <w:szCs w:val="15"/>
                <w:color w:val="auto"/>
              </w:rPr>
            </w:pP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CFF0FC"/>
            </w:tcBorders>
            <w:shd w:val="clear" w:color="auto" w:fill="CFF0FC"/>
          </w:tcPr>
          <w:p>
            <w:pPr>
              <w:spacing w:after="0"/>
              <w:rPr>
                <w:sz w:val="15"/>
                <w:szCs w:val="15"/>
                <w:color w:val="auto"/>
              </w:rPr>
            </w:pPr>
          </w:p>
        </w:tc>
        <w:tc>
          <w:tcPr>
            <w:tcW w:w="900" w:type="dxa"/>
            <w:vAlign w:val="bottom"/>
            <w:tcBorders>
              <w:top w:val="single" w:sz="8" w:color="auto"/>
              <w:bottom w:val="single" w:sz="8" w:color="CFF0FC"/>
            </w:tcBorders>
            <w:shd w:val="clear" w:color="auto" w:fill="CFF0FC"/>
          </w:tcPr>
          <w:p>
            <w:pPr>
              <w:spacing w:after="0"/>
              <w:rPr>
                <w:sz w:val="15"/>
                <w:szCs w:val="15"/>
                <w:color w:val="auto"/>
              </w:rPr>
            </w:pP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CFF0FC"/>
            </w:tcBorders>
            <w:shd w:val="clear" w:color="auto" w:fill="CFF0FC"/>
          </w:tcPr>
          <w:p>
            <w:pPr>
              <w:spacing w:after="0"/>
              <w:rPr>
                <w:sz w:val="15"/>
                <w:szCs w:val="15"/>
                <w:color w:val="auto"/>
              </w:rPr>
            </w:pPr>
          </w:p>
        </w:tc>
        <w:tc>
          <w:tcPr>
            <w:tcW w:w="940" w:type="dxa"/>
            <w:vAlign w:val="bottom"/>
            <w:tcBorders>
              <w:top w:val="single" w:sz="8" w:color="auto"/>
              <w:bottom w:val="single" w:sz="8" w:color="CFF0FC"/>
            </w:tcBorders>
            <w:shd w:val="clear" w:color="auto" w:fill="CFF0FC"/>
          </w:tcPr>
          <w:p>
            <w:pPr>
              <w:spacing w:after="0"/>
              <w:rPr>
                <w:sz w:val="15"/>
                <w:szCs w:val="15"/>
                <w:color w:val="auto"/>
              </w:rPr>
            </w:pP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300" w:type="dxa"/>
            <w:vAlign w:val="bottom"/>
            <w:gridSpan w:val="2"/>
          </w:tcPr>
          <w:p>
            <w:pPr>
              <w:spacing w:after="0"/>
              <w:rPr>
                <w:sz w:val="20"/>
                <w:szCs w:val="20"/>
                <w:color w:val="auto"/>
              </w:rPr>
            </w:pPr>
            <w:r>
              <w:rPr>
                <w:rFonts w:ascii="Arial" w:cs="Arial" w:eastAsia="Arial" w:hAnsi="Arial"/>
                <w:sz w:val="16"/>
                <w:szCs w:val="16"/>
                <w:color w:val="auto"/>
              </w:rPr>
              <w:t>Assets:</w:t>
            </w: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Cash equivalents</w:t>
            </w:r>
          </w:p>
        </w:tc>
        <w:tc>
          <w:tcPr>
            <w:tcW w:w="1800" w:type="dxa"/>
            <w:vAlign w:val="bottom"/>
            <w:gridSpan w:val="2"/>
            <w:shd w:val="clear" w:color="auto" w:fill="CFF0FC"/>
          </w:tcPr>
          <w:p>
            <w:pPr>
              <w:jc w:val="right"/>
              <w:ind w:right="27"/>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115,243</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110,246</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8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300" w:type="dxa"/>
            <w:vAlign w:val="bottom"/>
            <w:gridSpan w:val="2"/>
          </w:tcPr>
          <w:p>
            <w:pPr>
              <w:ind w:left="220"/>
              <w:spacing w:after="0"/>
              <w:rPr>
                <w:sz w:val="20"/>
                <w:szCs w:val="20"/>
                <w:color w:val="auto"/>
              </w:rPr>
            </w:pPr>
            <w:r>
              <w:rPr>
                <w:rFonts w:ascii="Arial" w:cs="Arial" w:eastAsia="Arial" w:hAnsi="Arial"/>
                <w:sz w:val="16"/>
                <w:szCs w:val="16"/>
                <w:color w:val="auto"/>
              </w:rPr>
              <w:t>Short-term investments</w:t>
            </w: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177,822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177,822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300" w:type="dxa"/>
            <w:vAlign w:val="bottom"/>
            <w:tcBorders>
              <w:top w:val="single" w:sz="8" w:color="CFF0FC"/>
              <w:bottom w:val="single" w:sz="8" w:color="CFF0FC"/>
            </w:tcBorders>
            <w:gridSpan w:val="2"/>
            <w:shd w:val="clear" w:color="auto" w:fill="CFF0FC"/>
          </w:tcPr>
          <w:p>
            <w:pPr>
              <w:ind w:left="440"/>
              <w:spacing w:after="0"/>
              <w:rPr>
                <w:sz w:val="20"/>
                <w:szCs w:val="20"/>
                <w:color w:val="auto"/>
              </w:rPr>
            </w:pPr>
            <w:r>
              <w:rPr>
                <w:rFonts w:ascii="Arial" w:cs="Arial" w:eastAsia="Arial" w:hAnsi="Arial"/>
                <w:sz w:val="16"/>
                <w:szCs w:val="16"/>
                <w:color w:val="auto"/>
              </w:rPr>
              <w:t>Total assets</w:t>
            </w:r>
          </w:p>
        </w:tc>
        <w:tc>
          <w:tcPr>
            <w:tcW w:w="162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293,065</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110,246</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182,819</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ind w:left="800"/>
              <w:spacing w:after="0"/>
              <w:rPr>
                <w:sz w:val="20"/>
                <w:szCs w:val="20"/>
                <w:color w:val="auto"/>
              </w:rPr>
            </w:pPr>
            <w:r>
              <w:rPr>
                <w:rFonts w:ascii="Arial" w:cs="Arial" w:eastAsia="Arial" w:hAnsi="Arial"/>
                <w:sz w:val="16"/>
                <w:szCs w:val="16"/>
                <w:color w:val="auto"/>
                <w:w w:val="99"/>
              </w:rPr>
              <w:t>—</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81" w:lineRule="exact"/>
              <w:rPr>
                <w:sz w:val="20"/>
                <w:szCs w:val="20"/>
                <w:color w:val="auto"/>
              </w:rPr>
            </w:pPr>
            <w:r>
              <w:rPr>
                <w:rFonts w:ascii="Arial" w:cs="Arial" w:eastAsia="Arial" w:hAnsi="Arial"/>
                <w:sz w:val="16"/>
                <w:szCs w:val="16"/>
                <w:b w:val="1"/>
                <w:bCs w:val="1"/>
                <w:color w:val="auto"/>
                <w:w w:val="87"/>
              </w:rPr>
              <w:t>December 31, 2019</w:t>
            </w:r>
          </w:p>
        </w:tc>
        <w:tc>
          <w:tcPr>
            <w:tcW w:w="202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280" w:type="dxa"/>
            <w:vAlign w:val="bottom"/>
            <w:tcBorders>
              <w:bottom w:val="single" w:sz="8" w:color="auto"/>
            </w:tcBorders>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Assets:</w:t>
            </w: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300" w:type="dxa"/>
            <w:vAlign w:val="bottom"/>
            <w:gridSpan w:val="2"/>
          </w:tcPr>
          <w:p>
            <w:pPr>
              <w:ind w:left="220"/>
              <w:spacing w:after="0"/>
              <w:rPr>
                <w:sz w:val="20"/>
                <w:szCs w:val="20"/>
                <w:color w:val="auto"/>
              </w:rPr>
            </w:pPr>
            <w:r>
              <w:rPr>
                <w:rFonts w:ascii="Arial" w:cs="Arial" w:eastAsia="Arial" w:hAnsi="Arial"/>
                <w:sz w:val="16"/>
                <w:szCs w:val="16"/>
                <w:color w:val="auto"/>
              </w:rPr>
              <w:t>Cash equivalents</w:t>
            </w:r>
          </w:p>
        </w:tc>
        <w:tc>
          <w:tcPr>
            <w:tcW w:w="180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24,609</w:t>
            </w:r>
          </w:p>
        </w:tc>
        <w:tc>
          <w:tcPr>
            <w:tcW w:w="26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23,439</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1,170</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3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Short-term investments</w:t>
            </w:r>
          </w:p>
        </w:tc>
        <w:tc>
          <w:tcPr>
            <w:tcW w:w="1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35,166</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35,166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ind w:left="8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300" w:type="dxa"/>
            <w:vAlign w:val="bottom"/>
            <w:gridSpan w:val="2"/>
          </w:tcPr>
          <w:p>
            <w:pPr>
              <w:ind w:left="440"/>
              <w:spacing w:after="0"/>
              <w:rPr>
                <w:sz w:val="20"/>
                <w:szCs w:val="20"/>
                <w:color w:val="auto"/>
              </w:rPr>
            </w:pPr>
            <w:r>
              <w:rPr>
                <w:rFonts w:ascii="Arial" w:cs="Arial" w:eastAsia="Arial" w:hAnsi="Arial"/>
                <w:sz w:val="16"/>
                <w:szCs w:val="16"/>
                <w:color w:val="auto"/>
              </w:rPr>
              <w:t>Total assets</w:t>
            </w:r>
          </w:p>
        </w:tc>
        <w:tc>
          <w:tcPr>
            <w:tcW w:w="16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59,775</w:t>
            </w:r>
          </w:p>
        </w:tc>
        <w:tc>
          <w:tcPr>
            <w:tcW w:w="2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23,439</w:t>
            </w:r>
          </w:p>
        </w:tc>
        <w:tc>
          <w:tcPr>
            <w:tcW w:w="2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36,336</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firstLine="590"/>
        <w:spacing w:after="0" w:line="252" w:lineRule="auto"/>
        <w:rPr>
          <w:sz w:val="20"/>
          <w:szCs w:val="20"/>
          <w:color w:val="auto"/>
        </w:rPr>
      </w:pPr>
      <w:r>
        <w:rPr>
          <w:rFonts w:ascii="Arial" w:cs="Arial" w:eastAsia="Arial" w:hAnsi="Arial"/>
          <w:sz w:val="16"/>
          <w:szCs w:val="16"/>
          <w:color w:val="auto"/>
        </w:rPr>
        <w:t>Cash equivalents of $110.2 million as of December 31, 2020 and $23.4 million as of December 31, 2019 consisted of overnight investments and money market funds and are classified within Level 1 of the fair value hierarchy because they are valued using quoted market prices in active markets. Cash equivalents of $5.0 million as of December 31, 2020 and $1.2 million as of December 31, 2019 consisted of highly rated corporate bonds and commercial paper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821" w:right="359" w:bottom="1440" w:gutter="0" w:footer="0" w:header="0"/>
        </w:sectPr>
      </w:pPr>
    </w:p>
    <w:bookmarkStart w:id="103" w:name="page104"/>
    <w:bookmarkEnd w:id="103"/>
    <w:p>
      <w:pPr>
        <w:ind w:right="20" w:firstLine="590"/>
        <w:spacing w:after="0" w:line="311" w:lineRule="auto"/>
        <w:rPr>
          <w:sz w:val="20"/>
          <w:szCs w:val="20"/>
          <w:color w:val="auto"/>
        </w:rPr>
      </w:pPr>
      <w:r>
        <w:rPr>
          <w:rFonts w:ascii="Arial" w:cs="Arial" w:eastAsia="Arial" w:hAnsi="Arial"/>
          <w:sz w:val="14"/>
          <w:szCs w:val="14"/>
          <w:color w:val="auto"/>
        </w:rPr>
        <w:t>Short-term investments of $177.8 million as of December 31, 2020 and $35.2 million as of December 31, 2019, consisted of commercial paper, highly rated corporate bonds, credit card asset back securities and US Treasuries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32" w:lineRule="exact"/>
        <w:rPr>
          <w:sz w:val="20"/>
          <w:szCs w:val="20"/>
          <w:color w:val="auto"/>
        </w:rPr>
      </w:pPr>
    </w:p>
    <w:p>
      <w:pPr>
        <w:ind w:right="160" w:firstLine="590"/>
        <w:spacing w:after="0" w:line="271" w:lineRule="auto"/>
        <w:rPr>
          <w:sz w:val="20"/>
          <w:szCs w:val="20"/>
          <w:color w:val="auto"/>
        </w:rPr>
      </w:pPr>
      <w:r>
        <w:rPr>
          <w:rFonts w:ascii="Arial" w:cs="Arial" w:eastAsia="Arial" w:hAnsi="Arial"/>
          <w:sz w:val="15"/>
          <w:szCs w:val="15"/>
          <w:color w:val="auto"/>
        </w:rPr>
        <w:t>The short-term investments are classified as available-for-sale securities. As of December 31, 2020, the remaining contractual maturities of the available-for-sale securities were less than 12 months, and the balance in the Company’s accumulated other comprehensive income was comprised solely of activity related to the Company’s available-for-sale securities. There were no realized gains or losses recognized on the sale or maturity of available-for-sale securities during the three years ended December 31, 2020. As a result, the Company did not reclassify any amounts out of accumulated other comprehensive income for the same periods. The Company has a limited number of available-for-sale securities in insignificant loss positions as of December 31, 2020, which the Company does not intend to sell and has concluded it will not be required to sell before recovery of the amortized cost for the investment at maturity.</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summarizes the available-for-sale securities (in thousands):</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8"/>
              </w:rPr>
              <w:t>Amortized</w:t>
            </w:r>
          </w:p>
        </w:tc>
        <w:tc>
          <w:tcPr>
            <w:tcW w:w="180" w:type="dxa"/>
            <w:vAlign w:val="bottom"/>
          </w:tcPr>
          <w:p>
            <w:pPr>
              <w:spacing w:after="0"/>
              <w:rPr>
                <w:sz w:val="13"/>
                <w:szCs w:val="13"/>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8"/>
              </w:rPr>
              <w:t>Unrealized</w:t>
            </w:r>
          </w:p>
        </w:tc>
        <w:tc>
          <w:tcPr>
            <w:tcW w:w="200" w:type="dxa"/>
            <w:vAlign w:val="bottom"/>
          </w:tcPr>
          <w:p>
            <w:pPr>
              <w:spacing w:after="0"/>
              <w:rPr>
                <w:sz w:val="13"/>
                <w:szCs w:val="13"/>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13"/>
                <w:szCs w:val="13"/>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0"/>
        </w:trPr>
        <w:tc>
          <w:tcPr>
            <w:tcW w:w="12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2"/>
              </w:rPr>
              <w:t>Cost</w:t>
            </w:r>
          </w:p>
        </w:tc>
        <w:tc>
          <w:tcPr>
            <w:tcW w:w="180" w:type="dxa"/>
            <w:vAlign w:val="bottom"/>
          </w:tcPr>
          <w:p>
            <w:pPr>
              <w:spacing w:after="0"/>
              <w:rPr>
                <w:sz w:val="13"/>
                <w:szCs w:val="13"/>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8"/>
              </w:rPr>
              <w:t>Gains</w:t>
            </w:r>
          </w:p>
        </w:tc>
        <w:tc>
          <w:tcPr>
            <w:tcW w:w="200" w:type="dxa"/>
            <w:vAlign w:val="bottom"/>
          </w:tcPr>
          <w:p>
            <w:pPr>
              <w:spacing w:after="0"/>
              <w:rPr>
                <w:sz w:val="13"/>
                <w:szCs w:val="13"/>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Losses</w:t>
            </w:r>
          </w:p>
        </w:tc>
        <w:tc>
          <w:tcPr>
            <w:tcW w:w="260" w:type="dxa"/>
            <w:vAlign w:val="bottom"/>
          </w:tcPr>
          <w:p>
            <w:pPr>
              <w:spacing w:after="0"/>
              <w:rPr>
                <w:sz w:val="13"/>
                <w:szCs w:val="13"/>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73"/>
        </w:trPr>
        <w:tc>
          <w:tcPr>
            <w:tcW w:w="1280" w:type="dxa"/>
            <w:vAlign w:val="bottom"/>
            <w:tcBorders>
              <w:top w:val="single" w:sz="8" w:color="CFF0FC"/>
              <w:bottom w:val="single" w:sz="8" w:color="auto"/>
            </w:tcBorders>
            <w:shd w:val="clear" w:color="auto" w:fill="CFF0FC"/>
          </w:tcPr>
          <w:p>
            <w:pPr>
              <w:spacing w:after="0" w:line="158" w:lineRule="exact"/>
              <w:rPr>
                <w:sz w:val="20"/>
                <w:szCs w:val="20"/>
                <w:color w:val="auto"/>
              </w:rPr>
            </w:pPr>
            <w:r>
              <w:rPr>
                <w:rFonts w:ascii="Arial" w:cs="Arial" w:eastAsia="Arial" w:hAnsi="Arial"/>
                <w:sz w:val="16"/>
                <w:szCs w:val="16"/>
                <w:b w:val="1"/>
                <w:bCs w:val="1"/>
                <w:color w:val="auto"/>
                <w:w w:val="87"/>
              </w:rPr>
              <w:t>December 31, 2020</w:t>
            </w:r>
          </w:p>
        </w:tc>
        <w:tc>
          <w:tcPr>
            <w:tcW w:w="312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CFF0FC"/>
            </w:tcBorders>
            <w:shd w:val="clear" w:color="auto" w:fill="CFF0FC"/>
          </w:tcPr>
          <w:p>
            <w:pPr>
              <w:spacing w:after="0"/>
              <w:rPr>
                <w:sz w:val="15"/>
                <w:szCs w:val="15"/>
                <w:color w:val="auto"/>
              </w:rPr>
            </w:pP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CFF0FC"/>
            </w:tcBorders>
            <w:shd w:val="clear" w:color="auto" w:fill="CFF0FC"/>
          </w:tcPr>
          <w:p>
            <w:pPr>
              <w:spacing w:after="0"/>
              <w:rPr>
                <w:sz w:val="15"/>
                <w:szCs w:val="15"/>
                <w:color w:val="auto"/>
              </w:rPr>
            </w:pPr>
          </w:p>
        </w:tc>
        <w:tc>
          <w:tcPr>
            <w:tcW w:w="1020" w:type="dxa"/>
            <w:vAlign w:val="bottom"/>
            <w:tcBorders>
              <w:top w:val="single" w:sz="8" w:color="auto"/>
              <w:bottom w:val="single" w:sz="8" w:color="CFF0FC"/>
            </w:tcBorders>
            <w:shd w:val="clear" w:color="auto" w:fill="CFF0FC"/>
          </w:tcPr>
          <w:p>
            <w:pPr>
              <w:spacing w:after="0"/>
              <w:rPr>
                <w:sz w:val="15"/>
                <w:szCs w:val="15"/>
                <w:color w:val="auto"/>
              </w:rPr>
            </w:pP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CFF0FC"/>
            </w:tcBorders>
            <w:shd w:val="clear" w:color="auto" w:fill="CFF0FC"/>
          </w:tcPr>
          <w:p>
            <w:pPr>
              <w:spacing w:after="0"/>
              <w:rPr>
                <w:sz w:val="15"/>
                <w:szCs w:val="15"/>
                <w:color w:val="auto"/>
              </w:rPr>
            </w:pPr>
          </w:p>
        </w:tc>
        <w:tc>
          <w:tcPr>
            <w:tcW w:w="1020" w:type="dxa"/>
            <w:vAlign w:val="bottom"/>
            <w:tcBorders>
              <w:top w:val="single" w:sz="8" w:color="auto"/>
              <w:bottom w:val="single" w:sz="8" w:color="CFF0FC"/>
            </w:tcBorders>
            <w:shd w:val="clear" w:color="auto" w:fill="CFF0FC"/>
          </w:tcPr>
          <w:p>
            <w:pPr>
              <w:spacing w:after="0"/>
              <w:rPr>
                <w:sz w:val="15"/>
                <w:szCs w:val="15"/>
                <w:color w:val="auto"/>
              </w:rPr>
            </w:pP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CFF0FC"/>
            </w:tcBorders>
            <w:shd w:val="clear" w:color="auto" w:fill="CFF0FC"/>
          </w:tcPr>
          <w:p>
            <w:pPr>
              <w:spacing w:after="0"/>
              <w:rPr>
                <w:sz w:val="15"/>
                <w:szCs w:val="15"/>
                <w:color w:val="auto"/>
              </w:rPr>
            </w:pPr>
          </w:p>
        </w:tc>
        <w:tc>
          <w:tcPr>
            <w:tcW w:w="960" w:type="dxa"/>
            <w:vAlign w:val="bottom"/>
            <w:tcBorders>
              <w:top w:val="single" w:sz="8" w:color="auto"/>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400" w:type="dxa"/>
            <w:vAlign w:val="bottom"/>
            <w:gridSpan w:val="2"/>
          </w:tcPr>
          <w:p>
            <w:pPr>
              <w:ind w:left="220"/>
              <w:spacing w:after="0"/>
              <w:rPr>
                <w:sz w:val="20"/>
                <w:szCs w:val="20"/>
                <w:color w:val="auto"/>
              </w:rPr>
            </w:pPr>
            <w:r>
              <w:rPr>
                <w:rFonts w:ascii="Arial" w:cs="Arial" w:eastAsia="Arial" w:hAnsi="Arial"/>
                <w:sz w:val="16"/>
                <w:szCs w:val="16"/>
                <w:color w:val="auto"/>
              </w:rPr>
              <w:t>Commercial paper</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154,176</w:t>
            </w:r>
          </w:p>
        </w:tc>
        <w:tc>
          <w:tcPr>
            <w:tcW w:w="28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154,173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Corporate bonds</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22,617</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22,616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00" w:type="dxa"/>
            <w:vAlign w:val="bottom"/>
            <w:tcBorders>
              <w:bottom w:val="single" w:sz="8" w:color="CFF0FC"/>
            </w:tcBorders>
            <w:gridSpan w:val="2"/>
          </w:tcPr>
          <w:p>
            <w:pPr>
              <w:ind w:left="220"/>
              <w:spacing w:after="0"/>
              <w:rPr>
                <w:sz w:val="20"/>
                <w:szCs w:val="20"/>
                <w:color w:val="auto"/>
              </w:rPr>
            </w:pPr>
            <w:r>
              <w:rPr>
                <w:rFonts w:ascii="Arial" w:cs="Arial" w:eastAsia="Arial" w:hAnsi="Arial"/>
                <w:sz w:val="16"/>
                <w:szCs w:val="16"/>
                <w:color w:val="auto"/>
              </w:rPr>
              <w:t>US treasury</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6,030</w:t>
            </w:r>
          </w:p>
        </w:tc>
        <w:tc>
          <w:tcPr>
            <w:tcW w:w="2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6,030</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80" w:type="dxa"/>
            <w:vAlign w:val="bottom"/>
            <w:tcBorders>
              <w:bottom w:val="single" w:sz="8" w:color="CFF0FC"/>
            </w:tcBorders>
            <w:shd w:val="clear" w:color="auto" w:fill="CFF0FC"/>
          </w:tcPr>
          <w:p>
            <w:pPr>
              <w:spacing w:after="0"/>
              <w:rPr>
                <w:sz w:val="16"/>
                <w:szCs w:val="16"/>
                <w:color w:val="auto"/>
              </w:rPr>
            </w:pPr>
          </w:p>
        </w:tc>
        <w:tc>
          <w:tcPr>
            <w:tcW w:w="3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182,823</w:t>
            </w:r>
          </w:p>
        </w:tc>
        <w:tc>
          <w:tcPr>
            <w:tcW w:w="2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182,819</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81" w:lineRule="exact"/>
              <w:rPr>
                <w:sz w:val="20"/>
                <w:szCs w:val="20"/>
                <w:color w:val="auto"/>
              </w:rPr>
            </w:pPr>
            <w:r>
              <w:rPr>
                <w:rFonts w:ascii="Arial" w:cs="Arial" w:eastAsia="Arial" w:hAnsi="Arial"/>
                <w:sz w:val="16"/>
                <w:szCs w:val="16"/>
                <w:b w:val="1"/>
                <w:bCs w:val="1"/>
                <w:color w:val="auto"/>
                <w:w w:val="87"/>
              </w:rPr>
              <w:t>December 31, 2019</w:t>
            </w:r>
          </w:p>
        </w:tc>
        <w:tc>
          <w:tcPr>
            <w:tcW w:w="3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280" w:type="dxa"/>
            <w:vAlign w:val="bottom"/>
            <w:tcBorders>
              <w:bottom w:val="single" w:sz="8" w:color="auto"/>
            </w:tcBorders>
            <w:vMerge w:val="continue"/>
          </w:tcPr>
          <w:p>
            <w:pPr>
              <w:spacing w:after="0"/>
              <w:rPr>
                <w:sz w:val="12"/>
                <w:szCs w:val="12"/>
                <w:color w:val="auto"/>
              </w:rPr>
            </w:pPr>
          </w:p>
        </w:tc>
        <w:tc>
          <w:tcPr>
            <w:tcW w:w="3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Commercial paper</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15,675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400" w:type="dxa"/>
            <w:vAlign w:val="bottom"/>
            <w:gridSpan w:val="2"/>
          </w:tcPr>
          <w:p>
            <w:pPr>
              <w:ind w:left="220"/>
              <w:spacing w:after="0"/>
              <w:rPr>
                <w:sz w:val="20"/>
                <w:szCs w:val="20"/>
                <w:color w:val="auto"/>
              </w:rPr>
            </w:pPr>
            <w:r>
              <w:rPr>
                <w:rFonts w:ascii="Arial" w:cs="Arial" w:eastAsia="Arial" w:hAnsi="Arial"/>
                <w:sz w:val="16"/>
                <w:szCs w:val="16"/>
                <w:color w:val="auto"/>
              </w:rPr>
              <w:t>Corporate bonds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18,361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18,356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Asset back securities</w:t>
            </w: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2,300</w:t>
            </w:r>
          </w:p>
        </w:tc>
        <w:tc>
          <w:tcPr>
            <w:tcW w:w="2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36,336</w:t>
            </w:r>
          </w:p>
        </w:tc>
        <w:tc>
          <w:tcPr>
            <w:tcW w:w="280" w:type="dxa"/>
            <w:vAlign w:val="bottom"/>
          </w:tcPr>
          <w:p>
            <w:pPr>
              <w:spacing w:after="0"/>
              <w:rPr>
                <w:sz w:val="16"/>
                <w:szCs w:val="16"/>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36,336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Prepaid Expenses and Other Current Assets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Prepaid expenses and other current assets consisted of the following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6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93"/>
        </w:trPr>
        <w:tc>
          <w:tcPr>
            <w:tcW w:w="1680" w:type="dxa"/>
            <w:vAlign w:val="bottom"/>
          </w:tcPr>
          <w:p>
            <w:pPr>
              <w:spacing w:after="0"/>
              <w:rPr>
                <w:sz w:val="16"/>
                <w:szCs w:val="16"/>
                <w:color w:val="auto"/>
              </w:rPr>
            </w:pPr>
          </w:p>
        </w:tc>
        <w:tc>
          <w:tcPr>
            <w:tcW w:w="3380" w:type="dxa"/>
            <w:vAlign w:val="bottom"/>
            <w:tcBorders>
              <w:bottom w:val="single" w:sz="8" w:color="CFF0FC"/>
            </w:tcBorders>
          </w:tcPr>
          <w:p>
            <w:pPr>
              <w:spacing w:after="0"/>
              <w:rPr>
                <w:sz w:val="16"/>
                <w:szCs w:val="16"/>
                <w:color w:val="auto"/>
              </w:rPr>
            </w:pPr>
          </w:p>
        </w:tc>
        <w:tc>
          <w:tcPr>
            <w:tcW w:w="246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5"/>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w w:val="89"/>
              </w:rPr>
              <w:t>2019</w:t>
            </w:r>
          </w:p>
        </w:tc>
        <w:tc>
          <w:tcPr>
            <w:tcW w:w="80" w:type="dxa"/>
            <w:vAlign w:val="bottom"/>
            <w:tcBorders>
              <w:bottom w:val="single" w:sz="8" w:color="CFF0FC"/>
            </w:tcBorders>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1680" w:type="dxa"/>
            <w:vAlign w:val="bottom"/>
          </w:tcPr>
          <w:p>
            <w:pPr>
              <w:spacing w:after="0"/>
              <w:rPr>
                <w:sz w:val="16"/>
                <w:szCs w:val="16"/>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Short-term deposits</w:t>
            </w:r>
          </w:p>
        </w:tc>
        <w:tc>
          <w:tcPr>
            <w:tcW w:w="24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4,683</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1,297</w:t>
            </w:r>
          </w:p>
        </w:tc>
        <w:tc>
          <w:tcPr>
            <w:tcW w:w="80" w:type="dxa"/>
            <w:vAlign w:val="bottom"/>
            <w:shd w:val="clear" w:color="auto" w:fill="CFF0FC"/>
          </w:tcPr>
          <w:p>
            <w:pPr>
              <w:spacing w:after="0"/>
              <w:rPr>
                <w:sz w:val="16"/>
                <w:szCs w:val="16"/>
                <w:color w:val="auto"/>
              </w:rPr>
            </w:pPr>
          </w:p>
        </w:tc>
        <w:tc>
          <w:tcPr>
            <w:tcW w:w="1700" w:type="dxa"/>
            <w:vAlign w:val="bottom"/>
          </w:tcPr>
          <w:p>
            <w:pPr>
              <w:spacing w:after="0"/>
              <w:rPr>
                <w:sz w:val="16"/>
                <w:szCs w:val="16"/>
                <w:color w:val="auto"/>
              </w:rPr>
            </w:pPr>
          </w:p>
        </w:tc>
      </w:tr>
      <w:tr>
        <w:trPr>
          <w:trHeight w:val="201"/>
        </w:trPr>
        <w:tc>
          <w:tcPr>
            <w:tcW w:w="168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Prepaid insurance</w:t>
            </w: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2"/>
        </w:trPr>
        <w:tc>
          <w:tcPr>
            <w:tcW w:w="1680" w:type="dxa"/>
            <w:vAlign w:val="bottom"/>
          </w:tcPr>
          <w:p>
            <w:pPr>
              <w:spacing w:after="0"/>
              <w:rPr>
                <w:sz w:val="17"/>
                <w:szCs w:val="17"/>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2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80" w:type="dxa"/>
            <w:vAlign w:val="bottom"/>
            <w:shd w:val="clear" w:color="auto" w:fill="CFF0FC"/>
          </w:tcPr>
          <w:p>
            <w:pPr>
              <w:spacing w:after="0"/>
              <w:rPr>
                <w:sz w:val="17"/>
                <w:szCs w:val="17"/>
                <w:color w:val="auto"/>
              </w:rPr>
            </w:pPr>
          </w:p>
        </w:tc>
        <w:tc>
          <w:tcPr>
            <w:tcW w:w="1700" w:type="dxa"/>
            <w:vAlign w:val="bottom"/>
          </w:tcPr>
          <w:p>
            <w:pPr>
              <w:spacing w:after="0"/>
              <w:rPr>
                <w:sz w:val="17"/>
                <w:szCs w:val="17"/>
                <w:color w:val="auto"/>
              </w:rPr>
            </w:pPr>
          </w:p>
        </w:tc>
      </w:tr>
      <w:tr>
        <w:trPr>
          <w:trHeight w:val="201"/>
        </w:trPr>
        <w:tc>
          <w:tcPr>
            <w:tcW w:w="168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Interest receivable on investments</w:t>
            </w: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2"/>
        </w:trPr>
        <w:tc>
          <w:tcPr>
            <w:tcW w:w="1680" w:type="dxa"/>
            <w:vAlign w:val="bottom"/>
          </w:tcPr>
          <w:p>
            <w:pPr>
              <w:spacing w:after="0"/>
              <w:rPr>
                <w:sz w:val="17"/>
                <w:szCs w:val="17"/>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Prepaid clinical supplies</w:t>
            </w:r>
          </w:p>
        </w:tc>
        <w:tc>
          <w:tcPr>
            <w:tcW w:w="2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FF0FC"/>
          </w:tcPr>
          <w:p>
            <w:pPr>
              <w:spacing w:after="0"/>
              <w:rPr>
                <w:sz w:val="17"/>
                <w:szCs w:val="17"/>
                <w:color w:val="auto"/>
              </w:rPr>
            </w:pPr>
          </w:p>
        </w:tc>
        <w:tc>
          <w:tcPr>
            <w:tcW w:w="1700" w:type="dxa"/>
            <w:vAlign w:val="bottom"/>
          </w:tcPr>
          <w:p>
            <w:pPr>
              <w:spacing w:after="0"/>
              <w:rPr>
                <w:sz w:val="17"/>
                <w:szCs w:val="17"/>
                <w:color w:val="auto"/>
              </w:rPr>
            </w:pPr>
          </w:p>
        </w:tc>
      </w:tr>
      <w:tr>
        <w:trPr>
          <w:trHeight w:val="201"/>
        </w:trPr>
        <w:tc>
          <w:tcPr>
            <w:tcW w:w="1680" w:type="dxa"/>
            <w:vAlign w:val="bottom"/>
          </w:tcPr>
          <w:p>
            <w:pPr>
              <w:spacing w:after="0"/>
              <w:rPr>
                <w:sz w:val="17"/>
                <w:szCs w:val="17"/>
                <w:color w:val="auto"/>
              </w:rPr>
            </w:pPr>
          </w:p>
        </w:tc>
        <w:tc>
          <w:tcPr>
            <w:tcW w:w="3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Reimbursable costs</w:t>
            </w:r>
          </w:p>
        </w:tc>
        <w:tc>
          <w:tcPr>
            <w:tcW w:w="24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80" w:type="dxa"/>
            <w:vAlign w:val="bottom"/>
            <w:tcBorders>
              <w:bottom w:val="single" w:sz="8" w:color="CFF0FC"/>
            </w:tcBorders>
          </w:tcPr>
          <w:p>
            <w:pPr>
              <w:spacing w:after="0"/>
              <w:rPr>
                <w:sz w:val="17"/>
                <w:szCs w:val="17"/>
                <w:color w:val="auto"/>
              </w:rPr>
            </w:pPr>
          </w:p>
        </w:tc>
        <w:tc>
          <w:tcPr>
            <w:tcW w:w="1700" w:type="dxa"/>
            <w:vAlign w:val="bottom"/>
          </w:tcPr>
          <w:p>
            <w:pPr>
              <w:spacing w:after="0"/>
              <w:rPr>
                <w:sz w:val="17"/>
                <w:szCs w:val="17"/>
                <w:color w:val="auto"/>
              </w:rPr>
            </w:pPr>
          </w:p>
        </w:tc>
      </w:tr>
      <w:tr>
        <w:trPr>
          <w:trHeight w:val="193"/>
        </w:trPr>
        <w:tc>
          <w:tcPr>
            <w:tcW w:w="1680" w:type="dxa"/>
            <w:vAlign w:val="bottom"/>
          </w:tcPr>
          <w:p>
            <w:pPr>
              <w:spacing w:after="0"/>
              <w:rPr>
                <w:sz w:val="16"/>
                <w:szCs w:val="16"/>
                <w:color w:val="auto"/>
              </w:rPr>
            </w:pPr>
          </w:p>
        </w:tc>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w w:val="97"/>
              </w:rPr>
              <w:t>Total prepaid expenses and other current assets</w:t>
            </w:r>
          </w:p>
        </w:tc>
        <w:tc>
          <w:tcPr>
            <w:tcW w:w="24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5,684</w:t>
            </w:r>
          </w:p>
        </w:tc>
        <w:tc>
          <w:tcPr>
            <w:tcW w:w="2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2,556</w:t>
            </w:r>
          </w:p>
        </w:tc>
        <w:tc>
          <w:tcPr>
            <w:tcW w:w="80" w:type="dxa"/>
            <w:vAlign w:val="bottom"/>
            <w:tcBorders>
              <w:bottom w:val="single" w:sz="8" w:color="CFF0FC"/>
            </w:tcBorders>
            <w:shd w:val="clear" w:color="auto" w:fill="CFF0FC"/>
          </w:tcPr>
          <w:p>
            <w:pPr>
              <w:spacing w:after="0"/>
              <w:rPr>
                <w:sz w:val="16"/>
                <w:szCs w:val="16"/>
                <w:color w:val="auto"/>
              </w:rPr>
            </w:pPr>
          </w:p>
        </w:tc>
        <w:tc>
          <w:tcPr>
            <w:tcW w:w="1700" w:type="dxa"/>
            <w:vAlign w:val="bottom"/>
          </w:tcPr>
          <w:p>
            <w:pPr>
              <w:spacing w:after="0"/>
              <w:rPr>
                <w:sz w:val="16"/>
                <w:szCs w:val="16"/>
                <w:color w:val="auto"/>
              </w:rPr>
            </w:pPr>
          </w:p>
        </w:tc>
      </w:tr>
      <w:tr>
        <w:trPr>
          <w:trHeight w:val="20"/>
        </w:trPr>
        <w:tc>
          <w:tcPr>
            <w:tcW w:w="1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543"/>
        </w:trPr>
        <w:tc>
          <w:tcPr>
            <w:tcW w:w="1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60" w:type="dxa"/>
            <w:vAlign w:val="bottom"/>
            <w:gridSpan w:val="2"/>
          </w:tcPr>
          <w:p>
            <w:pPr>
              <w:jc w:val="right"/>
              <w:ind w:right="1867"/>
              <w:spacing w:after="0"/>
              <w:rPr>
                <w:sz w:val="20"/>
                <w:szCs w:val="20"/>
                <w:color w:val="auto"/>
              </w:rPr>
            </w:pPr>
            <w:r>
              <w:rPr>
                <w:rFonts w:ascii="Arial" w:cs="Arial" w:eastAsia="Arial" w:hAnsi="Arial"/>
                <w:sz w:val="16"/>
                <w:szCs w:val="16"/>
                <w:color w:val="auto"/>
              </w:rPr>
              <w:t>F-20</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00"/>
        </w:trPr>
        <w:tc>
          <w:tcPr>
            <w:tcW w:w="168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24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1">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auto"/>
        </w:rPr>
        <w:t>11. Accrued Expenses and Other Current Liabilities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p>
      <w:pPr>
        <w:spacing w:after="0" w:line="270" w:lineRule="exact"/>
        <w:rPr>
          <w:sz w:val="20"/>
          <w:szCs w:val="20"/>
          <w:color w:val="auto"/>
        </w:rPr>
      </w:pPr>
    </w:p>
    <w:tbl>
      <w:tblPr>
        <w:tblLayout w:type="fixed"/>
        <w:tblInd w:w="1680" w:type="dxa"/>
        <w:tblCellMar>
          <w:top w:w="0" w:type="dxa"/>
          <w:left w:w="0" w:type="dxa"/>
          <w:bottom w:w="0" w:type="dxa"/>
          <w:right w:w="0" w:type="dxa"/>
        </w:tblCellMar>
      </w:tblPr>
      <w:tr>
        <w:trPr>
          <w:trHeight w:val="150"/>
        </w:trPr>
        <w:tc>
          <w:tcPr>
            <w:tcW w:w="5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4"/>
        </w:trPr>
        <w:tc>
          <w:tcPr>
            <w:tcW w:w="5660" w:type="dxa"/>
            <w:vAlign w:val="bottom"/>
            <w:tcBorders>
              <w:bottom w:val="single" w:sz="8" w:color="CFF0FC"/>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26"/>
              <w:spacing w:after="0" w:line="134"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FF0FC"/>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44"/>
              <w:spacing w:after="0" w:line="134" w:lineRule="exact"/>
              <w:rPr>
                <w:sz w:val="20"/>
                <w:szCs w:val="20"/>
                <w:color w:val="auto"/>
              </w:rPr>
            </w:pPr>
            <w:r>
              <w:rPr>
                <w:rFonts w:ascii="Arial" w:cs="Arial" w:eastAsia="Arial" w:hAnsi="Arial"/>
                <w:sz w:val="13"/>
                <w:szCs w:val="13"/>
                <w:b w:val="1"/>
                <w:bCs w:val="1"/>
                <w:color w:val="auto"/>
                <w:w w:val="82"/>
              </w:rPr>
              <w:t>2019</w:t>
            </w:r>
          </w:p>
        </w:tc>
        <w:tc>
          <w:tcPr>
            <w:tcW w:w="80" w:type="dxa"/>
            <w:vAlign w:val="bottom"/>
            <w:tcBorders>
              <w:bottom w:val="single" w:sz="8" w:color="CFF0FC"/>
            </w:tcBorders>
          </w:tcPr>
          <w:p>
            <w:pPr>
              <w:spacing w:after="0"/>
              <w:rPr>
                <w:sz w:val="11"/>
                <w:szCs w:val="11"/>
                <w:color w:val="auto"/>
              </w:rPr>
            </w:pPr>
          </w:p>
        </w:tc>
      </w:tr>
      <w:tr>
        <w:trPr>
          <w:trHeight w:val="193"/>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Accrued clinical costs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7,132</w:t>
            </w: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6,726</w:t>
            </w:r>
          </w:p>
        </w:tc>
        <w:tc>
          <w:tcPr>
            <w:tcW w:w="80" w:type="dxa"/>
            <w:vAlign w:val="bottom"/>
            <w:shd w:val="clear" w:color="auto" w:fill="CFF0FC"/>
          </w:tcPr>
          <w:p>
            <w:pPr>
              <w:spacing w:after="0"/>
              <w:rPr>
                <w:sz w:val="16"/>
                <w:szCs w:val="16"/>
                <w:color w:val="auto"/>
              </w:rPr>
            </w:pPr>
          </w:p>
        </w:tc>
      </w:tr>
      <w:tr>
        <w:trPr>
          <w:trHeight w:val="201"/>
        </w:trPr>
        <w:tc>
          <w:tcPr>
            <w:tcW w:w="5660" w:type="dxa"/>
            <w:vAlign w:val="bottom"/>
          </w:tcPr>
          <w:p>
            <w:pPr>
              <w:spacing w:after="0"/>
              <w:rPr>
                <w:sz w:val="20"/>
                <w:szCs w:val="20"/>
                <w:color w:val="auto"/>
              </w:rPr>
            </w:pPr>
            <w:r>
              <w:rPr>
                <w:rFonts w:ascii="Arial" w:cs="Arial" w:eastAsia="Arial" w:hAnsi="Arial"/>
                <w:sz w:val="16"/>
                <w:szCs w:val="16"/>
                <w:color w:val="auto"/>
              </w:rPr>
              <w:t>Accrued compensation and related costs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3,213</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2,800</w:t>
            </w:r>
          </w:p>
        </w:tc>
        <w:tc>
          <w:tcPr>
            <w:tcW w:w="80" w:type="dxa"/>
            <w:vAlign w:val="bottom"/>
          </w:tcPr>
          <w:p>
            <w:pPr>
              <w:spacing w:after="0"/>
              <w:rPr>
                <w:sz w:val="17"/>
                <w:szCs w:val="17"/>
                <w:color w:val="auto"/>
              </w:rPr>
            </w:pPr>
          </w:p>
        </w:tc>
      </w:tr>
      <w:tr>
        <w:trPr>
          <w:trHeight w:val="202"/>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Accrued professional fees</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80" w:type="dxa"/>
            <w:vAlign w:val="bottom"/>
            <w:shd w:val="clear" w:color="auto" w:fill="CFF0FC"/>
          </w:tcPr>
          <w:p>
            <w:pPr>
              <w:spacing w:after="0"/>
              <w:rPr>
                <w:sz w:val="17"/>
                <w:szCs w:val="17"/>
                <w:color w:val="auto"/>
              </w:rPr>
            </w:pPr>
          </w:p>
        </w:tc>
      </w:tr>
      <w:tr>
        <w:trPr>
          <w:trHeight w:val="201"/>
        </w:trPr>
        <w:tc>
          <w:tcPr>
            <w:tcW w:w="5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20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80" w:type="dxa"/>
            <w:vAlign w:val="bottom"/>
            <w:tcBorders>
              <w:bottom w:val="single" w:sz="8" w:color="CFF0FC"/>
            </w:tcBorders>
          </w:tcPr>
          <w:p>
            <w:pPr>
              <w:spacing w:after="0"/>
              <w:rPr>
                <w:sz w:val="17"/>
                <w:szCs w:val="17"/>
                <w:color w:val="auto"/>
              </w:rPr>
            </w:pPr>
          </w:p>
        </w:tc>
      </w:tr>
      <w:tr>
        <w:trPr>
          <w:trHeight w:val="193"/>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accrued expenses</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11,246</w:t>
            </w:r>
          </w:p>
        </w:tc>
        <w:tc>
          <w:tcPr>
            <w:tcW w:w="20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10,195</w:t>
            </w:r>
          </w:p>
        </w:tc>
        <w:tc>
          <w:tcPr>
            <w:tcW w:w="80" w:type="dxa"/>
            <w:vAlign w:val="bottom"/>
            <w:tcBorders>
              <w:bottom w:val="single" w:sz="8" w:color="CFF0FC"/>
            </w:tcBorders>
            <w:shd w:val="clear" w:color="auto" w:fill="CFF0FC"/>
          </w:tcPr>
          <w:p>
            <w:pPr>
              <w:spacing w:after="0"/>
              <w:rPr>
                <w:sz w:val="16"/>
                <w:szCs w:val="16"/>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Common Stock</w:t>
      </w:r>
    </w:p>
    <w:p>
      <w:pPr>
        <w:spacing w:after="0" w:line="104" w:lineRule="exact"/>
        <w:rPr>
          <w:sz w:val="20"/>
          <w:szCs w:val="20"/>
          <w:color w:val="auto"/>
        </w:rPr>
      </w:pPr>
    </w:p>
    <w:p>
      <w:pPr>
        <w:ind w:right="340" w:firstLine="590"/>
        <w:spacing w:after="0" w:line="254" w:lineRule="auto"/>
        <w:rPr>
          <w:sz w:val="20"/>
          <w:szCs w:val="20"/>
          <w:color w:val="auto"/>
        </w:rPr>
      </w:pPr>
      <w:r>
        <w:rPr>
          <w:rFonts w:ascii="Arial" w:cs="Arial" w:eastAsia="Arial" w:hAnsi="Arial"/>
          <w:sz w:val="16"/>
          <w:szCs w:val="16"/>
          <w:color w:val="auto"/>
        </w:rPr>
        <w:t>In connection with the closing of the Company’s IPO, the Company filed an amended and restated certificate of incorporation and adopted amended and restated bylaws; and pursuant to the amended and restated certificate of incorporation, the Company is authorized to issue 100,000,000 shares of common stock. The holders of each share of common stock are entitled to one vote per share held and are entitled to receive dividends, if and when declared by the Board, and to share ratably in the Company’s assets available for distribution to stockholders, in the event of liquidation.</w:t>
      </w:r>
    </w:p>
    <w:p>
      <w:pPr>
        <w:spacing w:after="0" w:line="74" w:lineRule="exact"/>
        <w:rPr>
          <w:sz w:val="20"/>
          <w:szCs w:val="20"/>
          <w:color w:val="auto"/>
        </w:rPr>
      </w:pPr>
    </w:p>
    <w:p>
      <w:pPr>
        <w:ind w:right="60" w:firstLine="590"/>
        <w:spacing w:after="0" w:line="252" w:lineRule="auto"/>
        <w:rPr>
          <w:sz w:val="20"/>
          <w:szCs w:val="20"/>
          <w:color w:val="auto"/>
        </w:rPr>
      </w:pPr>
      <w:r>
        <w:rPr>
          <w:rFonts w:ascii="Arial" w:cs="Arial" w:eastAsia="Arial" w:hAnsi="Arial"/>
          <w:sz w:val="16"/>
          <w:szCs w:val="16"/>
          <w:color w:val="auto"/>
        </w:rPr>
        <w:t>In April 2017, the Company entered into a sales agreement with Cowen under which the Company may issue and sell shares of our common stock having aggregate sales proceeds of up to $50.0 million from time to time through Cowen, acting as agent, in a series of one or more ATM equity offerings (the “2017 ATM Program”). Since inception of the ATM program in 2017, the Company has sold 2,403,409 shares of common stock pursuant to the ATM program, at an average price of $7.82 per share for gross proceeds of $18.8 million, resulting in net proceeds of $18.2 million after deducting sales commissions and offering expenses. The 2017 ATM Program was replaced by the 2019 ATM Program.</w:t>
      </w:r>
    </w:p>
    <w:p>
      <w:pPr>
        <w:spacing w:after="0" w:line="76" w:lineRule="exact"/>
        <w:rPr>
          <w:sz w:val="20"/>
          <w:szCs w:val="20"/>
          <w:color w:val="auto"/>
        </w:rPr>
      </w:pPr>
    </w:p>
    <w:p>
      <w:pPr>
        <w:ind w:firstLine="590"/>
        <w:spacing w:after="0" w:line="290" w:lineRule="auto"/>
        <w:rPr>
          <w:sz w:val="20"/>
          <w:szCs w:val="20"/>
          <w:color w:val="auto"/>
        </w:rPr>
      </w:pPr>
      <w:r>
        <w:rPr>
          <w:rFonts w:ascii="Arial" w:cs="Arial" w:eastAsia="Arial" w:hAnsi="Arial"/>
          <w:sz w:val="14"/>
          <w:szCs w:val="14"/>
          <w:color w:val="auto"/>
        </w:rPr>
        <w:t>In August 2019, the Company entered into a new sales agreement with Cowen and Company, LLC (“Cowen”) under which the Company may issue and sell shares of its common stock having aggregate sales proceeds of up to $50.0 million from time to time through Cowen, acting as agent, in a series of one or more at-the-market (“ATM”) equity offerings (the “2019 ATM Program”). Cowen is not required to sell any specific amount, but acts as the Company’s sales agent using commercially reasonable efforts consistent with its normal trading and sales practices. Shares sold pursuant to the sales agreement will be sold pursuant to a shelf registration statement on Form S-3 (Registration No. 333-233564), which was declared effective on September 10, 2019. The Company’s common stock will be sold at prevailing market prices at the time of the sale; and as a result, prices may vary. The Company pays Cowen up to 3% of the gross proceeds from any common stock sold through this sales agreement. In 2019, prior to the effectiveness of the 2019 ATM Program, the Company sold 140,819 shares of common stock under the 2017 ATM program for net proceeds of $0.8 million. No shares of common stock have been sold under the 2019 ATM program. In conjunction with the December 2020 offering, the 2019 ATM Program was cancelled.</w:t>
      </w:r>
    </w:p>
    <w:p>
      <w:pPr>
        <w:spacing w:after="0" w:line="54" w:lineRule="exact"/>
        <w:rPr>
          <w:sz w:val="20"/>
          <w:szCs w:val="20"/>
          <w:color w:val="auto"/>
        </w:rPr>
      </w:pPr>
    </w:p>
    <w:p>
      <w:pPr>
        <w:ind w:right="40" w:firstLine="590"/>
        <w:spacing w:after="0" w:line="294" w:lineRule="auto"/>
        <w:rPr>
          <w:sz w:val="20"/>
          <w:szCs w:val="20"/>
          <w:color w:val="auto"/>
        </w:rPr>
      </w:pPr>
      <w:r>
        <w:rPr>
          <w:rFonts w:ascii="Arial" w:cs="Arial" w:eastAsia="Arial" w:hAnsi="Arial"/>
          <w:sz w:val="14"/>
          <w:szCs w:val="14"/>
          <w:color w:val="auto"/>
        </w:rPr>
        <w:t>In March 2019, the Company issued 2,095,039 shares of its common stock and pre-funded warrants to purchase 2,500,000 shares of common stock (the “Pre-Funded Warrants”) to certain investors in a registered direct offering. The Pre-Funded Warrants are exercisable immediately upon issuance at an exercise price of $0.0001 per share and have a term of 20 years. The Company sold the shares of common stock and Pre-Funded Warrants together with two series of warrants, Series 1 Warrants and Series 2 Warrants, to purchase an aggregate of 4,595,039 shares of the Company’s common stock (the “Series Warrants”). The offering price for the securities was $6.00 per share (or $5.9999 for each Pre-Funded Warrant). The aggregate gross proceeds to the Company from this offering were $27.6 million, excluding any proceeds the Company may receive upon exercise of the Pre-Funded Warrants and Series Warrants and offering costs of $0.2 million. No underwriter or placement agent participated in the offering.</w:t>
      </w:r>
    </w:p>
    <w:p>
      <w:pPr>
        <w:spacing w:after="0" w:line="48" w:lineRule="exact"/>
        <w:rPr>
          <w:sz w:val="20"/>
          <w:szCs w:val="20"/>
          <w:color w:val="auto"/>
        </w:rPr>
      </w:pPr>
    </w:p>
    <w:p>
      <w:pPr>
        <w:jc w:val="both"/>
        <w:ind w:right="20" w:firstLine="590"/>
        <w:spacing w:after="0" w:line="257" w:lineRule="auto"/>
        <w:rPr>
          <w:sz w:val="20"/>
          <w:szCs w:val="20"/>
          <w:color w:val="auto"/>
        </w:rPr>
      </w:pPr>
      <w:r>
        <w:rPr>
          <w:rFonts w:ascii="Arial" w:cs="Arial" w:eastAsia="Arial" w:hAnsi="Arial"/>
          <w:sz w:val="16"/>
          <w:szCs w:val="16"/>
          <w:color w:val="auto"/>
        </w:rPr>
        <w:t>The Series Warrants are immediately exercisable. Each Series 1 Warrant has an initial exercise price of $12.00 per share of common stock and each Series 2 Warrant has an initial exercise price of $18.00 per share of common stock, in each case subject to certain adjustments (as described below). The Series Warrants expire on the earlier of (i) 90 days following the Company’s confirmation to holders of the Company’s release of positive data confirming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596" w:right="31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t>the achievement of the specified primary endpoint of overall survival benefit in the E2112 clinical trial in breast cancer patients, or (ii) December 31, 2020.</w:t>
      </w:r>
    </w:p>
    <w:p>
      <w:pPr>
        <w:spacing w:after="0" w:line="100" w:lineRule="exact"/>
        <w:rPr>
          <w:sz w:val="20"/>
          <w:szCs w:val="20"/>
          <w:color w:val="auto"/>
        </w:rPr>
      </w:pPr>
    </w:p>
    <w:p>
      <w:pPr>
        <w:ind w:right="80" w:firstLine="590"/>
        <w:spacing w:after="0" w:line="290" w:lineRule="auto"/>
        <w:rPr>
          <w:sz w:val="20"/>
          <w:szCs w:val="20"/>
          <w:color w:val="auto"/>
        </w:rPr>
      </w:pPr>
      <w:r>
        <w:rPr>
          <w:rFonts w:ascii="Arial" w:cs="Arial" w:eastAsia="Arial" w:hAnsi="Arial"/>
          <w:sz w:val="14"/>
          <w:szCs w:val="14"/>
          <w:color w:val="auto"/>
        </w:rPr>
        <w:t>If, prior to the expiration date of the Series Warrant, the Company sells additional capital stock or derivative securities convertible into or exercisable for capital stock (other than Exempted Securities as defined by the Series Warrant) in one or more related transactions primarily for the purpose of raising capital at a Weighted-Average Price (as described below) below $12.00 per share, then the initial exercise price of the Series Warrants will be automatically reset upon exercise to an exercise price (the “Adjusted Exercise Price”) that is the midpoint between the initial exercise price and the lowest Weighted-Average Price per share at which the Company sells capital stock or derivative securities convertible into or exercisable for capital stock in a subsequent offering prior to the exercise date; provided, however, that the Adjusted Exercise Price will not be reduced below $6.00 per share. The Weighted-Average Price shall be calculated as the weighted-average common stock equivalent price of the equity securities sold in such transaction(s) (excluding any derivative securities with an exercise or conversion price that is above the closing sale price as of the time of pricing such offering(s)). In no event will the exercise price for the Series Warrants be adjusted more than once pursuant to this adjustment mechanism.</w:t>
      </w:r>
    </w:p>
    <w:p>
      <w:pPr>
        <w:spacing w:after="0" w:line="54" w:lineRule="exact"/>
        <w:rPr>
          <w:sz w:val="20"/>
          <w:szCs w:val="20"/>
          <w:color w:val="auto"/>
        </w:rPr>
      </w:pPr>
    </w:p>
    <w:p>
      <w:pPr>
        <w:ind w:firstLine="590"/>
        <w:spacing w:after="0" w:line="252" w:lineRule="auto"/>
        <w:rPr>
          <w:sz w:val="20"/>
          <w:szCs w:val="20"/>
          <w:color w:val="auto"/>
        </w:rPr>
      </w:pPr>
      <w:r>
        <w:rPr>
          <w:rFonts w:ascii="Arial" w:cs="Arial" w:eastAsia="Arial" w:hAnsi="Arial"/>
          <w:sz w:val="16"/>
          <w:szCs w:val="16"/>
          <w:color w:val="auto"/>
        </w:rPr>
        <w:t>In January 2020, the Company sold 3,036,719 shares of common stock, par value $0.0001 per share (“Common Stock”) and Pre-Funded Warrants to purchase 1,338,287 shares of common stock. The offering price for the securities was $8.00 per share or $7.9999 for each pre-funded warrant. As a result of this offering, the exercise price of Series 1 and Series 2 Warrants outstanding reset from $12.00 per share to $10.00 per share and from $18.00 per share to $13.00, respectively. Upon completion of the January 2020 offering, 5,838,287 pre-funded warrants were outstanding. In May 2020 and October 2020, a total of 2,280,335 pre-funded warrants were exercised through cashless exercise. As of December 31, 2020, 3,557,952 pre-funded warrants remain outstanding.</w:t>
      </w:r>
    </w:p>
    <w:p>
      <w:pPr>
        <w:spacing w:after="0" w:line="76" w:lineRule="exact"/>
        <w:rPr>
          <w:sz w:val="20"/>
          <w:szCs w:val="20"/>
          <w:color w:val="auto"/>
        </w:rPr>
      </w:pPr>
    </w:p>
    <w:p>
      <w:pPr>
        <w:ind w:firstLine="590"/>
        <w:spacing w:after="0" w:line="254" w:lineRule="auto"/>
        <w:rPr>
          <w:sz w:val="20"/>
          <w:szCs w:val="20"/>
          <w:color w:val="auto"/>
        </w:rPr>
      </w:pPr>
      <w:r>
        <w:rPr>
          <w:rFonts w:ascii="Arial" w:cs="Arial" w:eastAsia="Arial" w:hAnsi="Arial"/>
          <w:sz w:val="16"/>
          <w:szCs w:val="16"/>
          <w:color w:val="auto"/>
        </w:rPr>
        <w:t>The Pre-Funded Warrants and the Series Warrants may not be exercised by the holder to the extent that the holder, together with its affiliates, would beneficially own, after such exercise more than 9.99% of the shares of the Company’s common stock then outstanding (subject to the right of the holder to increase or decrease such beneficial ownership limitation upon notice to the Company, provided that such limitation cannot exceed 19.99%) and provided that any increase in the beneficial ownership limitation shall not be effective until 61 days after such notice is delivered.</w:t>
      </w:r>
    </w:p>
    <w:p>
      <w:pPr>
        <w:spacing w:after="0" w:line="74" w:lineRule="exact"/>
        <w:rPr>
          <w:sz w:val="20"/>
          <w:szCs w:val="20"/>
          <w:color w:val="auto"/>
        </w:rPr>
      </w:pPr>
    </w:p>
    <w:p>
      <w:pPr>
        <w:ind w:right="40" w:firstLine="590"/>
        <w:spacing w:after="0" w:line="270" w:lineRule="auto"/>
        <w:rPr>
          <w:sz w:val="20"/>
          <w:szCs w:val="20"/>
          <w:color w:val="auto"/>
        </w:rPr>
      </w:pPr>
      <w:r>
        <w:rPr>
          <w:rFonts w:ascii="Arial" w:cs="Arial" w:eastAsia="Arial" w:hAnsi="Arial"/>
          <w:sz w:val="15"/>
          <w:szCs w:val="15"/>
          <w:color w:val="auto"/>
        </w:rPr>
        <w:t>The Series Warrants were classified as a component of permanent equity and were recorded at the issuance date using a relative fair value allocation method. The Series Warrants are equity classified because they are freestanding financial instruments that are legally detachable and separately exercisable from the equity instruments, are immediately exercisable, do not embody an obligation for the Company to repurchase its shares, and permits the holders to receive a fixed number of common shares upon exercise. In addition, such warrants do not provide any guarantee of value or return. The Company valued the Series Warrants at issuance using the Black Scholes option pricing model and determined the fair value of the 4,595,039 Series Warrants at $3.4 million. The key inputs to the valuation model included the weighted average volatility of 89.1% and the weighted average expected term of 1.4 years. During 2020, holders of Series 1 warrants and Series 2 warrants exercised 4,595,039 Series Warrants in exchange for 1,995,941 shares of the Company’s common stock. As of December 31, 2020, all Series Warrants have been exercised.</w:t>
      </w:r>
    </w:p>
    <w:p>
      <w:pPr>
        <w:spacing w:after="0" w:line="157" w:lineRule="exact"/>
        <w:rPr>
          <w:sz w:val="20"/>
          <w:szCs w:val="20"/>
          <w:color w:val="auto"/>
        </w:rPr>
      </w:pPr>
    </w:p>
    <w:p>
      <w:pPr>
        <w:ind w:right="120" w:firstLine="590"/>
        <w:spacing w:after="0" w:line="273" w:lineRule="auto"/>
        <w:rPr>
          <w:sz w:val="20"/>
          <w:szCs w:val="20"/>
          <w:color w:val="auto"/>
        </w:rPr>
      </w:pPr>
      <w:r>
        <w:rPr>
          <w:rFonts w:ascii="Arial" w:cs="Arial" w:eastAsia="Arial" w:hAnsi="Arial"/>
          <w:sz w:val="15"/>
          <w:szCs w:val="15"/>
          <w:color w:val="auto"/>
        </w:rPr>
        <w:t>On June 18, 2018, the Company signed an exchange agreement with Biotechnology Value Fund and certain affiliated funds (“BVF”) under which BVF exchanged 2,000,000 shares of common stock for 2,000,000 Pre-Funded Warrant shares. The Company recorded the issuance of the pre-funded warrants and the retirement of the common stock at fair value within additional paid-in capital. BVF can exercise the Pre-Funded Warrants at an exercise price per share equal to $0.0001 per share and the Pre-Funded Warrants expire 20 years from issuance. Per the terms of the warrant agreement, the outstanding Pre-Funded Warrants may not be exercised if the holder's ownership of the Company's common stock would exceed 9.99 percent following such exercise.</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In May 2020, the Company sold 6,388,889 shares of common stock, par value $0.0001 per share, at $18.00 per share, with net proceeds of approximately $107.9</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million.</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In December 2020, the Company sold 6,250,000 shares of common stock, par value $0.0001 per share, at $23.00 per share, with net proceeds of approximately $135.0</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106" w:name="page107"/>
    <w:bookmarkEnd w:id="106"/>
    <w:p>
      <w:pPr>
        <w:ind w:right="580" w:firstLine="590"/>
        <w:spacing w:after="0" w:line="268" w:lineRule="auto"/>
        <w:rPr>
          <w:sz w:val="20"/>
          <w:szCs w:val="20"/>
          <w:color w:val="auto"/>
        </w:rPr>
      </w:pPr>
      <w:r>
        <w:rPr>
          <w:rFonts w:ascii="Arial" w:cs="Arial" w:eastAsia="Arial" w:hAnsi="Arial"/>
          <w:sz w:val="16"/>
          <w:szCs w:val="16"/>
          <w:color w:val="auto"/>
        </w:rPr>
        <w:t>The Company has reserved for future issuance the following shares of common stock related to the potential warrant exercise, exercise of stock options, and the employee stock purchase plan:</w:t>
      </w:r>
    </w:p>
    <w:p>
      <w:pPr>
        <w:spacing w:after="0" w:line="233" w:lineRule="exact"/>
        <w:rPr>
          <w:sz w:val="20"/>
          <w:szCs w:val="20"/>
          <w:color w:val="auto"/>
        </w:rPr>
      </w:pPr>
    </w:p>
    <w:tbl>
      <w:tblPr>
        <w:tblLayout w:type="fixed"/>
        <w:tblInd w:w="11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740" w:type="dxa"/>
            <w:vAlign w:val="bottom"/>
            <w:gridSpan w:val="2"/>
          </w:tcPr>
          <w:p>
            <w:pPr>
              <w:ind w:left="320"/>
              <w:spacing w:after="0"/>
              <w:rPr>
                <w:sz w:val="20"/>
                <w:szCs w:val="20"/>
                <w:color w:val="auto"/>
              </w:rPr>
            </w:pPr>
            <w:r>
              <w:rPr>
                <w:rFonts w:ascii="Arial" w:cs="Arial" w:eastAsia="Arial" w:hAnsi="Arial"/>
                <w:sz w:val="13"/>
                <w:szCs w:val="13"/>
                <w:b w:val="1"/>
                <w:bCs w:val="1"/>
                <w:color w:val="auto"/>
              </w:rPr>
              <w:t>December 31, 2020</w:t>
            </w:r>
          </w:p>
        </w:tc>
      </w:tr>
      <w:tr>
        <w:trPr>
          <w:trHeight w:val="193"/>
        </w:trPr>
        <w:tc>
          <w:tcPr>
            <w:tcW w:w="20" w:type="dxa"/>
            <w:vAlign w:val="bottom"/>
          </w:tcPr>
          <w:p>
            <w:pPr>
              <w:spacing w:after="0"/>
              <w:rPr>
                <w:sz w:val="16"/>
                <w:szCs w:val="16"/>
                <w:color w:val="auto"/>
              </w:rPr>
            </w:pPr>
          </w:p>
        </w:tc>
        <w:tc>
          <w:tcPr>
            <w:tcW w:w="7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Common stock issuable under pre-funded warrants</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3,557,952</w:t>
            </w:r>
          </w:p>
        </w:tc>
        <w:tc>
          <w:tcPr>
            <w:tcW w:w="80" w:type="dxa"/>
            <w:vAlign w:val="bottom"/>
            <w:tcBorders>
              <w:top w:val="single" w:sz="8" w:color="CFF0FC"/>
            </w:tcBorders>
            <w:shd w:val="clear" w:color="auto" w:fill="CFF0FC"/>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6"/>
                <w:szCs w:val="16"/>
                <w:color w:val="auto"/>
              </w:rPr>
              <w:t>Options to purchase common stock</w:t>
            </w:r>
          </w:p>
        </w:tc>
        <w:tc>
          <w:tcPr>
            <w:tcW w:w="1660" w:type="dxa"/>
            <w:vAlign w:val="bottom"/>
          </w:tcPr>
          <w:p>
            <w:pPr>
              <w:jc w:val="right"/>
              <w:spacing w:after="0"/>
              <w:rPr>
                <w:sz w:val="20"/>
                <w:szCs w:val="20"/>
                <w:color w:val="auto"/>
              </w:rPr>
            </w:pPr>
            <w:r>
              <w:rPr>
                <w:rFonts w:ascii="Arial" w:cs="Arial" w:eastAsia="Arial" w:hAnsi="Arial"/>
                <w:sz w:val="16"/>
                <w:szCs w:val="16"/>
                <w:color w:val="auto"/>
              </w:rPr>
              <w:t>6,974,018</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Employee Stock Purchase Plan</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1,073,288</w:t>
            </w:r>
          </w:p>
        </w:tc>
        <w:tc>
          <w:tcPr>
            <w:tcW w:w="80" w:type="dxa"/>
            <w:vAlign w:val="bottom"/>
            <w:shd w:val="clear" w:color="auto" w:fill="CFF0FC"/>
          </w:tcPr>
          <w:p>
            <w:pPr>
              <w:spacing w:after="0"/>
              <w:rPr>
                <w:sz w:val="17"/>
                <w:szCs w:val="17"/>
                <w:color w:val="auto"/>
              </w:rPr>
            </w:pPr>
          </w:p>
        </w:tc>
      </w:tr>
      <w:tr>
        <w:trPr>
          <w:trHeight w:val="193"/>
        </w:trPr>
        <w:tc>
          <w:tcPr>
            <w:tcW w:w="7260" w:type="dxa"/>
            <w:vAlign w:val="bottom"/>
            <w:gridSpan w:val="2"/>
          </w:tcPr>
          <w:p>
            <w:pPr>
              <w:spacing w:after="0"/>
              <w:rPr>
                <w:sz w:val="20"/>
                <w:szCs w:val="20"/>
                <w:color w:val="auto"/>
              </w:rPr>
            </w:pPr>
            <w:r>
              <w:rPr>
                <w:rFonts w:ascii="Arial" w:cs="Arial" w:eastAsia="Arial" w:hAnsi="Arial"/>
                <w:sz w:val="16"/>
                <w:szCs w:val="16"/>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11,605,258</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Stock-Based Compensation</w:t>
      </w:r>
    </w:p>
    <w:p>
      <w:pPr>
        <w:spacing w:after="0" w:line="104" w:lineRule="exact"/>
        <w:rPr>
          <w:sz w:val="20"/>
          <w:szCs w:val="20"/>
          <w:color w:val="auto"/>
        </w:rPr>
      </w:pPr>
    </w:p>
    <w:p>
      <w:pPr>
        <w:jc w:val="both"/>
        <w:ind w:right="220" w:firstLine="590"/>
        <w:spacing w:after="0" w:line="286" w:lineRule="auto"/>
        <w:rPr>
          <w:sz w:val="20"/>
          <w:szCs w:val="20"/>
          <w:color w:val="auto"/>
        </w:rPr>
      </w:pPr>
      <w:r>
        <w:rPr>
          <w:rFonts w:ascii="Arial" w:cs="Arial" w:eastAsia="Arial" w:hAnsi="Arial"/>
          <w:sz w:val="14"/>
          <w:szCs w:val="14"/>
          <w:color w:val="auto"/>
        </w:rPr>
        <w:t>In September 2015, the Company’s board of directors adopted its 2015 Omnibus Incentive Plan (“2015 Plan”), which was subsequently approved by its stockholders and became effective upon the closing of the IPO on March 8, 2016. The 2015 Plan replaced the 2007 Stock Plan (“2007 Plan”) and allows for the granting of incentive stock options, nonqualified stock options, stock appreciation rights, restricted stock, unrestricted stock, stock units, dividend equivalent rights, performance awards, annual incentive awards, and other equity-based awards to the Company’s executives and other employees, non-employee members of the board of directors, and consultants of the Company.</w:t>
      </w:r>
    </w:p>
    <w:p>
      <w:pPr>
        <w:spacing w:after="0" w:line="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Any options or awards outstanding under the Company’s 2007 Plan remain outstanding and effective. Any shares of common stock related to awards outstanding under the 2007 Plan that thereafter terminate by expiration, forfeiture, cancellation or otherwise without the issuance of such shares will be added to, and included in, the 2015 Plan reserve amount. The Company initially reserved 1,750,000 shares of its common stock for the issuance of awards under the 2015 Plan. As of December 31, 2020, there were 576,283 shares available for issuance under the 2015 Plan.</w:t>
      </w:r>
    </w:p>
    <w:p>
      <w:pPr>
        <w:spacing w:after="0" w:line="172" w:lineRule="exact"/>
        <w:rPr>
          <w:sz w:val="20"/>
          <w:szCs w:val="20"/>
          <w:color w:val="auto"/>
        </w:rPr>
      </w:pPr>
    </w:p>
    <w:p>
      <w:pPr>
        <w:ind w:right="160" w:firstLine="590"/>
        <w:spacing w:after="0" w:line="283" w:lineRule="auto"/>
        <w:rPr>
          <w:sz w:val="20"/>
          <w:szCs w:val="20"/>
          <w:color w:val="auto"/>
        </w:rPr>
      </w:pPr>
      <w:r>
        <w:rPr>
          <w:rFonts w:ascii="Arial" w:cs="Arial" w:eastAsia="Arial" w:hAnsi="Arial"/>
          <w:sz w:val="15"/>
          <w:szCs w:val="15"/>
          <w:color w:val="auto"/>
        </w:rPr>
        <w:t>The 2015 Plan provides that the number of shares reserved and available for issuance under the 2015 Plan will automatically increase each January 1, beginning on January 1, 2017, by 4% of the outstanding number of shares of common stock on the immediately preceding December 31 or such lesser number of shares as determined by the Company’s board of directors. On January 1, 2021, the shares available for issuance under the 2015 Plan were increased to 2,491,531.</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Company recognized stock-based compensation expense related to the issuance of stock option awards to employees and non-employees and related to the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Employee Stock Purchase Plan in the consolidated statements of operations as follows (in thousands):</w:t>
      </w:r>
    </w:p>
    <w:p>
      <w:pPr>
        <w:spacing w:after="0" w:line="259" w:lineRule="exact"/>
        <w:rPr>
          <w:sz w:val="20"/>
          <w:szCs w:val="20"/>
          <w:color w:val="auto"/>
        </w:rPr>
      </w:pPr>
    </w:p>
    <w:tbl>
      <w:tblPr>
        <w:tblLayout w:type="fixed"/>
        <w:tblInd w:w="11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3"/>
                <w:szCs w:val="13"/>
                <w:b w:val="1"/>
                <w:bCs w:val="1"/>
                <w:color w:val="auto"/>
              </w:rPr>
              <w:t>Years Ended December 31,</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602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27"/>
              <w:spacing w:after="0" w:line="134"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5"/>
              <w:spacing w:after="0" w:line="134"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25"/>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FF0FC"/>
            </w:tcBorders>
          </w:tcPr>
          <w:p>
            <w:pPr>
              <w:spacing w:after="0"/>
              <w:rPr>
                <w:sz w:val="11"/>
                <w:szCs w:val="11"/>
                <w:color w:val="auto"/>
              </w:rPr>
            </w:pPr>
          </w:p>
        </w:tc>
      </w:tr>
      <w:tr>
        <w:trPr>
          <w:trHeight w:val="193"/>
        </w:trPr>
        <w:tc>
          <w:tcPr>
            <w:tcW w:w="20" w:type="dxa"/>
            <w:vAlign w:val="bottom"/>
          </w:tcPr>
          <w:p>
            <w:pPr>
              <w:spacing w:after="0"/>
              <w:rPr>
                <w:sz w:val="16"/>
                <w:szCs w:val="16"/>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2,061</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1,910</w:t>
            </w:r>
          </w:p>
        </w:tc>
        <w:tc>
          <w:tcPr>
            <w:tcW w:w="80" w:type="dxa"/>
            <w:vAlign w:val="bottom"/>
            <w:shd w:val="clear" w:color="auto" w:fill="CFF0FC"/>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6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6,657</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3,944</w:t>
            </w:r>
          </w:p>
        </w:tc>
        <w:tc>
          <w:tcPr>
            <w:tcW w:w="2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4,291</w:t>
            </w:r>
          </w:p>
        </w:tc>
        <w:tc>
          <w:tcPr>
            <w:tcW w:w="80" w:type="dxa"/>
            <w:vAlign w:val="bottom"/>
            <w:tcBorders>
              <w:bottom w:val="single" w:sz="8" w:color="CFF0FC"/>
            </w:tcBorders>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9,057</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6,005</w:t>
            </w: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6,201</w:t>
            </w:r>
          </w:p>
        </w:tc>
        <w:tc>
          <w:tcPr>
            <w:tcW w:w="80" w:type="dxa"/>
            <w:vAlign w:val="bottom"/>
            <w:tcBorders>
              <w:bottom w:val="single" w:sz="8" w:color="CFF0FC"/>
            </w:tcBorders>
            <w:shd w:val="clear" w:color="auto" w:fill="CFF0FC"/>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Stock Options</w:t>
      </w:r>
    </w:p>
    <w:p>
      <w:pPr>
        <w:spacing w:after="0" w:line="100" w:lineRule="exact"/>
        <w:rPr>
          <w:sz w:val="20"/>
          <w:szCs w:val="20"/>
          <w:color w:val="auto"/>
        </w:rPr>
      </w:pPr>
    </w:p>
    <w:p>
      <w:pPr>
        <w:ind w:firstLine="590"/>
        <w:spacing w:after="0" w:line="254" w:lineRule="auto"/>
        <w:rPr>
          <w:sz w:val="20"/>
          <w:szCs w:val="20"/>
          <w:color w:val="auto"/>
        </w:rPr>
      </w:pPr>
      <w:r>
        <w:rPr>
          <w:rFonts w:ascii="Arial" w:cs="Arial" w:eastAsia="Arial" w:hAnsi="Arial"/>
          <w:sz w:val="16"/>
          <w:szCs w:val="16"/>
          <w:color w:val="auto"/>
        </w:rPr>
        <w:t>As of December 31, 2020, there was $14.3 million of unrecognized compensation cost related to employee and non-employee unvested stock options and RSU’s granted under the 2007 and 2015 Plans, which is expected to be recognized over a weighted-average remaining service period of 2.7 years. Stock compensation costs have not been capitalized by the Company. As of December 31, 2020, there was $0.4 million of unrecognized compensation cost related to performance-based options, and $13.9 million of unrecognized compensation expense related to service-based options.</w:t>
      </w:r>
    </w:p>
    <w:p>
      <w:pPr>
        <w:spacing w:after="0" w:line="168" w:lineRule="exact"/>
        <w:rPr>
          <w:sz w:val="20"/>
          <w:szCs w:val="20"/>
          <w:color w:val="auto"/>
        </w:rPr>
      </w:pPr>
    </w:p>
    <w:p>
      <w:pPr>
        <w:ind w:right="20" w:firstLine="590"/>
        <w:spacing w:after="0" w:line="302" w:lineRule="auto"/>
        <w:rPr>
          <w:sz w:val="20"/>
          <w:szCs w:val="20"/>
          <w:color w:val="auto"/>
        </w:rPr>
      </w:pPr>
      <w:r>
        <w:rPr>
          <w:rFonts w:ascii="Arial" w:cs="Arial" w:eastAsia="Arial" w:hAnsi="Arial"/>
          <w:sz w:val="14"/>
          <w:szCs w:val="14"/>
          <w:color w:val="auto"/>
        </w:rPr>
        <w:t>Our stock-based awards are subject to either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the grant date fair value over the requisite service period using the straight-line method to the extent achievement of the performance condition is probable.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107" w:name="page108"/>
    <w:bookmarkEnd w:id="107"/>
    <w:p>
      <w:pPr>
        <w:ind w:right="40" w:firstLine="590"/>
        <w:spacing w:after="0" w:line="254" w:lineRule="auto"/>
        <w:rPr>
          <w:sz w:val="20"/>
          <w:szCs w:val="20"/>
          <w:color w:val="auto"/>
        </w:rPr>
      </w:pPr>
      <w:r>
        <w:rPr>
          <w:rFonts w:ascii="Arial" w:cs="Arial" w:eastAsia="Arial" w:hAnsi="Arial"/>
          <w:sz w:val="16"/>
          <w:szCs w:val="16"/>
          <w:color w:val="auto"/>
        </w:rPr>
        <w:t>In 2017, the Company granted 60,000 options with performance conditions, 13,333 of which have vested in 2019, and 6,667 of which were cancelled as of December 31, 2019. On January 1, 2021, the Company determined that a second performance had not been achieved. As a result of this, the Company cancelled 20,000 options. In the years ended December 31, 2020, 2019 and 2018, the Company recorded approximately $9,000, $88,000 and $142,000, respectively, of stock compensation expense associated with these awards.</w:t>
      </w:r>
    </w:p>
    <w:p>
      <w:pPr>
        <w:spacing w:after="0" w:line="168" w:lineRule="exact"/>
        <w:rPr>
          <w:sz w:val="20"/>
          <w:szCs w:val="20"/>
          <w:color w:val="auto"/>
        </w:rPr>
      </w:pPr>
    </w:p>
    <w:p>
      <w:pPr>
        <w:ind w:right="60" w:firstLine="590"/>
        <w:spacing w:after="0" w:line="254" w:lineRule="auto"/>
        <w:rPr>
          <w:sz w:val="20"/>
          <w:szCs w:val="20"/>
          <w:color w:val="auto"/>
        </w:rPr>
      </w:pPr>
      <w:r>
        <w:rPr>
          <w:rFonts w:ascii="Arial" w:cs="Arial" w:eastAsia="Arial" w:hAnsi="Arial"/>
          <w:sz w:val="16"/>
          <w:szCs w:val="16"/>
          <w:color w:val="auto"/>
        </w:rPr>
        <w:t>In 2019, the Company granted to certain employees 583,000 stock options that contain performance-based vesting criteria, primarily related to the achievement of certain clinical and regulatory development milestones related to product candidates.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w:t>
      </w:r>
    </w:p>
    <w:p>
      <w:pPr>
        <w:spacing w:after="0" w:line="168" w:lineRule="exact"/>
        <w:rPr>
          <w:sz w:val="20"/>
          <w:szCs w:val="20"/>
          <w:color w:val="auto"/>
        </w:rPr>
      </w:pPr>
    </w:p>
    <w:p>
      <w:pPr>
        <w:ind w:right="140" w:firstLine="590"/>
        <w:spacing w:after="0" w:line="276" w:lineRule="auto"/>
        <w:rPr>
          <w:sz w:val="20"/>
          <w:szCs w:val="20"/>
          <w:color w:val="auto"/>
        </w:rPr>
      </w:pPr>
      <w:r>
        <w:rPr>
          <w:rFonts w:ascii="Arial" w:cs="Arial" w:eastAsia="Arial" w:hAnsi="Arial"/>
          <w:sz w:val="15"/>
          <w:szCs w:val="15"/>
          <w:color w:val="auto"/>
        </w:rPr>
        <w:t>In the fourth quarter of 2020 one of the performance milestones was achieved and of the associated 194,331 stock options, 64,777 stock options vested. The remaining options will vest in 2021 and 2022. The Company recorded approximately $207,000 and $181,000 of stock compensation expense associated with these awards for the years ended December 31, 2020 and 2019, respectively. For the remaining milestones, achievement of the performance conditions was not met. Therefore no expense has been recognized related to these awards for the year ended December 31, 2020, and 388,669 options were cancelled in 2020.</w:t>
      </w:r>
    </w:p>
    <w:p>
      <w:pPr>
        <w:spacing w:after="0" w:line="154" w:lineRule="exact"/>
        <w:rPr>
          <w:sz w:val="20"/>
          <w:szCs w:val="20"/>
          <w:color w:val="auto"/>
        </w:rPr>
      </w:pPr>
    </w:p>
    <w:p>
      <w:pPr>
        <w:ind w:right="80" w:firstLine="590"/>
        <w:spacing w:after="0" w:line="268" w:lineRule="auto"/>
        <w:rPr>
          <w:sz w:val="20"/>
          <w:szCs w:val="20"/>
          <w:color w:val="auto"/>
        </w:rPr>
      </w:pPr>
      <w:r>
        <w:rPr>
          <w:rFonts w:ascii="Arial" w:cs="Arial" w:eastAsia="Arial" w:hAnsi="Arial"/>
          <w:sz w:val="16"/>
          <w:szCs w:val="16"/>
          <w:color w:val="auto"/>
        </w:rPr>
        <w:t>In July 2020, in connection with the retirement of a certain employee, the Company modified the terms of this individual’s historical stock option awards. As a result of the modifications, the Company recognized approximately $1.0 million of incremental stock compensation expense during the period.</w:t>
      </w:r>
    </w:p>
    <w:p>
      <w:pPr>
        <w:spacing w:after="0" w:line="157" w:lineRule="exact"/>
        <w:rPr>
          <w:sz w:val="20"/>
          <w:szCs w:val="20"/>
          <w:color w:val="auto"/>
        </w:rPr>
      </w:pPr>
    </w:p>
    <w:p>
      <w:pPr>
        <w:ind w:right="20" w:firstLine="590"/>
        <w:spacing w:after="0" w:line="270" w:lineRule="auto"/>
        <w:rPr>
          <w:sz w:val="20"/>
          <w:szCs w:val="20"/>
          <w:color w:val="auto"/>
        </w:rPr>
      </w:pPr>
      <w:r>
        <w:rPr>
          <w:rFonts w:ascii="Arial" w:cs="Arial" w:eastAsia="Arial" w:hAnsi="Arial"/>
          <w:sz w:val="15"/>
          <w:szCs w:val="15"/>
          <w:color w:val="auto"/>
        </w:rPr>
        <w:t>The fair value of each option award is estimated on the date of grant using the Black-Scholes option-pricing model with the weighted-average assumptions noted in the table below. Expected volatility for the Company’s common stock was determined based on an average of the historical volatility of a peer group of similar public companies. The Company estimated the expected term of its employee stock options using the “simplified” method, whereby, the expected term equals the average of the vesting term and the original contractual term of the option. The contractual life of the option was used for the estimated life of the non-employee grants. The assumed dividend yield is based upon the Company’s expectation of not paying dividends in the foreseeable future. The risk-free interest rate for periods within the expected life of the option is based upon the U.S. Treasury yield curve in effect at the time of grant. The Company accounts for forfeitures when they occur. The grant date fair values of options issued to employees and non-employees were estimated using the Black-Scholes option-pricing model with the following assumptions: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w w:val="87"/>
              </w:rPr>
              <w:t>Years Ended December 31,</w:t>
            </w:r>
          </w:p>
        </w:tc>
        <w:tc>
          <w:tcPr>
            <w:tcW w:w="9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34"/>
        </w:trPr>
        <w:tc>
          <w:tcPr>
            <w:tcW w:w="560" w:type="dxa"/>
            <w:vAlign w:val="bottom"/>
          </w:tcPr>
          <w:p>
            <w:pPr>
              <w:spacing w:after="0"/>
              <w:rPr>
                <w:sz w:val="11"/>
                <w:szCs w:val="11"/>
                <w:color w:val="auto"/>
              </w:rPr>
            </w:pPr>
          </w:p>
        </w:tc>
        <w:tc>
          <w:tcPr>
            <w:tcW w:w="3240" w:type="dxa"/>
            <w:vAlign w:val="bottom"/>
            <w:tcBorders>
              <w:bottom w:val="single" w:sz="8" w:color="CFF0FC"/>
            </w:tcBorders>
          </w:tcPr>
          <w:p>
            <w:pPr>
              <w:spacing w:after="0"/>
              <w:rPr>
                <w:sz w:val="11"/>
                <w:szCs w:val="11"/>
                <w:color w:val="auto"/>
              </w:rPr>
            </w:pPr>
          </w:p>
        </w:tc>
        <w:tc>
          <w:tcPr>
            <w:tcW w:w="3460" w:type="dxa"/>
            <w:vAlign w:val="bottom"/>
            <w:tcBorders>
              <w:bottom w:val="single" w:sz="8" w:color="CFF0FC"/>
            </w:tcBorders>
          </w:tcPr>
          <w:p>
            <w:pPr>
              <w:spacing w:after="0"/>
              <w:rPr>
                <w:sz w:val="11"/>
                <w:szCs w:val="11"/>
                <w:color w:val="auto"/>
              </w:rPr>
            </w:pPr>
          </w:p>
        </w:tc>
        <w:tc>
          <w:tcPr>
            <w:tcW w:w="880" w:type="dxa"/>
            <w:vAlign w:val="bottom"/>
            <w:tcBorders>
              <w:bottom w:val="single" w:sz="8" w:color="auto"/>
            </w:tcBorders>
          </w:tcPr>
          <w:p>
            <w:pPr>
              <w:jc w:val="right"/>
              <w:ind w:right="249"/>
              <w:spacing w:after="0" w:line="134" w:lineRule="exact"/>
              <w:rPr>
                <w:sz w:val="20"/>
                <w:szCs w:val="20"/>
                <w:color w:val="auto"/>
              </w:rPr>
            </w:pPr>
            <w:r>
              <w:rPr>
                <w:rFonts w:ascii="Arial" w:cs="Arial" w:eastAsia="Arial" w:hAnsi="Arial"/>
                <w:sz w:val="13"/>
                <w:szCs w:val="13"/>
                <w:b w:val="1"/>
                <w:bCs w:val="1"/>
                <w:color w:val="auto"/>
              </w:rPr>
              <w:t>2020</w:t>
            </w:r>
          </w:p>
        </w:tc>
        <w:tc>
          <w:tcPr>
            <w:tcW w:w="300" w:type="dxa"/>
            <w:vAlign w:val="bottom"/>
            <w:tcBorders>
              <w:bottom w:val="single" w:sz="8" w:color="CFF0FC"/>
            </w:tcBorders>
          </w:tcPr>
          <w:p>
            <w:pPr>
              <w:spacing w:after="0"/>
              <w:rPr>
                <w:sz w:val="11"/>
                <w:szCs w:val="11"/>
                <w:color w:val="auto"/>
              </w:rPr>
            </w:pPr>
          </w:p>
        </w:tc>
        <w:tc>
          <w:tcPr>
            <w:tcW w:w="900" w:type="dxa"/>
            <w:vAlign w:val="bottom"/>
            <w:tcBorders>
              <w:bottom w:val="single" w:sz="8" w:color="auto"/>
            </w:tcBorders>
          </w:tcPr>
          <w:p>
            <w:pPr>
              <w:jc w:val="right"/>
              <w:ind w:right="244"/>
              <w:spacing w:after="0" w:line="134" w:lineRule="exact"/>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CFF0FC"/>
            </w:tcBorders>
          </w:tcPr>
          <w:p>
            <w:pPr>
              <w:spacing w:after="0"/>
              <w:rPr>
                <w:sz w:val="11"/>
                <w:szCs w:val="11"/>
                <w:color w:val="auto"/>
              </w:rPr>
            </w:pPr>
          </w:p>
        </w:tc>
        <w:tc>
          <w:tcPr>
            <w:tcW w:w="900" w:type="dxa"/>
            <w:vAlign w:val="bottom"/>
            <w:tcBorders>
              <w:bottom w:val="single" w:sz="8" w:color="auto"/>
            </w:tcBorders>
          </w:tcPr>
          <w:p>
            <w:pPr>
              <w:jc w:val="right"/>
              <w:ind w:right="264"/>
              <w:spacing w:after="0" w:line="134" w:lineRule="exact"/>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CFF0FC"/>
            </w:tcBorders>
          </w:tcPr>
          <w:p>
            <w:pPr>
              <w:spacing w:after="0"/>
              <w:rPr>
                <w:sz w:val="11"/>
                <w:szCs w:val="11"/>
                <w:color w:val="auto"/>
              </w:rPr>
            </w:pPr>
          </w:p>
        </w:tc>
        <w:tc>
          <w:tcPr>
            <w:tcW w:w="580" w:type="dxa"/>
            <w:vAlign w:val="bottom"/>
          </w:tcPr>
          <w:p>
            <w:pPr>
              <w:spacing w:after="0"/>
              <w:rPr>
                <w:sz w:val="11"/>
                <w:szCs w:val="11"/>
                <w:color w:val="auto"/>
              </w:rPr>
            </w:pPr>
          </w:p>
        </w:tc>
      </w:tr>
      <w:tr>
        <w:trPr>
          <w:trHeight w:val="193"/>
        </w:trPr>
        <w:tc>
          <w:tcPr>
            <w:tcW w:w="560" w:type="dxa"/>
            <w:vAlign w:val="bottom"/>
          </w:tcPr>
          <w:p>
            <w:pPr>
              <w:spacing w:after="0"/>
              <w:rPr>
                <w:sz w:val="16"/>
                <w:szCs w:val="16"/>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34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w:t>
            </w: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w:t>
            </w: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w:t>
            </w:r>
          </w:p>
        </w:tc>
        <w:tc>
          <w:tcPr>
            <w:tcW w:w="140" w:type="dxa"/>
            <w:vAlign w:val="bottom"/>
            <w:shd w:val="clear" w:color="auto" w:fill="CFF0FC"/>
          </w:tcPr>
          <w:p>
            <w:pPr>
              <w:spacing w:after="0"/>
              <w:rPr>
                <w:sz w:val="16"/>
                <w:szCs w:val="16"/>
                <w:color w:val="auto"/>
              </w:rPr>
            </w:pPr>
          </w:p>
        </w:tc>
        <w:tc>
          <w:tcPr>
            <w:tcW w:w="580" w:type="dxa"/>
            <w:vAlign w:val="bottom"/>
          </w:tcPr>
          <w:p>
            <w:pPr>
              <w:spacing w:after="0"/>
              <w:rPr>
                <w:sz w:val="16"/>
                <w:szCs w:val="16"/>
                <w:color w:val="auto"/>
              </w:rPr>
            </w:pPr>
          </w:p>
        </w:tc>
      </w:tr>
      <w:tr>
        <w:trPr>
          <w:trHeight w:val="201"/>
        </w:trPr>
        <w:tc>
          <w:tcPr>
            <w:tcW w:w="56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Volatility rate</w:t>
            </w:r>
          </w:p>
        </w:tc>
        <w:tc>
          <w:tcPr>
            <w:tcW w:w="4640" w:type="dxa"/>
            <w:vAlign w:val="bottom"/>
            <w:gridSpan w:val="3"/>
          </w:tcPr>
          <w:p>
            <w:pPr>
              <w:jc w:val="right"/>
              <w:ind w:right="97"/>
              <w:spacing w:after="0"/>
              <w:rPr>
                <w:sz w:val="20"/>
                <w:szCs w:val="20"/>
                <w:color w:val="auto"/>
              </w:rPr>
            </w:pPr>
            <w:r>
              <w:rPr>
                <w:rFonts w:ascii="Arial" w:cs="Arial" w:eastAsia="Arial" w:hAnsi="Arial"/>
                <w:sz w:val="16"/>
                <w:szCs w:val="16"/>
                <w:color w:val="auto"/>
              </w:rPr>
              <w:t>81.59%</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76.95%</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76.28%</w:t>
            </w:r>
          </w:p>
        </w:tc>
        <w:tc>
          <w:tcPr>
            <w:tcW w:w="580" w:type="dxa"/>
            <w:vAlign w:val="bottom"/>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4640" w:type="dxa"/>
            <w:vAlign w:val="bottom"/>
            <w:gridSpan w:val="3"/>
            <w:shd w:val="clear" w:color="auto" w:fill="CFF0FC"/>
          </w:tcPr>
          <w:p>
            <w:pPr>
              <w:jc w:val="right"/>
              <w:ind w:right="97"/>
              <w:spacing w:after="0"/>
              <w:rPr>
                <w:sz w:val="20"/>
                <w:szCs w:val="20"/>
                <w:color w:val="auto"/>
              </w:rPr>
            </w:pPr>
            <w:r>
              <w:rPr>
                <w:rFonts w:ascii="Arial" w:cs="Arial" w:eastAsia="Arial" w:hAnsi="Arial"/>
                <w:sz w:val="16"/>
                <w:szCs w:val="16"/>
                <w:color w:val="auto"/>
              </w:rPr>
              <w:t>1.20%</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2.29%</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2.69%</w:t>
            </w:r>
          </w:p>
        </w:tc>
        <w:tc>
          <w:tcPr>
            <w:tcW w:w="580" w:type="dxa"/>
            <w:vAlign w:val="bottom"/>
          </w:tcPr>
          <w:p>
            <w:pPr>
              <w:spacing w:after="0"/>
              <w:rPr>
                <w:sz w:val="17"/>
                <w:szCs w:val="17"/>
                <w:color w:val="auto"/>
              </w:rPr>
            </w:pPr>
          </w:p>
        </w:tc>
      </w:tr>
      <w:tr>
        <w:trPr>
          <w:trHeight w:val="201"/>
        </w:trPr>
        <w:tc>
          <w:tcPr>
            <w:tcW w:w="56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4640" w:type="dxa"/>
            <w:vAlign w:val="bottom"/>
            <w:gridSpan w:val="3"/>
          </w:tcPr>
          <w:p>
            <w:pPr>
              <w:jc w:val="right"/>
              <w:ind w:right="97"/>
              <w:spacing w:after="0"/>
              <w:rPr>
                <w:sz w:val="20"/>
                <w:szCs w:val="20"/>
                <w:color w:val="auto"/>
              </w:rPr>
            </w:pPr>
            <w:r>
              <w:rPr>
                <w:rFonts w:ascii="Arial" w:cs="Arial" w:eastAsia="Arial" w:hAnsi="Arial"/>
                <w:sz w:val="16"/>
                <w:szCs w:val="16"/>
                <w:color w:val="auto"/>
              </w:rPr>
              <w:t>0.00%</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0.00%</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0.00%</w:t>
            </w:r>
          </w:p>
        </w:tc>
        <w:tc>
          <w:tcPr>
            <w:tcW w:w="580" w:type="dxa"/>
            <w:vAlign w:val="bottom"/>
          </w:tcPr>
          <w:p>
            <w:pPr>
              <w:spacing w:after="0"/>
              <w:rPr>
                <w:sz w:val="17"/>
                <w:szCs w:val="17"/>
                <w:color w:val="auto"/>
              </w:rPr>
            </w:pPr>
          </w:p>
        </w:tc>
      </w:tr>
      <w:tr>
        <w:trPr>
          <w:trHeight w:val="568"/>
        </w:trPr>
        <w:tc>
          <w:tcPr>
            <w:tcW w:w="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40" w:type="dxa"/>
            <w:vAlign w:val="bottom"/>
            <w:gridSpan w:val="3"/>
          </w:tcPr>
          <w:p>
            <w:pPr>
              <w:jc w:val="right"/>
              <w:ind w:right="2597"/>
              <w:spacing w:after="0"/>
              <w:rPr>
                <w:sz w:val="20"/>
                <w:szCs w:val="20"/>
                <w:color w:val="auto"/>
              </w:rPr>
            </w:pPr>
            <w:r>
              <w:rPr>
                <w:rFonts w:ascii="Arial" w:cs="Arial" w:eastAsia="Arial" w:hAnsi="Arial"/>
                <w:sz w:val="16"/>
                <w:szCs w:val="16"/>
                <w:color w:val="auto"/>
              </w:rPr>
              <w:t>F-24</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0"/>
        </w:trPr>
        <w:tc>
          <w:tcPr>
            <w:tcW w:w="56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6">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108" w:name="page109"/>
    <w:bookmarkEnd w:id="108"/>
    <w:p>
      <w:pPr>
        <w:ind w:left="580"/>
        <w:spacing w:after="0"/>
        <w:rPr>
          <w:sz w:val="20"/>
          <w:szCs w:val="20"/>
          <w:color w:val="auto"/>
        </w:rPr>
      </w:pPr>
      <w:r>
        <w:rPr>
          <w:rFonts w:ascii="Arial" w:cs="Arial" w:eastAsia="Arial" w:hAnsi="Arial"/>
          <w:sz w:val="15"/>
          <w:szCs w:val="15"/>
          <w:color w:val="auto"/>
        </w:rPr>
        <w:t>A summary of employee and non-employee option activity under the Company’s equity award plans is presented below (in thousands, except share data):</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6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5"/>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6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85"/>
              </w:rPr>
              <w:t>Weighted</w:t>
            </w:r>
          </w:p>
        </w:tc>
        <w:tc>
          <w:tcPr>
            <w:tcW w:w="7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5"/>
              </w:rPr>
              <w:t>Average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Remaining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Aggregate</w:t>
            </w:r>
          </w:p>
        </w:tc>
        <w:tc>
          <w:tcPr>
            <w:tcW w:w="0" w:type="dxa"/>
            <w:vAlign w:val="bottom"/>
          </w:tcPr>
          <w:p>
            <w:pPr>
              <w:spacing w:after="0"/>
              <w:rPr>
                <w:sz w:val="1"/>
                <w:szCs w:val="1"/>
                <w:color w:val="auto"/>
              </w:rPr>
            </w:pPr>
          </w:p>
        </w:tc>
      </w:tr>
      <w:tr>
        <w:trPr>
          <w:trHeight w:val="130"/>
        </w:trPr>
        <w:tc>
          <w:tcPr>
            <w:tcW w:w="6180" w:type="dxa"/>
            <w:vAlign w:val="bottom"/>
          </w:tcPr>
          <w:p>
            <w:pPr>
              <w:spacing w:after="0"/>
              <w:rPr>
                <w:sz w:val="11"/>
                <w:szCs w:val="11"/>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w w:val="98"/>
              </w:rPr>
              <w:t>Number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60"/>
              <w:spacing w:after="0" w:line="131" w:lineRule="exact"/>
              <w:rPr>
                <w:sz w:val="20"/>
                <w:szCs w:val="20"/>
                <w:color w:val="auto"/>
              </w:rPr>
            </w:pPr>
            <w:r>
              <w:rPr>
                <w:rFonts w:ascii="Arial" w:cs="Arial" w:eastAsia="Arial" w:hAnsi="Arial"/>
                <w:sz w:val="13"/>
                <w:szCs w:val="13"/>
                <w:b w:val="1"/>
                <w:bCs w:val="1"/>
                <w:color w:val="auto"/>
                <w:w w:val="85"/>
              </w:rPr>
              <w:t>Average</w:t>
            </w:r>
          </w:p>
        </w:tc>
        <w:tc>
          <w:tcPr>
            <w:tcW w:w="7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1"/>
              </w:rPr>
              <w:t>Contractual</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1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40"/>
              <w:spacing w:after="0" w:line="131" w:lineRule="exact"/>
              <w:rPr>
                <w:sz w:val="20"/>
                <w:szCs w:val="20"/>
                <w:color w:val="auto"/>
              </w:rPr>
            </w:pPr>
            <w:r>
              <w:rPr>
                <w:rFonts w:ascii="Arial" w:cs="Arial" w:eastAsia="Arial" w:hAnsi="Arial"/>
                <w:sz w:val="13"/>
                <w:szCs w:val="13"/>
                <w:b w:val="1"/>
                <w:bCs w:val="1"/>
                <w:color w:val="auto"/>
                <w:w w:val="85"/>
              </w:rPr>
              <w:t>Exercise</w:t>
            </w:r>
          </w:p>
        </w:tc>
        <w:tc>
          <w:tcPr>
            <w:tcW w:w="7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4"/>
              </w:rPr>
              <w:t>Term</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50"/>
        </w:trPr>
        <w:tc>
          <w:tcPr>
            <w:tcW w:w="618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Options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7"/>
              </w:rPr>
              <w:t>Price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6"/>
              </w:rPr>
              <w:t>(in years)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9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Outstanding—January 1, 2020</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6,057,011</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8.50</w:t>
            </w:r>
          </w:p>
        </w:tc>
        <w:tc>
          <w:tcPr>
            <w:tcW w:w="220" w:type="dxa"/>
            <w:vAlign w:val="bottom"/>
            <w:tcBorders>
              <w:top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2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6,306</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180" w:type="dxa"/>
            <w:vAlign w:val="bottom"/>
          </w:tcPr>
          <w:p>
            <w:pPr>
              <w:spacing w:after="0"/>
              <w:rPr>
                <w:sz w:val="20"/>
                <w:szCs w:val="20"/>
                <w:color w:val="auto"/>
              </w:rPr>
            </w:pPr>
            <w:r>
              <w:rPr>
                <w:rFonts w:ascii="Arial" w:cs="Arial" w:eastAsia="Arial" w:hAnsi="Arial"/>
                <w:sz w:val="16"/>
                <w:szCs w:val="16"/>
                <w:color w:val="auto"/>
              </w:rPr>
              <w:t>Granted</w:t>
            </w:r>
          </w:p>
        </w:tc>
        <w:tc>
          <w:tcPr>
            <w:tcW w:w="780" w:type="dxa"/>
            <w:vAlign w:val="bottom"/>
          </w:tcPr>
          <w:p>
            <w:pPr>
              <w:jc w:val="right"/>
              <w:spacing w:after="0"/>
              <w:rPr>
                <w:sz w:val="20"/>
                <w:szCs w:val="20"/>
                <w:color w:val="auto"/>
              </w:rPr>
            </w:pPr>
            <w:r>
              <w:rPr>
                <w:rFonts w:ascii="Arial" w:cs="Arial" w:eastAsia="Arial" w:hAnsi="Arial"/>
                <w:sz w:val="16"/>
                <w:szCs w:val="16"/>
                <w:color w:val="auto"/>
              </w:rPr>
              <w:t>1,635,125</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11.91</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8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(755,166)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8.78</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180" w:type="dxa"/>
            <w:vAlign w:val="bottom"/>
          </w:tcPr>
          <w:p>
            <w:pPr>
              <w:spacing w:after="0"/>
              <w:rPr>
                <w:sz w:val="20"/>
                <w:szCs w:val="20"/>
                <w:color w:val="auto"/>
              </w:rPr>
            </w:pPr>
            <w:r>
              <w:rPr>
                <w:rFonts w:ascii="Arial" w:cs="Arial" w:eastAsia="Arial" w:hAnsi="Arial"/>
                <w:sz w:val="16"/>
                <w:szCs w:val="16"/>
                <w:color w:val="auto"/>
              </w:rPr>
              <w:t>Canceled, forfeited or expired</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(557,735)</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7.82</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Outstanding—December 31, 2020</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6,379,235</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9.40</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7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81,940</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6"/>
                <w:szCs w:val="16"/>
                <w:color w:val="auto"/>
              </w:rPr>
              <w:t>Exercisable—December 31, 2020</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8.84</w:t>
            </w:r>
          </w:p>
        </w:tc>
        <w:tc>
          <w:tcPr>
            <w:tcW w:w="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6.2</w:t>
            </w:r>
          </w:p>
        </w:tc>
        <w:tc>
          <w:tcPr>
            <w:tcW w:w="3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53,828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80" w:type="dxa"/>
            <w:vAlign w:val="bottom"/>
            <w:tcBorders>
              <w:bottom w:val="single" w:sz="8" w:color="CFF0FC"/>
            </w:tcBorders>
            <w:vMerge w:val="continue"/>
          </w:tcPr>
          <w:p>
            <w:pPr>
              <w:spacing w:after="0"/>
              <w:rPr>
                <w:sz w:val="18"/>
                <w:szCs w:val="18"/>
                <w:color w:val="auto"/>
              </w:rPr>
            </w:pPr>
          </w:p>
        </w:tc>
        <w:tc>
          <w:tcPr>
            <w:tcW w:w="78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4,016,424</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gridSpan w:val="2"/>
            <w:vMerge w:val="continue"/>
          </w:tcPr>
          <w:p>
            <w:pPr>
              <w:spacing w:after="0"/>
              <w:rPr>
                <w:sz w:val="18"/>
                <w:szCs w:val="18"/>
                <w:color w:val="auto"/>
              </w:rPr>
            </w:pPr>
          </w:p>
        </w:tc>
        <w:tc>
          <w:tcPr>
            <w:tcW w:w="700" w:type="dxa"/>
            <w:vAlign w:val="bottom"/>
            <w:tcBorders>
              <w:bottom w:val="single" w:sz="8" w:color="CFF0FC"/>
            </w:tcBorders>
            <w:vMerge w:val="continue"/>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vMerge w:val="continue"/>
          </w:tcPr>
          <w:p>
            <w:pPr>
              <w:spacing w:after="0"/>
              <w:rPr>
                <w:sz w:val="18"/>
                <w:szCs w:val="18"/>
                <w:color w:val="auto"/>
              </w:rPr>
            </w:pPr>
          </w:p>
        </w:tc>
        <w:tc>
          <w:tcPr>
            <w:tcW w:w="340" w:type="dxa"/>
            <w:vAlign w:val="bottom"/>
            <w:tcBorders>
              <w:bottom w:val="single" w:sz="8" w:color="CFF0FC"/>
            </w:tcBorders>
            <w:gridSpan w:val="2"/>
            <w:vMerge w:val="continue"/>
          </w:tcPr>
          <w:p>
            <w:pPr>
              <w:spacing w:after="0"/>
              <w:rPr>
                <w:sz w:val="18"/>
                <w:szCs w:val="18"/>
                <w:color w:val="auto"/>
              </w:rPr>
            </w:pPr>
          </w:p>
        </w:tc>
        <w:tc>
          <w:tcPr>
            <w:tcW w:w="700" w:type="dxa"/>
            <w:vAlign w:val="bottom"/>
            <w:tcBorders>
              <w:bottom w:val="single" w:sz="8" w:color="CFF0FC"/>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180" w:type="dxa"/>
            <w:vAlign w:val="bottom"/>
            <w:shd w:val="clear" w:color="auto" w:fill="CFF0FC"/>
          </w:tcPr>
          <w:p>
            <w:pPr>
              <w:spacing w:after="0" w:line="165" w:lineRule="exact"/>
              <w:rPr>
                <w:sz w:val="20"/>
                <w:szCs w:val="20"/>
                <w:color w:val="auto"/>
              </w:rPr>
            </w:pPr>
            <w:r>
              <w:rPr>
                <w:rFonts w:ascii="Arial" w:cs="Arial" w:eastAsia="Arial" w:hAnsi="Arial"/>
                <w:sz w:val="16"/>
                <w:szCs w:val="16"/>
                <w:color w:val="auto"/>
              </w:rPr>
              <w:t>Options vested, exercisable or expected to</w:t>
            </w: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1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vest—December 31, 2020</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6,352,568</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9.39</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81,668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right="480" w:firstLine="590"/>
        <w:spacing w:after="0" w:line="341" w:lineRule="auto"/>
        <w:rPr>
          <w:sz w:val="20"/>
          <w:szCs w:val="20"/>
          <w:color w:val="auto"/>
        </w:rPr>
      </w:pPr>
      <w:r>
        <w:rPr>
          <w:rFonts w:ascii="Arial" w:cs="Arial" w:eastAsia="Arial" w:hAnsi="Arial"/>
          <w:sz w:val="14"/>
          <w:szCs w:val="14"/>
          <w:color w:val="auto"/>
        </w:rPr>
        <w:t>The weighted-average grant date fair value of options granted during the years ended December 31, 2020, 2019 and 2018, was $7.88, $4.81, and $6.17 per share, respectively. The fair value is being expensed over the vesting period of the options (usually three to four years) on a straight-line basis as the services are being provided.</w:t>
      </w:r>
    </w:p>
    <w:p>
      <w:pPr>
        <w:spacing w:after="0" w:line="111" w:lineRule="exact"/>
        <w:rPr>
          <w:sz w:val="20"/>
          <w:szCs w:val="20"/>
          <w:color w:val="auto"/>
        </w:rPr>
      </w:pPr>
    </w:p>
    <w:p>
      <w:pPr>
        <w:ind w:right="200" w:firstLine="590"/>
        <w:spacing w:after="0" w:line="276" w:lineRule="auto"/>
        <w:rPr>
          <w:sz w:val="20"/>
          <w:szCs w:val="20"/>
          <w:color w:val="auto"/>
        </w:rPr>
      </w:pPr>
      <w:r>
        <w:rPr>
          <w:rFonts w:ascii="Arial" w:cs="Arial" w:eastAsia="Arial" w:hAnsi="Arial"/>
          <w:sz w:val="15"/>
          <w:szCs w:val="15"/>
          <w:color w:val="auto"/>
        </w:rPr>
        <w:t>There were 755,166 options exercised for the year ended December 31, 2020, resulting in total proceeds of $6.6 million; 25,857 options exercised for the year ended December 31, 2019, resulting in total proceeds of $178,000; and 7,850 options exercised for the year ended December 31, 2018, resulting in total proceeds of $26,000. The intrinsic value of options exercised during the years ended December 31, 2020, 2019 and 2018 was $7.1 million, $9,000, and $0.1 million, respectively. In accordance with the Company’s policy, the shares were issued from a pool of shares reserved for issuance under the 2007 and 2015 Plans.</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00" w:lineRule="exact"/>
        <w:rPr>
          <w:sz w:val="20"/>
          <w:szCs w:val="20"/>
          <w:color w:val="auto"/>
        </w:rPr>
      </w:pPr>
    </w:p>
    <w:p>
      <w:pPr>
        <w:ind w:firstLine="590"/>
        <w:spacing w:after="0" w:line="257" w:lineRule="auto"/>
        <w:rPr>
          <w:sz w:val="20"/>
          <w:szCs w:val="20"/>
          <w:color w:val="auto"/>
        </w:rPr>
      </w:pPr>
      <w:r>
        <w:rPr>
          <w:rFonts w:ascii="Arial" w:cs="Arial" w:eastAsia="Arial" w:hAnsi="Arial"/>
          <w:sz w:val="16"/>
          <w:szCs w:val="16"/>
          <w:color w:val="auto"/>
        </w:rPr>
        <w:t>During the year ended December 31, 2020, the Company granted 18,500 shares of the Company’s restricted stock units. The shares are scheduled to vest in equal annual tranches over a four-year period on the anniversary date of the related grant. The fair value of these shares totaled $194,000 at the grant date, representing a weighted-average grant date fair value per share of $10.48.</w:t>
      </w:r>
    </w:p>
    <w:p>
      <w:pPr>
        <w:spacing w:after="0" w:line="26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100" w:lineRule="exact"/>
        <w:rPr>
          <w:sz w:val="20"/>
          <w:szCs w:val="20"/>
          <w:color w:val="auto"/>
        </w:rPr>
      </w:pPr>
    </w:p>
    <w:p>
      <w:pPr>
        <w:ind w:firstLine="590"/>
        <w:spacing w:after="0" w:line="271" w:lineRule="auto"/>
        <w:rPr>
          <w:sz w:val="20"/>
          <w:szCs w:val="20"/>
          <w:color w:val="auto"/>
        </w:rPr>
      </w:pPr>
      <w:r>
        <w:rPr>
          <w:rFonts w:ascii="Arial" w:cs="Arial" w:eastAsia="Arial" w:hAnsi="Arial"/>
          <w:sz w:val="15"/>
          <w:szCs w:val="15"/>
          <w:color w:val="auto"/>
        </w:rPr>
        <w:t>In September 2015, the Company’s Board adopted the Employee Stock Purchase Plan (the “ESPP”), which was subsequently approved by the Company’s stockholders in February 2016 and became effective upon the closing of the IPO on March 8, 2016. The ESPP authorizes the initial issuance of up to a total of 250,000 shares of common stock to the Company’s employees. The Company issued 33,706 and 42,818 shares during 2020 and 2019, respectively. On January 1, 2021, the shares of common stock reserved for issuance under the ESPP was increased to 1,323,288. Under the terms of the ESPP, eligible employees can elect to acquire shares of the Company’s common stock through periodic payroll deductions during a series of six month offering periods. Purchases under the ESPP are effected on the last business day of each offering period at a 15% discount to the lower of closing price on that day or the closing price on the first day of the offering period.</w:t>
      </w:r>
    </w:p>
    <w:p>
      <w:pPr>
        <w:spacing w:after="0" w:line="157" w:lineRule="exact"/>
        <w:rPr>
          <w:sz w:val="20"/>
          <w:szCs w:val="20"/>
          <w:color w:val="auto"/>
        </w:rPr>
      </w:pPr>
    </w:p>
    <w:p>
      <w:pPr>
        <w:ind w:right="80" w:firstLine="590"/>
        <w:spacing w:after="0" w:line="302" w:lineRule="auto"/>
        <w:rPr>
          <w:sz w:val="20"/>
          <w:szCs w:val="20"/>
          <w:color w:val="auto"/>
        </w:rPr>
      </w:pPr>
      <w:r>
        <w:rPr>
          <w:rFonts w:ascii="Arial" w:cs="Arial" w:eastAsia="Arial" w:hAnsi="Arial"/>
          <w:sz w:val="15"/>
          <w:szCs w:val="15"/>
          <w:color w:val="auto"/>
        </w:rPr>
        <w:t>The ESPP is considered a compensatory plan with the related compensation cost expensed over the six-month offering period. For the years ended December 31, 2020, 2019 and 2018 the Company recorded stock-based compensation expense related to the ESPP of $203,000, $113,000 and $132,000 respectively.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109" w:name="page110"/>
    <w:bookmarkEnd w:id="109"/>
    <w:p>
      <w:pPr>
        <w:ind w:left="585"/>
        <w:spacing w:after="0"/>
        <w:rPr>
          <w:sz w:val="20"/>
          <w:szCs w:val="20"/>
          <w:color w:val="auto"/>
        </w:rPr>
      </w:pPr>
      <w:r>
        <w:rPr>
          <w:rFonts w:ascii="Arial" w:cs="Arial" w:eastAsia="Arial" w:hAnsi="Arial"/>
          <w:sz w:val="16"/>
          <w:szCs w:val="16"/>
          <w:b w:val="1"/>
          <w:bCs w:val="1"/>
          <w:i w:val="1"/>
          <w:iCs w:val="1"/>
          <w:color w:val="auto"/>
        </w:rPr>
        <w:t>Employee Benefit Plan</w:t>
      </w:r>
    </w:p>
    <w:p>
      <w:pPr>
        <w:spacing w:after="0" w:line="100" w:lineRule="exact"/>
        <w:rPr>
          <w:sz w:val="20"/>
          <w:szCs w:val="20"/>
          <w:color w:val="auto"/>
        </w:rPr>
      </w:pPr>
    </w:p>
    <w:p>
      <w:pPr>
        <w:ind w:left="5" w:firstLine="590"/>
        <w:spacing w:after="0" w:line="254" w:lineRule="auto"/>
        <w:rPr>
          <w:sz w:val="20"/>
          <w:szCs w:val="20"/>
          <w:color w:val="auto"/>
        </w:rPr>
      </w:pPr>
      <w:r>
        <w:rPr>
          <w:rFonts w:ascii="Arial" w:cs="Arial" w:eastAsia="Arial" w:hAnsi="Arial"/>
          <w:sz w:val="16"/>
          <w:szCs w:val="16"/>
          <w:color w:val="auto"/>
        </w:rPr>
        <w:t>The Company has a Section 401(k) defined contribution savings plan for its employees. The plan covers substantially all employees who meet minimum age and service requirements and allows participants to defer a portion of their annual compensation on a pretax basis, subject to legal limitations. Company contributions to the plan may be made at the discretion of the Board. For the years ended December 31, 2020, 2019 and 2018, the Company made $250,000, $119,000 and $126,000 contributions to the plan, respectively.</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14. Loan Payable</w:t>
      </w:r>
    </w:p>
    <w:p>
      <w:pPr>
        <w:spacing w:after="0" w:line="104" w:lineRule="exact"/>
        <w:rPr>
          <w:sz w:val="20"/>
          <w:szCs w:val="20"/>
          <w:color w:val="auto"/>
        </w:rPr>
      </w:pPr>
    </w:p>
    <w:p>
      <w:pPr>
        <w:ind w:left="5" w:right="180" w:firstLine="590"/>
        <w:spacing w:after="0" w:line="290" w:lineRule="auto"/>
        <w:rPr>
          <w:sz w:val="20"/>
          <w:szCs w:val="20"/>
          <w:color w:val="auto"/>
        </w:rPr>
      </w:pPr>
      <w:r>
        <w:rPr>
          <w:rFonts w:ascii="Arial" w:cs="Arial" w:eastAsia="Arial" w:hAnsi="Arial"/>
          <w:sz w:val="14"/>
          <w:szCs w:val="14"/>
          <w:color w:val="auto"/>
        </w:rPr>
        <w:t>In February 2020, the Company entered into a loan and security agreement (the “Loan Agreement”) with Hercules Capital, Inc. (“Hercules”), which provided for aggregate maximum borrowings of up to $30.0 million, consisting of (i) a term loan of up to $20.0 million, which was funded on February 7, 2020 (the “Initial Advance”), and</w:t>
      </w:r>
    </w:p>
    <w:p>
      <w:pPr>
        <w:spacing w:after="0" w:line="1" w:lineRule="exact"/>
        <w:rPr>
          <w:sz w:val="20"/>
          <w:szCs w:val="20"/>
          <w:color w:val="auto"/>
        </w:rPr>
      </w:pPr>
    </w:p>
    <w:p>
      <w:pPr>
        <w:ind w:left="5" w:hanging="5"/>
        <w:spacing w:after="0" w:line="303" w:lineRule="auto"/>
        <w:tabs>
          <w:tab w:leader="none" w:pos="237" w:val="left"/>
        </w:tabs>
        <w:numPr>
          <w:ilvl w:val="0"/>
          <w:numId w:val="52"/>
        </w:numPr>
        <w:rPr>
          <w:rFonts w:ascii="Arial" w:cs="Arial" w:eastAsia="Arial" w:hAnsi="Arial"/>
          <w:sz w:val="14"/>
          <w:szCs w:val="14"/>
          <w:color w:val="auto"/>
        </w:rPr>
      </w:pPr>
      <w:r>
        <w:rPr>
          <w:rFonts w:ascii="Arial" w:cs="Arial" w:eastAsia="Arial" w:hAnsi="Arial"/>
          <w:sz w:val="14"/>
          <w:szCs w:val="14"/>
          <w:color w:val="auto"/>
        </w:rPr>
        <w:t>subject to Hercules’ investment committee approval, an additional term loan of up to $10.0 million, available for borrowing from February 7, 2020 to December 15, 2020 (the “Tranche 2 Advance”). The Company elected not to draw the additional term of $10.0 million. Borrowings under the Loan Agreement bear interest at an annual rate equal to the greater of (i) 9.85% or (ii) 5.10% plus the Wall Street Journal prime rate. As of December 31, 2020, the Company’s interest rate under the Loan Agreement was 9.85%.</w:t>
      </w:r>
    </w:p>
    <w:p>
      <w:pPr>
        <w:spacing w:after="0" w:line="137" w:lineRule="exact"/>
        <w:rPr>
          <w:sz w:val="20"/>
          <w:szCs w:val="20"/>
          <w:color w:val="auto"/>
        </w:rPr>
      </w:pPr>
    </w:p>
    <w:p>
      <w:pPr>
        <w:ind w:left="5" w:firstLine="590"/>
        <w:spacing w:after="0" w:line="290" w:lineRule="auto"/>
        <w:rPr>
          <w:sz w:val="20"/>
          <w:szCs w:val="20"/>
          <w:color w:val="auto"/>
        </w:rPr>
      </w:pPr>
      <w:r>
        <w:rPr>
          <w:rFonts w:ascii="Arial" w:cs="Arial" w:eastAsia="Arial" w:hAnsi="Arial"/>
          <w:sz w:val="14"/>
          <w:szCs w:val="14"/>
          <w:color w:val="auto"/>
        </w:rPr>
        <w:t>The Company is obligated to make monthly interest-only payments through October 1, 2021. After the interest-only payment period, borrowings under the Loan Agreement are repayable in equal monthly payments of principal and accrued interest until the maturity date of the loan, which is September 1, 2023. At the Company’s option, the Company may prepay all, but not less than all, of the outstanding borrowings, subject to a prepayment premium equal to (i) 2.0% of the principal amount outstanding if the prepayment occurs during the first year following the applicable loan being funded, (ii) 1.5% of the principal amount outstanding if the prepayment occurs during the second year following the applicable loan being funded, and (iii) 1.0% of the principal amount outstanding at any time thereafter but prior to the Maturity Date. In addition, the Company paid a $100,000 facility charge upon closing, which is being expensed over the term of the debt and will pay a $50,000 facility charge in connection with the Tranche 2 Advance. The Loan Agreement also provides for a final payment, payable upon maturity or the repayment in full of all obligations under the agreement, of up to 4.99% of the aggregate principal amount of the Term Loan Advances (as defined in the Loan Agreement). The final payment will be accrued over the term of the debt.</w:t>
      </w:r>
    </w:p>
    <w:p>
      <w:pPr>
        <w:spacing w:after="0" w:line="148" w:lineRule="exact"/>
        <w:rPr>
          <w:sz w:val="20"/>
          <w:szCs w:val="20"/>
          <w:color w:val="auto"/>
        </w:rPr>
      </w:pPr>
    </w:p>
    <w:p>
      <w:pPr>
        <w:ind w:left="5" w:right="80" w:firstLine="590"/>
        <w:spacing w:after="0" w:line="288" w:lineRule="auto"/>
        <w:rPr>
          <w:sz w:val="20"/>
          <w:szCs w:val="20"/>
          <w:color w:val="auto"/>
        </w:rPr>
      </w:pPr>
      <w:r>
        <w:rPr>
          <w:rFonts w:ascii="Arial" w:cs="Arial" w:eastAsia="Arial" w:hAnsi="Arial"/>
          <w:sz w:val="14"/>
          <w:szCs w:val="14"/>
          <w:color w:val="auto"/>
        </w:rPr>
        <w:t>Borrowings under the Loan Agreement are collateralized by substantially all of the Company’s and its subsidiaries personal property and other assets, other than its intellectual property. The Loan Agreement includes a minimum cash covenant of $12.5 million that has applied since October 1, 2020, subject to reduction upon satisfaction of certain conditions as set forth in the Loan Agreement. As of December 31, 2020, the conditions set forth in the Loan Agreement were met. The cash covenant of $12.5 million was waived.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The Loan Agreement also includes customary events of default, including payment defaults, breaches of covenants following any applicable cure period, the occurrence of certain events that could reasonably be expected to have a “material adverse effect” as set forth in the Loan Agreement, cross acceleration to third-party indebtedness and certain events relating to bankruptcy or insolvency. Upon the occurrence of an event of default, a default interest rate of an additional 5.0% may be applied to the outstanding principal balance, and Hercules may declare all outstanding obligations immediately due and payable and take such other actions as set forth in the Loan Agreement.</w:t>
      </w:r>
    </w:p>
    <w:p>
      <w:pPr>
        <w:spacing w:after="0" w:line="152" w:lineRule="exact"/>
        <w:rPr>
          <w:sz w:val="20"/>
          <w:szCs w:val="20"/>
          <w:color w:val="auto"/>
        </w:rPr>
      </w:pPr>
    </w:p>
    <w:p>
      <w:pPr>
        <w:ind w:left="5" w:right="140" w:firstLine="590"/>
        <w:spacing w:after="0" w:line="257" w:lineRule="auto"/>
        <w:rPr>
          <w:sz w:val="20"/>
          <w:szCs w:val="20"/>
          <w:color w:val="auto"/>
        </w:rPr>
      </w:pPr>
      <w:r>
        <w:rPr>
          <w:rFonts w:ascii="Arial" w:cs="Arial" w:eastAsia="Arial" w:hAnsi="Arial"/>
          <w:sz w:val="16"/>
          <w:szCs w:val="16"/>
          <w:color w:val="auto"/>
        </w:rPr>
        <w:t>In connection with the Loan Agreement, the Company was required to enter into separate deposit account control agreements with the lender in order to perfect the lender’s security interest in the cash collateral in the Company’s operating accounts. In the event of a default under the Loan Agreement, the lender would have the right to take control of the operating accounts and restrict the Company’s access to the operating accounts and the funds therein.</w:t>
      </w:r>
    </w:p>
    <w:p>
      <w:pPr>
        <w:spacing w:after="0" w:line="16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14946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5"/>
          </w:cols>
          <w:pgMar w:left="315" w:top="600" w:right="339" w:bottom="1440" w:gutter="0" w:footer="0" w:header="0"/>
        </w:sectPr>
      </w:pPr>
    </w:p>
    <w:bookmarkStart w:id="110" w:name="page111"/>
    <w:bookmarkEnd w:id="110"/>
    <w:p>
      <w:pPr>
        <w:ind w:left="580"/>
        <w:spacing w:after="0"/>
        <w:rPr>
          <w:sz w:val="20"/>
          <w:szCs w:val="20"/>
          <w:color w:val="auto"/>
        </w:rPr>
      </w:pPr>
      <w:r>
        <w:rPr>
          <w:rFonts w:ascii="Arial" w:cs="Arial" w:eastAsia="Arial" w:hAnsi="Arial"/>
          <w:sz w:val="14"/>
          <w:szCs w:val="14"/>
          <w:color w:val="auto"/>
        </w:rPr>
        <w:t>During the year ended December 31, 2020, the Company recognized $2.2 million of interest expense related to the Initial Advance pursuant to the Loan Agreement.</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December 31, 2020, the Company’s maturities of principal obligations under its long-term debt are as follows:</w:t>
      </w:r>
    </w:p>
    <w:p>
      <w:pPr>
        <w:spacing w:after="0" w:line="25"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7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0" w:type="dxa"/>
            <w:vAlign w:val="bottom"/>
            <w:gridSpan w:val="2"/>
          </w:tcPr>
          <w:p>
            <w:pPr>
              <w:jc w:val="right"/>
              <w:ind w:right="1160"/>
              <w:spacing w:after="0"/>
              <w:rPr>
                <w:sz w:val="20"/>
                <w:szCs w:val="20"/>
                <w:color w:val="auto"/>
              </w:rPr>
            </w:pPr>
            <w:r>
              <w:rPr>
                <w:rFonts w:ascii="Arial" w:cs="Arial" w:eastAsia="Arial" w:hAnsi="Arial"/>
                <w:sz w:val="16"/>
                <w:szCs w:val="16"/>
                <w:b w:val="1"/>
                <w:bCs w:val="1"/>
                <w:color w:val="auto"/>
              </w:rPr>
              <w:t>Amount</w:t>
            </w:r>
          </w:p>
        </w:tc>
      </w:tr>
      <w:tr>
        <w:trPr>
          <w:trHeight w:val="202"/>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2,285</w:t>
            </w:r>
          </w:p>
        </w:tc>
        <w:tc>
          <w:tcPr>
            <w:tcW w:w="100" w:type="dxa"/>
            <w:vAlign w:val="bottom"/>
            <w:shd w:val="clear" w:color="auto" w:fill="CFF0FC"/>
          </w:tcPr>
          <w:p>
            <w:pPr>
              <w:spacing w:after="0"/>
              <w:rPr>
                <w:sz w:val="17"/>
                <w:szCs w:val="17"/>
                <w:color w:val="auto"/>
              </w:rPr>
            </w:pPr>
          </w:p>
        </w:tc>
      </w:tr>
      <w:tr>
        <w:trPr>
          <w:trHeight w:val="201"/>
        </w:trPr>
        <w:tc>
          <w:tcPr>
            <w:tcW w:w="7360" w:type="dxa"/>
            <w:vAlign w:val="bottom"/>
          </w:tcPr>
          <w:p>
            <w:pPr>
              <w:spacing w:after="0"/>
              <w:rPr>
                <w:sz w:val="20"/>
                <w:szCs w:val="20"/>
                <w:color w:val="auto"/>
              </w:rPr>
            </w:pPr>
            <w:r>
              <w:rPr>
                <w:rFonts w:ascii="Arial" w:cs="Arial" w:eastAsia="Arial" w:hAnsi="Arial"/>
                <w:sz w:val="16"/>
                <w:szCs w:val="16"/>
                <w:color w:val="auto"/>
              </w:rPr>
              <w:t>2022</w:t>
            </w:r>
          </w:p>
        </w:tc>
        <w:tc>
          <w:tcPr>
            <w:tcW w:w="56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9,727</w:t>
            </w:r>
          </w:p>
        </w:tc>
        <w:tc>
          <w:tcPr>
            <w:tcW w:w="100" w:type="dxa"/>
            <w:vAlign w:val="bottom"/>
          </w:tcPr>
          <w:p>
            <w:pPr>
              <w:spacing w:after="0"/>
              <w:rPr>
                <w:sz w:val="17"/>
                <w:szCs w:val="17"/>
                <w:color w:val="auto"/>
              </w:rPr>
            </w:pPr>
          </w:p>
        </w:tc>
      </w:tr>
      <w:tr>
        <w:trPr>
          <w:trHeight w:val="202"/>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560" w:type="dxa"/>
            <w:vAlign w:val="bottom"/>
            <w:tcBorders>
              <w:bottom w:val="single" w:sz="8" w:color="auto"/>
            </w:tcBorders>
            <w:shd w:val="clear" w:color="auto" w:fill="CFF0FC"/>
          </w:tcPr>
          <w:p>
            <w:pPr>
              <w:spacing w:after="0"/>
              <w:rPr>
                <w:sz w:val="17"/>
                <w:szCs w:val="17"/>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7,988</w:t>
            </w:r>
          </w:p>
        </w:tc>
        <w:tc>
          <w:tcPr>
            <w:tcW w:w="100" w:type="dxa"/>
            <w:vAlign w:val="bottom"/>
            <w:shd w:val="clear" w:color="auto" w:fill="CFF0FC"/>
          </w:tcPr>
          <w:p>
            <w:pPr>
              <w:spacing w:after="0"/>
              <w:rPr>
                <w:sz w:val="17"/>
                <w:szCs w:val="17"/>
                <w:color w:val="auto"/>
              </w:rPr>
            </w:pPr>
          </w:p>
        </w:tc>
      </w:tr>
      <w:tr>
        <w:trPr>
          <w:trHeight w:val="193"/>
        </w:trPr>
        <w:tc>
          <w:tcPr>
            <w:tcW w:w="7360" w:type="dxa"/>
            <w:vAlign w:val="bottom"/>
          </w:tcPr>
          <w:p>
            <w:pPr>
              <w:ind w:left="160"/>
              <w:spacing w:after="0"/>
              <w:rPr>
                <w:sz w:val="20"/>
                <w:szCs w:val="20"/>
                <w:color w:val="auto"/>
              </w:rPr>
            </w:pPr>
            <w:r>
              <w:rPr>
                <w:rFonts w:ascii="Arial" w:cs="Arial" w:eastAsia="Arial" w:hAnsi="Arial"/>
                <w:sz w:val="16"/>
                <w:szCs w:val="16"/>
                <w:color w:val="auto"/>
              </w:rPr>
              <w:t>Total principal outstanding</w:t>
            </w:r>
          </w:p>
        </w:tc>
        <w:tc>
          <w:tcPr>
            <w:tcW w:w="56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6"/>
                <w:szCs w:val="16"/>
                <w:color w:val="auto"/>
              </w:rPr>
            </w:pPr>
          </w:p>
        </w:tc>
      </w:tr>
      <w:tr>
        <w:trPr>
          <w:trHeight w:val="202"/>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Amortized final fee</w:t>
            </w:r>
          </w:p>
        </w:tc>
        <w:tc>
          <w:tcPr>
            <w:tcW w:w="560" w:type="dxa"/>
            <w:vAlign w:val="bottom"/>
            <w:shd w:val="clear" w:color="auto" w:fill="CFF0FC"/>
          </w:tcPr>
          <w:p>
            <w:pPr>
              <w:spacing w:after="0"/>
              <w:rPr>
                <w:sz w:val="17"/>
                <w:szCs w:val="17"/>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FF0FC"/>
          </w:tcPr>
          <w:p>
            <w:pPr>
              <w:spacing w:after="0"/>
              <w:rPr>
                <w:sz w:val="17"/>
                <w:szCs w:val="17"/>
                <w:color w:val="auto"/>
              </w:rPr>
            </w:pPr>
          </w:p>
        </w:tc>
      </w:tr>
      <w:tr>
        <w:trPr>
          <w:trHeight w:val="201"/>
        </w:trPr>
        <w:tc>
          <w:tcPr>
            <w:tcW w:w="7360" w:type="dxa"/>
            <w:vAlign w:val="bottom"/>
          </w:tcPr>
          <w:p>
            <w:pPr>
              <w:spacing w:after="0"/>
              <w:rPr>
                <w:sz w:val="20"/>
                <w:szCs w:val="20"/>
                <w:color w:val="auto"/>
              </w:rPr>
            </w:pPr>
            <w:r>
              <w:rPr>
                <w:rFonts w:ascii="Arial" w:cs="Arial" w:eastAsia="Arial" w:hAnsi="Arial"/>
                <w:sz w:val="16"/>
                <w:szCs w:val="16"/>
                <w:color w:val="auto"/>
              </w:rPr>
              <w:t>Unamortized debt issuance costs</w:t>
            </w:r>
          </w:p>
        </w:tc>
        <w:tc>
          <w:tcPr>
            <w:tcW w:w="560" w:type="dxa"/>
            <w:vAlign w:val="bottom"/>
          </w:tcPr>
          <w:p>
            <w:pPr>
              <w:spacing w:after="0"/>
              <w:rPr>
                <w:sz w:val="17"/>
                <w:szCs w:val="17"/>
                <w:color w:val="auto"/>
              </w:rPr>
            </w:pPr>
          </w:p>
        </w:tc>
        <w:tc>
          <w:tcPr>
            <w:tcW w:w="2200" w:type="dxa"/>
            <w:vAlign w:val="bottom"/>
            <w:gridSpan w:val="2"/>
          </w:tcPr>
          <w:p>
            <w:pPr>
              <w:jc w:val="right"/>
              <w:ind w:right="40"/>
              <w:spacing w:after="0"/>
              <w:rPr>
                <w:sz w:val="20"/>
                <w:szCs w:val="20"/>
                <w:color w:val="auto"/>
              </w:rPr>
            </w:pPr>
            <w:r>
              <w:rPr>
                <w:rFonts w:ascii="Arial" w:cs="Arial" w:eastAsia="Arial" w:hAnsi="Arial"/>
                <w:sz w:val="16"/>
                <w:szCs w:val="16"/>
                <w:color w:val="auto"/>
              </w:rPr>
              <w:t>(187)</w:t>
            </w:r>
          </w:p>
        </w:tc>
      </w:tr>
      <w:tr>
        <w:trPr>
          <w:trHeight w:val="193"/>
        </w:trPr>
        <w:tc>
          <w:tcPr>
            <w:tcW w:w="7360" w:type="dxa"/>
            <w:vAlign w:val="bottom"/>
            <w:tcBorders>
              <w:top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Total</w:t>
            </w:r>
          </w:p>
        </w:tc>
        <w:tc>
          <w:tcPr>
            <w:tcW w:w="560" w:type="dxa"/>
            <w:vAlign w:val="bottom"/>
            <w:tcBorders>
              <w:top w:val="single" w:sz="8" w:color="auto"/>
            </w:tcBorders>
            <w:shd w:val="clear" w:color="auto" w:fill="CFF0FC"/>
          </w:tcPr>
          <w:p>
            <w:pPr>
              <w:spacing w:after="0"/>
              <w:rPr>
                <w:sz w:val="16"/>
                <w:szCs w:val="16"/>
                <w:color w:val="auto"/>
              </w:rPr>
            </w:pPr>
          </w:p>
        </w:tc>
        <w:tc>
          <w:tcPr>
            <w:tcW w:w="2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20,119</w:t>
            </w:r>
          </w:p>
        </w:tc>
        <w:tc>
          <w:tcPr>
            <w:tcW w:w="100" w:type="dxa"/>
            <w:vAlign w:val="bottom"/>
            <w:tcBorders>
              <w:top w:val="single" w:sz="8" w:color="CFF0FC"/>
            </w:tcBorders>
            <w:shd w:val="clear" w:color="auto" w:fill="CFF0FC"/>
          </w:tcPr>
          <w:p>
            <w:pPr>
              <w:spacing w:after="0"/>
              <w:rPr>
                <w:sz w:val="16"/>
                <w:szCs w:val="16"/>
                <w:color w:val="auto"/>
              </w:rPr>
            </w:pPr>
          </w:p>
        </w:tc>
      </w:tr>
      <w:tr>
        <w:trPr>
          <w:trHeight w:val="201"/>
        </w:trPr>
        <w:tc>
          <w:tcPr>
            <w:tcW w:w="736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Term loan, current portion</w:t>
            </w:r>
          </w:p>
        </w:tc>
        <w:tc>
          <w:tcPr>
            <w:tcW w:w="5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2,285</w:t>
            </w:r>
          </w:p>
        </w:tc>
        <w:tc>
          <w:tcPr>
            <w:tcW w:w="100" w:type="dxa"/>
            <w:vAlign w:val="bottom"/>
            <w:tcBorders>
              <w:bottom w:val="single" w:sz="8" w:color="CFF0FC"/>
            </w:tcBorders>
          </w:tcPr>
          <w:p>
            <w:pPr>
              <w:spacing w:after="0"/>
              <w:rPr>
                <w:sz w:val="17"/>
                <w:szCs w:val="17"/>
                <w:color w:val="auto"/>
              </w:rPr>
            </w:pPr>
          </w:p>
        </w:tc>
      </w:tr>
      <w:tr>
        <w:trPr>
          <w:trHeight w:val="193"/>
        </w:trPr>
        <w:tc>
          <w:tcPr>
            <w:tcW w:w="73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Term loan, less current portion</w:t>
            </w: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17,834</w:t>
            </w:r>
          </w:p>
        </w:tc>
        <w:tc>
          <w:tcPr>
            <w:tcW w:w="100" w:type="dxa"/>
            <w:vAlign w:val="bottom"/>
            <w:shd w:val="clear" w:color="auto" w:fill="CFF0FC"/>
          </w:tcPr>
          <w:p>
            <w:pPr>
              <w:spacing w:after="0"/>
              <w:rPr>
                <w:sz w:val="16"/>
                <w:szCs w:val="16"/>
                <w:color w:val="auto"/>
              </w:rPr>
            </w:pPr>
          </w:p>
        </w:tc>
      </w:tr>
    </w:tbl>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Income Taxes</w:t>
      </w:r>
    </w:p>
    <w:p>
      <w:pPr>
        <w:spacing w:after="0" w:line="104" w:lineRule="exact"/>
        <w:rPr>
          <w:sz w:val="20"/>
          <w:szCs w:val="20"/>
          <w:color w:val="auto"/>
        </w:rPr>
      </w:pPr>
    </w:p>
    <w:p>
      <w:pPr>
        <w:jc w:val="both"/>
        <w:ind w:right="300" w:firstLine="590"/>
        <w:spacing w:after="0" w:line="283" w:lineRule="auto"/>
        <w:rPr>
          <w:sz w:val="20"/>
          <w:szCs w:val="20"/>
          <w:color w:val="auto"/>
        </w:rPr>
      </w:pPr>
      <w:r>
        <w:rPr>
          <w:rFonts w:ascii="Arial" w:cs="Arial" w:eastAsia="Arial" w:hAnsi="Arial"/>
          <w:sz w:val="15"/>
          <w:szCs w:val="15"/>
          <w:color w:val="auto"/>
        </w:rPr>
        <w:t>The Company has not recorded any net tax provision for the periods presented due to the losses incurred and the need for a full valuation allowance on deferred tax assets. The difference between the income tax expense at the U.S. federal statutory rate and the recorded provision is primarily due to the valuation allowance provided on all deferred tax assets. The Company’s loss before income tax for the periods presented was generated entirely in the United States.</w:t>
      </w:r>
    </w:p>
    <w:p>
      <w:pPr>
        <w:spacing w:after="0" w:line="53" w:lineRule="exact"/>
        <w:rPr>
          <w:sz w:val="20"/>
          <w:szCs w:val="20"/>
          <w:color w:val="auto"/>
        </w:rPr>
      </w:pPr>
    </w:p>
    <w:p>
      <w:pPr>
        <w:ind w:right="520" w:firstLine="590"/>
        <w:spacing w:after="0" w:line="254" w:lineRule="auto"/>
        <w:rPr>
          <w:sz w:val="20"/>
          <w:szCs w:val="20"/>
          <w:color w:val="auto"/>
        </w:rPr>
      </w:pPr>
      <w:r>
        <w:rPr>
          <w:rFonts w:ascii="Arial" w:cs="Arial" w:eastAsia="Arial" w:hAnsi="Arial"/>
          <w:sz w:val="16"/>
          <w:szCs w:val="16"/>
          <w:color w:val="auto"/>
        </w:rPr>
        <w:t>A reconciliation of the provision for income taxes computed at the statutory federal income tax rate to the provision for income taxes as reflected in the financial statements is as follows:</w:t>
      </w:r>
    </w:p>
    <w:tbl>
      <w:tblPr>
        <w:tblLayout w:type="fixed"/>
        <w:tblInd w:w="0" w:type="dxa"/>
        <w:tblCellMar>
          <w:top w:w="0" w:type="dxa"/>
          <w:left w:w="0" w:type="dxa"/>
          <w:bottom w:w="0" w:type="dxa"/>
          <w:right w:w="0" w:type="dxa"/>
        </w:tblCellMar>
      </w:tblPr>
      <w:tr>
        <w:trPr>
          <w:trHeight w:val="144"/>
        </w:trPr>
        <w:tc>
          <w:tcPr>
            <w:tcW w:w="5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6"/>
          </w:tcPr>
          <w:p>
            <w:pPr>
              <w:ind w:left="20"/>
              <w:spacing w:after="0" w:line="144" w:lineRule="exact"/>
              <w:rPr>
                <w:sz w:val="20"/>
                <w:szCs w:val="20"/>
                <w:color w:val="auto"/>
              </w:rPr>
            </w:pPr>
            <w:r>
              <w:rPr>
                <w:rFonts w:ascii="Arial" w:cs="Arial" w:eastAsia="Arial" w:hAnsi="Arial"/>
                <w:sz w:val="13"/>
                <w:szCs w:val="13"/>
                <w:b w:val="1"/>
                <w:bCs w:val="1"/>
                <w:color w:val="auto"/>
              </w:rPr>
              <w:t>Years Ended December 31,</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60" w:type="dxa"/>
            <w:vAlign w:val="bottom"/>
          </w:tcPr>
          <w:p>
            <w:pPr>
              <w:spacing w:after="0"/>
              <w:rPr>
                <w:sz w:val="11"/>
                <w:szCs w:val="11"/>
                <w:color w:val="auto"/>
              </w:rPr>
            </w:pPr>
          </w:p>
        </w:tc>
        <w:tc>
          <w:tcPr>
            <w:tcW w:w="6700" w:type="dxa"/>
            <w:vAlign w:val="bottom"/>
            <w:tcBorders>
              <w:bottom w:val="single" w:sz="8" w:color="CFF0FC"/>
            </w:tcBorders>
          </w:tcPr>
          <w:p>
            <w:pPr>
              <w:spacing w:after="0"/>
              <w:rPr>
                <w:sz w:val="11"/>
                <w:szCs w:val="11"/>
                <w:color w:val="auto"/>
              </w:rPr>
            </w:pPr>
          </w:p>
        </w:tc>
        <w:tc>
          <w:tcPr>
            <w:tcW w:w="880" w:type="dxa"/>
            <w:vAlign w:val="bottom"/>
            <w:tcBorders>
              <w:bottom w:val="single" w:sz="8" w:color="auto"/>
            </w:tcBorders>
          </w:tcPr>
          <w:p>
            <w:pPr>
              <w:jc w:val="right"/>
              <w:ind w:right="243"/>
              <w:spacing w:after="0" w:line="13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900" w:type="dxa"/>
            <w:vAlign w:val="bottom"/>
            <w:tcBorders>
              <w:bottom w:val="single" w:sz="8" w:color="auto"/>
            </w:tcBorders>
          </w:tcPr>
          <w:p>
            <w:pPr>
              <w:jc w:val="right"/>
              <w:ind w:right="244"/>
              <w:spacing w:after="0" w:line="134"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03"/>
              <w:spacing w:after="0" w:line="134"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Income tax computed at federal statutory rate</w:t>
            </w:r>
          </w:p>
        </w:tc>
        <w:tc>
          <w:tcPr>
            <w:tcW w:w="1180" w:type="dxa"/>
            <w:vAlign w:val="bottom"/>
            <w:gridSpan w:val="3"/>
            <w:shd w:val="clear" w:color="auto" w:fill="CFF0FC"/>
          </w:tcPr>
          <w:p>
            <w:pPr>
              <w:jc w:val="right"/>
              <w:ind w:right="87"/>
              <w:spacing w:after="0"/>
              <w:rPr>
                <w:sz w:val="20"/>
                <w:szCs w:val="20"/>
                <w:color w:val="auto"/>
              </w:rPr>
            </w:pPr>
            <w:r>
              <w:rPr>
                <w:rFonts w:ascii="Arial" w:cs="Arial" w:eastAsia="Arial" w:hAnsi="Arial"/>
                <w:sz w:val="16"/>
                <w:szCs w:val="16"/>
                <w:color w:val="auto"/>
              </w:rPr>
              <w:t>21.0%</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Arial" w:cs="Arial" w:eastAsia="Arial" w:hAnsi="Arial"/>
                <w:sz w:val="16"/>
                <w:szCs w:val="16"/>
                <w:color w:val="auto"/>
              </w:rPr>
              <w:t>State taxes, net of federal benefit</w:t>
            </w:r>
          </w:p>
        </w:tc>
        <w:tc>
          <w:tcPr>
            <w:tcW w:w="1180" w:type="dxa"/>
            <w:vAlign w:val="bottom"/>
            <w:gridSpan w:val="3"/>
          </w:tcPr>
          <w:p>
            <w:pPr>
              <w:jc w:val="right"/>
              <w:ind w:right="87"/>
              <w:spacing w:after="0"/>
              <w:rPr>
                <w:sz w:val="20"/>
                <w:szCs w:val="20"/>
                <w:color w:val="auto"/>
              </w:rPr>
            </w:pPr>
            <w:r>
              <w:rPr>
                <w:rFonts w:ascii="Arial" w:cs="Arial" w:eastAsia="Arial" w:hAnsi="Arial"/>
                <w:sz w:val="16"/>
                <w:szCs w:val="16"/>
                <w:color w:val="auto"/>
              </w:rPr>
              <w:t>1.8%</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General business credit carryovers</w:t>
            </w:r>
          </w:p>
        </w:tc>
        <w:tc>
          <w:tcPr>
            <w:tcW w:w="1180" w:type="dxa"/>
            <w:vAlign w:val="bottom"/>
            <w:gridSpan w:val="3"/>
            <w:shd w:val="clear" w:color="auto" w:fill="CFF0FC"/>
          </w:tcPr>
          <w:p>
            <w:pPr>
              <w:jc w:val="right"/>
              <w:ind w:right="87"/>
              <w:spacing w:after="0"/>
              <w:rPr>
                <w:sz w:val="20"/>
                <w:szCs w:val="20"/>
                <w:color w:val="auto"/>
              </w:rPr>
            </w:pPr>
            <w:r>
              <w:rPr>
                <w:rFonts w:ascii="Arial" w:cs="Arial" w:eastAsia="Arial" w:hAnsi="Arial"/>
                <w:sz w:val="16"/>
                <w:szCs w:val="16"/>
                <w:color w:val="auto"/>
              </w:rPr>
              <w:t>0.9%</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0.8%</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Arial" w:cs="Arial" w:eastAsia="Arial" w:hAnsi="Arial"/>
                <w:sz w:val="16"/>
                <w:szCs w:val="16"/>
                <w:color w:val="auto"/>
              </w:rPr>
              <w:t>Non-deductible expenses</w:t>
            </w:r>
          </w:p>
        </w:tc>
        <w:tc>
          <w:tcPr>
            <w:tcW w:w="1180" w:type="dxa"/>
            <w:vAlign w:val="bottom"/>
            <w:gridSpan w:val="3"/>
          </w:tcPr>
          <w:p>
            <w:pPr>
              <w:jc w:val="right"/>
              <w:ind w:right="87"/>
              <w:spacing w:after="0"/>
              <w:rPr>
                <w:sz w:val="20"/>
                <w:szCs w:val="20"/>
                <w:color w:val="auto"/>
              </w:rPr>
            </w:pPr>
            <w:r>
              <w:rPr>
                <w:rFonts w:ascii="Arial" w:cs="Arial" w:eastAsia="Arial" w:hAnsi="Arial"/>
                <w:sz w:val="16"/>
                <w:szCs w:val="16"/>
                <w:color w:val="auto"/>
              </w:rPr>
              <w:t>0.0%</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Change in valuation allowance</w:t>
            </w:r>
          </w:p>
        </w:tc>
        <w:tc>
          <w:tcPr>
            <w:tcW w:w="1180" w:type="dxa"/>
            <w:vAlign w:val="bottom"/>
            <w:gridSpan w:val="3"/>
            <w:shd w:val="clear" w:color="auto" w:fill="CFF0FC"/>
          </w:tcPr>
          <w:p>
            <w:pPr>
              <w:jc w:val="right"/>
              <w:ind w:right="87"/>
              <w:spacing w:after="0"/>
              <w:rPr>
                <w:sz w:val="20"/>
                <w:szCs w:val="20"/>
                <w:color w:val="auto"/>
              </w:rPr>
            </w:pPr>
            <w:r>
              <w:rPr>
                <w:rFonts w:ascii="Arial" w:cs="Arial" w:eastAsia="Arial" w:hAnsi="Arial"/>
                <w:sz w:val="16"/>
                <w:szCs w:val="16"/>
                <w:color w:val="auto"/>
              </w:rPr>
              <w:t>-23.7%</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Arial" w:cs="Arial" w:eastAsia="Arial" w:hAnsi="Arial"/>
                <w:sz w:val="16"/>
                <w:szCs w:val="16"/>
                <w:color w:val="auto"/>
              </w:rPr>
              <w:t>Other</w:t>
            </w:r>
          </w:p>
        </w:tc>
        <w:tc>
          <w:tcPr>
            <w:tcW w:w="1180" w:type="dxa"/>
            <w:vAlign w:val="bottom"/>
            <w:gridSpan w:val="3"/>
          </w:tcPr>
          <w:p>
            <w:pPr>
              <w:jc w:val="right"/>
              <w:ind w:right="87"/>
              <w:spacing w:after="0"/>
              <w:rPr>
                <w:sz w:val="20"/>
                <w:szCs w:val="20"/>
                <w:color w:val="auto"/>
              </w:rPr>
            </w:pPr>
            <w:r>
              <w:rPr>
                <w:rFonts w:ascii="Arial" w:cs="Arial" w:eastAsia="Arial" w:hAnsi="Arial"/>
                <w:sz w:val="16"/>
                <w:szCs w:val="16"/>
                <w:color w:val="auto"/>
              </w:rPr>
              <w:t>0.0%</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7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0" w:type="dxa"/>
            <w:vAlign w:val="bottom"/>
          </w:tcPr>
          <w:p>
            <w:pPr>
              <w:spacing w:after="0"/>
              <w:rPr>
                <w:sz w:val="16"/>
                <w:szCs w:val="16"/>
                <w:color w:val="auto"/>
              </w:rPr>
            </w:pPr>
          </w:p>
        </w:tc>
        <w:tc>
          <w:tcPr>
            <w:tcW w:w="6700" w:type="dxa"/>
            <w:vAlign w:val="bottom"/>
            <w:shd w:val="clear" w:color="auto" w:fill="CFF0FC"/>
          </w:tcPr>
          <w:p>
            <w:pPr>
              <w:spacing w:after="0"/>
              <w:rPr>
                <w:sz w:val="16"/>
                <w:szCs w:val="16"/>
                <w:color w:val="auto"/>
              </w:rPr>
            </w:pPr>
          </w:p>
        </w:tc>
        <w:tc>
          <w:tcPr>
            <w:tcW w:w="1180" w:type="dxa"/>
            <w:vAlign w:val="bottom"/>
            <w:gridSpan w:val="3"/>
            <w:shd w:val="clear" w:color="auto" w:fill="CFF0FC"/>
          </w:tcPr>
          <w:p>
            <w:pPr>
              <w:jc w:val="right"/>
              <w:ind w:right="87"/>
              <w:spacing w:after="0"/>
              <w:rPr>
                <w:sz w:val="20"/>
                <w:szCs w:val="20"/>
                <w:color w:val="auto"/>
              </w:rPr>
            </w:pPr>
            <w:r>
              <w:rPr>
                <w:rFonts w:ascii="Arial" w:cs="Arial" w:eastAsia="Arial" w:hAnsi="Arial"/>
                <w:sz w:val="16"/>
                <w:szCs w:val="16"/>
                <w:color w:val="auto"/>
              </w:rPr>
              <w:t>0.0%</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70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6"/>
                <w:szCs w:val="16"/>
                <w:color w:val="auto"/>
              </w:rPr>
              <w:t>The significant components of the Company’s deferred tax are as follows (in thousands):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6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4"/>
          </w:tcPr>
          <w:p>
            <w:pPr>
              <w:jc w:val="center"/>
              <w:ind w:left="464"/>
              <w:spacing w:after="0"/>
              <w:rPr>
                <w:sz w:val="20"/>
                <w:szCs w:val="20"/>
                <w:color w:val="auto"/>
              </w:rPr>
            </w:pPr>
            <w:r>
              <w:rPr>
                <w:rFonts w:ascii="Arial" w:cs="Arial" w:eastAsia="Arial" w:hAnsi="Arial"/>
                <w:sz w:val="13"/>
                <w:szCs w:val="13"/>
                <w:b w:val="1"/>
                <w:bCs w:val="1"/>
                <w:color w:val="auto"/>
                <w:w w:val="86"/>
              </w:rPr>
              <w:t>Years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center"/>
              <w:ind w:left="444"/>
              <w:spacing w:after="0"/>
              <w:rPr>
                <w:sz w:val="20"/>
                <w:szCs w:val="20"/>
                <w:color w:val="auto"/>
              </w:rPr>
            </w:pPr>
            <w:r>
              <w:rPr>
                <w:rFonts w:ascii="Arial" w:cs="Arial" w:eastAsia="Arial" w:hAnsi="Arial"/>
                <w:sz w:val="13"/>
                <w:szCs w:val="13"/>
                <w:b w:val="1"/>
                <w:bCs w:val="1"/>
                <w:color w:val="auto"/>
                <w:w w:val="87"/>
              </w:rPr>
              <w:t>December 31,</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60" w:type="dxa"/>
            <w:vAlign w:val="bottom"/>
          </w:tcPr>
          <w:p>
            <w:pPr>
              <w:spacing w:after="0"/>
              <w:rPr>
                <w:sz w:val="11"/>
                <w:szCs w:val="11"/>
                <w:color w:val="auto"/>
              </w:rPr>
            </w:pPr>
          </w:p>
        </w:tc>
        <w:tc>
          <w:tcPr>
            <w:tcW w:w="6700" w:type="dxa"/>
            <w:vAlign w:val="bottom"/>
            <w:tcBorders>
              <w:bottom w:val="single" w:sz="8" w:color="CFF0FC"/>
            </w:tcBorders>
          </w:tcPr>
          <w:p>
            <w:pPr>
              <w:spacing w:after="0"/>
              <w:rPr>
                <w:sz w:val="11"/>
                <w:szCs w:val="11"/>
                <w:color w:val="auto"/>
              </w:rPr>
            </w:pPr>
          </w:p>
        </w:tc>
        <w:tc>
          <w:tcPr>
            <w:tcW w:w="8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84"/>
              <w:spacing w:after="0" w:line="134"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23"/>
              <w:spacing w:after="0" w:line="134"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 (liabilities):</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6700" w:type="dxa"/>
            <w:vAlign w:val="bottom"/>
          </w:tcPr>
          <w:p>
            <w:pPr>
              <w:ind w:left="220"/>
              <w:spacing w:after="0"/>
              <w:rPr>
                <w:sz w:val="20"/>
                <w:szCs w:val="20"/>
                <w:color w:val="auto"/>
              </w:rPr>
            </w:pPr>
            <w:r>
              <w:rPr>
                <w:rFonts w:ascii="Arial" w:cs="Arial" w:eastAsia="Arial" w:hAnsi="Arial"/>
                <w:sz w:val="16"/>
                <w:szCs w:val="16"/>
                <w:color w:val="auto"/>
              </w:rPr>
              <w:t>Net operating loss carryforwards</w:t>
            </w:r>
          </w:p>
        </w:tc>
        <w:tc>
          <w:tcPr>
            <w:tcW w:w="1180" w:type="dxa"/>
            <w:vAlign w:val="bottom"/>
            <w:gridSpan w:val="3"/>
          </w:tcPr>
          <w:p>
            <w:pPr>
              <w:jc w:val="right"/>
              <w:ind w:right="27"/>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22,794</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16,410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Research and development credits</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6"/>
                <w:szCs w:val="16"/>
                <w:color w:val="auto"/>
              </w:rPr>
              <w:t>4,856</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4,156</w:t>
            </w:r>
          </w:p>
        </w:tc>
        <w:tc>
          <w:tcPr>
            <w:tcW w:w="10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6700" w:type="dxa"/>
            <w:vAlign w:val="bottom"/>
          </w:tcPr>
          <w:p>
            <w:pPr>
              <w:ind w:left="220"/>
              <w:spacing w:after="0"/>
              <w:rPr>
                <w:sz w:val="20"/>
                <w:szCs w:val="20"/>
                <w:color w:val="auto"/>
              </w:rPr>
            </w:pPr>
            <w:r>
              <w:rPr>
                <w:rFonts w:ascii="Arial" w:cs="Arial" w:eastAsia="Arial" w:hAnsi="Arial"/>
                <w:sz w:val="16"/>
                <w:szCs w:val="16"/>
                <w:color w:val="auto"/>
              </w:rPr>
              <w:t>Capitalized start-up and other costs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28,854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25,716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Capitalized research and development costs</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6"/>
                <w:szCs w:val="16"/>
                <w:color w:val="auto"/>
              </w:rPr>
              <w:t>35,632</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29,736</w:t>
            </w:r>
          </w:p>
        </w:tc>
        <w:tc>
          <w:tcPr>
            <w:tcW w:w="10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67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2,989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3,334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Equity based compensation</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jc w:val="right"/>
              <w:ind w:right="4"/>
              <w:spacing w:after="0"/>
              <w:rPr>
                <w:sz w:val="20"/>
                <w:szCs w:val="20"/>
                <w:color w:val="auto"/>
              </w:rPr>
            </w:pPr>
            <w:r>
              <w:rPr>
                <w:rFonts w:ascii="Arial" w:cs="Arial" w:eastAsia="Arial" w:hAnsi="Arial"/>
                <w:sz w:val="16"/>
                <w:szCs w:val="16"/>
                <w:color w:val="auto"/>
              </w:rPr>
              <w:t>5,117</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4,211</w:t>
            </w:r>
          </w:p>
        </w:tc>
        <w:tc>
          <w:tcPr>
            <w:tcW w:w="10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6700" w:type="dxa"/>
            <w:vAlign w:val="bottom"/>
          </w:tcPr>
          <w:p>
            <w:pPr>
              <w:ind w:left="220"/>
              <w:spacing w:after="0"/>
              <w:rPr>
                <w:sz w:val="20"/>
                <w:szCs w:val="20"/>
                <w:color w:val="auto"/>
              </w:rPr>
            </w:pPr>
            <w:r>
              <w:rPr>
                <w:rFonts w:ascii="Arial" w:cs="Arial" w:eastAsia="Arial" w:hAnsi="Arial"/>
                <w:sz w:val="16"/>
                <w:szCs w:val="16"/>
                <w:color w:val="auto"/>
              </w:rPr>
              <w:t>Accruals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1,657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 temporary differences</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right w:val="single" w:sz="8" w:color="CFF0FC"/>
            </w:tcBorders>
            <w:shd w:val="clear" w:color="auto" w:fill="CFF0FC"/>
          </w:tcPr>
          <w:p>
            <w:pPr>
              <w:jc w:val="right"/>
              <w:ind w:right="4"/>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6700" w:type="dxa"/>
            <w:vAlign w:val="bottom"/>
          </w:tcPr>
          <w:p>
            <w:pPr>
              <w:ind w:left="440"/>
              <w:spacing w:after="0"/>
              <w:rPr>
                <w:sz w:val="20"/>
                <w:szCs w:val="20"/>
                <w:color w:val="auto"/>
              </w:rPr>
            </w:pPr>
            <w:r>
              <w:rPr>
                <w:rFonts w:ascii="Arial" w:cs="Arial" w:eastAsia="Arial" w:hAnsi="Arial"/>
                <w:sz w:val="16"/>
                <w:szCs w:val="16"/>
                <w:color w:val="auto"/>
              </w:rPr>
              <w:t>Deferred tax assets before valuation allowance</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101,928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84,416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Valuation allowances</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(101,928)</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(84,416)</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6700" w:type="dxa"/>
            <w:vAlign w:val="bottom"/>
          </w:tcPr>
          <w:p>
            <w:pPr>
              <w:spacing w:after="0"/>
              <w:rPr>
                <w:sz w:val="20"/>
                <w:szCs w:val="20"/>
                <w:color w:val="auto"/>
              </w:rPr>
            </w:pPr>
            <w:r>
              <w:rPr>
                <w:rFonts w:ascii="Arial" w:cs="Arial" w:eastAsia="Arial" w:hAnsi="Arial"/>
                <w:sz w:val="16"/>
                <w:szCs w:val="16"/>
                <w:color w:val="auto"/>
              </w:rPr>
              <w:t>Net deferred tax assets</w:t>
            </w:r>
          </w:p>
        </w:tc>
        <w:tc>
          <w:tcPr>
            <w:tcW w:w="1000" w:type="dxa"/>
            <w:vAlign w:val="bottom"/>
            <w:gridSpan w:val="2"/>
          </w:tcPr>
          <w:p>
            <w:pPr>
              <w:spacing w:after="0"/>
              <w:rPr>
                <w:sz w:val="16"/>
                <w:szCs w:val="16"/>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700" w:type="dxa"/>
            <w:vAlign w:val="bottom"/>
            <w:vMerge w:val="restart"/>
          </w:tcPr>
          <w:p>
            <w:pPr>
              <w:ind w:left="4920"/>
              <w:spacing w:after="0"/>
              <w:rPr>
                <w:sz w:val="20"/>
                <w:szCs w:val="20"/>
                <w:color w:val="auto"/>
              </w:rPr>
            </w:pPr>
            <w:r>
              <w:rPr>
                <w:rFonts w:ascii="Arial" w:cs="Arial" w:eastAsia="Arial" w:hAnsi="Arial"/>
                <w:sz w:val="16"/>
                <w:szCs w:val="16"/>
                <w:color w:val="auto"/>
              </w:rPr>
              <w:t>F-27</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6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60" w:type="dxa"/>
            <w:vAlign w:val="bottom"/>
            <w:tcBorders>
              <w:bottom w:val="single" w:sz="8" w:color="9A9A9A"/>
            </w:tcBorders>
          </w:tcPr>
          <w:p>
            <w:pPr>
              <w:spacing w:after="0"/>
              <w:rPr>
                <w:sz w:val="8"/>
                <w:szCs w:val="8"/>
                <w:color w:val="auto"/>
              </w:rPr>
            </w:pPr>
          </w:p>
        </w:tc>
        <w:tc>
          <w:tcPr>
            <w:tcW w:w="67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0">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111" w:name="page112"/>
    <w:bookmarkEnd w:id="111"/>
    <w:p>
      <w:pPr>
        <w:jc w:val="both"/>
        <w:ind w:right="220" w:firstLine="590"/>
        <w:spacing w:after="0" w:line="257" w:lineRule="auto"/>
        <w:rPr>
          <w:sz w:val="20"/>
          <w:szCs w:val="20"/>
          <w:color w:val="auto"/>
        </w:rPr>
      </w:pPr>
      <w:r>
        <w:rPr>
          <w:rFonts w:ascii="Arial" w:cs="Arial" w:eastAsia="Arial" w:hAnsi="Arial"/>
          <w:sz w:val="16"/>
          <w:szCs w:val="16"/>
          <w:color w:val="auto"/>
        </w:rPr>
        <w:t>The Company has provided a valuation allowance for the full amount of the net deferred tax assets as the realization of the deferred tax assets is not determined to be more likely than not. The valuation allowance increased by $17.5 million and $12.8 million in 2020 and 2019, respectively, due to the increase in deferred tax assets, primarily due to net operating loss carryforwards and capitalized research and development costs.</w:t>
      </w:r>
    </w:p>
    <w:p>
      <w:pPr>
        <w:spacing w:after="0" w:line="167" w:lineRule="exact"/>
        <w:rPr>
          <w:sz w:val="20"/>
          <w:szCs w:val="20"/>
          <w:color w:val="auto"/>
        </w:rPr>
      </w:pPr>
    </w:p>
    <w:p>
      <w:pPr>
        <w:ind w:right="260" w:firstLine="590"/>
        <w:spacing w:after="0" w:line="257" w:lineRule="auto"/>
        <w:rPr>
          <w:sz w:val="20"/>
          <w:szCs w:val="20"/>
          <w:color w:val="auto"/>
        </w:rPr>
      </w:pPr>
      <w:r>
        <w:rPr>
          <w:rFonts w:ascii="Arial" w:cs="Arial" w:eastAsia="Arial" w:hAnsi="Arial"/>
          <w:sz w:val="16"/>
          <w:szCs w:val="16"/>
          <w:color w:val="auto"/>
        </w:rPr>
        <w:t>As of December 31, 2020, the Company had approximately $96.1 million and $41.0 million in federal and state Net Operating Losses (“NOLs”), respectively, which begin to expire at various dates starting in 2024. As of December 31, 2020, the Company had federal and state research credits of $3.3 million and $2.0 million, respectively, which begin to expire in 2022.</w:t>
      </w:r>
    </w:p>
    <w:p>
      <w:pPr>
        <w:spacing w:after="0" w:line="167" w:lineRule="exact"/>
        <w:rPr>
          <w:sz w:val="20"/>
          <w:szCs w:val="20"/>
          <w:color w:val="auto"/>
        </w:rPr>
      </w:pPr>
    </w:p>
    <w:p>
      <w:pPr>
        <w:ind w:firstLine="590"/>
        <w:spacing w:after="0" w:line="269" w:lineRule="auto"/>
        <w:rPr>
          <w:sz w:val="20"/>
          <w:szCs w:val="20"/>
          <w:color w:val="auto"/>
        </w:rPr>
      </w:pPr>
      <w:r>
        <w:rPr>
          <w:rFonts w:ascii="Arial" w:cs="Arial" w:eastAsia="Arial" w:hAnsi="Arial"/>
          <w:sz w:val="15"/>
          <w:szCs w:val="15"/>
          <w:color w:val="auto"/>
        </w:rPr>
        <w:t>Realization of future tax benefits is dependent on many factors, including the Company’s ability to generate taxable income within the net operating loss carryforward period. Under the Internal Revenue Code provisions, certain substantial changes in the Company’s ownership, including the sale of the Company or significant changes in ownership due to sales of equity, may have limited, or may limit in the future, the amount of net operating loss carryforwards or tax credits which could be used annually to offset future taxable income. The Company completed an analysis through December 31, 2020 and determined that on March 30, 2007, August 21, 2015 and May 4, 2020 ownership changes had occurred. The Company may also experience ownership changes in the future as a result of subsequent shifts in our stock ownership, some of which may be outside of our control. As a result, its ability to use its pre-change NOLs or tax credits to offset U.S. federal taxable income may be subject to limitations, which could potentially result in increased future tax liability. In addition, at the state level, there may be periods during which the use of NOLs is suspended or otherwise limited, which could accelerate or permanently increase state taxes owed.</w:t>
      </w:r>
    </w:p>
    <w:p>
      <w:pPr>
        <w:spacing w:after="0" w:line="158" w:lineRule="exact"/>
        <w:rPr>
          <w:sz w:val="20"/>
          <w:szCs w:val="20"/>
          <w:color w:val="auto"/>
        </w:rPr>
      </w:pPr>
    </w:p>
    <w:p>
      <w:pPr>
        <w:ind w:right="80" w:firstLine="590"/>
        <w:spacing w:after="0" w:line="302" w:lineRule="auto"/>
        <w:rPr>
          <w:sz w:val="20"/>
          <w:szCs w:val="20"/>
          <w:color w:val="auto"/>
        </w:rPr>
      </w:pPr>
      <w:r>
        <w:rPr>
          <w:rFonts w:ascii="Arial" w:cs="Arial" w:eastAsia="Arial" w:hAnsi="Arial"/>
          <w:sz w:val="14"/>
          <w:szCs w:val="14"/>
          <w:color w:val="auto"/>
        </w:rPr>
        <w:t>The Coronavirus Aid, Relief, and Economic Security (CARES) Act was enacted on March 27, 2020. Among the business provisions, the CARES Act provided for various payroll tax incentives, changes to net operating loss carryback and carryforward rules, business interest expense limitation increases, and bonus depreciation on qualified improvement property. Additionally, the Consolidated Appropriations Act of 2021 was signed on December 27, 2020 which provided additional COVID relief provisions for businesses. The Company has evaluated the impact of the both Acts and has determined that any impact is not material to its financial statements.</w:t>
      </w:r>
    </w:p>
    <w:p>
      <w:pPr>
        <w:spacing w:after="0" w:line="137" w:lineRule="exact"/>
        <w:rPr>
          <w:sz w:val="20"/>
          <w:szCs w:val="20"/>
          <w:color w:val="auto"/>
        </w:rPr>
      </w:pPr>
    </w:p>
    <w:p>
      <w:pPr>
        <w:ind w:right="20" w:firstLine="590"/>
        <w:spacing w:after="0" w:line="273" w:lineRule="auto"/>
        <w:rPr>
          <w:sz w:val="20"/>
          <w:szCs w:val="20"/>
          <w:color w:val="auto"/>
        </w:rPr>
      </w:pPr>
      <w:r>
        <w:rPr>
          <w:rFonts w:ascii="Arial" w:cs="Arial" w:eastAsia="Arial" w:hAnsi="Arial"/>
          <w:sz w:val="15"/>
          <w:szCs w:val="15"/>
          <w:color w:val="auto"/>
        </w:rPr>
        <w:t>As of December 31, 2020, and 2019, the Company had uncertain tax positions of $0.2 million related to research and development credits, which reduce the deferred tax assets with a corresponding decrease to the valuation allowance. The Company has elected to recognize interest and penalties related to income tax matters as a component of income tax expense, of which no interest or penalties were recorded for the years ended December 31, 2020 and 2019. The Company expects none of the unrecognized tax benefits to decrease within the next 12 months related to expired statutes or settlement with the taxing authorities. Due to the Company’s valuation allowance as of December 31, 2020, none of the Company’s unrecognized tax benefits, if recognized, would affect the effective tax rate.</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reconciliation of the Company’s unrecognized tax benefits is as follows (in thousands):</w:t>
      </w:r>
    </w:p>
    <w:p>
      <w:pPr>
        <w:spacing w:after="0" w:line="270" w:lineRule="exact"/>
        <w:rPr>
          <w:sz w:val="20"/>
          <w:szCs w:val="20"/>
          <w:color w:val="auto"/>
        </w:rPr>
      </w:pPr>
    </w:p>
    <w:tbl>
      <w:tblPr>
        <w:tblLayout w:type="fixed"/>
        <w:tblInd w:w="11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3"/>
                <w:szCs w:val="13"/>
                <w:b w:val="1"/>
                <w:bCs w:val="1"/>
                <w:color w:val="auto"/>
                <w:w w:val="95"/>
              </w:rPr>
              <w:t>Years Ended December 31,</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4420" w:type="dxa"/>
            <w:vAlign w:val="bottom"/>
            <w:tcBorders>
              <w:bottom w:val="single" w:sz="8" w:color="CFF0FC"/>
            </w:tcBorders>
          </w:tcPr>
          <w:p>
            <w:pPr>
              <w:spacing w:after="0"/>
              <w:rPr>
                <w:sz w:val="11"/>
                <w:szCs w:val="11"/>
                <w:color w:val="auto"/>
              </w:rPr>
            </w:pPr>
          </w:p>
        </w:tc>
        <w:tc>
          <w:tcPr>
            <w:tcW w:w="1600" w:type="dxa"/>
            <w:vAlign w:val="bottom"/>
            <w:tcBorders>
              <w:bottom w:val="single" w:sz="8" w:color="CFF0FC"/>
            </w:tcBorders>
          </w:tcPr>
          <w:p>
            <w:pPr>
              <w:spacing w:after="0"/>
              <w:rPr>
                <w:sz w:val="11"/>
                <w:szCs w:val="11"/>
                <w:color w:val="auto"/>
              </w:rPr>
            </w:pPr>
          </w:p>
        </w:tc>
        <w:tc>
          <w:tcPr>
            <w:tcW w:w="5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05"/>
              <w:spacing w:after="0" w:line="134"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25"/>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FF0FC"/>
            </w:tcBorders>
          </w:tcPr>
          <w:p>
            <w:pPr>
              <w:spacing w:after="0"/>
              <w:rPr>
                <w:sz w:val="11"/>
                <w:szCs w:val="11"/>
                <w:color w:val="auto"/>
              </w:rPr>
            </w:pPr>
          </w:p>
        </w:tc>
      </w:tr>
      <w:tr>
        <w:trPr>
          <w:trHeight w:val="193"/>
        </w:trPr>
        <w:tc>
          <w:tcPr>
            <w:tcW w:w="20" w:type="dxa"/>
            <w:vAlign w:val="bottom"/>
          </w:tcPr>
          <w:p>
            <w:pPr>
              <w:spacing w:after="0"/>
              <w:rPr>
                <w:sz w:val="16"/>
                <w:szCs w:val="16"/>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Unrecognized tax benefit--beginning of year</w:t>
            </w:r>
          </w:p>
        </w:tc>
        <w:tc>
          <w:tcPr>
            <w:tcW w:w="160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39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163</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FF0FC"/>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Decreases related to prior period positions</w:t>
            </w: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Unrecognized tax benefit--end of year</w:t>
            </w:r>
          </w:p>
        </w:tc>
        <w:tc>
          <w:tcPr>
            <w:tcW w:w="1600" w:type="dxa"/>
            <w:vAlign w:val="bottom"/>
            <w:tcBorders>
              <w:top w:val="single" w:sz="8" w:color="CFF0FC"/>
              <w:bottom w:val="single" w:sz="8" w:color="CFF0FC"/>
            </w:tcBorders>
            <w:shd w:val="clear" w:color="auto" w:fill="CFF0FC"/>
          </w:tcPr>
          <w:p>
            <w:pPr>
              <w:spacing w:after="0"/>
              <w:rPr>
                <w:sz w:val="16"/>
                <w:szCs w:val="16"/>
                <w:color w:val="auto"/>
              </w:rPr>
            </w:pPr>
          </w:p>
        </w:tc>
        <w:tc>
          <w:tcPr>
            <w:tcW w:w="54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163</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00" w:firstLine="590"/>
        <w:spacing w:after="0" w:line="254" w:lineRule="auto"/>
        <w:rPr>
          <w:sz w:val="20"/>
          <w:szCs w:val="20"/>
          <w:color w:val="auto"/>
        </w:rPr>
      </w:pPr>
      <w:r>
        <w:rPr>
          <w:rFonts w:ascii="Arial" w:cs="Arial" w:eastAsia="Arial" w:hAnsi="Arial"/>
          <w:sz w:val="16"/>
          <w:szCs w:val="16"/>
          <w:color w:val="auto"/>
        </w:rPr>
        <w:t>The Company files tax returns in the United States, Massachusetts, California, New Jersey, New York, Rhode Island and Pennsylvania. All tax years since inception (October 11, 2005) remain open to examination by major tax jurisdictions to which the Company is subject, as carryforward attributes generated in years past may still be adjusted upon examination by the Internal Revenue Service or state tax authorities if they have or will be used in a future period. The Company is currently not under examination by the Internal Revenue Service or any other jurisdictions for any tax years.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31" w:right="31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color w:val="auto"/>
        </w:rPr>
        <w:t>16. Commitments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License Agreements</w:t>
      </w:r>
    </w:p>
    <w:p>
      <w:pPr>
        <w:spacing w:after="0" w:line="100" w:lineRule="exact"/>
        <w:rPr>
          <w:sz w:val="20"/>
          <w:szCs w:val="20"/>
          <w:color w:val="auto"/>
        </w:rPr>
      </w:pPr>
    </w:p>
    <w:p>
      <w:pPr>
        <w:ind w:right="40" w:firstLine="590"/>
        <w:spacing w:after="0" w:line="288" w:lineRule="auto"/>
        <w:rPr>
          <w:sz w:val="20"/>
          <w:szCs w:val="20"/>
          <w:color w:val="auto"/>
        </w:rPr>
      </w:pPr>
      <w:r>
        <w:rPr>
          <w:rFonts w:ascii="Arial" w:cs="Arial" w:eastAsia="Arial" w:hAnsi="Arial"/>
          <w:sz w:val="14"/>
          <w:szCs w:val="14"/>
          <w:color w:val="auto"/>
        </w:rPr>
        <w:t>NovaMedica—In August 2013, in connection with the third tranche of its Series B-1 financing, the Company entered into a Technology Transfer Agreement (the “Tech Transfer Agreement”) with Domain Russia Investments Limited (“DRI”). Pursuant to the Tech Transfer Agreement, in exchange for nominal payment, the Company assigned to DRI certain patent applications and granted to DRI a license to develop and commercialize entinostat in certain Eastern European countries (the “Covered Territory”). The Company concurrently entered into a sublicense agreement with DRI (the “DRI Sublicense”) and a sublicense agreement (the “NovaMedica Sublicense”) with NovaMedica LLC (“NovaMedica”), which is jointly owned by Rusnano Medinvest LLC and DRI. Pursuant to the DRI Sublicense, the Company granted to DRI an exclusive sublicense to develop, manufacture and commercialize entinostat in the Russian Federation. Pursuant to the NovaMedica Sublicense, the Company granted to NovaMedica an exclusive sublicense to develop, manufacture and commercialize entinostat in the rest of the Covered Territory. Immediately thereafter, the Company, DRI and NovaMedica executed an assignment and assumption agreement, pursuant to which the assigned patents and all of DRI’s rights and obligations under the Tech Transfer Agreement and the DRI Sublicense were transferred to NovaMedica. Under the Tech Transfer Agreement, in certain cases, the Company is required to assist NovaMedica, and NovaMedica is required to reimburse the Company for any out-of-pocket expenses incurred in providing this assistance, including travel-related expenses.</w:t>
      </w:r>
    </w:p>
    <w:p>
      <w:pPr>
        <w:spacing w:after="0" w:line="152" w:lineRule="exact"/>
        <w:rPr>
          <w:sz w:val="20"/>
          <w:szCs w:val="20"/>
          <w:color w:val="auto"/>
        </w:rPr>
      </w:pPr>
    </w:p>
    <w:p>
      <w:pPr>
        <w:ind w:firstLine="590"/>
        <w:spacing w:after="0" w:line="297" w:lineRule="auto"/>
        <w:rPr>
          <w:sz w:val="20"/>
          <w:szCs w:val="20"/>
          <w:color w:val="auto"/>
        </w:rPr>
      </w:pPr>
      <w:r>
        <w:rPr>
          <w:rFonts w:ascii="Arial" w:cs="Arial" w:eastAsia="Arial" w:hAnsi="Arial"/>
          <w:sz w:val="14"/>
          <w:szCs w:val="14"/>
          <w:color w:val="auto"/>
        </w:rPr>
        <w:t>Eddingpharm—In April 2013, the Company entered into a License and Development Agreement (the “Eddingpharm License Agreement”) and a Series B-1 purchase agreement (the “Eddingpharm Purchase Agreement”) with Eddingpharm International Company Limited (“Eddingpharm”). Under the terms of the Eddingpharm License Agreement, Eddingpharm, in exchange for rights to develop and commercialize entinostat in China and certain other Asian countries, purchased $5.0 million of Series B-1 and agreed to make certain contingent milestone and royalty payments based on revenue targets. In certain cases, the Company is required to assist Eddingpharm, and Eddingpharm is required to reimburse the Company for any out-of-pocket expenses incurred in providing this assistance, including reimbursement for person-hours above a certain cap.</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Supplemental Cash Flow Information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center"/>
              <w:ind w:right="121"/>
              <w:spacing w:after="0"/>
              <w:rPr>
                <w:sz w:val="20"/>
                <w:szCs w:val="20"/>
                <w:color w:val="auto"/>
              </w:rPr>
            </w:pPr>
            <w:r>
              <w:rPr>
                <w:rFonts w:ascii="Arial" w:cs="Arial" w:eastAsia="Arial" w:hAnsi="Arial"/>
                <w:sz w:val="13"/>
                <w:szCs w:val="13"/>
                <w:b w:val="1"/>
                <w:bCs w:val="1"/>
                <w:color w:val="auto"/>
                <w:w w:val="87"/>
              </w:rPr>
              <w:t>Years Ended December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4"/>
        </w:trPr>
        <w:tc>
          <w:tcPr>
            <w:tcW w:w="78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6"/>
              <w:spacing w:after="0" w:line="134" w:lineRule="exact"/>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49"/>
              <w:spacing w:after="0" w:line="134" w:lineRule="exact"/>
              <w:rPr>
                <w:sz w:val="20"/>
                <w:szCs w:val="20"/>
                <w:color w:val="auto"/>
              </w:rPr>
            </w:pPr>
            <w:r>
              <w:rPr>
                <w:rFonts w:ascii="Arial" w:cs="Arial" w:eastAsia="Arial" w:hAnsi="Arial"/>
                <w:sz w:val="13"/>
                <w:szCs w:val="13"/>
                <w:b w:val="1"/>
                <w:bCs w:val="1"/>
                <w:color w:val="auto"/>
              </w:rPr>
              <w:t>2019</w:t>
            </w: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6"/>
              <w:spacing w:after="0" w:line="134"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1"/>
                <w:szCs w:val="11"/>
                <w:color w:val="auto"/>
              </w:rPr>
            </w:pPr>
          </w:p>
        </w:tc>
      </w:tr>
      <w:tr>
        <w:trPr>
          <w:trHeight w:val="193"/>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center"/>
              <w:ind w:right="149"/>
              <w:spacing w:after="0"/>
              <w:rPr>
                <w:sz w:val="20"/>
                <w:szCs w:val="20"/>
                <w:color w:val="auto"/>
              </w:rPr>
            </w:pPr>
            <w:r>
              <w:rPr>
                <w:rFonts w:ascii="Arial" w:cs="Arial" w:eastAsia="Arial" w:hAnsi="Arial"/>
                <w:sz w:val="13"/>
                <w:szCs w:val="13"/>
                <w:i w:val="1"/>
                <w:iCs w:val="1"/>
                <w:color w:val="auto"/>
                <w:w w:val="88"/>
              </w:rPr>
              <w:t>(In thousands)</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1"/>
        </w:trPr>
        <w:tc>
          <w:tcPr>
            <w:tcW w:w="7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1"/>
        </w:trPr>
        <w:tc>
          <w:tcPr>
            <w:tcW w:w="7860" w:type="dxa"/>
            <w:vAlign w:val="bottom"/>
          </w:tcPr>
          <w:p>
            <w:pPr>
              <w:spacing w:after="0"/>
              <w:rPr>
                <w:sz w:val="20"/>
                <w:szCs w:val="20"/>
                <w:color w:val="auto"/>
              </w:rPr>
            </w:pPr>
            <w:r>
              <w:rPr>
                <w:rFonts w:ascii="Arial" w:cs="Arial" w:eastAsia="Arial" w:hAnsi="Arial"/>
                <w:sz w:val="16"/>
                <w:szCs w:val="16"/>
                <w:color w:val="auto"/>
              </w:rPr>
              <w:t>Interest paid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1,631</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6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r>
      <w:tr>
        <w:trPr>
          <w:trHeight w:val="185"/>
        </w:trPr>
        <w:tc>
          <w:tcPr>
            <w:tcW w:w="7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Disclosures of Non-Cash Investing and Financing</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6"/>
        </w:trPr>
        <w:tc>
          <w:tcPr>
            <w:tcW w:w="786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Activities:</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1"/>
        </w:trPr>
        <w:tc>
          <w:tcPr>
            <w:tcW w:w="7860" w:type="dxa"/>
            <w:vAlign w:val="bottom"/>
          </w:tcPr>
          <w:p>
            <w:pPr>
              <w:spacing w:after="0"/>
              <w:rPr>
                <w:sz w:val="20"/>
                <w:szCs w:val="20"/>
                <w:color w:val="auto"/>
              </w:rPr>
            </w:pPr>
            <w:r>
              <w:rPr>
                <w:rFonts w:ascii="Arial" w:cs="Arial" w:eastAsia="Arial" w:hAnsi="Arial"/>
                <w:sz w:val="16"/>
                <w:szCs w:val="16"/>
                <w:color w:val="auto"/>
              </w:rPr>
              <w:t>Issuance costs included in accounts payable and accrued expenses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43</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6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r>
    </w:tbl>
    <w:p>
      <w:pPr>
        <w:spacing w:after="0" w:line="17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adoption of ASC 842, “Leases”, resulted in the recording of a lease asset and a lease liability of approximately $1.3 million as of January 1, 2019.</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Related-Party Transactions</w:t>
      </w:r>
    </w:p>
    <w:p>
      <w:pPr>
        <w:spacing w:after="0" w:line="104" w:lineRule="exact"/>
        <w:rPr>
          <w:sz w:val="20"/>
          <w:szCs w:val="20"/>
          <w:color w:val="auto"/>
        </w:rPr>
      </w:pPr>
    </w:p>
    <w:p>
      <w:pPr>
        <w:ind w:right="80" w:firstLine="590"/>
        <w:spacing w:after="0" w:line="268" w:lineRule="auto"/>
        <w:rPr>
          <w:sz w:val="20"/>
          <w:szCs w:val="20"/>
          <w:color w:val="auto"/>
        </w:rPr>
      </w:pPr>
      <w:r>
        <w:rPr>
          <w:rFonts w:ascii="Arial" w:cs="Arial" w:eastAsia="Arial" w:hAnsi="Arial"/>
          <w:sz w:val="16"/>
          <w:szCs w:val="16"/>
          <w:color w:val="auto"/>
        </w:rPr>
        <w:t>The Company’s chief executive officer and member of the board of directors is also an Executive Partner at MPM Asset Management, LLC, which holds an investment in the Company’s common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4946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596" w:right="31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color w:val="auto"/>
        </w:rPr>
        <w:t>19. Quarterly financial information (unaudited)</w:t>
      </w:r>
    </w:p>
    <w:p>
      <w:pPr>
        <w:spacing w:after="0" w:line="104" w:lineRule="exact"/>
        <w:rPr>
          <w:sz w:val="20"/>
          <w:szCs w:val="20"/>
          <w:color w:val="auto"/>
        </w:rPr>
      </w:pPr>
    </w:p>
    <w:p>
      <w:pPr>
        <w:ind w:firstLine="590"/>
        <w:spacing w:after="0" w:line="257" w:lineRule="auto"/>
        <w:rPr>
          <w:sz w:val="20"/>
          <w:szCs w:val="20"/>
          <w:color w:val="auto"/>
        </w:rPr>
      </w:pPr>
      <w:r>
        <w:rPr>
          <w:rFonts w:ascii="Arial" w:cs="Arial" w:eastAsia="Arial" w:hAnsi="Arial"/>
          <w:sz w:val="16"/>
          <w:szCs w:val="16"/>
          <w:color w:val="auto"/>
        </w:rPr>
        <w:t>The following table contains quarterly financial information for 2020 and 2019.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242" w:lineRule="exact"/>
        <w:rPr>
          <w:sz w:val="20"/>
          <w:szCs w:val="20"/>
          <w:color w:val="auto"/>
        </w:rPr>
      </w:pPr>
    </w:p>
    <w:tbl>
      <w:tblPr>
        <w:tblLayout w:type="fixed"/>
        <w:tblInd w:w="560" w:type="dxa"/>
        <w:tblCellMar>
          <w:top w:w="0" w:type="dxa"/>
          <w:left w:w="0" w:type="dxa"/>
          <w:bottom w:w="0" w:type="dxa"/>
          <w:right w:w="0" w:type="dxa"/>
        </w:tblCellMar>
      </w:tblPr>
      <w:tr>
        <w:trPr>
          <w:trHeight w:val="150"/>
        </w:trPr>
        <w:tc>
          <w:tcPr>
            <w:tcW w:w="38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6"/>
          </w:tcPr>
          <w:p>
            <w:pPr>
              <w:jc w:val="center"/>
              <w:ind w:right="281"/>
              <w:spacing w:after="0"/>
              <w:rPr>
                <w:sz w:val="20"/>
                <w:szCs w:val="20"/>
                <w:color w:val="auto"/>
              </w:rPr>
            </w:pPr>
            <w:r>
              <w:rPr>
                <w:rFonts w:ascii="Arial" w:cs="Arial" w:eastAsia="Arial" w:hAnsi="Arial"/>
                <w:sz w:val="13"/>
                <w:szCs w:val="13"/>
                <w:b w:val="1"/>
                <w:bCs w:val="1"/>
                <w:color w:val="auto"/>
                <w:w w:val="90"/>
              </w:rPr>
              <w:t>Three Months Ended</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840" w:type="dxa"/>
            <w:vAlign w:val="bottom"/>
            <w:vMerge w:val="restart"/>
          </w:tcPr>
          <w:p>
            <w:pPr>
              <w:spacing w:after="0"/>
              <w:rPr>
                <w:sz w:val="20"/>
                <w:szCs w:val="20"/>
                <w:color w:val="auto"/>
              </w:rPr>
            </w:pPr>
            <w:r>
              <w:rPr>
                <w:rFonts w:ascii="Arial" w:cs="Arial" w:eastAsia="Arial" w:hAnsi="Arial"/>
                <w:sz w:val="13"/>
                <w:szCs w:val="13"/>
                <w:i w:val="1"/>
                <w:iCs w:val="1"/>
                <w:color w:val="auto"/>
              </w:rPr>
              <w:t>In thousands, except per share data</w:t>
            </w:r>
          </w:p>
        </w:tc>
        <w:tc>
          <w:tcPr>
            <w:tcW w:w="1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center"/>
              <w:ind w:right="7"/>
              <w:spacing w:after="0" w:line="134" w:lineRule="exact"/>
              <w:rPr>
                <w:sz w:val="20"/>
                <w:szCs w:val="20"/>
                <w:color w:val="auto"/>
              </w:rPr>
            </w:pPr>
            <w:r>
              <w:rPr>
                <w:rFonts w:ascii="Arial" w:cs="Arial" w:eastAsia="Arial" w:hAnsi="Arial"/>
                <w:sz w:val="13"/>
                <w:szCs w:val="13"/>
                <w:b w:val="1"/>
                <w:bCs w:val="1"/>
                <w:color w:val="auto"/>
                <w:w w:val="82"/>
              </w:rPr>
              <w:t>2020</w:t>
            </w: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840" w:type="dxa"/>
            <w:vAlign w:val="bottom"/>
            <w:vMerge w:val="continue"/>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301"/>
              <w:spacing w:after="0" w:line="134" w:lineRule="exact"/>
              <w:rPr>
                <w:sz w:val="20"/>
                <w:szCs w:val="20"/>
                <w:color w:val="auto"/>
              </w:rPr>
            </w:pPr>
            <w:r>
              <w:rPr>
                <w:rFonts w:ascii="Arial" w:cs="Arial" w:eastAsia="Arial" w:hAnsi="Arial"/>
                <w:sz w:val="13"/>
                <w:szCs w:val="13"/>
                <w:b w:val="1"/>
                <w:bCs w:val="1"/>
                <w:color w:val="auto"/>
                <w:w w:val="95"/>
              </w:rPr>
              <w:t>March 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81"/>
              <w:spacing w:after="0" w:line="134"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1"/>
                <w:szCs w:val="11"/>
                <w:color w:val="auto"/>
              </w:rPr>
            </w:pPr>
          </w:p>
        </w:tc>
        <w:tc>
          <w:tcPr>
            <w:tcW w:w="1040" w:type="dxa"/>
            <w:vAlign w:val="bottom"/>
            <w:gridSpan w:val="3"/>
          </w:tcPr>
          <w:p>
            <w:pPr>
              <w:jc w:val="right"/>
              <w:ind w:right="241"/>
              <w:spacing w:after="0" w:line="134" w:lineRule="exact"/>
              <w:rPr>
                <w:sz w:val="20"/>
                <w:szCs w:val="20"/>
                <w:color w:val="auto"/>
              </w:rPr>
            </w:pPr>
            <w:r>
              <w:rPr>
                <w:rFonts w:ascii="Arial" w:cs="Arial" w:eastAsia="Arial" w:hAnsi="Arial"/>
                <w:sz w:val="13"/>
                <w:szCs w:val="13"/>
                <w:b w:val="1"/>
                <w:bCs w:val="1"/>
                <w:color w:val="auto"/>
                <w:w w:val="86"/>
              </w:rPr>
              <w:t>September 30</w:t>
            </w:r>
          </w:p>
        </w:tc>
        <w:tc>
          <w:tcPr>
            <w:tcW w:w="160" w:type="dxa"/>
            <w:vAlign w:val="bottom"/>
          </w:tcPr>
          <w:p>
            <w:pPr>
              <w:spacing w:after="0"/>
              <w:rPr>
                <w:sz w:val="11"/>
                <w:szCs w:val="11"/>
                <w:color w:val="auto"/>
              </w:rPr>
            </w:pPr>
          </w:p>
        </w:tc>
        <w:tc>
          <w:tcPr>
            <w:tcW w:w="820" w:type="dxa"/>
            <w:vAlign w:val="bottom"/>
            <w:gridSpan w:val="2"/>
          </w:tcPr>
          <w:p>
            <w:pPr>
              <w:jc w:val="right"/>
              <w:ind w:right="1"/>
              <w:spacing w:after="0" w:line="134" w:lineRule="exact"/>
              <w:rPr>
                <w:sz w:val="20"/>
                <w:szCs w:val="20"/>
                <w:color w:val="auto"/>
              </w:rPr>
            </w:pPr>
            <w:r>
              <w:rPr>
                <w:rFonts w:ascii="Arial" w:cs="Arial" w:eastAsia="Arial" w:hAnsi="Arial"/>
                <w:sz w:val="13"/>
                <w:szCs w:val="13"/>
                <w:b w:val="1"/>
                <w:bCs w:val="1"/>
                <w:color w:val="auto"/>
                <w:w w:val="88"/>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License fees</w:t>
            </w:r>
          </w:p>
        </w:tc>
        <w:tc>
          <w:tcPr>
            <w:tcW w:w="17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6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380</w:t>
            </w: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tcPr>
          <w:p>
            <w:pPr>
              <w:spacing w:after="0"/>
              <w:rPr>
                <w:sz w:val="20"/>
                <w:szCs w:val="20"/>
                <w:color w:val="auto"/>
              </w:rPr>
            </w:pPr>
            <w:r>
              <w:rPr>
                <w:rFonts w:ascii="Arial" w:cs="Arial" w:eastAsia="Arial" w:hAnsi="Arial"/>
                <w:sz w:val="16"/>
                <w:szCs w:val="16"/>
                <w:color w:val="auto"/>
              </w:rPr>
              <w:t>Operating expenses:</w:t>
            </w: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Research and development</w:t>
            </w:r>
          </w:p>
        </w:tc>
        <w:tc>
          <w:tcPr>
            <w:tcW w:w="1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9,562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10,943</w:t>
            </w:r>
          </w:p>
        </w:tc>
        <w:tc>
          <w:tcPr>
            <w:tcW w:w="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14,408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15,522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4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General and administrative</w:t>
            </w:r>
          </w:p>
        </w:tc>
        <w:tc>
          <w:tcPr>
            <w:tcW w:w="17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5,917</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6,046</w:t>
            </w:r>
          </w:p>
        </w:tc>
        <w:tc>
          <w:tcPr>
            <w:tcW w:w="6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5,824</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4,718</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Total expenses</w:t>
            </w:r>
          </w:p>
        </w:tc>
        <w:tc>
          <w:tcPr>
            <w:tcW w:w="178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15,479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16,989</w:t>
            </w: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20,232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20,240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40" w:type="dxa"/>
            <w:vAlign w:val="bottom"/>
          </w:tcPr>
          <w:p>
            <w:pPr>
              <w:spacing w:after="0"/>
              <w:rPr>
                <w:sz w:val="20"/>
                <w:szCs w:val="20"/>
                <w:color w:val="auto"/>
              </w:rPr>
            </w:pPr>
            <w:r>
              <w:rPr>
                <w:rFonts w:ascii="Arial" w:cs="Arial" w:eastAsia="Arial" w:hAnsi="Arial"/>
                <w:sz w:val="16"/>
                <w:szCs w:val="16"/>
                <w:color w:val="auto"/>
              </w:rPr>
              <w:t>Loss from operations</w:t>
            </w: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(15,100)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(16,610)</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(19,853)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(19,860)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Other income</w:t>
            </w:r>
          </w:p>
        </w:tc>
        <w:tc>
          <w:tcPr>
            <w:tcW w:w="1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1"/>
              <w:spacing w:after="0"/>
              <w:rPr>
                <w:sz w:val="20"/>
                <w:szCs w:val="20"/>
                <w:color w:val="auto"/>
              </w:rPr>
            </w:pPr>
            <w:r>
              <w:rPr>
                <w:rFonts w:ascii="Arial" w:cs="Arial" w:eastAsia="Arial" w:hAnsi="Arial"/>
                <w:sz w:val="16"/>
                <w:szCs w:val="16"/>
                <w:color w:val="auto"/>
              </w:rPr>
              <w:t>(136)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1"/>
              <w:spacing w:after="0"/>
              <w:rPr>
                <w:sz w:val="20"/>
                <w:szCs w:val="20"/>
                <w:color w:val="auto"/>
              </w:rPr>
            </w:pPr>
            <w:r>
              <w:rPr>
                <w:rFonts w:ascii="Arial" w:cs="Arial" w:eastAsia="Arial" w:hAnsi="Arial"/>
                <w:sz w:val="16"/>
                <w:szCs w:val="16"/>
                <w:color w:val="auto"/>
              </w:rPr>
              <w:t>(584)</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33"/>
        </w:trPr>
        <w:tc>
          <w:tcPr>
            <w:tcW w:w="3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w:t>
            </w:r>
          </w:p>
        </w:tc>
        <w:tc>
          <w:tcPr>
            <w:tcW w:w="178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(15,236</w:t>
            </w:r>
          </w:p>
        </w:tc>
        <w:tc>
          <w:tcPr>
            <w:tcW w:w="220" w:type="dxa"/>
            <w:vAlign w:val="bottom"/>
            <w:tcBorders>
              <w:bottom w:val="single" w:sz="8" w:color="CFF0FC"/>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(17,062</w:t>
            </w:r>
          </w:p>
        </w:tc>
        <w:tc>
          <w:tcPr>
            <w:tcW w:w="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FF0FC"/>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(20,437</w:t>
            </w:r>
          </w:p>
        </w:tc>
        <w:tc>
          <w:tcPr>
            <w:tcW w:w="220" w:type="dxa"/>
            <w:vAlign w:val="bottom"/>
            <w:tcBorders>
              <w:bottom w:val="single" w:sz="8" w:color="CFF0FC"/>
            </w:tcBorders>
          </w:tcPr>
          <w:p>
            <w:pPr>
              <w:jc w:val="right"/>
              <w:ind w:right="141"/>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CFF0FC"/>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(20,423</w:t>
            </w:r>
          </w:p>
        </w:tc>
        <w:tc>
          <w:tcPr>
            <w:tcW w:w="80" w:type="dxa"/>
            <w:vAlign w:val="bottom"/>
            <w:tcBorders>
              <w:bottom w:val="single" w:sz="8" w:color="CFF0FC"/>
            </w:tcBorders>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65"/>
        </w:trPr>
        <w:tc>
          <w:tcPr>
            <w:tcW w:w="3840" w:type="dxa"/>
            <w:vAlign w:val="bottom"/>
            <w:shd w:val="clear" w:color="auto" w:fill="CFF0FC"/>
          </w:tcPr>
          <w:p>
            <w:pPr>
              <w:spacing w:after="0" w:line="165" w:lineRule="exact"/>
              <w:rPr>
                <w:sz w:val="20"/>
                <w:szCs w:val="20"/>
                <w:color w:val="auto"/>
              </w:rPr>
            </w:pPr>
            <w:r>
              <w:rPr>
                <w:rFonts w:ascii="Arial" w:cs="Arial" w:eastAsia="Arial" w:hAnsi="Arial"/>
                <w:sz w:val="16"/>
                <w:szCs w:val="16"/>
                <w:color w:val="auto"/>
              </w:rPr>
              <w:t>Net loss per share attributable to common</w:t>
            </w:r>
          </w:p>
        </w:tc>
        <w:tc>
          <w:tcPr>
            <w:tcW w:w="1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8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stockholders</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81"/>
              <w:spacing w:after="0"/>
              <w:rPr>
                <w:sz w:val="20"/>
                <w:szCs w:val="20"/>
                <w:color w:val="auto"/>
              </w:rPr>
            </w:pPr>
            <w:r>
              <w:rPr>
                <w:rFonts w:ascii="Arial" w:cs="Arial" w:eastAsia="Arial" w:hAnsi="Arial"/>
                <w:sz w:val="16"/>
                <w:szCs w:val="16"/>
                <w:color w:val="auto"/>
              </w:rPr>
              <w:t>(19,142)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(17,062)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41"/>
              <w:spacing w:after="0"/>
              <w:rPr>
                <w:sz w:val="20"/>
                <w:szCs w:val="20"/>
                <w:color w:val="auto"/>
              </w:rPr>
            </w:pPr>
            <w:r>
              <w:rPr>
                <w:rFonts w:ascii="Arial" w:cs="Arial" w:eastAsia="Arial" w:hAnsi="Arial"/>
                <w:sz w:val="16"/>
                <w:szCs w:val="16"/>
                <w:color w:val="auto"/>
              </w:rPr>
              <w:t>(20,437)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
              <w:spacing w:after="0"/>
              <w:rPr>
                <w:sz w:val="20"/>
                <w:szCs w:val="20"/>
                <w:color w:val="auto"/>
              </w:rPr>
            </w:pPr>
            <w:r>
              <w:rPr>
                <w:rFonts w:ascii="Arial" w:cs="Arial" w:eastAsia="Arial" w:hAnsi="Arial"/>
                <w:sz w:val="16"/>
                <w:szCs w:val="16"/>
                <w:color w:val="auto"/>
              </w:rPr>
              <w:t>(20,423)</w:t>
            </w: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loss per share attributable to common</w:t>
            </w:r>
          </w:p>
        </w:tc>
        <w:tc>
          <w:tcPr>
            <w:tcW w:w="17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4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840" w:type="dxa"/>
            <w:vAlign w:val="bottom"/>
          </w:tcPr>
          <w:p>
            <w:pPr>
              <w:ind w:left="120"/>
              <w:spacing w:after="0"/>
              <w:rPr>
                <w:sz w:val="20"/>
                <w:szCs w:val="20"/>
                <w:color w:val="auto"/>
              </w:rPr>
            </w:pPr>
            <w:r>
              <w:rPr>
                <w:rFonts w:ascii="Arial" w:cs="Arial" w:eastAsia="Arial" w:hAnsi="Arial"/>
                <w:sz w:val="16"/>
                <w:szCs w:val="16"/>
                <w:color w:val="auto"/>
              </w:rPr>
              <w:t>stockholders—basic and diluted</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1"/>
              <w:spacing w:after="0"/>
              <w:rPr>
                <w:sz w:val="20"/>
                <w:szCs w:val="20"/>
                <w:color w:val="auto"/>
              </w:rPr>
            </w:pPr>
            <w:r>
              <w:rPr>
                <w:rFonts w:ascii="Arial" w:cs="Arial" w:eastAsia="Arial" w:hAnsi="Arial"/>
                <w:sz w:val="16"/>
                <w:szCs w:val="16"/>
                <w:color w:val="auto"/>
              </w:rPr>
              <w:t>(0.56)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(0.42)</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1"/>
              <w:spacing w:after="0"/>
              <w:rPr>
                <w:sz w:val="20"/>
                <w:szCs w:val="20"/>
                <w:color w:val="auto"/>
              </w:rPr>
            </w:pPr>
            <w:r>
              <w:rPr>
                <w:rFonts w:ascii="Arial" w:cs="Arial" w:eastAsia="Arial" w:hAnsi="Arial"/>
                <w:sz w:val="16"/>
                <w:szCs w:val="16"/>
                <w:color w:val="auto"/>
              </w:rPr>
              <w:t>(0.46)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177"/>
        </w:trPr>
        <w:tc>
          <w:tcPr>
            <w:tcW w:w="3840" w:type="dxa"/>
            <w:vAlign w:val="bottom"/>
            <w:tcBorders>
              <w:top w:val="single" w:sz="8" w:color="CFF0FC"/>
              <w:bottom w:val="single" w:sz="8" w:color="CFF0FC"/>
            </w:tcBorders>
            <w:shd w:val="clear" w:color="auto" w:fill="CFF0FC"/>
          </w:tcPr>
          <w:p>
            <w:pPr>
              <w:spacing w:after="0" w:line="176" w:lineRule="exact"/>
              <w:rPr>
                <w:sz w:val="20"/>
                <w:szCs w:val="20"/>
                <w:color w:val="auto"/>
              </w:rPr>
            </w:pPr>
            <w:r>
              <w:rPr>
                <w:rFonts w:ascii="Arial" w:cs="Arial" w:eastAsia="Arial" w:hAnsi="Arial"/>
                <w:sz w:val="16"/>
                <w:szCs w:val="16"/>
                <w:color w:val="auto"/>
              </w:rPr>
              <w:t>Weighted-average shares--basic and diluted</w:t>
            </w:r>
          </w:p>
        </w:tc>
        <w:tc>
          <w:tcPr>
            <w:tcW w:w="178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w w:val="87"/>
              </w:rPr>
              <w:t>34,328,640</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w w:val="87"/>
              </w:rPr>
              <w:t>40,609,205</w:t>
            </w: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3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w w:val="87"/>
              </w:rPr>
              <w:t>44,156,808</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w w:val="87"/>
              </w:rPr>
              <w:t>46,054,850</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3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center"/>
              <w:ind w:right="281"/>
              <w:spacing w:after="0"/>
              <w:rPr>
                <w:sz w:val="20"/>
                <w:szCs w:val="20"/>
                <w:color w:val="auto"/>
              </w:rPr>
            </w:pPr>
            <w:r>
              <w:rPr>
                <w:rFonts w:ascii="Arial" w:cs="Arial" w:eastAsia="Arial" w:hAnsi="Arial"/>
                <w:sz w:val="13"/>
                <w:szCs w:val="13"/>
                <w:b w:val="1"/>
                <w:bCs w:val="1"/>
                <w:color w:val="auto"/>
                <w:w w:val="90"/>
              </w:rPr>
              <w:t>Three Months Ended</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840" w:type="dxa"/>
            <w:vAlign w:val="bottom"/>
            <w:vMerge w:val="restart"/>
          </w:tcPr>
          <w:p>
            <w:pPr>
              <w:spacing w:after="0"/>
              <w:rPr>
                <w:sz w:val="20"/>
                <w:szCs w:val="20"/>
                <w:color w:val="auto"/>
              </w:rPr>
            </w:pPr>
            <w:r>
              <w:rPr>
                <w:rFonts w:ascii="Arial" w:cs="Arial" w:eastAsia="Arial" w:hAnsi="Arial"/>
                <w:sz w:val="13"/>
                <w:szCs w:val="13"/>
                <w:i w:val="1"/>
                <w:iCs w:val="1"/>
                <w:color w:val="auto"/>
              </w:rPr>
              <w:t>In thousands, except per share data</w:t>
            </w:r>
          </w:p>
        </w:tc>
        <w:tc>
          <w:tcPr>
            <w:tcW w:w="1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center"/>
              <w:ind w:right="7"/>
              <w:spacing w:after="0" w:line="134" w:lineRule="exact"/>
              <w:rPr>
                <w:sz w:val="20"/>
                <w:szCs w:val="20"/>
                <w:color w:val="auto"/>
              </w:rPr>
            </w:pPr>
            <w:r>
              <w:rPr>
                <w:rFonts w:ascii="Arial" w:cs="Arial" w:eastAsia="Arial" w:hAnsi="Arial"/>
                <w:sz w:val="13"/>
                <w:szCs w:val="13"/>
                <w:b w:val="1"/>
                <w:bCs w:val="1"/>
                <w:color w:val="auto"/>
                <w:w w:val="82"/>
              </w:rPr>
              <w:t>2019</w:t>
            </w: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840" w:type="dxa"/>
            <w:vAlign w:val="bottom"/>
            <w:vMerge w:val="continue"/>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301"/>
              <w:spacing w:after="0" w:line="134" w:lineRule="exact"/>
              <w:rPr>
                <w:sz w:val="20"/>
                <w:szCs w:val="20"/>
                <w:color w:val="auto"/>
              </w:rPr>
            </w:pPr>
            <w:r>
              <w:rPr>
                <w:rFonts w:ascii="Arial" w:cs="Arial" w:eastAsia="Arial" w:hAnsi="Arial"/>
                <w:sz w:val="13"/>
                <w:szCs w:val="13"/>
                <w:b w:val="1"/>
                <w:bCs w:val="1"/>
                <w:color w:val="auto"/>
                <w:w w:val="95"/>
              </w:rPr>
              <w:t>March 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81"/>
              <w:spacing w:after="0" w:line="134"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1"/>
                <w:szCs w:val="11"/>
                <w:color w:val="auto"/>
              </w:rPr>
            </w:pPr>
          </w:p>
        </w:tc>
        <w:tc>
          <w:tcPr>
            <w:tcW w:w="1040" w:type="dxa"/>
            <w:vAlign w:val="bottom"/>
            <w:gridSpan w:val="3"/>
          </w:tcPr>
          <w:p>
            <w:pPr>
              <w:jc w:val="right"/>
              <w:ind w:right="241"/>
              <w:spacing w:after="0" w:line="134" w:lineRule="exact"/>
              <w:rPr>
                <w:sz w:val="20"/>
                <w:szCs w:val="20"/>
                <w:color w:val="auto"/>
              </w:rPr>
            </w:pPr>
            <w:r>
              <w:rPr>
                <w:rFonts w:ascii="Arial" w:cs="Arial" w:eastAsia="Arial" w:hAnsi="Arial"/>
                <w:sz w:val="13"/>
                <w:szCs w:val="13"/>
                <w:b w:val="1"/>
                <w:bCs w:val="1"/>
                <w:color w:val="auto"/>
                <w:w w:val="86"/>
              </w:rPr>
              <w:t>September 30</w:t>
            </w:r>
          </w:p>
        </w:tc>
        <w:tc>
          <w:tcPr>
            <w:tcW w:w="160" w:type="dxa"/>
            <w:vAlign w:val="bottom"/>
          </w:tcPr>
          <w:p>
            <w:pPr>
              <w:spacing w:after="0"/>
              <w:rPr>
                <w:sz w:val="11"/>
                <w:szCs w:val="11"/>
                <w:color w:val="auto"/>
              </w:rPr>
            </w:pPr>
          </w:p>
        </w:tc>
        <w:tc>
          <w:tcPr>
            <w:tcW w:w="820" w:type="dxa"/>
            <w:vAlign w:val="bottom"/>
            <w:gridSpan w:val="2"/>
          </w:tcPr>
          <w:p>
            <w:pPr>
              <w:jc w:val="right"/>
              <w:ind w:right="1"/>
              <w:spacing w:after="0" w:line="134" w:lineRule="exact"/>
              <w:rPr>
                <w:sz w:val="20"/>
                <w:szCs w:val="20"/>
                <w:color w:val="auto"/>
              </w:rPr>
            </w:pPr>
            <w:r>
              <w:rPr>
                <w:rFonts w:ascii="Arial" w:cs="Arial" w:eastAsia="Arial" w:hAnsi="Arial"/>
                <w:sz w:val="13"/>
                <w:szCs w:val="13"/>
                <w:b w:val="1"/>
                <w:bCs w:val="1"/>
                <w:color w:val="auto"/>
                <w:w w:val="88"/>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License fees</w:t>
            </w:r>
          </w:p>
        </w:tc>
        <w:tc>
          <w:tcPr>
            <w:tcW w:w="1780" w:type="dxa"/>
            <w:vAlign w:val="bottom"/>
            <w:tcBorders>
              <w:bottom w:val="single" w:sz="8" w:color="CFF0FC"/>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22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60" w:type="dxa"/>
            <w:vAlign w:val="bottom"/>
            <w:tcBorders>
              <w:bottom w:val="single" w:sz="8" w:color="CFF0FC"/>
            </w:tcBorders>
          </w:tcPr>
          <w:p>
            <w:pPr>
              <w:spacing w:after="0"/>
              <w:rPr>
                <w:sz w:val="16"/>
                <w:szCs w:val="16"/>
                <w:color w:val="auto"/>
              </w:rPr>
            </w:pPr>
          </w:p>
        </w:tc>
        <w:tc>
          <w:tcPr>
            <w:tcW w:w="320" w:type="dxa"/>
            <w:vAlign w:val="bottom"/>
            <w:tcBorders>
              <w:bottom w:val="single" w:sz="8" w:color="CFF0FC"/>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22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4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11,279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12,290</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9,923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9,502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General and administrative</w:t>
            </w:r>
          </w:p>
        </w:tc>
        <w:tc>
          <w:tcPr>
            <w:tcW w:w="17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3,463</w:t>
            </w:r>
          </w:p>
        </w:tc>
        <w:tc>
          <w:tcPr>
            <w:tcW w:w="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5,083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178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15,190</w:t>
            </w:r>
          </w:p>
        </w:tc>
        <w:tc>
          <w:tcPr>
            <w:tcW w:w="22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15,753</w:t>
            </w:r>
          </w:p>
        </w:tc>
        <w:tc>
          <w:tcPr>
            <w:tcW w:w="60" w:type="dxa"/>
            <w:vAlign w:val="bottom"/>
            <w:tcBorders>
              <w:bottom w:val="single" w:sz="8" w:color="CFF0FC"/>
            </w:tcBorders>
          </w:tcPr>
          <w:p>
            <w:pPr>
              <w:spacing w:after="0"/>
              <w:rPr>
                <w:sz w:val="16"/>
                <w:szCs w:val="16"/>
                <w:color w:val="auto"/>
              </w:rPr>
            </w:pPr>
          </w:p>
        </w:tc>
        <w:tc>
          <w:tcPr>
            <w:tcW w:w="32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13,528</w:t>
            </w:r>
          </w:p>
        </w:tc>
        <w:tc>
          <w:tcPr>
            <w:tcW w:w="22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14,585</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1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(14,811)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(15,374)</w:t>
            </w: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(13,149)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(14,205)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w:t>
            </w:r>
          </w:p>
        </w:tc>
        <w:tc>
          <w:tcPr>
            <w:tcW w:w="17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6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w:t>
            </w:r>
          </w:p>
        </w:tc>
        <w:tc>
          <w:tcPr>
            <w:tcW w:w="17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(14,302</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(14,916</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(12,829</w:t>
            </w:r>
          </w:p>
        </w:tc>
        <w:tc>
          <w:tcPr>
            <w:tcW w:w="22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6"/>
                <w:szCs w:val="16"/>
                <w:color w:val="auto"/>
              </w:rPr>
              <w:t>Net loss per share attributable to common</w:t>
            </w: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4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840" w:type="dxa"/>
            <w:vAlign w:val="bottom"/>
          </w:tcPr>
          <w:p>
            <w:pPr>
              <w:ind w:left="120"/>
              <w:spacing w:after="0"/>
              <w:rPr>
                <w:sz w:val="20"/>
                <w:szCs w:val="20"/>
                <w:color w:val="auto"/>
              </w:rPr>
            </w:pPr>
            <w:r>
              <w:rPr>
                <w:rFonts w:ascii="Arial" w:cs="Arial" w:eastAsia="Arial" w:hAnsi="Arial"/>
                <w:sz w:val="16"/>
                <w:szCs w:val="16"/>
                <w:color w:val="auto"/>
              </w:rPr>
              <w:t>stockholders—basic and diluted</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1"/>
              <w:spacing w:after="0"/>
              <w:rPr>
                <w:sz w:val="20"/>
                <w:szCs w:val="20"/>
                <w:color w:val="auto"/>
              </w:rPr>
            </w:pPr>
            <w:r>
              <w:rPr>
                <w:rFonts w:ascii="Arial" w:cs="Arial" w:eastAsia="Arial" w:hAnsi="Arial"/>
                <w:sz w:val="16"/>
                <w:szCs w:val="16"/>
                <w:color w:val="auto"/>
              </w:rPr>
              <w:t>(0.53)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(0.47)</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1"/>
              <w:spacing w:after="0"/>
              <w:rPr>
                <w:sz w:val="20"/>
                <w:szCs w:val="20"/>
                <w:color w:val="auto"/>
              </w:rPr>
            </w:pPr>
            <w:r>
              <w:rPr>
                <w:rFonts w:ascii="Arial" w:cs="Arial" w:eastAsia="Arial" w:hAnsi="Arial"/>
                <w:sz w:val="16"/>
                <w:szCs w:val="16"/>
                <w:color w:val="auto"/>
              </w:rPr>
              <w:t>(0.41)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177"/>
        </w:trPr>
        <w:tc>
          <w:tcPr>
            <w:tcW w:w="3840" w:type="dxa"/>
            <w:vAlign w:val="bottom"/>
            <w:tcBorders>
              <w:top w:val="single" w:sz="8" w:color="CFF0FC"/>
              <w:bottom w:val="single" w:sz="8" w:color="CFF0FC"/>
            </w:tcBorders>
            <w:shd w:val="clear" w:color="auto" w:fill="CFF0FC"/>
          </w:tcPr>
          <w:p>
            <w:pPr>
              <w:spacing w:after="0" w:line="176" w:lineRule="exact"/>
              <w:rPr>
                <w:sz w:val="20"/>
                <w:szCs w:val="20"/>
                <w:color w:val="auto"/>
              </w:rPr>
            </w:pPr>
            <w:r>
              <w:rPr>
                <w:rFonts w:ascii="Arial" w:cs="Arial" w:eastAsia="Arial" w:hAnsi="Arial"/>
                <w:sz w:val="16"/>
                <w:szCs w:val="16"/>
                <w:color w:val="auto"/>
              </w:rPr>
              <w:t>Weighted-average shares--basic and diluted</w:t>
            </w:r>
          </w:p>
        </w:tc>
        <w:tc>
          <w:tcPr>
            <w:tcW w:w="178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w w:val="87"/>
              </w:rPr>
              <w:t>27,023,466</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w w:val="87"/>
              </w:rPr>
              <w:t>31,605,279</w:t>
            </w: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3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w w:val="87"/>
              </w:rPr>
              <w:t>31,630,639</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w w:val="87"/>
              </w:rPr>
              <w:t>31,640,484</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6"/>
        </w:trPr>
        <w:tc>
          <w:tcPr>
            <w:tcW w:w="3840" w:type="dxa"/>
            <w:vAlign w:val="bottom"/>
          </w:tcPr>
          <w:p>
            <w:pPr>
              <w:spacing w:after="0"/>
              <w:rPr>
                <w:sz w:val="24"/>
                <w:szCs w:val="24"/>
                <w:color w:val="auto"/>
              </w:rPr>
            </w:pPr>
          </w:p>
        </w:tc>
        <w:tc>
          <w:tcPr>
            <w:tcW w:w="1880" w:type="dxa"/>
            <w:vAlign w:val="bottom"/>
            <w:gridSpan w:val="2"/>
          </w:tcPr>
          <w:p>
            <w:pPr>
              <w:jc w:val="right"/>
              <w:ind w:right="427"/>
              <w:spacing w:after="0"/>
              <w:rPr>
                <w:sz w:val="20"/>
                <w:szCs w:val="20"/>
                <w:color w:val="auto"/>
              </w:rPr>
            </w:pPr>
            <w:r>
              <w:rPr>
                <w:rFonts w:ascii="Arial" w:cs="Arial" w:eastAsia="Arial" w:hAnsi="Arial"/>
                <w:sz w:val="16"/>
                <w:szCs w:val="16"/>
                <w:color w:val="auto"/>
              </w:rPr>
              <w:t>F-30</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312" w:right="359" w:bottom="1440"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b w:val="1"/>
          <w:bCs w:val="1"/>
          <w:color w:val="auto"/>
        </w:rPr>
        <w:t>EXHIBIT 10.14</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SYNDAX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2015 OMNIBUS INCENTIVE PLAN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UNIT AGREEMENT – DEFERRED SETTLEMENT</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Syndax Pharmaceuticals,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hereby grants Stock Units denominated in shares of its common stock, par value $0.0001 per share (this “</w:t>
      </w:r>
      <w:r>
        <w:rPr>
          <w:rFonts w:ascii="Arial" w:cs="Arial" w:eastAsia="Arial" w:hAnsi="Arial"/>
          <w:sz w:val="15"/>
          <w:szCs w:val="15"/>
          <w:b w:val="1"/>
          <w:bCs w:val="1"/>
          <w:color w:val="auto"/>
        </w:rPr>
        <w:t>Award</w:t>
      </w:r>
      <w:r>
        <w:rPr>
          <w:rFonts w:ascii="Arial" w:cs="Arial" w:eastAsia="Arial" w:hAnsi="Arial"/>
          <w:sz w:val="15"/>
          <w:szCs w:val="15"/>
          <w:color w:val="auto"/>
        </w:rPr>
        <w:t>”), to the Grantee named below, subject to the vesting and other conditions set forth below. Additional terms and conditions of the grant are set forth in this cover sheet and in the attachment (collectively, the “</w:t>
      </w:r>
      <w:r>
        <w:rPr>
          <w:rFonts w:ascii="Arial" w:cs="Arial" w:eastAsia="Arial" w:hAnsi="Arial"/>
          <w:sz w:val="15"/>
          <w:szCs w:val="15"/>
          <w:b w:val="1"/>
          <w:bCs w:val="1"/>
          <w:color w:val="auto"/>
        </w:rPr>
        <w:t>Agreement</w:t>
      </w:r>
      <w:r>
        <w:rPr>
          <w:rFonts w:ascii="Arial" w:cs="Arial" w:eastAsia="Arial" w:hAnsi="Arial"/>
          <w:sz w:val="15"/>
          <w:szCs w:val="15"/>
          <w:color w:val="auto"/>
        </w:rPr>
        <w:t>”), and in the Company’s 2015 Omnibus Incentive Plan (as amended from time to time, the “</w:t>
      </w:r>
      <w:r>
        <w:rPr>
          <w:rFonts w:ascii="Arial" w:cs="Arial" w:eastAsia="Arial" w:hAnsi="Arial"/>
          <w:sz w:val="15"/>
          <w:szCs w:val="15"/>
          <w:b w:val="1"/>
          <w:bCs w:val="1"/>
          <w:color w:val="auto"/>
        </w:rPr>
        <w:t>Plan</w:t>
      </w:r>
      <w:r>
        <w:rPr>
          <w:rFonts w:ascii="Arial" w:cs="Arial" w:eastAsia="Arial" w:hAnsi="Arial"/>
          <w:sz w:val="15"/>
          <w:szCs w:val="15"/>
          <w:color w:val="auto"/>
        </w:rPr>
        <w:t>”).</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Arial" w:cs="Arial" w:eastAsia="Arial" w:hAnsi="Arial"/>
                <w:sz w:val="16"/>
                <w:szCs w:val="16"/>
                <w:color w:val="auto"/>
              </w:rPr>
              <w:t>Name of Grantee:</w:t>
            </w:r>
          </w:p>
        </w:tc>
        <w:tc>
          <w:tcPr>
            <w:tcW w:w="2780" w:type="dxa"/>
            <w:vAlign w:val="bottom"/>
          </w:tcPr>
          <w:p>
            <w:pPr>
              <w:jc w:val="right"/>
              <w:spacing w:after="0"/>
              <w:rPr>
                <w:sz w:val="20"/>
                <w:szCs w:val="20"/>
                <w:color w:val="auto"/>
              </w:rPr>
            </w:pPr>
            <w:r>
              <w:rPr>
                <w:rFonts w:ascii="Arial" w:cs="Arial" w:eastAsia="Arial" w:hAnsi="Arial"/>
                <w:sz w:val="17"/>
                <w:szCs w:val="17"/>
                <w:color w:val="auto"/>
              </w:rPr>
              <w:t>________________________</w:t>
            </w:r>
          </w:p>
        </w:tc>
      </w:tr>
      <w:tr>
        <w:trPr>
          <w:trHeight w:val="391"/>
        </w:trPr>
        <w:tc>
          <w:tcPr>
            <w:tcW w:w="2220" w:type="dxa"/>
            <w:vAlign w:val="bottom"/>
          </w:tcPr>
          <w:p>
            <w:pPr>
              <w:spacing w:after="0"/>
              <w:rPr>
                <w:sz w:val="20"/>
                <w:szCs w:val="20"/>
                <w:color w:val="auto"/>
              </w:rPr>
            </w:pPr>
            <w:r>
              <w:rPr>
                <w:rFonts w:ascii="Arial" w:cs="Arial" w:eastAsia="Arial" w:hAnsi="Arial"/>
                <w:sz w:val="16"/>
                <w:szCs w:val="16"/>
                <w:color w:val="auto"/>
              </w:rPr>
              <w:t>Number of Stock Units:</w:t>
            </w:r>
          </w:p>
        </w:tc>
        <w:tc>
          <w:tcPr>
            <w:tcW w:w="2780" w:type="dxa"/>
            <w:vAlign w:val="bottom"/>
          </w:tcPr>
          <w:p>
            <w:pPr>
              <w:jc w:val="right"/>
              <w:spacing w:after="0"/>
              <w:rPr>
                <w:sz w:val="20"/>
                <w:szCs w:val="20"/>
                <w:color w:val="auto"/>
              </w:rPr>
            </w:pPr>
            <w:r>
              <w:rPr>
                <w:rFonts w:ascii="Arial" w:cs="Arial" w:eastAsia="Arial" w:hAnsi="Arial"/>
                <w:sz w:val="17"/>
                <w:szCs w:val="17"/>
                <w:color w:val="auto"/>
              </w:rPr>
              <w:t>________________________</w:t>
            </w:r>
          </w:p>
        </w:tc>
      </w:tr>
      <w:tr>
        <w:trPr>
          <w:trHeight w:val="414"/>
        </w:trPr>
        <w:tc>
          <w:tcPr>
            <w:tcW w:w="2220" w:type="dxa"/>
            <w:vAlign w:val="bottom"/>
          </w:tcPr>
          <w:p>
            <w:pPr>
              <w:spacing w:after="0"/>
              <w:rPr>
                <w:sz w:val="20"/>
                <w:szCs w:val="20"/>
                <w:color w:val="auto"/>
              </w:rPr>
            </w:pPr>
            <w:r>
              <w:rPr>
                <w:rFonts w:ascii="Arial" w:cs="Arial" w:eastAsia="Arial" w:hAnsi="Arial"/>
                <w:sz w:val="16"/>
                <w:szCs w:val="16"/>
                <w:color w:val="auto"/>
              </w:rPr>
              <w:t>Grant Date:</w:t>
            </w:r>
          </w:p>
        </w:tc>
        <w:tc>
          <w:tcPr>
            <w:tcW w:w="2780" w:type="dxa"/>
            <w:vAlign w:val="bottom"/>
          </w:tcPr>
          <w:p>
            <w:pPr>
              <w:jc w:val="right"/>
              <w:spacing w:after="0"/>
              <w:rPr>
                <w:sz w:val="20"/>
                <w:szCs w:val="20"/>
                <w:color w:val="auto"/>
              </w:rPr>
            </w:pPr>
            <w:r>
              <w:rPr>
                <w:rFonts w:ascii="Arial" w:cs="Arial" w:eastAsia="Arial" w:hAnsi="Arial"/>
                <w:sz w:val="17"/>
                <w:szCs w:val="17"/>
                <w:color w:val="auto"/>
              </w:rPr>
              <w:t>________________________</w:t>
            </w:r>
          </w:p>
        </w:tc>
      </w:tr>
      <w:tr>
        <w:trPr>
          <w:trHeight w:val="414"/>
        </w:trPr>
        <w:tc>
          <w:tcPr>
            <w:tcW w:w="2220" w:type="dxa"/>
            <w:vAlign w:val="bottom"/>
          </w:tcPr>
          <w:p>
            <w:pPr>
              <w:spacing w:after="0"/>
              <w:rPr>
                <w:sz w:val="20"/>
                <w:szCs w:val="20"/>
                <w:color w:val="auto"/>
              </w:rPr>
            </w:pPr>
            <w:r>
              <w:rPr>
                <w:rFonts w:ascii="Arial" w:cs="Arial" w:eastAsia="Arial" w:hAnsi="Arial"/>
                <w:sz w:val="16"/>
                <w:szCs w:val="16"/>
                <w:color w:val="auto"/>
              </w:rPr>
              <w:t>Vesting Start Date:</w:t>
            </w:r>
          </w:p>
        </w:tc>
        <w:tc>
          <w:tcPr>
            <w:tcW w:w="2780" w:type="dxa"/>
            <w:vAlign w:val="bottom"/>
          </w:tcPr>
          <w:p>
            <w:pPr>
              <w:jc w:val="right"/>
              <w:spacing w:after="0"/>
              <w:rPr>
                <w:sz w:val="20"/>
                <w:szCs w:val="20"/>
                <w:color w:val="auto"/>
              </w:rPr>
            </w:pPr>
            <w:r>
              <w:rPr>
                <w:rFonts w:ascii="Arial" w:cs="Arial" w:eastAsia="Arial" w:hAnsi="Arial"/>
                <w:sz w:val="17"/>
                <w:szCs w:val="17"/>
                <w:color w:val="auto"/>
              </w:rPr>
              <w:t>________________________</w:t>
            </w:r>
          </w:p>
        </w:tc>
      </w:tr>
      <w:tr>
        <w:trPr>
          <w:trHeight w:val="373"/>
        </w:trPr>
        <w:tc>
          <w:tcPr>
            <w:tcW w:w="2220" w:type="dxa"/>
            <w:vAlign w:val="bottom"/>
          </w:tcPr>
          <w:p>
            <w:pPr>
              <w:spacing w:after="0"/>
              <w:rPr>
                <w:sz w:val="20"/>
                <w:szCs w:val="20"/>
                <w:color w:val="auto"/>
              </w:rPr>
            </w:pPr>
            <w:r>
              <w:rPr>
                <w:rFonts w:ascii="Arial" w:cs="Arial" w:eastAsia="Arial" w:hAnsi="Arial"/>
                <w:sz w:val="16"/>
                <w:szCs w:val="16"/>
                <w:color w:val="auto"/>
              </w:rPr>
              <w:t>Vesting Schedule:</w:t>
            </w:r>
          </w:p>
        </w:tc>
        <w:tc>
          <w:tcPr>
            <w:tcW w:w="2780" w:type="dxa"/>
            <w:vAlign w:val="bottom"/>
          </w:tcPr>
          <w:p>
            <w:pPr>
              <w:spacing w:after="0"/>
              <w:rPr>
                <w:sz w:val="24"/>
                <w:szCs w:val="24"/>
                <w:color w:val="auto"/>
              </w:rPr>
            </w:pPr>
          </w:p>
        </w:tc>
      </w:tr>
    </w:tbl>
    <w:p>
      <w:pPr>
        <w:spacing w:after="0" w:line="178" w:lineRule="exact"/>
        <w:rPr>
          <w:sz w:val="20"/>
          <w:szCs w:val="20"/>
          <w:color w:val="auto"/>
        </w:rPr>
      </w:pPr>
    </w:p>
    <w:p>
      <w:pPr>
        <w:ind w:right="20"/>
        <w:spacing w:after="0" w:line="438" w:lineRule="auto"/>
        <w:rPr>
          <w:sz w:val="20"/>
          <w:szCs w:val="20"/>
          <w:color w:val="auto"/>
        </w:rPr>
      </w:pPr>
      <w:r>
        <w:rPr>
          <w:rFonts w:ascii="Arial" w:cs="Arial" w:eastAsia="Arial" w:hAnsi="Arial"/>
          <w:sz w:val="12"/>
          <w:szCs w:val="12"/>
          <w:b w:val="1"/>
          <w:bCs w:val="1"/>
          <w:i w:val="1"/>
          <w:iCs w:val="1"/>
          <w:color w:val="auto"/>
        </w:rPr>
        <w:t>By your signature below, you agree to all of the terms and conditions described in the Agreement and in the Plan, a copy of which is also attached. You acknowledge that you have carefully reviewed the Plan, and agree that the Plan will control in the event any provision of this or Agreement should appear to be inconsistent with the Plan.</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540" w:type="dxa"/>
            <w:vAlign w:val="bottom"/>
          </w:tcPr>
          <w:p>
            <w:pPr>
              <w:spacing w:after="0"/>
              <w:rPr>
                <w:sz w:val="20"/>
                <w:szCs w:val="20"/>
                <w:color w:val="auto"/>
              </w:rPr>
            </w:pPr>
            <w:r>
              <w:rPr>
                <w:rFonts w:ascii="Arial" w:cs="Arial" w:eastAsia="Arial" w:hAnsi="Arial"/>
                <w:sz w:val="16"/>
                <w:szCs w:val="16"/>
                <w:color w:val="auto"/>
              </w:rPr>
              <w:t>Grantee</w:t>
            </w:r>
          </w:p>
        </w:tc>
        <w:tc>
          <w:tcPr>
            <w:tcW w:w="34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Arial" w:cs="Arial" w:eastAsia="Arial" w:hAnsi="Arial"/>
                <w:sz w:val="16"/>
                <w:szCs w:val="16"/>
                <w:color w:val="auto"/>
                <w:w w:val="83"/>
              </w:rPr>
              <w:t>Date:</w:t>
            </w:r>
          </w:p>
        </w:tc>
      </w:tr>
      <w:tr>
        <w:trPr>
          <w:trHeight w:val="194"/>
        </w:trPr>
        <w:tc>
          <w:tcPr>
            <w:tcW w:w="154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(Signature)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556"/>
        </w:trPr>
        <w:tc>
          <w:tcPr>
            <w:tcW w:w="1540" w:type="dxa"/>
            <w:vAlign w:val="bottom"/>
          </w:tcPr>
          <w:p>
            <w:pPr>
              <w:spacing w:after="0"/>
              <w:rPr>
                <w:sz w:val="20"/>
                <w:szCs w:val="20"/>
                <w:color w:val="auto"/>
              </w:rPr>
            </w:pPr>
            <w:r>
              <w:rPr>
                <w:rFonts w:ascii="Arial" w:cs="Arial" w:eastAsia="Arial" w:hAnsi="Arial"/>
                <w:sz w:val="16"/>
                <w:szCs w:val="16"/>
                <w:color w:val="auto"/>
              </w:rPr>
              <w:t>Company:</w:t>
            </w:r>
          </w:p>
        </w:tc>
        <w:tc>
          <w:tcPr>
            <w:tcW w:w="3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6"/>
                <w:szCs w:val="16"/>
                <w:color w:val="auto"/>
                <w:w w:val="83"/>
              </w:rPr>
              <w:t>Date:</w:t>
            </w:r>
          </w:p>
        </w:tc>
      </w:tr>
      <w:tr>
        <w:trPr>
          <w:trHeight w:val="194"/>
        </w:trPr>
        <w:tc>
          <w:tcPr>
            <w:tcW w:w="1540" w:type="dxa"/>
            <w:vAlign w:val="bottom"/>
          </w:tcPr>
          <w:p>
            <w:pPr>
              <w:spacing w:after="0"/>
              <w:rPr>
                <w:sz w:val="16"/>
                <w:szCs w:val="16"/>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(Signature)</w:t>
            </w:r>
          </w:p>
        </w:tc>
        <w:tc>
          <w:tcPr>
            <w:tcW w:w="6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-622935</wp:posOffset>
            </wp:positionV>
            <wp:extent cx="217233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3">
                      <a:extLst>
                        <a:ext uri="{28A0092B-C50C-407E-A947-70E740481C1C}"/>
                      </a:extLst>
                    </a:blip>
                    <a:srcRect/>
                    <a:stretch>
                      <a:fillRect/>
                    </a:stretch>
                  </pic:blipFill>
                  <pic:spPr bwMode="auto">
                    <a:xfrm>
                      <a:off x="0" y="0"/>
                      <a:ext cx="2172335" cy="762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-133985</wp:posOffset>
            </wp:positionV>
            <wp:extent cx="217233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4">
                      <a:extLst>
                        <a:ext uri="{28A0092B-C50C-407E-A947-70E740481C1C}"/>
                      </a:extLst>
                    </a:blip>
                    <a:srcRect/>
                    <a:stretch>
                      <a:fillRect/>
                    </a:stretch>
                  </pic:blipFill>
                  <pic:spPr bwMode="auto">
                    <a:xfrm>
                      <a:off x="0" y="0"/>
                      <a:ext cx="21723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11430</wp:posOffset>
            </wp:positionV>
            <wp:extent cx="223266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5">
                      <a:extLst>
                        <a:ext uri="{28A0092B-C50C-407E-A947-70E740481C1C}"/>
                      </a:extLst>
                    </a:blip>
                    <a:srcRect/>
                    <a:stretch>
                      <a:fillRect/>
                    </a:stretch>
                  </pic:blipFill>
                  <pic:spPr bwMode="auto">
                    <a:xfrm>
                      <a:off x="0" y="0"/>
                      <a:ext cx="22326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11430</wp:posOffset>
            </wp:positionV>
            <wp:extent cx="223266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6">
                      <a:extLst>
                        <a:ext uri="{28A0092B-C50C-407E-A947-70E740481C1C}"/>
                      </a:extLst>
                    </a:blip>
                    <a:srcRect/>
                    <a:stretch>
                      <a:fillRect/>
                    </a:stretch>
                  </pic:blipFill>
                  <pic:spPr bwMode="auto">
                    <a:xfrm>
                      <a:off x="0" y="0"/>
                      <a:ext cx="2232660" cy="7620"/>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i w:val="1"/>
          <w:iCs w:val="1"/>
          <w:u w:val="single" w:color="auto"/>
          <w:color w:val="auto"/>
        </w:rPr>
        <w:t>Attachment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This is not a share certificate or a negotiable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898525</wp:posOffset>
            </wp:positionV>
            <wp:extent cx="716407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7">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5" w:name="page116"/>
    <w:bookmarkEnd w:id="115"/>
    <w:p>
      <w:pPr>
        <w:jc w:val="center"/>
        <w:ind w:right="80"/>
        <w:spacing w:after="0"/>
        <w:rPr>
          <w:sz w:val="20"/>
          <w:szCs w:val="20"/>
          <w:color w:val="auto"/>
        </w:rPr>
      </w:pPr>
      <w:r>
        <w:rPr>
          <w:rFonts w:ascii="Arial" w:cs="Arial" w:eastAsia="Arial" w:hAnsi="Arial"/>
          <w:sz w:val="16"/>
          <w:szCs w:val="16"/>
          <w:b w:val="1"/>
          <w:bCs w:val="1"/>
          <w:color w:val="auto"/>
        </w:rPr>
        <w:t>SYNDAX PHARMACEUTICALS, INC.</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2015 OMNIBUS INCENTIVE PLAN</w:t>
      </w: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FORM OF STOCK UNIT AGREEMENT</w:t>
      </w:r>
    </w:p>
    <w:p>
      <w:pPr>
        <w:spacing w:after="0" w:line="396" w:lineRule="exact"/>
        <w:rPr>
          <w:sz w:val="20"/>
          <w:szCs w:val="20"/>
          <w:color w:val="auto"/>
        </w:rPr>
      </w:pPr>
    </w:p>
    <w:p>
      <w:pPr>
        <w:spacing w:after="0"/>
        <w:tabs>
          <w:tab w:leader="none" w:pos="5220" w:val="left"/>
        </w:tabs>
        <w:rPr>
          <w:sz w:val="20"/>
          <w:szCs w:val="20"/>
          <w:color w:val="auto"/>
        </w:rPr>
      </w:pPr>
      <w:r>
        <w:rPr>
          <w:rFonts w:ascii="Arial" w:cs="Arial" w:eastAsia="Arial" w:hAnsi="Arial"/>
          <w:sz w:val="16"/>
          <w:szCs w:val="16"/>
          <w:b w:val="1"/>
          <w:bCs w:val="1"/>
          <w:color w:val="auto"/>
        </w:rPr>
        <w:t>Stock Units</w:t>
      </w:r>
      <w:r>
        <w:rPr>
          <w:sz w:val="20"/>
          <w:szCs w:val="20"/>
          <w:color w:val="auto"/>
        </w:rPr>
        <w:tab/>
      </w:r>
      <w:r>
        <w:rPr>
          <w:rFonts w:ascii="Arial" w:cs="Arial" w:eastAsia="Arial" w:hAnsi="Arial"/>
          <w:sz w:val="14"/>
          <w:szCs w:val="14"/>
          <w:color w:val="auto"/>
        </w:rPr>
        <w:t>This Agreement evidences an award of stock units for Shares in the number set forth on the cov</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vesting and other conditions set forth in the Agreement and in the Plan (the “</w:t>
      </w:r>
      <w:r>
        <w:rPr>
          <w:rFonts w:ascii="Arial" w:cs="Arial" w:eastAsia="Arial" w:hAnsi="Arial"/>
          <w:sz w:val="15"/>
          <w:szCs w:val="15"/>
          <w:b w:val="1"/>
          <w:bCs w:val="1"/>
          <w:color w:val="auto"/>
        </w:rPr>
        <w:t>Stock Units</w:t>
      </w:r>
      <w:r>
        <w:rPr>
          <w:rFonts w:ascii="Arial" w:cs="Arial" w:eastAsia="Arial" w:hAnsi="Arial"/>
          <w:sz w:val="15"/>
          <w:szCs w:val="15"/>
          <w:color w:val="auto"/>
        </w:rPr>
        <w:t>”).</w:t>
      </w:r>
    </w:p>
    <w:p>
      <w:pPr>
        <w:spacing w:after="0" w:line="85" w:lineRule="exact"/>
        <w:rPr>
          <w:sz w:val="20"/>
          <w:szCs w:val="20"/>
          <w:color w:val="auto"/>
        </w:rPr>
      </w:pPr>
    </w:p>
    <w:p>
      <w:pPr>
        <w:spacing w:after="0"/>
        <w:tabs>
          <w:tab w:leader="none" w:pos="5220" w:val="left"/>
        </w:tabs>
        <w:rPr>
          <w:sz w:val="20"/>
          <w:szCs w:val="20"/>
          <w:color w:val="auto"/>
        </w:rPr>
      </w:pPr>
      <w:r>
        <w:rPr>
          <w:rFonts w:ascii="Arial" w:cs="Arial" w:eastAsia="Arial" w:hAnsi="Arial"/>
          <w:sz w:val="16"/>
          <w:szCs w:val="16"/>
          <w:b w:val="1"/>
          <w:bCs w:val="1"/>
          <w:color w:val="auto"/>
        </w:rPr>
        <w:t>Transfer of Stock Units</w:t>
      </w:r>
      <w:r>
        <w:rPr>
          <w:sz w:val="20"/>
          <w:szCs w:val="20"/>
          <w:color w:val="auto"/>
        </w:rPr>
        <w:tab/>
      </w:r>
      <w:r>
        <w:rPr>
          <w:rFonts w:ascii="Arial" w:cs="Arial" w:eastAsia="Arial" w:hAnsi="Arial"/>
          <w:sz w:val="14"/>
          <w:szCs w:val="14"/>
          <w:color w:val="auto"/>
        </w:rPr>
        <w:t>The Stock Units may not be sold, assigned, transferred, pledged, hypothecated or otherwise</w:t>
      </w:r>
    </w:p>
    <w:p>
      <w:pPr>
        <w:spacing w:after="0" w:line="21" w:lineRule="exact"/>
        <w:rPr>
          <w:sz w:val="20"/>
          <w:szCs w:val="20"/>
          <w:color w:val="auto"/>
        </w:rPr>
      </w:pPr>
    </w:p>
    <w:p>
      <w:pPr>
        <w:ind w:left="5240"/>
        <w:spacing w:after="0" w:line="287" w:lineRule="auto"/>
        <w:rPr>
          <w:sz w:val="20"/>
          <w:szCs w:val="20"/>
          <w:color w:val="auto"/>
        </w:rPr>
      </w:pPr>
      <w:r>
        <w:rPr>
          <w:rFonts w:ascii="Arial" w:cs="Arial" w:eastAsia="Arial" w:hAnsi="Arial"/>
          <w:sz w:val="15"/>
          <w:szCs w:val="15"/>
          <w:color w:val="auto"/>
        </w:rPr>
        <w:t>operation of law or otherwise, nor may the Stock Units be made subject to execution, attachment attempt to do any of these things, this Award will immediately become forfeited.</w:t>
      </w:r>
    </w:p>
    <w:p>
      <w:pPr>
        <w:sectPr>
          <w:pgSz w:w="11900" w:h="16838" w:orient="portrait"/>
          <w:cols w:equalWidth="0" w:num="1">
            <w:col w:w="11340"/>
          </w:cols>
          <w:pgMar w:left="320" w:top="324" w:right="23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and Vesting of Stock Units; Issuance of Shares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Control</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both"/>
        <w:spacing w:after="0" w:line="341" w:lineRule="auto"/>
        <w:rPr>
          <w:sz w:val="20"/>
          <w:szCs w:val="20"/>
          <w:color w:val="auto"/>
        </w:rPr>
      </w:pPr>
      <w:r>
        <w:rPr>
          <w:rFonts w:ascii="Arial" w:cs="Arial" w:eastAsia="Arial" w:hAnsi="Arial"/>
          <w:sz w:val="14"/>
          <w:szCs w:val="14"/>
          <w:color w:val="auto"/>
        </w:rPr>
        <w:t>The Company will issue your Stock Units in the name set forth on the cover sheet. The Stock Un bookkeeping entries representing the right to receive one share of Stock upon vesting and settlem</w:t>
      </w:r>
    </w:p>
    <w:p>
      <w:pPr>
        <w:spacing w:after="0" w:line="75" w:lineRule="exact"/>
        <w:rPr>
          <w:sz w:val="20"/>
          <w:szCs w:val="20"/>
          <w:color w:val="auto"/>
        </w:rPr>
      </w:pPr>
    </w:p>
    <w:p>
      <w:pPr>
        <w:jc w:val="both"/>
        <w:spacing w:after="0" w:line="335" w:lineRule="auto"/>
        <w:rPr>
          <w:sz w:val="20"/>
          <w:szCs w:val="20"/>
          <w:color w:val="auto"/>
        </w:rPr>
      </w:pPr>
      <w:r>
        <w:rPr>
          <w:rFonts w:ascii="Arial" w:cs="Arial" w:eastAsia="Arial" w:hAnsi="Arial"/>
          <w:sz w:val="14"/>
          <w:szCs w:val="14"/>
          <w:color w:val="auto"/>
        </w:rPr>
        <w:t>Your rights under the Stock Units and this Agreement will vest in accordance with the vestin cover sheet so long as you continue in Service on the vesting dates set forth on the cover sheet.</w:t>
      </w:r>
    </w:p>
    <w:p>
      <w:pPr>
        <w:spacing w:after="0"/>
        <w:rPr>
          <w:sz w:val="20"/>
          <w:szCs w:val="20"/>
          <w:color w:val="auto"/>
        </w:rPr>
      </w:pPr>
      <w:r>
        <w:rPr>
          <w:rFonts w:ascii="Arial" w:cs="Arial" w:eastAsia="Arial" w:hAnsi="Arial"/>
          <w:sz w:val="15"/>
          <w:szCs w:val="15"/>
          <w:color w:val="auto"/>
        </w:rPr>
        <w:t>No additional shares of Stock will vest after your Service has terminated for any reason.</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Company will issue the Shares to which the then-vested Stock Units relate as set forth in t aggregate number of vested Shares will be rounded to the nearest whole number, and you can number of Shares covered by this grant. One share will be issued for each Stock Unit that ha first to occur of the following (such date, the “</w:t>
      </w:r>
      <w:r>
        <w:rPr>
          <w:rFonts w:ascii="Arial" w:cs="Arial" w:eastAsia="Arial" w:hAnsi="Arial"/>
          <w:sz w:val="15"/>
          <w:szCs w:val="15"/>
          <w:b w:val="1"/>
          <w:bCs w:val="1"/>
          <w:color w:val="auto"/>
        </w:rPr>
        <w:t>Settlement Date</w:t>
      </w:r>
      <w:r>
        <w:rPr>
          <w:rFonts w:ascii="Arial" w:cs="Arial" w:eastAsia="Arial" w:hAnsi="Arial"/>
          <w:sz w:val="15"/>
          <w:szCs w:val="15"/>
          <w:color w:val="auto"/>
        </w:rPr>
        <w:t>”) or such later date that is not l the calendar year in which the Settlement Date occurs, except as may be required pursuant to t “</w:t>
      </w:r>
      <w:r>
        <w:rPr>
          <w:rFonts w:ascii="Arial" w:cs="Arial" w:eastAsia="Arial" w:hAnsi="Arial"/>
          <w:sz w:val="15"/>
          <w:szCs w:val="15"/>
          <w:b w:val="1"/>
          <w:bCs w:val="1"/>
          <w:color w:val="auto"/>
        </w:rPr>
        <w:t>Tax Consequences</w:t>
      </w:r>
      <w:r>
        <w:rPr>
          <w:rFonts w:ascii="Arial" w:cs="Arial" w:eastAsia="Arial" w:hAnsi="Arial"/>
          <w:sz w:val="15"/>
          <w:szCs w:val="15"/>
          <w:color w:val="auto"/>
        </w:rPr>
        <w:t>”:</w:t>
      </w:r>
    </w:p>
    <w:p>
      <w:pPr>
        <w:spacing w:after="0" w:line="39" w:lineRule="exact"/>
        <w:rPr>
          <w:sz w:val="20"/>
          <w:szCs w:val="20"/>
          <w:color w:val="auto"/>
        </w:rPr>
      </w:pPr>
    </w:p>
    <w:p>
      <w:pPr>
        <w:ind w:left="560" w:hanging="283"/>
        <w:spacing w:after="0" w:line="302" w:lineRule="auto"/>
        <w:rPr>
          <w:sz w:val="20"/>
          <w:szCs w:val="20"/>
          <w:color w:val="auto"/>
        </w:rPr>
      </w:pPr>
      <w:r>
        <w:rPr>
          <w:rFonts w:ascii="Arial" w:cs="Arial" w:eastAsia="Arial" w:hAnsi="Arial"/>
          <w:sz w:val="15"/>
          <w:szCs w:val="15"/>
          <w:color w:val="auto"/>
        </w:rPr>
        <w:t>•the date of your “separation from service” (as defined under Treasury Regulation Secti regard to any alternative definitions therein, a “</w:t>
      </w:r>
      <w:r>
        <w:rPr>
          <w:rFonts w:ascii="Arial" w:cs="Arial" w:eastAsia="Arial" w:hAnsi="Arial"/>
          <w:sz w:val="15"/>
          <w:szCs w:val="15"/>
          <w:b w:val="1"/>
          <w:bCs w:val="1"/>
          <w:color w:val="auto"/>
        </w:rPr>
        <w:t>Separation from Service</w:t>
      </w:r>
      <w:r>
        <w:rPr>
          <w:rFonts w:ascii="Arial" w:cs="Arial" w:eastAsia="Arial" w:hAnsi="Arial"/>
          <w:sz w:val="15"/>
          <w:szCs w:val="15"/>
          <w:color w:val="auto"/>
        </w:rPr>
        <w:t>”);</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date of your “disability” (as defined under Treasury Regulation Section 1.409A-3(i)(4))</w:t>
      </w:r>
    </w:p>
    <w:p>
      <w:pPr>
        <w:spacing w:after="0" w:line="24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date of your death; or</w:t>
      </w:r>
    </w:p>
    <w:p>
      <w:pPr>
        <w:spacing w:after="0" w:line="219" w:lineRule="exact"/>
        <w:rPr>
          <w:sz w:val="20"/>
          <w:szCs w:val="20"/>
          <w:color w:val="auto"/>
        </w:rPr>
      </w:pPr>
    </w:p>
    <w:p>
      <w:pPr>
        <w:jc w:val="center"/>
        <w:ind w:left="-279"/>
        <w:spacing w:after="0" w:line="302" w:lineRule="auto"/>
        <w:rPr>
          <w:sz w:val="20"/>
          <w:szCs w:val="20"/>
          <w:color w:val="auto"/>
        </w:rPr>
      </w:pPr>
      <w:r>
        <w:rPr>
          <w:rFonts w:ascii="Arial" w:cs="Arial" w:eastAsia="Arial" w:hAnsi="Arial"/>
          <w:sz w:val="15"/>
          <w:szCs w:val="15"/>
          <w:color w:val="auto"/>
        </w:rPr>
        <w:t>•the date of a change in control of the Company that also would constitute a “change in c under Treasury Regulation Section 1.409A-3(i)(5), a “</w:t>
      </w:r>
      <w:r>
        <w:rPr>
          <w:rFonts w:ascii="Arial" w:cs="Arial" w:eastAsia="Arial" w:hAnsi="Arial"/>
          <w:sz w:val="15"/>
          <w:szCs w:val="15"/>
          <w:b w:val="1"/>
          <w:bCs w:val="1"/>
          <w:color w:val="auto"/>
        </w:rPr>
        <w:t>409A Change in Control</w:t>
      </w:r>
      <w:r>
        <w:rPr>
          <w:rFonts w:ascii="Arial" w:cs="Arial" w:eastAsia="Arial" w:hAnsi="Arial"/>
          <w:sz w:val="15"/>
          <w:szCs w:val="15"/>
          <w:color w:val="auto"/>
        </w:rPr>
        <w:t>”).</w:t>
      </w:r>
    </w:p>
    <w:p>
      <w:pPr>
        <w:spacing w:after="0" w:line="2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Notwithstanding the vesting schedule set forth above, upon the consummation of a Change in become 100% vested (i) if it is not assumed, or equivalent stock units are not substituted for this or its successor, or (ii) if assumed or substituted for, upon your Involuntary Termination wit following the consummation of the Change in Control. For the avoidance of doubt, the provisi section entitled “Delivery” shall still apply.</w:t>
      </w:r>
    </w:p>
    <w:p>
      <w:pPr>
        <w:spacing w:after="0" w:line="4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Involuntary Termination</w:t>
      </w:r>
      <w:r>
        <w:rPr>
          <w:rFonts w:ascii="Arial" w:cs="Arial" w:eastAsia="Arial" w:hAnsi="Arial"/>
          <w:sz w:val="14"/>
          <w:szCs w:val="14"/>
          <w:color w:val="auto"/>
        </w:rPr>
        <w:t>” means termination of your Service by reason of (i) your invo Company or its successor for reasons other than Cause; or (ii) your voluntary resignation for G any applicable employment or severance agreement, plan, or arrangement between you and the C following (a) a substantial adverse alteration in your title or responsibilities from those in effec Change in Control; (b) a reduction in your annual base salary as of immediately prior to the Ch same may be increased from time to time) or a material reduction in your annual target immediately prior to the Change in Control; or (c) the relocation of your principal place of emplo than 35 miles from your principal place of employment as of the Change in Control or the Comp based anywhere other than such principal place of employment (or permitted relocation thereof) on the Company’s business to an extent substantially consistent with your business travel oblig prior to the Change in Control. To qualify as an “Involuntary Termination” you must provide n any of the foregoing occurrences within 90 days of the initial occurrence and the Company wil such occurrence. To the extent not remedied, you must terminate employment within 60 days fo the 30 day cure period for such occurrence to constitute an Involuntary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343535</wp:posOffset>
            </wp:positionV>
            <wp:extent cx="716407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8">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2">
            <w:col w:w="4520" w:space="720"/>
            <w:col w:w="6100"/>
          </w:cols>
          <w:pgMar w:left="320" w:top="324" w:right="23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193"/>
        </w:trPr>
        <w:tc>
          <w:tcPr>
            <w:tcW w:w="3780" w:type="dxa"/>
            <w:vAlign w:val="bottom"/>
          </w:tcPr>
          <w:p>
            <w:pPr>
              <w:spacing w:after="0"/>
              <w:rPr>
                <w:sz w:val="20"/>
                <w:szCs w:val="20"/>
                <w:color w:val="auto"/>
              </w:rPr>
            </w:pPr>
            <w:r>
              <w:rPr>
                <w:rFonts w:ascii="Arial" w:cs="Arial" w:eastAsia="Arial" w:hAnsi="Arial"/>
                <w:sz w:val="16"/>
                <w:szCs w:val="16"/>
                <w:b w:val="1"/>
                <w:bCs w:val="1"/>
                <w:color w:val="auto"/>
              </w:rPr>
              <w:t>Forfeiture of Unvested Stock Units</w:t>
            </w: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0"/>
              </w:rPr>
              <w:t>Unless the termination of your Service triggers accelerated vesting or other treatment of your St</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2"/>
              </w:rPr>
              <w:t>terms of this Agreement, the Plan, or any other written agreement between the Company or a</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5"/>
              </w:rPr>
              <w:t>will automatically forfeit to the Company all of the unvested Stock Units in the event your S</w:t>
            </w:r>
          </w:p>
        </w:tc>
      </w:tr>
      <w:tr>
        <w:trPr>
          <w:trHeight w:val="201"/>
        </w:trPr>
        <w:tc>
          <w:tcPr>
            <w:tcW w:w="3780" w:type="dxa"/>
            <w:vAlign w:val="bottom"/>
          </w:tcPr>
          <w:p>
            <w:pPr>
              <w:spacing w:after="0"/>
              <w:rPr>
                <w:sz w:val="17"/>
                <w:szCs w:val="17"/>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rPr>
              <w:t>reason.</w:t>
            </w:r>
          </w:p>
        </w:tc>
      </w:tr>
      <w:tr>
        <w:trPr>
          <w:trHeight w:val="249"/>
        </w:trPr>
        <w:tc>
          <w:tcPr>
            <w:tcW w:w="3780" w:type="dxa"/>
            <w:vAlign w:val="bottom"/>
          </w:tcPr>
          <w:p>
            <w:pPr>
              <w:spacing w:after="0"/>
              <w:rPr>
                <w:sz w:val="20"/>
                <w:szCs w:val="20"/>
                <w:color w:val="auto"/>
              </w:rPr>
            </w:pPr>
            <w:r>
              <w:rPr>
                <w:rFonts w:ascii="Arial" w:cs="Arial" w:eastAsia="Arial" w:hAnsi="Arial"/>
                <w:sz w:val="16"/>
                <w:szCs w:val="16"/>
                <w:b w:val="1"/>
                <w:bCs w:val="1"/>
                <w:color w:val="auto"/>
              </w:rPr>
              <w:t>Forfeiture of Rights</w:t>
            </w: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1"/>
              </w:rPr>
              <w:t>If you should take actions in violation or breach of or in conflict with any agreement prohibiting</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2"/>
              </w:rPr>
              <w:t>or clients of the Company or any Affiliate or any confidentiality obligation with respect to the C</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8"/>
              </w:rPr>
              <w:t>the Company has the right to cause an immediate forfeiture of your rights to this Award,</w:t>
            </w:r>
          </w:p>
        </w:tc>
      </w:tr>
      <w:tr>
        <w:trPr>
          <w:trHeight w:val="201"/>
        </w:trPr>
        <w:tc>
          <w:tcPr>
            <w:tcW w:w="3780" w:type="dxa"/>
            <w:vAlign w:val="bottom"/>
          </w:tcPr>
          <w:p>
            <w:pPr>
              <w:spacing w:after="0"/>
              <w:rPr>
                <w:sz w:val="17"/>
                <w:szCs w:val="17"/>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rPr>
              <w:t>immediately expire.</w:t>
            </w:r>
          </w:p>
        </w:tc>
      </w:tr>
      <w:tr>
        <w:trPr>
          <w:trHeight w:val="391"/>
        </w:trPr>
        <w:tc>
          <w:tcPr>
            <w:tcW w:w="3780" w:type="dxa"/>
            <w:vAlign w:val="bottom"/>
          </w:tcPr>
          <w:p>
            <w:pPr>
              <w:spacing w:after="0"/>
              <w:rPr>
                <w:sz w:val="20"/>
                <w:szCs w:val="20"/>
                <w:color w:val="auto"/>
              </w:rPr>
            </w:pPr>
            <w:r>
              <w:rPr>
                <w:rFonts w:ascii="Arial" w:cs="Arial" w:eastAsia="Arial" w:hAnsi="Arial"/>
                <w:sz w:val="16"/>
                <w:szCs w:val="16"/>
                <w:b w:val="1"/>
                <w:bCs w:val="1"/>
                <w:color w:val="auto"/>
              </w:rPr>
              <w:t>Leaves of Absence</w:t>
            </w: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1"/>
              </w:rPr>
              <w:t xml:space="preserve">For purposes of this Agreement, your Service does not terminate when you go on a </w:t>
            </w:r>
            <w:r>
              <w:rPr>
                <w:rFonts w:ascii="Arial" w:cs="Arial" w:eastAsia="Arial" w:hAnsi="Arial"/>
                <w:sz w:val="16"/>
                <w:szCs w:val="16"/>
                <w:i w:val="1"/>
                <w:iCs w:val="1"/>
                <w:color w:val="auto"/>
                <w:w w:val="91"/>
              </w:rPr>
              <w:t>bona fide</w:t>
            </w:r>
            <w:r>
              <w:rPr>
                <w:rFonts w:ascii="Arial" w:cs="Arial" w:eastAsia="Arial" w:hAnsi="Arial"/>
                <w:sz w:val="16"/>
                <w:szCs w:val="16"/>
                <w:color w:val="auto"/>
                <w:w w:val="91"/>
              </w:rPr>
              <w:t xml:space="preserve"> l</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1"/>
              </w:rPr>
              <w:t>approved by the Company in writing if the terms of the leave provide for continued Service cre</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88"/>
              </w:rPr>
              <w:t>Service crediting is required by applicable law. Your Service terminates in any event when the ap</w:t>
            </w:r>
          </w:p>
        </w:tc>
      </w:tr>
      <w:tr>
        <w:trPr>
          <w:trHeight w:val="201"/>
        </w:trPr>
        <w:tc>
          <w:tcPr>
            <w:tcW w:w="3780" w:type="dxa"/>
            <w:vAlign w:val="bottom"/>
          </w:tcPr>
          <w:p>
            <w:pPr>
              <w:spacing w:after="0"/>
              <w:rPr>
                <w:sz w:val="17"/>
                <w:szCs w:val="17"/>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rPr>
              <w:t>you immediately return to active employee work.</w:t>
            </w:r>
          </w:p>
        </w:tc>
      </w:tr>
      <w:tr>
        <w:trPr>
          <w:trHeight w:val="285"/>
        </w:trPr>
        <w:tc>
          <w:tcPr>
            <w:tcW w:w="3780" w:type="dxa"/>
            <w:vAlign w:val="bottom"/>
          </w:tcPr>
          <w:p>
            <w:pPr>
              <w:spacing w:after="0"/>
              <w:rPr>
                <w:sz w:val="24"/>
                <w:szCs w:val="24"/>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0"/>
              </w:rPr>
              <w:t>The Company may determine, in its discretion, which leaves count for this purpose, and when y</w:t>
            </w:r>
          </w:p>
        </w:tc>
      </w:tr>
      <w:tr>
        <w:trPr>
          <w:trHeight w:val="201"/>
        </w:trPr>
        <w:tc>
          <w:tcPr>
            <w:tcW w:w="3780" w:type="dxa"/>
            <w:vAlign w:val="bottom"/>
          </w:tcPr>
          <w:p>
            <w:pPr>
              <w:spacing w:after="0"/>
              <w:rPr>
                <w:sz w:val="17"/>
                <w:szCs w:val="17"/>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rPr>
              <w:t>all purposes under the Plan in accordance with the provisions of the Plan.</w:t>
            </w:r>
          </w:p>
        </w:tc>
      </w:tr>
      <w:tr>
        <w:trPr>
          <w:trHeight w:val="273"/>
        </w:trPr>
        <w:tc>
          <w:tcPr>
            <w:tcW w:w="3780" w:type="dxa"/>
            <w:vAlign w:val="bottom"/>
          </w:tcPr>
          <w:p>
            <w:pPr>
              <w:spacing w:after="0"/>
              <w:rPr>
                <w:sz w:val="20"/>
                <w:szCs w:val="20"/>
                <w:color w:val="auto"/>
              </w:rPr>
            </w:pPr>
            <w:r>
              <w:rPr>
                <w:rFonts w:ascii="Arial" w:cs="Arial" w:eastAsia="Arial" w:hAnsi="Arial"/>
                <w:sz w:val="16"/>
                <w:szCs w:val="16"/>
                <w:b w:val="1"/>
                <w:bCs w:val="1"/>
                <w:color w:val="auto"/>
              </w:rPr>
              <w:t>Evidence of Issuance</w:t>
            </w: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3"/>
              </w:rPr>
              <w:t>The issuance of the shares of Stock delivered in settlement of the Stock Units evidenced by</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0"/>
              </w:rPr>
              <w:t>evidenced in such a manner as the Company, in its discretion, will deem appropriate, including,</w:t>
            </w:r>
          </w:p>
        </w:tc>
      </w:tr>
      <w:tr>
        <w:trPr>
          <w:trHeight w:val="201"/>
        </w:trPr>
        <w:tc>
          <w:tcPr>
            <w:tcW w:w="3780" w:type="dxa"/>
            <w:vAlign w:val="bottom"/>
          </w:tcPr>
          <w:p>
            <w:pPr>
              <w:spacing w:after="0"/>
              <w:rPr>
                <w:sz w:val="17"/>
                <w:szCs w:val="17"/>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rPr>
              <w:t>entry, direct registration or issuance of one or more Stock certificates.</w:t>
            </w:r>
          </w:p>
        </w:tc>
      </w:tr>
      <w:tr>
        <w:trPr>
          <w:trHeight w:val="332"/>
        </w:trPr>
        <w:tc>
          <w:tcPr>
            <w:tcW w:w="3780" w:type="dxa"/>
            <w:vAlign w:val="bottom"/>
          </w:tcPr>
          <w:p>
            <w:pPr>
              <w:spacing w:after="0"/>
              <w:rPr>
                <w:sz w:val="20"/>
                <w:szCs w:val="20"/>
                <w:color w:val="auto"/>
              </w:rPr>
            </w:pPr>
            <w:r>
              <w:rPr>
                <w:rFonts w:ascii="Arial" w:cs="Arial" w:eastAsia="Arial" w:hAnsi="Arial"/>
                <w:sz w:val="16"/>
                <w:szCs w:val="16"/>
                <w:b w:val="1"/>
                <w:bCs w:val="1"/>
                <w:color w:val="auto"/>
              </w:rPr>
              <w:t>Withholding Taxes</w:t>
            </w: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88"/>
              </w:rPr>
              <w:t>You agree as a condition of this Award that you will make acceptable arrangements to pay any w</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88"/>
              </w:rPr>
              <w:t>that may be due as a result of the vesting of the Stock Units or receipt of shares of Stock in settle</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4"/>
              </w:rPr>
              <w:t>In the event that the Company or any Affiliate determines that any federal, state, local or fo</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2"/>
              </w:rPr>
              <w:t>payment is required relating to the vesting of the Stock Units or receipt of shares of Stock aris</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5"/>
              </w:rPr>
              <w:t>Company or any Affiliate will have the right to require such payments from you, or withhold</w:t>
            </w:r>
          </w:p>
        </w:tc>
      </w:tr>
      <w:tr>
        <w:trPr>
          <w:trHeight w:val="189"/>
        </w:trPr>
        <w:tc>
          <w:tcPr>
            <w:tcW w:w="3780" w:type="dxa"/>
            <w:vAlign w:val="bottom"/>
          </w:tcPr>
          <w:p>
            <w:pPr>
              <w:spacing w:after="0"/>
              <w:rPr>
                <w:sz w:val="16"/>
                <w:szCs w:val="16"/>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w w:val="93"/>
              </w:rPr>
              <w:t>payments due to you from the Company or any Affiliate (including withholding the delivery of</w:t>
            </w:r>
          </w:p>
        </w:tc>
      </w:tr>
      <w:tr>
        <w:trPr>
          <w:trHeight w:val="201"/>
        </w:trPr>
        <w:tc>
          <w:tcPr>
            <w:tcW w:w="3780" w:type="dxa"/>
            <w:vAlign w:val="bottom"/>
          </w:tcPr>
          <w:p>
            <w:pPr>
              <w:spacing w:after="0"/>
              <w:rPr>
                <w:sz w:val="17"/>
                <w:szCs w:val="17"/>
                <w:color w:val="auto"/>
              </w:rPr>
            </w:pPr>
          </w:p>
        </w:tc>
        <w:tc>
          <w:tcPr>
            <w:tcW w:w="7560" w:type="dxa"/>
            <w:vAlign w:val="bottom"/>
            <w:gridSpan w:val="2"/>
          </w:tcPr>
          <w:p>
            <w:pPr>
              <w:ind w:left="1460"/>
              <w:spacing w:after="0"/>
              <w:rPr>
                <w:sz w:val="20"/>
                <w:szCs w:val="20"/>
                <w:color w:val="auto"/>
              </w:rPr>
            </w:pPr>
            <w:r>
              <w:rPr>
                <w:rFonts w:ascii="Arial" w:cs="Arial" w:eastAsia="Arial" w:hAnsi="Arial"/>
                <w:sz w:val="16"/>
                <w:szCs w:val="16"/>
                <w:color w:val="auto"/>
              </w:rPr>
              <w:t>deliverable under this Agreement).</w:t>
            </w:r>
          </w:p>
        </w:tc>
      </w:tr>
      <w:tr>
        <w:trPr>
          <w:trHeight w:val="561"/>
        </w:trPr>
        <w:tc>
          <w:tcPr>
            <w:tcW w:w="378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0">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340"/>
          </w:cols>
          <w:pgMar w:left="320" w:top="407"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93"/>
        </w:trPr>
        <w:tc>
          <w:tcPr>
            <w:tcW w:w="3260" w:type="dxa"/>
            <w:vAlign w:val="bottom"/>
          </w:tcPr>
          <w:p>
            <w:pPr>
              <w:spacing w:after="0"/>
              <w:rPr>
                <w:sz w:val="20"/>
                <w:szCs w:val="20"/>
                <w:color w:val="auto"/>
              </w:rPr>
            </w:pPr>
            <w:r>
              <w:rPr>
                <w:rFonts w:ascii="Arial" w:cs="Arial" w:eastAsia="Arial" w:hAnsi="Arial"/>
                <w:sz w:val="16"/>
                <w:szCs w:val="16"/>
                <w:b w:val="1"/>
                <w:bCs w:val="1"/>
                <w:color w:val="auto"/>
              </w:rPr>
              <w:t>Retention Rights</w:t>
            </w: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2"/>
              </w:rPr>
              <w:t>This Agreement and Award evidenced hereby do not give you the right to be retained in the S</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89"/>
              </w:rPr>
              <w:t>any Affiliate, as applicable, in any capacity. Unless otherwise specified in a Service agreement o</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4"/>
              </w:rPr>
              <w:t>between the Company or any Affiliate and you, reserves the right to terminate your Service</w:t>
            </w:r>
          </w:p>
        </w:tc>
        <w:tc>
          <w:tcPr>
            <w:tcW w:w="0" w:type="dxa"/>
            <w:vAlign w:val="bottom"/>
          </w:tcPr>
          <w:p>
            <w:pPr>
              <w:spacing w:after="0"/>
              <w:rPr>
                <w:sz w:val="1"/>
                <w:szCs w:val="1"/>
                <w:color w:val="auto"/>
              </w:rPr>
            </w:pPr>
          </w:p>
        </w:tc>
      </w:tr>
      <w:tr>
        <w:trPr>
          <w:trHeight w:val="201"/>
        </w:trPr>
        <w:tc>
          <w:tcPr>
            <w:tcW w:w="3260" w:type="dxa"/>
            <w:vAlign w:val="bottom"/>
          </w:tcPr>
          <w:p>
            <w:pPr>
              <w:spacing w:after="0"/>
              <w:rPr>
                <w:sz w:val="17"/>
                <w:szCs w:val="17"/>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rPr>
              <w:t>reason.</w:t>
            </w:r>
          </w:p>
        </w:tc>
        <w:tc>
          <w:tcPr>
            <w:tcW w:w="0" w:type="dxa"/>
            <w:vAlign w:val="bottom"/>
          </w:tcPr>
          <w:p>
            <w:pPr>
              <w:spacing w:after="0"/>
              <w:rPr>
                <w:sz w:val="1"/>
                <w:szCs w:val="1"/>
                <w:color w:val="auto"/>
              </w:rPr>
            </w:pPr>
          </w:p>
        </w:tc>
      </w:tr>
      <w:tr>
        <w:trPr>
          <w:trHeight w:val="332"/>
        </w:trPr>
        <w:tc>
          <w:tcPr>
            <w:tcW w:w="3260" w:type="dxa"/>
            <w:vAlign w:val="bottom"/>
          </w:tcPr>
          <w:p>
            <w:pPr>
              <w:spacing w:after="0"/>
              <w:rPr>
                <w:sz w:val="20"/>
                <w:szCs w:val="20"/>
                <w:color w:val="auto"/>
              </w:rPr>
            </w:pPr>
            <w:r>
              <w:rPr>
                <w:rFonts w:ascii="Arial" w:cs="Arial" w:eastAsia="Arial" w:hAnsi="Arial"/>
                <w:sz w:val="16"/>
                <w:szCs w:val="16"/>
                <w:b w:val="1"/>
                <w:bCs w:val="1"/>
                <w:color w:val="auto"/>
              </w:rPr>
              <w:t>Stockholder Rights</w:t>
            </w: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1"/>
              </w:rPr>
              <w:t>You, or your estate or heirs, have no rights as a stockholder of the Company until the shares o</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0"/>
              </w:rPr>
              <w:t>upon settlement of this Award and either a certificate evidencing your shares of Stock have bee</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89"/>
              </w:rPr>
              <w:t>entry has been made on the Company’s books. No adjustments are made for dividends, distribu</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89"/>
              </w:rPr>
              <w:t>applicable record date occurs before your certificate is issued (or an appropriate book entry is m</w:t>
            </w:r>
          </w:p>
        </w:tc>
        <w:tc>
          <w:tcPr>
            <w:tcW w:w="0" w:type="dxa"/>
            <w:vAlign w:val="bottom"/>
          </w:tcPr>
          <w:p>
            <w:pPr>
              <w:spacing w:after="0"/>
              <w:rPr>
                <w:sz w:val="1"/>
                <w:szCs w:val="1"/>
                <w:color w:val="auto"/>
              </w:rPr>
            </w:pPr>
          </w:p>
        </w:tc>
      </w:tr>
      <w:tr>
        <w:trPr>
          <w:trHeight w:val="201"/>
        </w:trPr>
        <w:tc>
          <w:tcPr>
            <w:tcW w:w="3260" w:type="dxa"/>
            <w:vAlign w:val="bottom"/>
          </w:tcPr>
          <w:p>
            <w:pPr>
              <w:spacing w:after="0"/>
              <w:rPr>
                <w:sz w:val="17"/>
                <w:szCs w:val="17"/>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rPr>
              <w:t>in the Plan.</w:t>
            </w:r>
          </w:p>
        </w:tc>
        <w:tc>
          <w:tcPr>
            <w:tcW w:w="0" w:type="dxa"/>
            <w:vAlign w:val="bottom"/>
          </w:tcPr>
          <w:p>
            <w:pPr>
              <w:spacing w:after="0"/>
              <w:rPr>
                <w:sz w:val="1"/>
                <w:szCs w:val="1"/>
                <w:color w:val="auto"/>
              </w:rPr>
            </w:pPr>
          </w:p>
        </w:tc>
      </w:tr>
      <w:tr>
        <w:trPr>
          <w:trHeight w:val="522"/>
        </w:trPr>
        <w:tc>
          <w:tcPr>
            <w:tcW w:w="3260" w:type="dxa"/>
            <w:vAlign w:val="bottom"/>
          </w:tcPr>
          <w:p>
            <w:pPr>
              <w:spacing w:after="0"/>
              <w:rPr>
                <w:sz w:val="24"/>
                <w:szCs w:val="24"/>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0"/>
              </w:rPr>
              <w:t>This Award will be subject to the terms of any applicable agreement of merger, liquidation or re</w:t>
            </w:r>
          </w:p>
        </w:tc>
        <w:tc>
          <w:tcPr>
            <w:tcW w:w="0" w:type="dxa"/>
            <w:vAlign w:val="bottom"/>
          </w:tcPr>
          <w:p>
            <w:pPr>
              <w:spacing w:after="0"/>
              <w:rPr>
                <w:sz w:val="1"/>
                <w:szCs w:val="1"/>
                <w:color w:val="auto"/>
              </w:rPr>
            </w:pPr>
          </w:p>
        </w:tc>
      </w:tr>
      <w:tr>
        <w:trPr>
          <w:trHeight w:val="201"/>
        </w:trPr>
        <w:tc>
          <w:tcPr>
            <w:tcW w:w="3260" w:type="dxa"/>
            <w:vAlign w:val="bottom"/>
          </w:tcPr>
          <w:p>
            <w:pPr>
              <w:spacing w:after="0"/>
              <w:rPr>
                <w:sz w:val="17"/>
                <w:szCs w:val="17"/>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rPr>
              <w:t>the Company is subject to such corporate activity.</w:t>
            </w:r>
          </w:p>
        </w:tc>
        <w:tc>
          <w:tcPr>
            <w:tcW w:w="0" w:type="dxa"/>
            <w:vAlign w:val="bottom"/>
          </w:tcPr>
          <w:p>
            <w:pPr>
              <w:spacing w:after="0"/>
              <w:rPr>
                <w:sz w:val="1"/>
                <w:szCs w:val="1"/>
                <w:color w:val="auto"/>
              </w:rPr>
            </w:pPr>
          </w:p>
        </w:tc>
      </w:tr>
      <w:tr>
        <w:trPr>
          <w:trHeight w:val="344"/>
        </w:trPr>
        <w:tc>
          <w:tcPr>
            <w:tcW w:w="3260" w:type="dxa"/>
            <w:vAlign w:val="bottom"/>
          </w:tcPr>
          <w:p>
            <w:pPr>
              <w:spacing w:after="0"/>
              <w:rPr>
                <w:sz w:val="20"/>
                <w:szCs w:val="20"/>
                <w:color w:val="auto"/>
              </w:rPr>
            </w:pPr>
            <w:r>
              <w:rPr>
                <w:rFonts w:ascii="Arial" w:cs="Arial" w:eastAsia="Arial" w:hAnsi="Arial"/>
                <w:sz w:val="16"/>
                <w:szCs w:val="16"/>
                <w:b w:val="1"/>
                <w:bCs w:val="1"/>
                <w:color w:val="auto"/>
              </w:rPr>
              <w:t>Clawback</w:t>
            </w: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3"/>
              </w:rPr>
              <w:t>This Award is subject to mandatory repayment by you to the Company to the extent you are</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6"/>
              </w:rPr>
              <w:t>subject to any Company “clawback” or recoupment policy that requires the repayment by</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2"/>
              </w:rPr>
              <w:t>compensation paid by the Company to you in the event that you fail to comply with, or violate,</w:t>
            </w:r>
          </w:p>
        </w:tc>
        <w:tc>
          <w:tcPr>
            <w:tcW w:w="0" w:type="dxa"/>
            <w:vAlign w:val="bottom"/>
          </w:tcPr>
          <w:p>
            <w:pPr>
              <w:spacing w:after="0"/>
              <w:rPr>
                <w:sz w:val="1"/>
                <w:szCs w:val="1"/>
                <w:color w:val="auto"/>
              </w:rPr>
            </w:pPr>
          </w:p>
        </w:tc>
      </w:tr>
      <w:tr>
        <w:trPr>
          <w:trHeight w:val="201"/>
        </w:trPr>
        <w:tc>
          <w:tcPr>
            <w:tcW w:w="3260" w:type="dxa"/>
            <w:vAlign w:val="bottom"/>
          </w:tcPr>
          <w:p>
            <w:pPr>
              <w:spacing w:after="0"/>
              <w:rPr>
                <w:sz w:val="17"/>
                <w:szCs w:val="17"/>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rPr>
              <w:t>of such policy.</w:t>
            </w:r>
          </w:p>
        </w:tc>
        <w:tc>
          <w:tcPr>
            <w:tcW w:w="0" w:type="dxa"/>
            <w:vAlign w:val="bottom"/>
          </w:tcPr>
          <w:p>
            <w:pPr>
              <w:spacing w:after="0"/>
              <w:rPr>
                <w:sz w:val="1"/>
                <w:szCs w:val="1"/>
                <w:color w:val="auto"/>
              </w:rPr>
            </w:pPr>
          </w:p>
        </w:tc>
      </w:tr>
      <w:tr>
        <w:trPr>
          <w:trHeight w:val="545"/>
        </w:trPr>
        <w:tc>
          <w:tcPr>
            <w:tcW w:w="3260" w:type="dxa"/>
            <w:vAlign w:val="bottom"/>
          </w:tcPr>
          <w:p>
            <w:pPr>
              <w:spacing w:after="0"/>
              <w:rPr>
                <w:sz w:val="24"/>
                <w:szCs w:val="24"/>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89"/>
              </w:rPr>
              <w:t>If the Company is required to prepare an accounting restatement due to the material noncomplia</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0"/>
              </w:rPr>
              <w:t>result of misconduct, with any financial reporting requirement under the securities laws and you</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2"/>
              </w:rPr>
              <w:t>misconduct, were grossly negligent in engaging in the misconduct, knowingly failed to preven</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3"/>
              </w:rPr>
              <w:t>grossly negligent in failing to prevent the misconduct, you will reimburse the Company the a</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2"/>
              </w:rPr>
              <w:t>settlement of this Award earned or accrued during the 12-month period following the first pub</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4"/>
              </w:rPr>
              <w:t>the Securities and Exchange Commission (whichever first occurred) of the financial docum</w:t>
            </w:r>
          </w:p>
        </w:tc>
        <w:tc>
          <w:tcPr>
            <w:tcW w:w="0" w:type="dxa"/>
            <w:vAlign w:val="bottom"/>
          </w:tcPr>
          <w:p>
            <w:pPr>
              <w:spacing w:after="0"/>
              <w:rPr>
                <w:sz w:val="1"/>
                <w:szCs w:val="1"/>
                <w:color w:val="auto"/>
              </w:rPr>
            </w:pPr>
          </w:p>
        </w:tc>
      </w:tr>
      <w:tr>
        <w:trPr>
          <w:trHeight w:val="201"/>
        </w:trPr>
        <w:tc>
          <w:tcPr>
            <w:tcW w:w="3260" w:type="dxa"/>
            <w:vAlign w:val="bottom"/>
          </w:tcPr>
          <w:p>
            <w:pPr>
              <w:spacing w:after="0"/>
              <w:rPr>
                <w:sz w:val="17"/>
                <w:szCs w:val="17"/>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rPr>
              <w:t>material noncompliance.</w:t>
            </w:r>
          </w:p>
        </w:tc>
        <w:tc>
          <w:tcPr>
            <w:tcW w:w="0" w:type="dxa"/>
            <w:vAlign w:val="bottom"/>
          </w:tcPr>
          <w:p>
            <w:pPr>
              <w:spacing w:after="0"/>
              <w:rPr>
                <w:sz w:val="1"/>
                <w:szCs w:val="1"/>
                <w:color w:val="auto"/>
              </w:rPr>
            </w:pPr>
          </w:p>
        </w:tc>
      </w:tr>
      <w:tr>
        <w:trPr>
          <w:trHeight w:val="344"/>
        </w:trPr>
        <w:tc>
          <w:tcPr>
            <w:tcW w:w="3260" w:type="dxa"/>
            <w:vAlign w:val="bottom"/>
          </w:tcPr>
          <w:p>
            <w:pPr>
              <w:spacing w:after="0"/>
              <w:rPr>
                <w:sz w:val="20"/>
                <w:szCs w:val="20"/>
                <w:color w:val="auto"/>
              </w:rPr>
            </w:pPr>
            <w:r>
              <w:rPr>
                <w:rFonts w:ascii="Arial" w:cs="Arial" w:eastAsia="Arial" w:hAnsi="Arial"/>
                <w:sz w:val="16"/>
                <w:szCs w:val="16"/>
                <w:b w:val="1"/>
                <w:bCs w:val="1"/>
                <w:color w:val="auto"/>
              </w:rPr>
              <w:t>Applicable Law</w:t>
            </w: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3"/>
              </w:rPr>
              <w:t>This Agreement will be interpreted and enforced under the laws of the State of Delaware, ot</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9"/>
              </w:rPr>
              <w:t>choice of law rule or principle that might otherwise refer construction or interpretation o</w:t>
            </w:r>
          </w:p>
        </w:tc>
        <w:tc>
          <w:tcPr>
            <w:tcW w:w="0" w:type="dxa"/>
            <w:vAlign w:val="bottom"/>
          </w:tcPr>
          <w:p>
            <w:pPr>
              <w:spacing w:after="0"/>
              <w:rPr>
                <w:sz w:val="1"/>
                <w:szCs w:val="1"/>
                <w:color w:val="auto"/>
              </w:rPr>
            </w:pPr>
          </w:p>
        </w:tc>
      </w:tr>
      <w:tr>
        <w:trPr>
          <w:trHeight w:val="201"/>
        </w:trPr>
        <w:tc>
          <w:tcPr>
            <w:tcW w:w="3260" w:type="dxa"/>
            <w:vAlign w:val="bottom"/>
          </w:tcPr>
          <w:p>
            <w:pPr>
              <w:spacing w:after="0"/>
              <w:rPr>
                <w:sz w:val="17"/>
                <w:szCs w:val="17"/>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rPr>
              <w:t>substantive law of another jurisdiction.</w:t>
            </w:r>
          </w:p>
        </w:tc>
        <w:tc>
          <w:tcPr>
            <w:tcW w:w="0" w:type="dxa"/>
            <w:vAlign w:val="bottom"/>
          </w:tcPr>
          <w:p>
            <w:pPr>
              <w:spacing w:after="0"/>
              <w:rPr>
                <w:sz w:val="1"/>
                <w:szCs w:val="1"/>
                <w:color w:val="auto"/>
              </w:rPr>
            </w:pPr>
          </w:p>
        </w:tc>
      </w:tr>
      <w:tr>
        <w:trPr>
          <w:trHeight w:val="343"/>
        </w:trPr>
        <w:tc>
          <w:tcPr>
            <w:tcW w:w="3260" w:type="dxa"/>
            <w:vAlign w:val="bottom"/>
          </w:tcPr>
          <w:p>
            <w:pPr>
              <w:spacing w:after="0"/>
              <w:rPr>
                <w:sz w:val="20"/>
                <w:szCs w:val="20"/>
                <w:color w:val="auto"/>
              </w:rPr>
            </w:pPr>
            <w:r>
              <w:rPr>
                <w:rFonts w:ascii="Arial" w:cs="Arial" w:eastAsia="Arial" w:hAnsi="Arial"/>
                <w:sz w:val="16"/>
                <w:szCs w:val="16"/>
                <w:b w:val="1"/>
                <w:bCs w:val="1"/>
                <w:color w:val="auto"/>
              </w:rPr>
              <w:t>The Plan</w:t>
            </w:r>
          </w:p>
        </w:tc>
        <w:tc>
          <w:tcPr>
            <w:tcW w:w="8080" w:type="dxa"/>
            <w:vAlign w:val="bottom"/>
            <w:gridSpan w:val="2"/>
            <w:vMerge w:val="restart"/>
          </w:tcPr>
          <w:p>
            <w:pPr>
              <w:ind w:left="1980"/>
              <w:spacing w:after="0"/>
              <w:rPr>
                <w:sz w:val="20"/>
                <w:szCs w:val="20"/>
                <w:color w:val="auto"/>
              </w:rPr>
            </w:pPr>
            <w:r>
              <w:rPr>
                <w:rFonts w:ascii="Arial" w:cs="Arial" w:eastAsia="Arial" w:hAnsi="Arial"/>
                <w:sz w:val="16"/>
                <w:szCs w:val="16"/>
                <w:color w:val="auto"/>
              </w:rPr>
              <w:t>The text of the Plan is incorporated into the Agreement by reference.</w:t>
            </w:r>
          </w:p>
        </w:tc>
        <w:tc>
          <w:tcPr>
            <w:tcW w:w="0" w:type="dxa"/>
            <w:vAlign w:val="bottom"/>
          </w:tcPr>
          <w:p>
            <w:pPr>
              <w:spacing w:after="0"/>
              <w:rPr>
                <w:sz w:val="1"/>
                <w:szCs w:val="1"/>
                <w:color w:val="auto"/>
              </w:rPr>
            </w:pPr>
          </w:p>
        </w:tc>
      </w:tr>
      <w:tr>
        <w:trPr>
          <w:trHeight w:val="130"/>
        </w:trPr>
        <w:tc>
          <w:tcPr>
            <w:tcW w:w="3260" w:type="dxa"/>
            <w:vAlign w:val="bottom"/>
          </w:tcPr>
          <w:p>
            <w:pPr>
              <w:spacing w:after="0"/>
              <w:rPr>
                <w:sz w:val="11"/>
                <w:szCs w:val="11"/>
                <w:color w:val="auto"/>
              </w:rPr>
            </w:pPr>
          </w:p>
        </w:tc>
        <w:tc>
          <w:tcPr>
            <w:tcW w:w="8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3260" w:type="dxa"/>
            <w:vAlign w:val="bottom"/>
          </w:tcPr>
          <w:p>
            <w:pPr>
              <w:spacing w:after="0"/>
              <w:rPr>
                <w:sz w:val="24"/>
                <w:szCs w:val="24"/>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b w:val="1"/>
                <w:bCs w:val="1"/>
                <w:i w:val="1"/>
                <w:iCs w:val="1"/>
                <w:color w:val="auto"/>
                <w:w w:val="85"/>
              </w:rPr>
              <w:t>Certain capitalized terms used in the Agreement are defined in the Plan, and have the meanin</w:t>
            </w:r>
          </w:p>
        </w:tc>
        <w:tc>
          <w:tcPr>
            <w:tcW w:w="0" w:type="dxa"/>
            <w:vAlign w:val="bottom"/>
          </w:tcPr>
          <w:p>
            <w:pPr>
              <w:spacing w:after="0"/>
              <w:rPr>
                <w:sz w:val="1"/>
                <w:szCs w:val="1"/>
                <w:color w:val="auto"/>
              </w:rPr>
            </w:pPr>
          </w:p>
        </w:tc>
      </w:tr>
      <w:tr>
        <w:trPr>
          <w:trHeight w:val="285"/>
        </w:trPr>
        <w:tc>
          <w:tcPr>
            <w:tcW w:w="3260" w:type="dxa"/>
            <w:vAlign w:val="bottom"/>
          </w:tcPr>
          <w:p>
            <w:pPr>
              <w:spacing w:after="0"/>
              <w:rPr>
                <w:sz w:val="24"/>
                <w:szCs w:val="24"/>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1"/>
              </w:rPr>
              <w:t>This Agreement and the Plan constitute the entire understanding between you and the Compa</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5"/>
              </w:rPr>
              <w:t>Any prior agreements, commitments or negotiations concerning this grant are superseded;</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w w:val="91"/>
              </w:rPr>
              <w:t>employment, consulting, confidentiality, non-solicitation and/or severance agreement between</w:t>
            </w:r>
          </w:p>
        </w:tc>
        <w:tc>
          <w:tcPr>
            <w:tcW w:w="0" w:type="dxa"/>
            <w:vAlign w:val="bottom"/>
          </w:tcPr>
          <w:p>
            <w:pPr>
              <w:spacing w:after="0"/>
              <w:rPr>
                <w:sz w:val="1"/>
                <w:szCs w:val="1"/>
                <w:color w:val="auto"/>
              </w:rPr>
            </w:pPr>
          </w:p>
        </w:tc>
      </w:tr>
      <w:tr>
        <w:trPr>
          <w:trHeight w:val="201"/>
        </w:trPr>
        <w:tc>
          <w:tcPr>
            <w:tcW w:w="3260" w:type="dxa"/>
            <w:vAlign w:val="bottom"/>
          </w:tcPr>
          <w:p>
            <w:pPr>
              <w:spacing w:after="0"/>
              <w:rPr>
                <w:sz w:val="17"/>
                <w:szCs w:val="17"/>
                <w:color w:val="auto"/>
              </w:rPr>
            </w:pPr>
          </w:p>
        </w:tc>
        <w:tc>
          <w:tcPr>
            <w:tcW w:w="8080" w:type="dxa"/>
            <w:vAlign w:val="bottom"/>
            <w:gridSpan w:val="2"/>
          </w:tcPr>
          <w:p>
            <w:pPr>
              <w:ind w:left="1980"/>
              <w:spacing w:after="0"/>
              <w:rPr>
                <w:sz w:val="20"/>
                <w:szCs w:val="20"/>
                <w:color w:val="auto"/>
              </w:rPr>
            </w:pPr>
            <w:r>
              <w:rPr>
                <w:rFonts w:ascii="Arial" w:cs="Arial" w:eastAsia="Arial" w:hAnsi="Arial"/>
                <w:sz w:val="16"/>
                <w:szCs w:val="16"/>
                <w:color w:val="auto"/>
              </w:rPr>
              <w:t>any Affiliate will supersede this Agreement with respect to its subject matter.</w:t>
            </w:r>
          </w:p>
        </w:tc>
        <w:tc>
          <w:tcPr>
            <w:tcW w:w="0" w:type="dxa"/>
            <w:vAlign w:val="bottom"/>
          </w:tcPr>
          <w:p>
            <w:pPr>
              <w:spacing w:after="0"/>
              <w:rPr>
                <w:sz w:val="1"/>
                <w:szCs w:val="1"/>
                <w:color w:val="auto"/>
              </w:rPr>
            </w:pPr>
          </w:p>
        </w:tc>
      </w:tr>
      <w:tr>
        <w:trPr>
          <w:trHeight w:val="490"/>
        </w:trPr>
        <w:tc>
          <w:tcPr>
            <w:tcW w:w="3260" w:type="dxa"/>
            <w:vAlign w:val="bottom"/>
            <w:tcBorders>
              <w:bottom w:val="single" w:sz="8" w:color="9A9A9A"/>
            </w:tcBorders>
          </w:tcPr>
          <w:p>
            <w:pPr>
              <w:spacing w:after="0"/>
              <w:rPr>
                <w:sz w:val="24"/>
                <w:szCs w:val="24"/>
                <w:color w:val="auto"/>
              </w:rPr>
            </w:pPr>
          </w:p>
        </w:tc>
        <w:tc>
          <w:tcPr>
            <w:tcW w:w="802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2">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340"/>
          </w:cols>
          <w:pgMar w:left="320" w:top="407" w:right="23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b w:val="1"/>
          <w:bCs w:val="1"/>
          <w:color w:val="auto"/>
        </w:rPr>
        <w:t>Data Privacy</w:t>
      </w:r>
    </w:p>
    <w:p>
      <w:pPr>
        <w:spacing w:after="0" w:line="20" w:lineRule="exact"/>
        <w:rPr>
          <w:sz w:val="20"/>
          <w:szCs w:val="20"/>
          <w:color w:val="auto"/>
        </w:rPr>
      </w:pPr>
      <w:r>
        <w:rPr>
          <w:sz w:val="20"/>
          <w:szCs w:val="20"/>
          <w:color w:val="auto"/>
        </w:rPr>
        <w:br w:type="column"/>
      </w:r>
    </w:p>
    <w:p>
      <w:pPr>
        <w:jc w:val="both"/>
        <w:spacing w:after="0" w:line="276" w:lineRule="auto"/>
        <w:rPr>
          <w:sz w:val="20"/>
          <w:szCs w:val="20"/>
          <w:color w:val="auto"/>
        </w:rPr>
      </w:pPr>
      <w:r>
        <w:rPr>
          <w:rFonts w:ascii="Arial" w:cs="Arial" w:eastAsia="Arial" w:hAnsi="Arial"/>
          <w:sz w:val="15"/>
          <w:szCs w:val="15"/>
          <w:color w:val="auto"/>
        </w:rPr>
        <w:t>To administer the Plan, the Company may process personal data about you. Such data includ information provided in this Agreement and any changes thereto, other appropriate personal and such as your contact information, payroll information and any other information that might be d Company to facilitate the administration of the Plan.</w:t>
      </w:r>
    </w:p>
    <w:p>
      <w:pPr>
        <w:spacing w:after="0" w:line="118" w:lineRule="exact"/>
        <w:rPr>
          <w:sz w:val="20"/>
          <w:szCs w:val="20"/>
          <w:color w:val="auto"/>
        </w:rPr>
      </w:pPr>
    </w:p>
    <w:p>
      <w:pPr>
        <w:sectPr>
          <w:pgSz w:w="11900" w:h="16838" w:orient="portrait"/>
          <w:cols w:equalWidth="0" w:num="2">
            <w:col w:w="4520" w:space="720"/>
            <w:col w:w="6100"/>
          </w:cols>
          <w:pgMar w:left="320" w:top="407" w:right="239" w:bottom="1440" w:gutter="0" w:footer="0" w:header="0"/>
        </w:sectPr>
      </w:pPr>
    </w:p>
    <w:p>
      <w:pPr>
        <w:ind w:left="5240"/>
        <w:spacing w:after="0"/>
        <w:rPr>
          <w:sz w:val="20"/>
          <w:szCs w:val="20"/>
          <w:color w:val="auto"/>
        </w:rPr>
      </w:pPr>
      <w:r>
        <w:rPr>
          <w:rFonts w:ascii="Arial" w:cs="Arial" w:eastAsia="Arial" w:hAnsi="Arial"/>
          <w:sz w:val="14"/>
          <w:szCs w:val="14"/>
          <w:color w:val="auto"/>
        </w:rPr>
        <w:t>By accepting this Award, you give explicit consent to the Company to process any such personal</w:t>
      </w:r>
    </w:p>
    <w:p>
      <w:pPr>
        <w:sectPr>
          <w:pgSz w:w="11900" w:h="16838" w:orient="portrait"/>
          <w:cols w:equalWidth="0" w:num="1">
            <w:col w:w="11340"/>
          </w:cols>
          <w:pgMar w:left="320" w:top="407" w:right="23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Consequences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This Award is intended to comply with Code Section 409A, and, accordingly, to the maxim Agreement will be interpreted and administered to be in compliance with Code Section 409A. Units that vests hereunder is intended to constitute a “separate payment” for purposes of Code S “specified employee” for purposes of Code Section 409A upon your Separation from Service, shares, cash or other property that would otherwise be made on the date of your Separation fro first six months thereafter as a result of your Separation from Service) will not be made on the or and will instead be issued in a lump sum on the earlier of (i) the date that is six months and on Separation from Service or (ii) the date of your death, but if and only if such delay in the issua the imposition of taxation on you in respect of the shares, cash or property under Code Sectio anything to the contrary in the Plan or this Agreement, neither the Company, its Affiliates, the will have any obligation to take any action to prevent the assessment of any excise tax or pe Section 409A and neither the Company, its Affiliates, the Board nor the Committee will have an tax or penalty.</w:t>
      </w:r>
    </w:p>
    <w:p>
      <w:pPr>
        <w:spacing w:after="0" w:line="131" w:lineRule="exact"/>
        <w:rPr>
          <w:sz w:val="20"/>
          <w:szCs w:val="20"/>
          <w:color w:val="auto"/>
        </w:rPr>
      </w:pPr>
    </w:p>
    <w:p>
      <w:pPr>
        <w:sectPr>
          <w:pgSz w:w="11900" w:h="16838" w:orient="portrait"/>
          <w:cols w:equalWidth="0" w:num="2">
            <w:col w:w="4520" w:space="720"/>
            <w:col w:w="6100"/>
          </w:cols>
          <w:pgMar w:left="320" w:top="407" w:right="239" w:bottom="1440" w:gutter="0" w:footer="0" w:header="0"/>
          <w:type w:val="continuous"/>
        </w:sectPr>
      </w:pPr>
    </w:p>
    <w:p>
      <w:pPr>
        <w:jc w:val="center"/>
        <w:ind w:right="80"/>
        <w:spacing w:after="0"/>
        <w:rPr>
          <w:sz w:val="20"/>
          <w:szCs w:val="20"/>
          <w:color w:val="auto"/>
        </w:rPr>
      </w:pPr>
      <w:r>
        <w:rPr>
          <w:rFonts w:ascii="Arial" w:cs="Arial" w:eastAsia="Arial" w:hAnsi="Arial"/>
          <w:sz w:val="12"/>
          <w:szCs w:val="12"/>
          <w:b w:val="1"/>
          <w:bCs w:val="1"/>
          <w:i w:val="1"/>
          <w:iCs w:val="1"/>
          <w:color w:val="auto"/>
        </w:rPr>
        <w:t>By signing the Agreement, you agree to all of the terms and conditions described above and in the Plan.</w:t>
      </w:r>
    </w:p>
    <w:p>
      <w:pPr>
        <w:sectPr>
          <w:pgSz w:w="11900" w:h="16838" w:orient="portrait"/>
          <w:cols w:equalWidth="0" w:num="1">
            <w:col w:w="11340"/>
          </w:cols>
          <w:pgMar w:left="320" w:top="407" w:right="2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6"/>
          <w:szCs w:val="16"/>
          <w:b w:val="1"/>
          <w:bCs w:val="1"/>
          <w:color w:val="auto"/>
        </w:rPr>
        <w:t>EXHIBIT 23.1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9"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We consent to the incorporation by reference in Registration Statement Nos. 333-210412, 333-220172, 333-226678, 333-233083, and 333-241654 on Form S-8 and Registration Statement No. 333-233564 on Form S-3 of our report dated March 11, 2021, relating to the financial statements of Syndax Pharmaceuticals, Inc. and subsidiaries appearing in this Annual Report on Form 10-K for the year ended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March 11, 2021</w:t>
      </w:r>
    </w:p>
    <w:p>
      <w:pPr>
        <w:sectPr>
          <w:pgSz w:w="11900" w:h="16838" w:orient="portrait"/>
          <w:cols w:equalWidth="0" w:num="1">
            <w:col w:w="11260"/>
          </w:cols>
          <w:pgMar w:left="320" w:top="123" w:right="3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6"/>
          <w:szCs w:val="16"/>
          <w:b w:val="1"/>
          <w:bCs w:val="1"/>
          <w:color w:val="auto"/>
        </w:rPr>
        <w:t>Exhibit 31.1</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I, Briggs W. Morrison, M.D., certify that:</w:t>
      </w:r>
    </w:p>
    <w:p>
      <w:pPr>
        <w:spacing w:after="0" w:line="100" w:lineRule="exact"/>
        <w:rPr>
          <w:sz w:val="20"/>
          <w:szCs w:val="20"/>
          <w:color w:val="auto"/>
        </w:rPr>
      </w:pPr>
    </w:p>
    <w:p>
      <w:pPr>
        <w:ind w:left="740" w:hanging="155"/>
        <w:spacing w:after="0"/>
        <w:tabs>
          <w:tab w:leader="none" w:pos="7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Syndax Pharmaceuticals, Inc.;</w:t>
      </w:r>
    </w:p>
    <w:p>
      <w:pPr>
        <w:spacing w:after="0" w:line="194" w:lineRule="exact"/>
        <w:rPr>
          <w:rFonts w:ascii="Arial" w:cs="Arial" w:eastAsia="Arial" w:hAnsi="Arial"/>
          <w:sz w:val="16"/>
          <w:szCs w:val="16"/>
          <w:color w:val="auto"/>
        </w:rPr>
      </w:pPr>
    </w:p>
    <w:p>
      <w:pPr>
        <w:ind w:right="40" w:firstLine="585"/>
        <w:spacing w:after="0" w:line="268" w:lineRule="auto"/>
        <w:tabs>
          <w:tab w:leader="none" w:pos="748"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right="40" w:firstLine="585"/>
        <w:spacing w:after="0" w:line="268" w:lineRule="auto"/>
        <w:tabs>
          <w:tab w:leader="none" w:pos="748"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6"/>
          <w:szCs w:val="16"/>
          <w:color w:val="auto"/>
        </w:rPr>
      </w:pPr>
    </w:p>
    <w:p>
      <w:pPr>
        <w:ind w:left="740" w:hanging="155"/>
        <w:spacing w:after="0"/>
        <w:tabs>
          <w:tab w:leader="none" w:pos="7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13a-15(e) and 15d-15(e)) for the registrant and have:</w:t>
      </w:r>
    </w:p>
    <w:p>
      <w:pPr>
        <w:spacing w:after="0" w:line="88" w:lineRule="exact"/>
        <w:rPr>
          <w:rFonts w:ascii="Arial" w:cs="Arial" w:eastAsia="Arial" w:hAnsi="Arial"/>
          <w:sz w:val="14"/>
          <w:szCs w:val="14"/>
          <w:color w:val="auto"/>
        </w:rPr>
      </w:pPr>
    </w:p>
    <w:p>
      <w:pPr>
        <w:ind w:left="580" w:right="100" w:firstLine="561"/>
        <w:spacing w:after="0" w:line="257" w:lineRule="auto"/>
        <w:tabs>
          <w:tab w:leader="none" w:pos="1354"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6"/>
          <w:szCs w:val="16"/>
          <w:color w:val="auto"/>
        </w:rPr>
      </w:pPr>
    </w:p>
    <w:p>
      <w:pPr>
        <w:ind w:left="580" w:right="320" w:firstLine="561"/>
        <w:spacing w:after="0" w:line="257" w:lineRule="auto"/>
        <w:tabs>
          <w:tab w:leader="none" w:pos="1362"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6"/>
          <w:szCs w:val="16"/>
          <w:color w:val="auto"/>
        </w:rPr>
      </w:pPr>
    </w:p>
    <w:p>
      <w:pPr>
        <w:ind w:left="580" w:right="140" w:firstLine="561"/>
        <w:spacing w:after="0" w:line="268" w:lineRule="auto"/>
        <w:tabs>
          <w:tab w:leader="none" w:pos="1354"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6"/>
          <w:szCs w:val="16"/>
          <w:color w:val="auto"/>
        </w:rPr>
      </w:pPr>
    </w:p>
    <w:p>
      <w:pPr>
        <w:ind w:left="580" w:right="80" w:firstLine="561"/>
        <w:spacing w:after="0" w:line="257" w:lineRule="auto"/>
        <w:tabs>
          <w:tab w:leader="none" w:pos="1362" w:val="left"/>
        </w:tabs>
        <w:numPr>
          <w:ilvl w:val="1"/>
          <w:numId w:val="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right="340" w:firstLine="585"/>
        <w:spacing w:after="0" w:line="268" w:lineRule="auto"/>
        <w:tabs>
          <w:tab w:leader="none" w:pos="748"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6"/>
          <w:szCs w:val="16"/>
          <w:color w:val="auto"/>
        </w:rPr>
      </w:pPr>
    </w:p>
    <w:p>
      <w:pPr>
        <w:ind w:left="580" w:right="300" w:firstLine="561"/>
        <w:spacing w:after="0" w:line="268" w:lineRule="auto"/>
        <w:tabs>
          <w:tab w:leader="none" w:pos="1354"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6"/>
          <w:szCs w:val="16"/>
          <w:color w:val="auto"/>
        </w:rPr>
      </w:pPr>
    </w:p>
    <w:p>
      <w:pPr>
        <w:ind w:left="580" w:right="500" w:firstLine="561"/>
        <w:spacing w:after="0" w:line="268" w:lineRule="auto"/>
        <w:tabs>
          <w:tab w:leader="none" w:pos="1362"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Date: March 11, 2021</w:t>
      </w:r>
    </w:p>
    <w:p>
      <w:pPr>
        <w:spacing w:after="0" w:line="230" w:lineRule="exact"/>
        <w:rPr>
          <w:sz w:val="20"/>
          <w:szCs w:val="20"/>
          <w:color w:val="auto"/>
        </w:rPr>
      </w:pPr>
    </w:p>
    <w:p>
      <w:pPr>
        <w:ind w:left="6880"/>
        <w:spacing w:after="0"/>
        <w:tabs>
          <w:tab w:leader="none" w:pos="7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4597400</wp:posOffset>
            </wp:positionH>
            <wp:positionV relativeFrom="paragraph">
              <wp:posOffset>11430</wp:posOffset>
            </wp:positionV>
            <wp:extent cx="254825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3">
                      <a:extLst>
                        <a:ext uri="{28A0092B-C50C-407E-A947-70E740481C1C}"/>
                      </a:extLst>
                    </a:blip>
                    <a:srcRect/>
                    <a:stretch>
                      <a:fillRect/>
                    </a:stretch>
                  </pic:blipFill>
                  <pic:spPr bwMode="auto">
                    <a:xfrm>
                      <a:off x="0" y="0"/>
                      <a:ext cx="2548255" cy="7620"/>
                    </a:xfrm>
                    <a:prstGeom prst="rect">
                      <a:avLst/>
                    </a:prstGeom>
                    <a:noFill/>
                  </pic:spPr>
                </pic:pic>
              </a:graphicData>
            </a:graphic>
          </wp:anchor>
        </w:drawing>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Briggs W. Morrison, M.D.</w:t>
      </w:r>
    </w:p>
    <w:p>
      <w:pPr>
        <w:spacing w:after="0" w:line="1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w:t>
      </w:r>
    </w:p>
    <w:p>
      <w:pPr>
        <w:spacing w:after="0" w:line="1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60"/>
          </w:cols>
          <w:pgMar w:left="320" w:top="123" w:right="3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6"/>
          <w:szCs w:val="16"/>
          <w:b w:val="1"/>
          <w:bCs w:val="1"/>
          <w:color w:val="auto"/>
        </w:rPr>
        <w:t>Exhibit 31.2</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I, Daphne Karydas, certify that:</w:t>
      </w:r>
    </w:p>
    <w:p>
      <w:pPr>
        <w:spacing w:after="0" w:line="100" w:lineRule="exact"/>
        <w:rPr>
          <w:sz w:val="20"/>
          <w:szCs w:val="20"/>
          <w:color w:val="auto"/>
        </w:rPr>
      </w:pPr>
    </w:p>
    <w:p>
      <w:pPr>
        <w:ind w:left="740" w:hanging="155"/>
        <w:spacing w:after="0"/>
        <w:tabs>
          <w:tab w:leader="none" w:pos="7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Syndax Pharmaceuticals, Inc.;</w:t>
      </w:r>
    </w:p>
    <w:p>
      <w:pPr>
        <w:spacing w:after="0" w:line="194" w:lineRule="exact"/>
        <w:rPr>
          <w:rFonts w:ascii="Arial" w:cs="Arial" w:eastAsia="Arial" w:hAnsi="Arial"/>
          <w:sz w:val="16"/>
          <w:szCs w:val="16"/>
          <w:color w:val="auto"/>
        </w:rPr>
      </w:pPr>
    </w:p>
    <w:p>
      <w:pPr>
        <w:ind w:right="40" w:firstLine="585"/>
        <w:spacing w:after="0" w:line="268" w:lineRule="auto"/>
        <w:tabs>
          <w:tab w:leader="none" w:pos="748"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right="40" w:firstLine="585"/>
        <w:spacing w:after="0" w:line="268" w:lineRule="auto"/>
        <w:tabs>
          <w:tab w:leader="none" w:pos="748"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6"/>
          <w:szCs w:val="16"/>
          <w:color w:val="auto"/>
        </w:rPr>
      </w:pPr>
    </w:p>
    <w:p>
      <w:pPr>
        <w:ind w:left="740" w:hanging="155"/>
        <w:spacing w:after="0"/>
        <w:tabs>
          <w:tab w:leader="none" w:pos="7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13a-15(e) and 15d-15(e)) for the registrant and have:</w:t>
      </w:r>
    </w:p>
    <w:p>
      <w:pPr>
        <w:spacing w:after="0" w:line="88" w:lineRule="exact"/>
        <w:rPr>
          <w:rFonts w:ascii="Arial" w:cs="Arial" w:eastAsia="Arial" w:hAnsi="Arial"/>
          <w:sz w:val="14"/>
          <w:szCs w:val="14"/>
          <w:color w:val="auto"/>
        </w:rPr>
      </w:pPr>
    </w:p>
    <w:p>
      <w:pPr>
        <w:ind w:left="580" w:right="100" w:firstLine="561"/>
        <w:spacing w:after="0" w:line="257" w:lineRule="auto"/>
        <w:tabs>
          <w:tab w:leader="none" w:pos="1354"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6"/>
          <w:szCs w:val="16"/>
          <w:color w:val="auto"/>
        </w:rPr>
      </w:pPr>
    </w:p>
    <w:p>
      <w:pPr>
        <w:ind w:left="580" w:right="320" w:firstLine="561"/>
        <w:spacing w:after="0" w:line="257" w:lineRule="auto"/>
        <w:tabs>
          <w:tab w:leader="none" w:pos="1362"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6"/>
          <w:szCs w:val="16"/>
          <w:color w:val="auto"/>
        </w:rPr>
      </w:pPr>
    </w:p>
    <w:p>
      <w:pPr>
        <w:ind w:left="580" w:right="140" w:firstLine="561"/>
        <w:spacing w:after="0" w:line="268" w:lineRule="auto"/>
        <w:tabs>
          <w:tab w:leader="none" w:pos="1354"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6"/>
          <w:szCs w:val="16"/>
          <w:color w:val="auto"/>
        </w:rPr>
      </w:pPr>
    </w:p>
    <w:p>
      <w:pPr>
        <w:ind w:left="580" w:right="80" w:firstLine="561"/>
        <w:spacing w:after="0" w:line="257" w:lineRule="auto"/>
        <w:tabs>
          <w:tab w:leader="none" w:pos="1362"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right="340" w:firstLine="585"/>
        <w:spacing w:after="0" w:line="268" w:lineRule="auto"/>
        <w:tabs>
          <w:tab w:leader="none" w:pos="748"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6"/>
          <w:szCs w:val="16"/>
          <w:color w:val="auto"/>
        </w:rPr>
      </w:pPr>
    </w:p>
    <w:p>
      <w:pPr>
        <w:ind w:left="580" w:right="300" w:firstLine="561"/>
        <w:spacing w:after="0" w:line="268" w:lineRule="auto"/>
        <w:tabs>
          <w:tab w:leader="none" w:pos="1354"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6"/>
          <w:szCs w:val="16"/>
          <w:color w:val="auto"/>
        </w:rPr>
      </w:pPr>
    </w:p>
    <w:p>
      <w:pPr>
        <w:ind w:left="580" w:right="500" w:firstLine="561"/>
        <w:spacing w:after="0" w:line="268" w:lineRule="auto"/>
        <w:tabs>
          <w:tab w:leader="none" w:pos="1362"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Date: March 11, 2021</w:t>
      </w:r>
    </w:p>
    <w:p>
      <w:pPr>
        <w:spacing w:after="0" w:line="230" w:lineRule="exact"/>
        <w:rPr>
          <w:sz w:val="20"/>
          <w:szCs w:val="20"/>
          <w:color w:val="auto"/>
        </w:rPr>
      </w:pPr>
    </w:p>
    <w:p>
      <w:pPr>
        <w:ind w:left="6880"/>
        <w:spacing w:after="0"/>
        <w:tabs>
          <w:tab w:leader="none" w:pos="7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Daphne Karydas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4597400</wp:posOffset>
            </wp:positionH>
            <wp:positionV relativeFrom="paragraph">
              <wp:posOffset>11430</wp:posOffset>
            </wp:positionV>
            <wp:extent cx="254825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4">
                      <a:extLst>
                        <a:ext uri="{28A0092B-C50C-407E-A947-70E740481C1C}"/>
                      </a:extLst>
                    </a:blip>
                    <a:srcRect/>
                    <a:stretch>
                      <a:fillRect/>
                    </a:stretch>
                  </pic:blipFill>
                  <pic:spPr bwMode="auto">
                    <a:xfrm>
                      <a:off x="0" y="0"/>
                      <a:ext cx="2548255" cy="7620"/>
                    </a:xfrm>
                    <a:prstGeom prst="rect">
                      <a:avLst/>
                    </a:prstGeom>
                    <a:noFill/>
                  </pic:spPr>
                </pic:pic>
              </a:graphicData>
            </a:graphic>
          </wp:anchor>
        </w:drawing>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Daphne Karydas</w:t>
      </w:r>
    </w:p>
    <w:p>
      <w:pPr>
        <w:spacing w:after="0" w:line="1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Financial Officer</w:t>
      </w:r>
    </w:p>
    <w:p>
      <w:pPr>
        <w:spacing w:after="0" w:line="1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(Principal Financial Officer and Principal Accounting Officer)</w:t>
      </w:r>
    </w:p>
    <w:p>
      <w:pPr>
        <w:sectPr>
          <w:pgSz w:w="11900" w:h="16838" w:orient="portrait"/>
          <w:cols w:equalWidth="0" w:num="1">
            <w:col w:w="11260"/>
          </w:cols>
          <w:pgMar w:left="320" w:top="123" w:right="3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b w:val="1"/>
          <w:bCs w:val="1"/>
          <w:color w:val="auto"/>
        </w:rPr>
        <w:t>Exhibit 32.1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4" w:lineRule="exact"/>
        <w:rPr>
          <w:sz w:val="20"/>
          <w:szCs w:val="20"/>
          <w:color w:val="auto"/>
        </w:rPr>
      </w:pPr>
    </w:p>
    <w:p>
      <w:pPr>
        <w:ind w:right="240" w:firstLine="590"/>
        <w:spacing w:after="0" w:line="257" w:lineRule="auto"/>
        <w:rPr>
          <w:sz w:val="20"/>
          <w:szCs w:val="20"/>
          <w:color w:val="auto"/>
        </w:rPr>
      </w:pPr>
      <w:r>
        <w:rPr>
          <w:rFonts w:ascii="Arial" w:cs="Arial" w:eastAsia="Arial" w:hAnsi="Arial"/>
          <w:sz w:val="16"/>
          <w:szCs w:val="16"/>
          <w:color w:val="auto"/>
        </w:rPr>
        <w:t>In connection with the Annual Report on Form 10-K of Syndax Pharmaceuticals, Inc. (the “Company”) for the year ended December 31, 2020, as filed with the Securities and Exchange Commission on the date hereof (the “Report”), each of the undersigned officers of the Company hereby certifies, pursuant to 18 U.S.C. Section 1350, that to his or her knowledge:</w:t>
      </w:r>
    </w:p>
    <w:p>
      <w:pPr>
        <w:spacing w:after="0" w:line="167" w:lineRule="exact"/>
        <w:rPr>
          <w:sz w:val="20"/>
          <w:szCs w:val="20"/>
          <w:color w:val="auto"/>
        </w:rPr>
      </w:pPr>
    </w:p>
    <w:p>
      <w:pPr>
        <w:ind w:left="800" w:hanging="215"/>
        <w:spacing w:after="0"/>
        <w:tabs>
          <w:tab w:leader="none" w:pos="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right="1300" w:firstLine="585"/>
        <w:spacing w:after="0" w:line="515" w:lineRule="auto"/>
        <w:tabs>
          <w:tab w:leader="none" w:pos="81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March 11,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600" w:type="dxa"/>
            <w:vAlign w:val="bottom"/>
          </w:tcPr>
          <w:p>
            <w:pPr>
              <w:ind w:left="7260"/>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Briggs W. Morrison, M.D.</w:t>
            </w:r>
          </w:p>
        </w:tc>
      </w:tr>
      <w:tr>
        <w:trPr>
          <w:trHeight w:val="193"/>
        </w:trPr>
        <w:tc>
          <w:tcPr>
            <w:tcW w:w="760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Briggs W. Morrison, M.D.</w:t>
            </w:r>
          </w:p>
        </w:tc>
      </w:tr>
      <w:tr>
        <w:trPr>
          <w:trHeight w:val="201"/>
        </w:trPr>
        <w:tc>
          <w:tcPr>
            <w:tcW w:w="760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379"/>
        </w:trPr>
        <w:tc>
          <w:tcPr>
            <w:tcW w:w="7600" w:type="dxa"/>
            <w:vAlign w:val="bottom"/>
          </w:tcPr>
          <w:p>
            <w:pPr>
              <w:spacing w:after="0"/>
              <w:rPr>
                <w:sz w:val="20"/>
                <w:szCs w:val="20"/>
                <w:color w:val="auto"/>
              </w:rPr>
            </w:pPr>
            <w:r>
              <w:rPr>
                <w:rFonts w:ascii="Arial" w:cs="Arial" w:eastAsia="Arial" w:hAnsi="Arial"/>
                <w:sz w:val="16"/>
                <w:szCs w:val="16"/>
                <w:color w:val="auto"/>
              </w:rPr>
              <w:t>Date: March 11, 2021</w:t>
            </w:r>
          </w:p>
        </w:tc>
        <w:tc>
          <w:tcPr>
            <w:tcW w:w="3660" w:type="dxa"/>
            <w:vAlign w:val="bottom"/>
          </w:tcPr>
          <w:p>
            <w:pPr>
              <w:spacing w:after="0"/>
              <w:rPr>
                <w:sz w:val="24"/>
                <w:szCs w:val="24"/>
                <w:color w:val="auto"/>
              </w:rPr>
            </w:pPr>
          </w:p>
        </w:tc>
      </w:tr>
      <w:tr>
        <w:trPr>
          <w:trHeight w:val="403"/>
        </w:trPr>
        <w:tc>
          <w:tcPr>
            <w:tcW w:w="7600" w:type="dxa"/>
            <w:vAlign w:val="bottom"/>
          </w:tcPr>
          <w:p>
            <w:pPr>
              <w:ind w:left="7240"/>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Daphne Karydas</w:t>
            </w:r>
          </w:p>
        </w:tc>
      </w:tr>
      <w:tr>
        <w:trPr>
          <w:trHeight w:val="193"/>
        </w:trPr>
        <w:tc>
          <w:tcPr>
            <w:tcW w:w="760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Daphne Karydas</w:t>
            </w:r>
          </w:p>
        </w:tc>
      </w:tr>
      <w:tr>
        <w:trPr>
          <w:trHeight w:val="201"/>
        </w:trPr>
        <w:tc>
          <w:tcPr>
            <w:tcW w:w="760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1" w:lineRule="exact"/>
        <w:rPr>
          <w:sz w:val="20"/>
          <w:szCs w:val="20"/>
          <w:color w:val="auto"/>
        </w:rPr>
      </w:pPr>
    </w:p>
    <w:sectPr>
      <w:pgSz w:w="11900" w:h="16838" w:orient="portrait"/>
      <w:cols w:equalWidth="0" w:num="1">
        <w:col w:w="11260"/>
      </w:cols>
      <w:pgMar w:left="320" w:top="32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lvl w:ilvl="1">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lvl w:ilvl="1">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amp;"/>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amp;"/>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lvl w:ilvl="1">
      <w:lvlJc w:val="left"/>
      <w:lvlText w:val="%2"/>
      <w:numFmt w:val="decimal"/>
      <w:start w:val="104"/>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5"/>
    </w:lvl>
  </w:abstractNum>
  <w:abstractNum w:abstractNumId="50">
    <w:nsid w:val="70C6A529"/>
    <w:multiLevelType w:val="hybridMultilevel"/>
    <w:lvl w:ilvl="0">
      <w:lvlJc w:val="left"/>
      <w:lvlText w:val="(%1)"/>
      <w:numFmt w:val="lowerRoman"/>
      <w:start w:val="1"/>
    </w:lvl>
  </w:abstractNum>
  <w:abstractNum w:abstractNumId="51">
    <w:nsid w:val="520EEDD1"/>
    <w:multiLevelType w:val="hybridMultilevel"/>
    <w:lvl w:ilvl="0">
      <w:lvlJc w:val="left"/>
      <w:lvlText w:val="(%1)"/>
      <w:numFmt w:val="lowerRoman"/>
      <w:start w:val="2"/>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40" Type="http://schemas.openxmlformats.org/officeDocument/2006/relationships/image" Target="media/image97.png"/><Relationship Id="rId141" Type="http://schemas.openxmlformats.org/officeDocument/2006/relationships/image" Target="media/image98.png"/><Relationship Id="rId153" Type="http://schemas.openxmlformats.org/officeDocument/2006/relationships/image" Target="media/image99.png"/><Relationship Id="rId154" Type="http://schemas.openxmlformats.org/officeDocument/2006/relationships/image" Target="media/image100.png"/><Relationship Id="rId165" Type="http://schemas.openxmlformats.org/officeDocument/2006/relationships/image" Target="media/image101.png"/><Relationship Id="rId166" Type="http://schemas.openxmlformats.org/officeDocument/2006/relationships/image" Target="media/image102.png"/><Relationship Id="rId168" Type="http://schemas.openxmlformats.org/officeDocument/2006/relationships/image" Target="media/image103.png"/><Relationship Id="rId169" Type="http://schemas.openxmlformats.org/officeDocument/2006/relationships/image" Target="media/image104.png"/><Relationship Id="rId170" Type="http://schemas.openxmlformats.org/officeDocument/2006/relationships/image" Target="media/image105.png"/><Relationship Id="rId171" Type="http://schemas.openxmlformats.org/officeDocument/2006/relationships/image" Target="media/image106.png"/><Relationship Id="rId172" Type="http://schemas.openxmlformats.org/officeDocument/2006/relationships/image" Target="media/image107.png"/><Relationship Id="rId173" Type="http://schemas.openxmlformats.org/officeDocument/2006/relationships/image" Target="media/image108.png"/><Relationship Id="rId174" Type="http://schemas.openxmlformats.org/officeDocument/2006/relationships/image" Target="media/image109.png"/><Relationship Id="rId175" Type="http://schemas.openxmlformats.org/officeDocument/2006/relationships/image" Target="media/image110.png"/><Relationship Id="rId176" Type="http://schemas.openxmlformats.org/officeDocument/2006/relationships/image" Target="media/image111.png"/><Relationship Id="rId177" Type="http://schemas.openxmlformats.org/officeDocument/2006/relationships/image" Target="media/image112.png"/><Relationship Id="rId178" Type="http://schemas.openxmlformats.org/officeDocument/2006/relationships/image" Target="media/image113.png"/><Relationship Id="rId179" Type="http://schemas.openxmlformats.org/officeDocument/2006/relationships/image" Target="media/image114.png"/><Relationship Id="rId180" Type="http://schemas.openxmlformats.org/officeDocument/2006/relationships/image" Target="media/image115.png"/><Relationship Id="rId181" Type="http://schemas.openxmlformats.org/officeDocument/2006/relationships/image" Target="media/image116.png"/><Relationship Id="rId182" Type="http://schemas.openxmlformats.org/officeDocument/2006/relationships/image" Target="media/image117.png"/><Relationship Id="rId183" Type="http://schemas.openxmlformats.org/officeDocument/2006/relationships/image" Target="media/image118.png"/><Relationship Id="rId184" Type="http://schemas.openxmlformats.org/officeDocument/2006/relationships/image" Target="media/image119.png"/><Relationship Id="rId185" Type="http://schemas.openxmlformats.org/officeDocument/2006/relationships/image" Target="media/image120.png"/><Relationship Id="rId186" Type="http://schemas.openxmlformats.org/officeDocument/2006/relationships/image" Target="media/image121.png"/><Relationship Id="rId187" Type="http://schemas.openxmlformats.org/officeDocument/2006/relationships/image" Target="media/image122.png"/><Relationship Id="rId188" Type="http://schemas.openxmlformats.org/officeDocument/2006/relationships/image" Target="media/image123.png"/><Relationship Id="rId189" Type="http://schemas.openxmlformats.org/officeDocument/2006/relationships/image" Target="media/image124.png"/><Relationship Id="rId190" Type="http://schemas.openxmlformats.org/officeDocument/2006/relationships/image" Target="media/image125.png"/><Relationship Id="rId191" Type="http://schemas.openxmlformats.org/officeDocument/2006/relationships/image" Target="media/image126.png"/><Relationship Id="rId192" Type="http://schemas.openxmlformats.org/officeDocument/2006/relationships/image" Target="media/image127.png"/><Relationship Id="rId193" Type="http://schemas.openxmlformats.org/officeDocument/2006/relationships/image" Target="media/image128.png"/><Relationship Id="rId194" Type="http://schemas.openxmlformats.org/officeDocument/2006/relationships/image" Target="media/image129.png"/><Relationship Id="rId195" Type="http://schemas.openxmlformats.org/officeDocument/2006/relationships/image" Target="media/image130.png"/><Relationship Id="rId196" Type="http://schemas.openxmlformats.org/officeDocument/2006/relationships/image" Target="media/image131.png"/><Relationship Id="rId197" Type="http://schemas.openxmlformats.org/officeDocument/2006/relationships/image" Target="media/image132.png"/><Relationship Id="rId198" Type="http://schemas.openxmlformats.org/officeDocument/2006/relationships/image" Target="media/image133.png"/><Relationship Id="rId199" Type="http://schemas.openxmlformats.org/officeDocument/2006/relationships/image" Target="media/image134.png"/><Relationship Id="rId200" Type="http://schemas.openxmlformats.org/officeDocument/2006/relationships/image" Target="media/image135.png"/><Relationship Id="rId201" Type="http://schemas.openxmlformats.org/officeDocument/2006/relationships/image" Target="media/image136.png"/><Relationship Id="rId202" Type="http://schemas.openxmlformats.org/officeDocument/2006/relationships/image" Target="media/image137.png"/><Relationship Id="rId203" Type="http://schemas.openxmlformats.org/officeDocument/2006/relationships/image" Target="media/image138.png"/><Relationship Id="rId204" Type="http://schemas.openxmlformats.org/officeDocument/2006/relationships/image" Target="media/image139.png"/><Relationship Id="rId205" Type="http://schemas.openxmlformats.org/officeDocument/2006/relationships/image" Target="media/image140.png"/><Relationship Id="rId206" Type="http://schemas.openxmlformats.org/officeDocument/2006/relationships/image" Target="media/image141.png"/><Relationship Id="rId207" Type="http://schemas.openxmlformats.org/officeDocument/2006/relationships/image" Target="media/image142.png"/><Relationship Id="rId208" Type="http://schemas.openxmlformats.org/officeDocument/2006/relationships/image" Target="media/image143.png"/><Relationship Id="rId209" Type="http://schemas.openxmlformats.org/officeDocument/2006/relationships/image" Target="media/image144.png"/><Relationship Id="rId210" Type="http://schemas.openxmlformats.org/officeDocument/2006/relationships/image" Target="media/image145.png"/><Relationship Id="rId211" Type="http://schemas.openxmlformats.org/officeDocument/2006/relationships/image" Target="media/image146.png"/><Relationship Id="rId212" Type="http://schemas.openxmlformats.org/officeDocument/2006/relationships/image" Target="media/image147.png"/><Relationship Id="rId213" Type="http://schemas.openxmlformats.org/officeDocument/2006/relationships/image" Target="media/image148.png"/><Relationship Id="rId214" Type="http://schemas.openxmlformats.org/officeDocument/2006/relationships/image" Target="media/image149.png"/><Relationship Id="rId215" Type="http://schemas.openxmlformats.org/officeDocument/2006/relationships/image" Target="media/image150.png"/><Relationship Id="rId216" Type="http://schemas.openxmlformats.org/officeDocument/2006/relationships/image" Target="media/image151.png"/><Relationship Id="rId217" Type="http://schemas.openxmlformats.org/officeDocument/2006/relationships/image" Target="media/image152.png"/><Relationship Id="rId218" Type="http://schemas.openxmlformats.org/officeDocument/2006/relationships/image" Target="media/image153.png"/><Relationship Id="rId219" Type="http://schemas.openxmlformats.org/officeDocument/2006/relationships/image" Target="media/image154.png"/><Relationship Id="rId220" Type="http://schemas.openxmlformats.org/officeDocument/2006/relationships/image" Target="media/image155.png"/><Relationship Id="rId221" Type="http://schemas.openxmlformats.org/officeDocument/2006/relationships/image" Target="media/image156.png"/><Relationship Id="rId222" Type="http://schemas.openxmlformats.org/officeDocument/2006/relationships/image" Target="media/image157.png"/><Relationship Id="rId223" Type="http://schemas.openxmlformats.org/officeDocument/2006/relationships/image" Target="media/image158.png"/><Relationship Id="rId224" Type="http://schemas.openxmlformats.org/officeDocument/2006/relationships/image" Target="media/image159.png"/><Relationship Id="rId100" Type="http://schemas.openxmlformats.org/officeDocument/2006/relationships/hyperlink" Target="http://www.sec.gov/Archives/edgar/data/1395937/000119312516496764/d119516dex31.htm" TargetMode="External"/><Relationship Id="rId101" Type="http://schemas.openxmlformats.org/officeDocument/2006/relationships/hyperlink" Target="http://www.sec.gov/Archives/edgar/data/1395937/000119312516496764/d119516dex32.htm" TargetMode="External"/><Relationship Id="rId102" Type="http://schemas.openxmlformats.org/officeDocument/2006/relationships/hyperlink" Target="http://www.sec.gov/Archives/edgar/data/1395937/000119312516457615/d117131dex41.htm" TargetMode="External"/><Relationship Id="rId103" Type="http://schemas.openxmlformats.org/officeDocument/2006/relationships/hyperlink" Target="http://www.sec.gov/Archives/edgar/data/1395937/000119312518197997/d617552dex41.htm" TargetMode="External"/><Relationship Id="rId104" Type="http://schemas.openxmlformats.org/officeDocument/2006/relationships/hyperlink" Target="http://www.sec.gov/Archives/edgar/data/1395937/000119312519092679/d730757dex42.htm" TargetMode="External"/><Relationship Id="rId105" Type="http://schemas.openxmlformats.org/officeDocument/2006/relationships/hyperlink" Target="http://www.sec.gov/Archives/edgar/data/1395937/000119312520023646/d880053dex41.htm" TargetMode="External"/><Relationship Id="rId106" Type="http://schemas.openxmlformats.org/officeDocument/2006/relationships/hyperlink" Target="http://www.sec.gov/Archives/edgar/data/1395937/000156459020009016/sndx-ex45_574.htm" TargetMode="External"/><Relationship Id="rId107" Type="http://schemas.openxmlformats.org/officeDocument/2006/relationships/hyperlink" Target="http://www.sec.gov/Archives/edgar/data/1395937/000119312516420122/d39288dex103.htm" TargetMode="External"/><Relationship Id="rId108" Type="http://schemas.openxmlformats.org/officeDocument/2006/relationships/hyperlink" Target="http://www.sec.gov/Archives/edgar/data/1395937/000119312516420122/d39288dex104.htm" TargetMode="External"/><Relationship Id="rId109" Type="http://schemas.openxmlformats.org/officeDocument/2006/relationships/hyperlink" Target="http://www.sec.gov/Archives/edgar/data/1395937/000119312516420122/d39288dex105.htm" TargetMode="External"/><Relationship Id="rId112" Type="http://schemas.openxmlformats.org/officeDocument/2006/relationships/hyperlink" Target="http://www.sec.gov/Archives/edgar/data/1395937/000119312516420122/d39288dex106.htm" TargetMode="External"/><Relationship Id="rId113" Type="http://schemas.openxmlformats.org/officeDocument/2006/relationships/hyperlink" Target="http://www.sec.gov/Archives/edgar/data/1395937/000119312516420122/d39288dex107.htm" TargetMode="External"/><Relationship Id="rId114" Type="http://schemas.openxmlformats.org/officeDocument/2006/relationships/hyperlink" Target="http://www.sec.gov/Archives/edgar/data/1395937/000119312516420122/d39288dex108.htm" TargetMode="External"/><Relationship Id="rId115" Type="http://schemas.openxmlformats.org/officeDocument/2006/relationships/hyperlink" Target="http://www.sec.gov/Archives/edgar/data/1395937/000119312516420122/d39288dex109.htm" TargetMode="External"/><Relationship Id="rId116" Type="http://schemas.openxmlformats.org/officeDocument/2006/relationships/hyperlink" Target="http://www.sec.gov/Archives/edgar/data/1395937/000119312516420122/d39288dex1010.htm" TargetMode="External"/><Relationship Id="rId117" Type="http://schemas.openxmlformats.org/officeDocument/2006/relationships/hyperlink" Target="http://www.sec.gov/Archives/edgar/data/1395937/000119312516420122/d39288dex1011.htm" TargetMode="External"/><Relationship Id="rId118" Type="http://schemas.openxmlformats.org/officeDocument/2006/relationships/hyperlink" Target="http://www.sec.gov/Archives/edgar/data/1395937/000119312516420122/d39288dex1012.htm" TargetMode="External"/><Relationship Id="rId119" Type="http://schemas.openxmlformats.org/officeDocument/2006/relationships/hyperlink" Target="http://www.sec.gov/Archives/edgar/data/1395937/000119312516420122/d39288dex1013.htm" TargetMode="External"/><Relationship Id="rId120" Type="http://schemas.openxmlformats.org/officeDocument/2006/relationships/hyperlink" Target="http://www.sec.gov/Archives/edgar/data/1395937/000119312516420122/d39288dex1014.htm" TargetMode="External"/><Relationship Id="rId121" Type="http://schemas.openxmlformats.org/officeDocument/2006/relationships/hyperlink" Target="http://www.sec.gov/Archives/edgar/data/1395937/000156459020037777/sndx-ex101_313.htm" TargetMode="External"/><Relationship Id="rId122" Type="http://schemas.openxmlformats.org/officeDocument/2006/relationships/hyperlink" Target="http://www.sec.gov/Archives/edgar/data/1395937/000119312516518181/d166957dex416.htm" TargetMode="External"/><Relationship Id="rId123" Type="http://schemas.openxmlformats.org/officeDocument/2006/relationships/hyperlink" Target="http://www.sec.gov/Archives/edgar/data/1395937/000156459020022971/sndx-ex104_396.htm" TargetMode="External"/><Relationship Id="rId124" Type="http://schemas.openxmlformats.org/officeDocument/2006/relationships/hyperlink" Target="http://www.sec.gov/Archives/edgar/data/1395937/000156459020022971/sndx-ex105_395.htm" TargetMode="External"/><Relationship Id="rId125" Type="http://schemas.openxmlformats.org/officeDocument/2006/relationships/hyperlink" Target="http://www.sec.gov/Archives/edgar/data/1395937/000156459020022971/sndx-ex106_394.htm" TargetMode="External"/><Relationship Id="rId128" Type="http://schemas.openxmlformats.org/officeDocument/2006/relationships/hyperlink" Target="http://www.sec.gov/Archives/edgar/data/1395937/000156459020051287/sndx-ex101_13.htm" TargetMode="External"/><Relationship Id="rId129" Type="http://schemas.openxmlformats.org/officeDocument/2006/relationships/hyperlink" Target="http://www.sec.gov/Archives/edgar/data/1395937/000156459020022971/sndx-ex103_505.htm" TargetMode="External"/><Relationship Id="rId130" Type="http://schemas.openxmlformats.org/officeDocument/2006/relationships/hyperlink" Target="http://www.sec.gov/Archives/edgar/data/1395937/000119312516420122/d39288dex1021.htm" TargetMode="External"/><Relationship Id="rId131" Type="http://schemas.openxmlformats.org/officeDocument/2006/relationships/hyperlink" Target="http://www.sec.gov/Archives/edgar/data/1395937/000119312516420122/d39288dex1022.htm" TargetMode="External"/><Relationship Id="rId132" Type="http://schemas.openxmlformats.org/officeDocument/2006/relationships/hyperlink" Target="http://www.sec.gov/Archives/edgar/data/1395937/000119312516420122/d39288dex1023.htm" TargetMode="External"/><Relationship Id="rId133" Type="http://schemas.openxmlformats.org/officeDocument/2006/relationships/hyperlink" Target="http://www.sec.gov/Archives/edgar/data/1395937/000119312516420122/d39288dex1024.htm" TargetMode="External"/><Relationship Id="rId134" Type="http://schemas.openxmlformats.org/officeDocument/2006/relationships/hyperlink" Target="http://www.sec.gov/Archives/edgar/data/1395937/000119312516420122/d39288dex1025.htm" TargetMode="External"/><Relationship Id="rId135" Type="http://schemas.openxmlformats.org/officeDocument/2006/relationships/hyperlink" Target="http://www.sec.gov/Archives/edgar/data/1395937/000119312516420122/d39288dex1026.htm" TargetMode="External"/><Relationship Id="rId136" Type="http://schemas.openxmlformats.org/officeDocument/2006/relationships/hyperlink" Target="http://www.sec.gov/Archives/edgar/data/1395937/000119312516420122/d39288dex1027.htm" TargetMode="External"/><Relationship Id="rId137" Type="http://schemas.openxmlformats.org/officeDocument/2006/relationships/hyperlink" Target="http://www.sec.gov/Archives/edgar/data/1395937/000119312516420122/d39288dex1028.htm" TargetMode="External"/><Relationship Id="rId138" Type="http://schemas.openxmlformats.org/officeDocument/2006/relationships/hyperlink" Target="http://www.sec.gov/Archives/edgar/data/1395937/000119312516470686/d117131dex1037.htm" TargetMode="External"/><Relationship Id="rId139" Type="http://schemas.openxmlformats.org/officeDocument/2006/relationships/hyperlink" Target="http://www.sec.gov/Archives/edgar/data/1395937/000119312516681546/d225217dex101.htm" TargetMode="External"/><Relationship Id="rId142" Type="http://schemas.openxmlformats.org/officeDocument/2006/relationships/hyperlink" Target="http://www.sec.gov/Archives/edgar/data/1395937/000119312516681546/d225217dex102.htm" TargetMode="External"/><Relationship Id="rId143" Type="http://schemas.openxmlformats.org/officeDocument/2006/relationships/hyperlink" Target="http://www.sec.gov/Archives/edgar/data/1395937/000119312516681546/d225217dex103.htm" TargetMode="External"/><Relationship Id="rId144" Type="http://schemas.openxmlformats.org/officeDocument/2006/relationships/hyperlink" Target="http://www.sec.gov/Archives/edgar/data/1395937/000119312516681546/d225217dex104.htm" TargetMode="External"/><Relationship Id="rId145" Type="http://schemas.openxmlformats.org/officeDocument/2006/relationships/hyperlink" Target="http://www.sec.gov/Archives/edgar/data/0001395937/000119312517163872/d380147dex101.htm" TargetMode="External"/><Relationship Id="rId146" Type="http://schemas.openxmlformats.org/officeDocument/2006/relationships/hyperlink" Target="http://www.sec.gov/Archives/edgar/data/0001395937/000119312517163872/d380147dex103.htm" TargetMode="External"/><Relationship Id="rId147" Type="http://schemas.openxmlformats.org/officeDocument/2006/relationships/hyperlink" Target="http://www.sec.gov/Archives/edgar/data/1395937/000156459018004911/sndx-ex1034_508.htm" TargetMode="External"/><Relationship Id="rId148" Type="http://schemas.openxmlformats.org/officeDocument/2006/relationships/hyperlink" Target="http://www.sec.gov/Archives/edgar/data/1395937/000156459019006772/sndx-ex1035_353.htm" TargetMode="External"/><Relationship Id="rId149" Type="http://schemas.openxmlformats.org/officeDocument/2006/relationships/hyperlink" Target="http://www.sec.gov/Archives/edgar/data/1395937/000156459019041719/sndx-ex101_184.htm" TargetMode="External"/><Relationship Id="rId150" Type="http://schemas.openxmlformats.org/officeDocument/2006/relationships/hyperlink" Target="http://www.sec.gov/Archives/edgar/data/1395937/000156459020037777/sndx-ex102_314.htm" TargetMode="External"/><Relationship Id="rId151" Type="http://schemas.openxmlformats.org/officeDocument/2006/relationships/hyperlink" Target="http://www.sec.gov/Archives/edgar/data/1395937/000119312516420122/d39288dex1033.htm" TargetMode="External"/><Relationship Id="rId152" Type="http://schemas.openxmlformats.org/officeDocument/2006/relationships/hyperlink" Target="http://www.sec.gov/Archives/edgar/data/1395937/000119312516420122/d39288dex1034.htm" TargetMode="External"/><Relationship Id="rId155" Type="http://schemas.openxmlformats.org/officeDocument/2006/relationships/hyperlink" Target="http://www.sec.gov/Archives/edgar/data/1395937/000119312516470686/d117131dex1039.htm" TargetMode="External"/><Relationship Id="rId156" Type="http://schemas.openxmlformats.org/officeDocument/2006/relationships/hyperlink" Target="http://www.sec.gov/Archives/edgar/data/0001395937/000119312517163872/d380147dex102.htm" TargetMode="External"/><Relationship Id="rId157" Type="http://schemas.openxmlformats.org/officeDocument/2006/relationships/hyperlink" Target="http://www.sec.gov/Archives/edgar/data/1395937/000119312516733845/d250701dex101.htm" TargetMode="External"/><Relationship Id="rId158" Type="http://schemas.openxmlformats.org/officeDocument/2006/relationships/hyperlink" Target="http://www.sec.gov/Archives/edgar/data/0001395937/000119312517163872/d380147dex104.htm" TargetMode="External"/><Relationship Id="rId159" Type="http://schemas.openxmlformats.org/officeDocument/2006/relationships/hyperlink" Target="http://www.sec.gov/Archives/edgar/data/1395937/000156459019041719/sndx-ex102_185.htm" TargetMode="External"/><Relationship Id="rId160" Type="http://schemas.openxmlformats.org/officeDocument/2006/relationships/hyperlink" Target="http://www.sec.gov/Archives/edgar/data/1395937/000119312516420122/d39288dex101.htm" TargetMode="External"/><Relationship Id="rId161" Type="http://schemas.openxmlformats.org/officeDocument/2006/relationships/hyperlink" Target="http://www.sec.gov/Archives/edgar/data/1395937/000156459018004911/sndx-ex1047_509.htm" TargetMode="External"/><Relationship Id="rId162" Type="http://schemas.openxmlformats.org/officeDocument/2006/relationships/hyperlink" Target="http://www.sec.gov/Archives/edgar/data/1395937/000156459019017318/sndx-ex101_122.htm" TargetMode="External"/><Relationship Id="rId163" Type="http://schemas.openxmlformats.org/officeDocument/2006/relationships/hyperlink" Target="http://www.sec.gov/Archives/edgar/data/1395937/000119312518197997/d617552dex101.htm" TargetMode="External"/><Relationship Id="rId164" Type="http://schemas.openxmlformats.org/officeDocument/2006/relationships/hyperlink" Target="http://www.sec.gov/Archives/edgar/data/1395937/000156459020022971/sndx-ex102_933.htm" TargetMode="External"/><Relationship Id="rId167" Type="http://schemas.openxmlformats.org/officeDocument/2006/relationships/hyperlink" Target="http://www.sec.gov/Archives/edgar/data/1395937/000119312516420122/d3928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2021-03-12T05:22:20Z</dcterms:created>
  <dcterms:modified xsi:type="dcterms:W3CDTF">2021-03-12T05:22:20Z</dcterms:modified>
</cp:coreProperties>
</file>