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6" w:space="1" w:color="000000"/>
        </w:pBdr>
        <w:bidi w:val="0"/>
        <w:jc w:val="center"/>
        <w:rPr>
          <w:rFonts w:ascii="Times New Roman" w:hAnsi="Times New Roman"/>
          <w:sz w:val="20"/>
        </w:rPr>
      </w:pPr>
      <w:bookmarkStart w:id="0" w:name="sndx-20251231.htm"/>
      <w:bookmarkStart w:id="1" w:name="kssndx20251231"/>
      <w:bookmarkEnd w:id="0"/>
      <w:bookmarkEnd w:id="1"/>
      <w:r>
        <w:rPr>
          <w:rFonts w:ascii="Times New Roman" w:hAnsi="Times New Roman"/>
          <w:color w:val="000000"/>
          <w:sz w:val="2"/>
        </w:rPr>
        <w:t>uitysbe6884,826,632</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36"/>
        </w:rPr>
        <w:t>FORM 10-K</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b/>
          <w:color w:val="000000"/>
          <w:sz w:val="18"/>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16"/>
        </w:rPr>
        <w:t>ANNUAL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For the Fiscal Year Ended December 31, 2025</w:t>
      </w:r>
    </w:p>
    <w:p>
      <w:pPr>
        <w:pStyle w:val="TextBody"/>
        <w:bidi w:val="0"/>
        <w:spacing w:before="60" w:after="283"/>
        <w:jc w:val="center"/>
        <w:rPr>
          <w:rFonts w:ascii="Times New Roman" w:hAnsi="Times New Roman"/>
          <w:sz w:val="20"/>
        </w:rPr>
      </w:pPr>
      <w:r>
        <w:rPr>
          <w:rFonts w:ascii="Times New Roman" w:hAnsi="Times New Roman"/>
          <w:b/>
          <w:color w:val="000000"/>
          <w:sz w:val="16"/>
        </w:rPr>
        <w:t>OR</w:t>
      </w:r>
      <w:r>
        <w:rPr>
          <w:rFonts w:ascii="Times New Roman" w:hAnsi="Times New Roman"/>
          <w:color w:val="000000"/>
          <w:sz w:val="20"/>
        </w:rPr>
        <w:t xml:space="preserve"> </w:t>
      </w:r>
    </w:p>
    <w:p>
      <w:pPr>
        <w:pStyle w:val="TextBody"/>
        <w:bidi w:val="0"/>
        <w:spacing w:before="60" w:after="283"/>
        <w:jc w:val="left"/>
        <w:rPr/>
      </w:pPr>
      <w:r>
        <w:rPr>
          <w:color w:val="000000"/>
        </w:rPr>
        <w:t xml:space="preserve">☐ </w:t>
      </w:r>
      <w:r>
        <w:rPr>
          <w:rFonts w:ascii="Times New Roman" w:hAnsi="Times New Roman"/>
          <w:b/>
          <w:color w:val="000000"/>
          <w:sz w:val="16"/>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For the Transition Period from</w:t>
      </w:r>
      <w:r>
        <w:rPr>
          <w:rFonts w:ascii="Times New Roman" w:hAnsi="Times New Roman"/>
          <w:color w:val="000000"/>
          <w:sz w:val="20"/>
          <w:u w:val="single"/>
        </w:rPr>
        <w:t xml:space="preserve"> </w:t>
      </w:r>
      <w:r>
        <w:rPr>
          <w:rFonts w:ascii="Times New Roman" w:hAnsi="Times New Roman"/>
          <w:b/>
          <w:color w:val="000000"/>
          <w:sz w:val="16"/>
        </w:rPr>
        <w:t>to</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16"/>
        </w:rPr>
        <w:t>Commission File Number: 001-37708</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r>
        <w:rPr>
          <w:rFonts w:ascii="Times New Roman" w:hAnsi="Times New Roman"/>
          <w:b/>
          <w:color w:val="000000"/>
          <w:sz w:val="40"/>
        </w:rPr>
        <w:t>Syndax Pharmaceuticals,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5418" w:type="dxa"/>
        <w:jc w:val="left"/>
        <w:tblInd w:w="0" w:type="dxa"/>
        <w:tblLayout w:type="fixed"/>
        <w:tblCellMar>
          <w:top w:w="28" w:type="dxa"/>
          <w:left w:w="28" w:type="dxa"/>
          <w:bottom w:w="28" w:type="dxa"/>
          <w:right w:w="28" w:type="dxa"/>
        </w:tblCellMar>
      </w:tblPr>
      <w:tblGrid>
        <w:gridCol w:w="2026"/>
        <w:gridCol w:w="1876"/>
        <w:gridCol w:w="1516"/>
      </w:tblGrid>
      <w:tr>
        <w:trPr/>
        <w:tc>
          <w:tcPr>
            <w:tcW w:w="202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87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8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2834</w:t>
            </w:r>
          </w:p>
        </w:tc>
        <w:tc>
          <w:tcPr>
            <w:tcW w:w="15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32-0162505</w:t>
            </w:r>
          </w:p>
        </w:tc>
      </w:tr>
      <w:tr>
        <w:trPr/>
        <w:tc>
          <w:tcPr>
            <w:tcW w:w="20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Incorporation or Organization)</w:t>
            </w:r>
          </w:p>
        </w:tc>
        <w:tc>
          <w:tcPr>
            <w:tcW w:w="187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(Primary Standard Industrial</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Classification Code Number)</w:t>
            </w:r>
          </w:p>
        </w:tc>
        <w:tc>
          <w:tcPr>
            <w:tcW w:w="15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0"/>
              <w:jc w:val="center"/>
              <w:rPr>
                <w:rFonts w:ascii="Times New Roman" w:hAnsi="Times New Roman"/>
                <w:b/>
                <w:color w:val="000000"/>
                <w:sz w:val="14"/>
              </w:rPr>
            </w:pPr>
            <w:r>
              <w:rPr>
                <w:rFonts w:ascii="Times New Roman" w:hAnsi="Times New Roman"/>
                <w:b/>
                <w:color w:val="000000"/>
                <w:sz w:val="14"/>
              </w:rPr>
              <w:t>Identification Number)</w:t>
            </w:r>
          </w:p>
        </w:tc>
      </w:tr>
    </w:tbl>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 xml:space="preserve">730 Third Avenue, 9th Floor </w:t>
      </w:r>
    </w:p>
    <w:p>
      <w:pPr>
        <w:pStyle w:val="TextBody"/>
        <w:bidi w:val="0"/>
        <w:spacing w:before="20" w:after="283"/>
        <w:jc w:val="center"/>
        <w:rPr>
          <w:rFonts w:ascii="Times New Roman" w:hAnsi="Times New Roman"/>
          <w:b/>
          <w:color w:val="000000"/>
          <w:sz w:val="16"/>
        </w:rPr>
      </w:pPr>
      <w:r>
        <w:rPr>
          <w:rFonts w:ascii="Times New Roman" w:hAnsi="Times New Roman"/>
          <w:b/>
          <w:color w:val="000000"/>
          <w:sz w:val="16"/>
        </w:rPr>
        <w:t xml:space="preserve">New York, NY 10017 </w:t>
      </w:r>
    </w:p>
    <w:p>
      <w:pPr>
        <w:pStyle w:val="TextBody"/>
        <w:bidi w:val="0"/>
        <w:spacing w:before="60" w:after="283"/>
        <w:jc w:val="center"/>
        <w:rPr>
          <w:rFonts w:ascii="Times New Roman" w:hAnsi="Times New Roman"/>
          <w:sz w:val="20"/>
        </w:rPr>
      </w:pPr>
      <w:r>
        <w:rPr>
          <w:rFonts w:ascii="Times New Roman" w:hAnsi="Times New Roman"/>
          <w:b/>
          <w:color w:val="000000"/>
          <w:sz w:val="16"/>
        </w:rPr>
        <w:t>(781) 419-1400</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4"/>
        </w:rPr>
        <w:t>(Address, Including Zip Code, and Telephone Number, Including Area Code, of Registrant’s Principal Executive Offices)</w:t>
      </w:r>
      <w:r>
        <w:rPr>
          <w:rFonts w:ascii="Times New Roman" w:hAnsi="Times New Roman"/>
          <w:color w:val="000000"/>
          <w:sz w:val="20"/>
        </w:rPr>
        <w:t xml:space="preserve"> </w:t>
      </w:r>
    </w:p>
    <w:p>
      <w:pPr>
        <w:pStyle w:val="TextBody"/>
        <w:bidi w:val="0"/>
        <w:spacing w:before="20" w:after="283"/>
        <w:jc w:val="center"/>
        <w:rPr>
          <w:rFonts w:ascii="Times New Roman" w:hAnsi="Times New Roman"/>
          <w:sz w:val="20"/>
        </w:rPr>
      </w:pPr>
      <w:r>
        <w:rPr>
          <w:rFonts w:ascii="Times New Roman" w:hAnsi="Times New Roman"/>
          <w:b/>
          <w:color w:val="000000"/>
          <w:sz w:val="14"/>
        </w:rPr>
        <w:t>Securities registered pursuant to Section 12(b) of the Act:</w:t>
      </w:r>
      <w:r>
        <w:rPr>
          <w:rFonts w:ascii="Times New Roman" w:hAnsi="Times New Roman"/>
          <w:color w:val="000000"/>
          <w:sz w:val="20"/>
        </w:rPr>
        <w:t xml:space="preserve"> </w:t>
      </w:r>
    </w:p>
    <w:p>
      <w:pPr>
        <w:pStyle w:val="TextBody"/>
        <w:bidi w:val="0"/>
        <w:spacing w:before="20" w:after="283"/>
        <w:jc w:val="center"/>
        <w:rPr/>
      </w:pPr>
      <w:r>
        <w:rPr/>
        <w:t> </w:t>
      </w:r>
    </w:p>
    <w:tbl>
      <w:tblPr>
        <w:tblW w:w="6498" w:type="dxa"/>
        <w:jc w:val="left"/>
        <w:tblInd w:w="0" w:type="dxa"/>
        <w:tblLayout w:type="fixed"/>
        <w:tblCellMar>
          <w:top w:w="28" w:type="dxa"/>
          <w:left w:w="28" w:type="dxa"/>
          <w:bottom w:w="28" w:type="dxa"/>
          <w:right w:w="28" w:type="dxa"/>
        </w:tblCellMar>
      </w:tblPr>
      <w:tblGrid>
        <w:gridCol w:w="1456"/>
        <w:gridCol w:w="1561"/>
        <w:gridCol w:w="3481"/>
      </w:tblGrid>
      <w:tr>
        <w:trPr/>
        <w:tc>
          <w:tcPr>
            <w:tcW w:w="145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1456" w:type="dxa"/>
            <w:tcBorders>
              <w:top w:val="single" w:sz="4" w:space="0" w:color="000000"/>
              <w:left w:val="single" w:sz="4" w:space="0" w:color="000000"/>
              <w:bottom w:val="single" w:sz="4" w:space="0" w:color="000000"/>
              <w:right w:val="single" w:sz="4" w:space="0" w:color="000000"/>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Title of each class</w:t>
            </w:r>
          </w:p>
        </w:tc>
        <w:tc>
          <w:tcPr>
            <w:tcW w:w="156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Trading Symbol(s)</w:t>
            </w:r>
          </w:p>
        </w:tc>
        <w:tc>
          <w:tcPr>
            <w:tcW w:w="3481" w:type="dxa"/>
            <w:tcBorders>
              <w:top w:val="single" w:sz="4" w:space="0" w:color="000000"/>
              <w:bottom w:val="single" w:sz="4" w:space="0" w:color="000000"/>
              <w:right w:val="single" w:sz="4" w:space="0" w:color="000000"/>
            </w:tcBorders>
            <w:shd w:fill="FFFFFF" w:val="clear"/>
            <w:tcMar>
              <w:lef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Name of each exchange on which registered</w:t>
            </w:r>
          </w:p>
        </w:tc>
      </w:tr>
      <w:tr>
        <w:trPr/>
        <w:tc>
          <w:tcPr>
            <w:tcW w:w="1456" w:type="dxa"/>
            <w:tcBorders>
              <w:left w:val="single" w:sz="4" w:space="0" w:color="000000"/>
              <w:bottom w:val="single" w:sz="4" w:space="0" w:color="000000"/>
              <w:right w:val="single" w:sz="4" w:space="0" w:color="000000"/>
            </w:tcBorders>
            <w:shd w:fill="FFFFFF" w:val="clear"/>
            <w:tcMar>
              <w:top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Common Stock</w:t>
            </w:r>
          </w:p>
        </w:tc>
        <w:tc>
          <w:tcPr>
            <w:tcW w:w="156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SNDX</w:t>
            </w:r>
          </w:p>
        </w:tc>
        <w:tc>
          <w:tcPr>
            <w:tcW w:w="3481" w:type="dxa"/>
            <w:tcBorders>
              <w:bottom w:val="single" w:sz="4" w:space="0" w:color="000000"/>
              <w:right w:val="single" w:sz="4" w:space="0" w:color="000000"/>
            </w:tcBorders>
            <w:shd w:fill="FFFFFF" w:val="clear"/>
            <w:tcMar>
              <w:top w:w="0" w:type="dxa"/>
              <w:lef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283"/>
        <w:jc w:val="center"/>
        <w:rPr>
          <w:rFonts w:ascii="Times New Roman" w:hAnsi="Times New Roman"/>
          <w:sz w:val="20"/>
        </w:rPr>
      </w:pPr>
      <w:r>
        <w:rPr>
          <w:rFonts w:ascii="Times New Roman" w:hAnsi="Times New Roman"/>
          <w:b/>
          <w:color w:val="000000"/>
          <w:sz w:val="18"/>
        </w:rPr>
        <w:t>Securities registered pursuant to Section 12(g) of the Act: None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a well-known seasoned issuer, as defined in Rule 405 of the Securities Act.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if the registrant is not required to file reports pursuant to Section 13 or 15(d) of the Securities Act. Yes ☐ No</w:t>
      </w:r>
      <w:r>
        <w:rPr>
          <w:rFonts w:ascii="Times New Roman" w:hAnsi="Times New Roman"/>
          <w:color w:val="000000"/>
          <w:sz w:val="20"/>
        </w:rPr>
        <w:t xml:space="preserve"> ☒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p>
      <w:pPr>
        <w:pStyle w:val="TextBody"/>
        <w:bidi w:val="0"/>
        <w:jc w:val="left"/>
        <w:rPr/>
      </w:pPr>
      <w:r>
        <w:rPr/>
        <w:t> </w:t>
      </w:r>
    </w:p>
    <w:tbl>
      <w:tblPr>
        <w:tblW w:w="4804" w:type="dxa"/>
        <w:jc w:val="left"/>
        <w:tblInd w:w="0" w:type="dxa"/>
        <w:tblLayout w:type="fixed"/>
        <w:tblCellMar>
          <w:top w:w="28" w:type="dxa"/>
          <w:left w:w="28" w:type="dxa"/>
          <w:bottom w:w="28" w:type="dxa"/>
          <w:right w:w="28" w:type="dxa"/>
        </w:tblCellMar>
      </w:tblPr>
      <w:tblGrid>
        <w:gridCol w:w="2041"/>
        <w:gridCol w:w="316"/>
        <w:gridCol w:w="2086"/>
        <w:gridCol w:w="361"/>
      </w:tblGrid>
      <w:tr>
        <w:trPr/>
        <w:tc>
          <w:tcPr>
            <w:tcW w:w="204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283"/>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accounting standards provided pursuant to Section 13(a) of the Exchange Act. ☐</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7"/>
        </w:rPr>
        <w:t>If securities are registered pursuant to Section 12(b) of the Act, indicate by check mark whether the financial statements of the registrant included in the filing reflect the correction of an error to previously issued financial statements.</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231F20"/>
          <w:sz w:val="17"/>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 xml:space="preserve">☒ </w:t>
      </w:r>
    </w:p>
    <w:p>
      <w:pPr>
        <w:pStyle w:val="TextBody"/>
        <w:bidi w:val="0"/>
        <w:spacing w:before="6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60" w:after="283"/>
        <w:jc w:val="left"/>
        <w:rPr>
          <w:rFonts w:ascii="Times New Roman" w:hAnsi="Times New Roman"/>
          <w:sz w:val="20"/>
        </w:rPr>
      </w:pPr>
      <w:r>
        <w:rPr>
          <w:rFonts w:ascii="Times New Roman" w:hAnsi="Times New Roman"/>
          <w:color w:val="000000"/>
          <w:sz w:val="17"/>
        </w:rPr>
        <w:t>The aggregate market value of the voting and non-voting of common equity held by non-affiliates of the registrant was $799.2</w:t>
      </w:r>
      <w:r>
        <w:rPr>
          <w:rFonts w:ascii="Times New Roman" w:hAnsi="Times New Roman"/>
          <w:color w:val="000000"/>
          <w:sz w:val="20"/>
        </w:rPr>
        <w:t xml:space="preserve"> </w:t>
      </w:r>
      <w:r>
        <w:rPr>
          <w:rFonts w:ascii="Times New Roman" w:hAnsi="Times New Roman"/>
          <w:color w:val="000000"/>
          <w:sz w:val="17"/>
        </w:rPr>
        <w:t>million</w:t>
      </w:r>
      <w:r>
        <w:rPr>
          <w:rFonts w:ascii="Times New Roman" w:hAnsi="Times New Roman"/>
          <w:color w:val="000000"/>
          <w:sz w:val="20"/>
        </w:rPr>
        <w:t xml:space="preserve"> </w:t>
      </w:r>
      <w:r>
        <w:rPr>
          <w:rFonts w:ascii="Times New Roman" w:hAnsi="Times New Roman"/>
          <w:color w:val="000000"/>
          <w:sz w:val="17"/>
        </w:rPr>
        <w:t>as of June 30, 2025 based on the closing price of $9.36 as reported on the Nasdaq Global Select Market on such date. Shares of the registrant's common stock held by executive officers, directors, and their affiliates have been excluded from this calculation. The determination of affiliate status is not necessarily a conclusive determination for other purposes.</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left"/>
        <w:rPr>
          <w:rFonts w:ascii="Times New Roman" w:hAnsi="Times New Roman"/>
          <w:sz w:val="20"/>
        </w:rPr>
      </w:pPr>
      <w:r>
        <w:rPr>
          <w:rFonts w:ascii="Times New Roman" w:hAnsi="Times New Roman"/>
          <w:color w:val="000000"/>
          <w:sz w:val="17"/>
        </w:rPr>
        <w:t>As of February 23, 2026, there were 88,200,596</w:t>
      </w:r>
      <w:r>
        <w:rPr>
          <w:rFonts w:ascii="Times New Roman" w:hAnsi="Times New Roman"/>
          <w:color w:val="000000"/>
          <w:sz w:val="20"/>
        </w:rPr>
        <w:t xml:space="preserve"> </w:t>
      </w:r>
      <w:r>
        <w:rPr>
          <w:rFonts w:ascii="Times New Roman" w:hAnsi="Times New Roman"/>
          <w:color w:val="000000"/>
          <w:sz w:val="17"/>
        </w:rPr>
        <w:t>shares</w:t>
      </w:r>
      <w:r>
        <w:rPr>
          <w:rFonts w:ascii="Times New Roman" w:hAnsi="Times New Roman"/>
          <w:color w:val="000000"/>
          <w:sz w:val="20"/>
        </w:rPr>
        <w:t xml:space="preserve"> </w:t>
      </w:r>
      <w:r>
        <w:rPr>
          <w:rFonts w:ascii="Times New Roman" w:hAnsi="Times New Roman"/>
          <w:color w:val="000000"/>
          <w:sz w:val="17"/>
        </w:rPr>
        <w:t>of common stock outstanding.</w:t>
      </w:r>
      <w:r>
        <w:rPr>
          <w:rFonts w:ascii="Times New Roman" w:hAnsi="Times New Roman"/>
          <w:color w:val="000000"/>
          <w:sz w:val="20"/>
        </w:rPr>
        <w:t xml:space="preserve"> </w:t>
      </w:r>
    </w:p>
    <w:p>
      <w:pPr>
        <w:pStyle w:val="TextBody"/>
        <w:bidi w:val="0"/>
        <w:spacing w:before="60" w:after="283"/>
        <w:jc w:val="left"/>
        <w:rPr/>
      </w:pPr>
      <w:r>
        <w:rPr/>
        <w:t> </w:t>
      </w:r>
    </w:p>
    <w:p>
      <w:pPr>
        <w:pStyle w:val="TextBody"/>
        <w:bidi w:val="0"/>
        <w:spacing w:before="60" w:after="283"/>
        <w:jc w:val="center"/>
        <w:rPr>
          <w:rFonts w:ascii="Times New Roman" w:hAnsi="Times New Roman"/>
          <w:sz w:val="20"/>
        </w:rPr>
      </w:pPr>
      <w:r>
        <w:rPr>
          <w:rFonts w:ascii="Times New Roman" w:hAnsi="Times New Roman"/>
          <w:b/>
          <w:color w:val="000000"/>
          <w:sz w:val="17"/>
        </w:rPr>
        <w:t>DOCUMENTS INCORPORATED BY REFERENCE</w:t>
      </w:r>
      <w:r>
        <w:rPr>
          <w:rFonts w:ascii="Times New Roman" w:hAnsi="Times New Roman"/>
          <w:color w:val="000000"/>
          <w:sz w:val="20"/>
        </w:rPr>
        <w:t xml:space="preserve"> </w:t>
      </w:r>
    </w:p>
    <w:p>
      <w:pPr>
        <w:pStyle w:val="TextBody"/>
        <w:bidi w:val="0"/>
        <w:spacing w:before="60" w:after="283"/>
        <w:jc w:val="left"/>
        <w:rPr>
          <w:rFonts w:ascii="Times New Roman" w:hAnsi="Times New Roman"/>
          <w:sz w:val="20"/>
        </w:rPr>
      </w:pPr>
      <w:r>
        <w:rPr>
          <w:rFonts w:ascii="Times New Roman" w:hAnsi="Times New Roman"/>
          <w:color w:val="000000"/>
          <w:sz w:val="17"/>
        </w:rPr>
        <w:t>Portions of the registrant’s definitive proxy statement for its 2025 Annual Meeting of Stockholders, which the registrant intends to file pursuant to Regulation 14A with the Securities and Exchange Commission not later than 120 days after the registrant’s fiscal year ended December 31, 2025, are incorporated by reference into Part III of this Annual Report on Form 10-K.</w:t>
      </w:r>
      <w:r>
        <w:rPr>
          <w:rFonts w:ascii="Times New Roman" w:hAnsi="Times New Roman"/>
          <w:color w:val="000000"/>
          <w:sz w:val="20"/>
        </w:rPr>
        <w:t xml:space="preserve"> </w:t>
      </w:r>
    </w:p>
    <w:p>
      <w:pPr>
        <w:pStyle w:val="TextBody"/>
        <w:bidi w:val="0"/>
        <w:spacing w:before="60" w:after="283"/>
        <w:jc w:val="left"/>
        <w:rPr/>
      </w:pPr>
      <w:r>
        <w:rPr/>
        <w:t> </w:t>
      </w:r>
    </w:p>
    <w:tbl>
      <w:tblPr>
        <w:tblW w:w="7611" w:type="dxa"/>
        <w:jc w:val="left"/>
        <w:tblInd w:w="0" w:type="dxa"/>
        <w:tblLayout w:type="fixed"/>
        <w:tblCellMar>
          <w:top w:w="28" w:type="dxa"/>
          <w:left w:w="28" w:type="dxa"/>
          <w:bottom w:w="28" w:type="dxa"/>
          <w:right w:w="28" w:type="dxa"/>
        </w:tblCellMar>
      </w:tblPr>
      <w:tblGrid>
        <w:gridCol w:w="1276"/>
        <w:gridCol w:w="376"/>
        <w:gridCol w:w="1186"/>
        <w:gridCol w:w="1741"/>
        <w:gridCol w:w="1351"/>
        <w:gridCol w:w="1681"/>
      </w:tblGrid>
      <w:tr>
        <w:trPr/>
        <w:tc>
          <w:tcPr>
            <w:tcW w:w="127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r>
      <w:tr>
        <w:trPr/>
        <w:tc>
          <w:tcPr>
            <w:tcW w:w="12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Auditor Firm Id:</w:t>
            </w:r>
          </w:p>
        </w:tc>
        <w:tc>
          <w:tcPr>
            <w:tcW w:w="37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#34</w:t>
            </w:r>
          </w:p>
        </w:tc>
        <w:tc>
          <w:tcPr>
            <w:tcW w:w="11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 xml:space="preserve">Auditor Name: </w:t>
            </w:r>
          </w:p>
        </w:tc>
        <w:tc>
          <w:tcPr>
            <w:tcW w:w="17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Deloitte &amp; Touche LLP</w:t>
            </w:r>
          </w:p>
        </w:tc>
        <w:tc>
          <w:tcPr>
            <w:tcW w:w="13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Auditor Location:</w:t>
            </w:r>
          </w:p>
        </w:tc>
        <w:tc>
          <w:tcPr>
            <w:tcW w:w="16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New York, New York</w:t>
            </w:r>
          </w:p>
        </w:tc>
      </w:tr>
    </w:tbl>
    <w:p>
      <w:pPr>
        <w:pStyle w:val="TextBody"/>
        <w:bidi w:val="0"/>
        <w:spacing w:before="6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10"/>
        <w:gridCol w:w="8883"/>
        <w:gridCol w:w="512"/>
      </w:tblGrid>
      <w:tr>
        <w:trPr/>
        <w:tc>
          <w:tcPr>
            <w:tcW w:w="810" w:type="dxa"/>
            <w:tcBorders/>
            <w:vAlign w:val="center"/>
          </w:tcPr>
          <w:p>
            <w:pPr>
              <w:pStyle w:val="TableContents"/>
              <w:bidi w:val="0"/>
              <w:spacing w:before="0" w:after="283"/>
              <w:jc w:val="left"/>
              <w:rPr>
                <w:sz w:val="4"/>
                <w:szCs w:val="4"/>
              </w:rPr>
            </w:pPr>
            <w:r>
              <w:rPr>
                <w:sz w:val="4"/>
                <w:szCs w:val="4"/>
              </w:rPr>
            </w:r>
          </w:p>
        </w:tc>
        <w:tc>
          <w:tcPr>
            <w:tcW w:w="8883"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pecial_note_regarding_forwardlooking_st">
              <w:r>
                <w:rPr>
                  <w:rStyle w:val="InternetLink"/>
                  <w:rFonts w:ascii="Times New Roman" w:hAnsi="Times New Roman"/>
                  <w:b/>
                  <w:color w:val="0000FF"/>
                  <w:sz w:val="20"/>
                  <w:u w:val="single"/>
                </w:rPr>
                <w:t>SPECIAL NOTE REGARDING FORWARD-LOOKING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ii</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
              <w:r>
                <w:rPr>
                  <w:rStyle w:val="InternetLink"/>
                  <w:rFonts w:ascii="Times New Roman" w:hAnsi="Times New Roman"/>
                  <w:b/>
                  <w:color w:val="0000FF"/>
                  <w:sz w:val="20"/>
                  <w:u w:val="single"/>
                </w:rPr>
                <w:t>PART 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1B.</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1C.</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
              <w:r>
                <w:rPr>
                  <w:rStyle w:val="InternetLink"/>
                  <w:rFonts w:ascii="Times New Roman" w:hAnsi="Times New Roman"/>
                  <w:b/>
                  <w:color w:val="0000FF"/>
                  <w:sz w:val="20"/>
                  <w:u w:val="single"/>
                </w:rPr>
                <w:t>PART II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Issuers Purchases of Equity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7A.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8.</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9A.</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9B.</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Other Information</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9C.</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9c_disclosure_regarding_foreign_jur">
              <w:r>
                <w:rPr>
                  <w:rStyle w:val="InternetLink"/>
                  <w:rFonts w:ascii="Times New Roman" w:hAnsi="Times New Roman"/>
                  <w:color w:val="0000FF"/>
                  <w:sz w:val="20"/>
                  <w:u w:val="single"/>
                </w:rPr>
                <w:t>Disclosure Regarding Foreign Jurisdictions that Prevent Inspections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ii">
              <w:r>
                <w:rPr>
                  <w:rStyle w:val="InternetLink"/>
                  <w:rFonts w:ascii="Times New Roman" w:hAnsi="Times New Roman"/>
                  <w:b/>
                  <w:color w:val="0000FF"/>
                  <w:sz w:val="20"/>
                  <w:u w:val="single"/>
                </w:rPr>
                <w:t>PART III</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10.</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11.</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12.</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13.</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tr">
              <w:r>
                <w:rPr>
                  <w:rStyle w:val="InternetLink"/>
                  <w:rFonts w:ascii="Times New Roman" w:hAnsi="Times New Roman"/>
                  <w:color w:val="0000FF"/>
                  <w:sz w:val="20"/>
                  <w:u w:val="single"/>
                </w:rPr>
                <w:t>Certain Relationships and Related Transactions, and Director Independence</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14.</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4_principal_accountant_fees_servic">
              <w:r>
                <w:rPr>
                  <w:rStyle w:val="InternetLink"/>
                  <w:rFonts w:ascii="Times New Roman" w:hAnsi="Times New Roman"/>
                  <w:color w:val="0000FF"/>
                  <w:sz w:val="20"/>
                  <w:u w:val="single"/>
                </w:rPr>
                <w:t>Principal Accountant Fees and Services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hyperlink w:anchor="part_iv">
              <w:r>
                <w:rPr>
                  <w:rStyle w:val="InternetLink"/>
                  <w:rFonts w:ascii="Times New Roman" w:hAnsi="Times New Roman"/>
                  <w:b/>
                  <w:color w:val="0000FF"/>
                  <w:sz w:val="20"/>
                  <w:u w:val="single"/>
                </w:rPr>
                <w:t>PART IV</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15.</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5_exhibits_financial_statements_sc">
              <w:r>
                <w:rPr>
                  <w:rStyle w:val="InternetLink"/>
                  <w:rFonts w:ascii="Times New Roman" w:hAnsi="Times New Roman"/>
                  <w:color w:val="0000FF"/>
                  <w:sz w:val="20"/>
                  <w:u w:val="single"/>
                </w:rPr>
                <w:t>Exhibit and Financial Statement Schedules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r>
      <w:tr>
        <w:trPr/>
        <w:tc>
          <w:tcPr>
            <w:tcW w:w="81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16.</w:t>
            </w:r>
          </w:p>
        </w:tc>
        <w:tc>
          <w:tcPr>
            <w:tcW w:w="8883"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special_note_regarding_forwardlooking_st"/>
      <w:bookmarkEnd w:id="2"/>
      <w:r>
        <w:rPr>
          <w:rFonts w:ascii="Times New Roman" w:hAnsi="Times New Roman"/>
          <w:b/>
          <w:color w:val="000000"/>
          <w:sz w:val="20"/>
        </w:rPr>
        <w:t>SPECIAL NOTE REGARDING 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on Form 10-K, or Annual Report, contains forward-looking statements within the meaning of Section 27A of the Securities Act of 1933, as amended, and Section 21E of the Securities Exchange Act of 1934, as amended, or the Exchange Act. All statements other than statements of historical fact are “forward-looking statements” for purposes of this Annual Report. In some cases, you can identify forward-looking statements by terminology such as “anticipate,” “believe,” “could,” “estimate,” “expects,” “intend,” “may,” “plan,” “potential,” “predict,” “project,” “should,” “will,” “would” or the negative or plural of those terms, and similar expressions.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Forward-looking statements include, but are not limited to, statements about: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estimates regarding our expenses, future revenues, anticipated capital requirements and our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replicate results in future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the potential safety, efficacy or clinical utility of our product candidates as well as the potential use of our product candidates to treat various cancer indications and fibrotic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for our product candidates and the timing or likelihood of regulatory filings and approvals for such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maintain our licenses with UCB Biopharma Sprl, or UCB, and Vitae Pharmaceuticals LLC (formerly Vitae Pharmaceuticals, Inc.), or Vitae, a subsidiary of AbbVie Inc., or AbbVie;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our collaboration with Incyte Corporation, or Incyte, to further develop and commercialize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milestone and royalty payments under certain of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establish and maintain for intellectual property rights covering our product candidates and our technology;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the market adoption of REVUFORJ</w:t>
      </w:r>
      <w:r>
        <w:rPr>
          <w:rFonts w:ascii="Times New Roman" w:hAnsi="Times New Roman"/>
          <w:color w:val="000000"/>
          <w:sz w:val="13"/>
        </w:rPr>
        <w:t>®</w:t>
      </w:r>
      <w:r>
        <w:rPr>
          <w:color w:val="000000"/>
        </w:rPr>
        <w:t xml:space="preserve"> </w:t>
      </w:r>
      <w:r>
        <w:rPr>
          <w:rFonts w:ascii="Times New Roman" w:hAnsi="Times New Roman"/>
          <w:color w:val="000000"/>
          <w:sz w:val="20"/>
        </w:rPr>
        <w:t>(revumenib) and NIKTIMVO (axatilimab-csfr) and our product candidates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geopolitical actions, including tariffs, war or the perception that hostilities may be imminent (such as the war between Russia and Ukraine and ongoing conflicts in the Middle East), adverse global economic conditions, terrorism, public health crises or natural disasters on our operations, research and development and clinical trials and potential disruption in the operations and business of third-party manufacturers, contract research organizations, or CROs, other service providers, and collaborators with whom we conduct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cause actual results to differ materially from current expectations include, among other things, those set forth in Part I, Item 1A, “Risk Factors,” below and for the reasons described elsewhere in this Annual Report. Any forward-looking statement in this Annual Report reflects our current view with respect to future events and is subject to these and other risks, uncertainties and assumptions. Given these uncertainties, you should not rely on these forward-looking statements as predictions of future events. Although we believe that the expectations reflected in the forward-looking statements are reasonable, our information may be incomplete or limited, and we cannot guarantee future results. Except as required by law, we assume no obligation to update or revise these forward-looking statements for any reason, even if new information becomes available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Annual Report also contains estimates, projections and other information concerning our industry, our business and the markets for certain drugs and consumer products,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and we have not independently verified the data from third party sources. In some cases, we do not expressly refer to the sources from which these data are derived.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this Annual Report, unless otherwise stated or as the context otherwise requires, references to “Syndax,” “the Company,” “we,” “us,” “our” and similar references refer to Syndax Pharmaceuticals, Inc. and its wholly owned subsidiaries. This Annual Report also contains references to our trademarks and to trademarks belonging to other entities. Solely for convenience, trademarks and trade names referred to,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 w:name="part_i"/>
      <w:bookmarkEnd w:id="3"/>
      <w:r>
        <w:rPr>
          <w:rFonts w:ascii="Times New Roman" w:hAnsi="Times New Roman"/>
          <w:b/>
          <w:color w:val="000000"/>
          <w:sz w:val="20"/>
        </w:rPr>
        <w:t>PART 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4" w:name="item_1_business"/>
      <w:bookmarkEnd w:id="4"/>
      <w:r>
        <w:rPr>
          <w:rFonts w:ascii="Times New Roman" w:hAnsi="Times New Roman"/>
          <w:b/>
          <w:color w:val="000000"/>
          <w:sz w:val="20"/>
        </w:rPr>
        <w:t>Item 1.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Company</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biopharmaceutical company advancing innovative cancer therapies. We currently have two commercially approved medicines, Revuforj</w:t>
      </w:r>
      <w:r>
        <w:rPr>
          <w:rFonts w:ascii="Times New Roman" w:hAnsi="Times New Roman"/>
          <w:color w:val="000000"/>
          <w:sz w:val="13"/>
        </w:rPr>
        <w:t>®</w:t>
      </w:r>
      <w:r>
        <w:rPr>
          <w:rFonts w:ascii="Times New Roman" w:hAnsi="Times New Roman"/>
          <w:color w:val="000000"/>
          <w:sz w:val="20"/>
        </w:rPr>
        <w:t xml:space="preserve"> (revumenib) and Niktimvo (axatilimab-csfr), and a robust slate of clinical development programs designed to unlock the full potential of our first two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old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and KMT2A-rearranged, or KMT2Ar, acute leukemia across the treatment landscape, including in newly diagnosed patients. Additionally, we are exploring the potential for menin inhibition in the treatment of myelofibrosis, or MF.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and for the treatment of idiopathic pulmonary fibrosis, or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licensed the global rights to revumenib and axatilimab, the first two FDA approved medicines to emerge from our pipeline. We are leading the commercialization and further development of revumenib and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r>
    </w:p>
    <w:p>
      <w:pPr>
        <w:pStyle w:val="TextBody"/>
        <w:bidi w:val="0"/>
        <w:spacing w:before="240" w:after="283"/>
        <w:jc w:val="left"/>
        <w:rPr>
          <w:rFonts w:ascii="Times New Roman" w:hAnsi="Times New Roman"/>
          <w:sz w:val="20"/>
        </w:rPr>
      </w:pPr>
      <w:r>
        <w:rPr>
          <w:rFonts w:ascii="Times New Roman" w:hAnsi="Times New Roman"/>
          <w:b/>
          <w:color w:val="000000"/>
          <w:sz w:val="20"/>
        </w:rPr>
        <w:t>Our Strategy</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commercialize Revuforj in the U.S. for R/R acute leukemia patients with a KMT2A translocation and R/R AML patients with an NPM1 mutation; establish Revuforj as the preferred menin inhibitor, leveraging our first mover advantage and robust clinical data supporting the product's profile.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Advance a robust pipeline of frontline trials of revumenib in combination with standard-of-care therapies to support potential additional listings in the NCCN Clinical Practice Guidelines in Oncology, or NCCN Guidelines</w:t>
      </w:r>
      <w:r>
        <w:rPr>
          <w:rFonts w:ascii="Times New Roman" w:hAnsi="Times New Roman"/>
          <w:color w:val="000000"/>
          <w:sz w:val="13"/>
        </w:rPr>
        <w:t>®</w:t>
      </w:r>
      <w:r>
        <w:rPr>
          <w:rFonts w:ascii="Times New Roman" w:hAnsi="Times New Roman"/>
          <w:color w:val="000000"/>
          <w:sz w:val="20"/>
        </w:rPr>
        <w:t>, and/or label expansion opportunities.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Evaluate opportunities to commercialize Revuforj outside of the United States, potentially on our own or in collaboration with partners who have operations and expertise outside the United States.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commercialize Niktimvo in the U.S, in partnership with Incyte, for the treatment of cGVHD patients who have failed at least two prior lines of systemic therapy.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advance clinical development programs designed to unlock the opportunity for Niktimvo to address newly diagnosed patients with cGVHD and other diseases, starting with IPF.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Leverage the technical, clinical, regulatory and business expertise of our management team, scientific collaborators, and organization and network of advisors to license, acquire and develop additional cancer therapies to expand our pipeline and development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strong execution of our strategy will position us to realize our mission to extend and improve the lives of cancer patients.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Products &amp; Ongoing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product portfolio consisting of two FDA-approved products, Revuforj (revumenib) and Niktimvo (axatilimab-csfr), and a robust slate of clinical development programs designed to expand the opportunities for both medicines.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Revuforj (revumenib)</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Revuforj in R/R Acute Leukemia with a KMT2A translocation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our oral, first-in-class menin inhibitor that was approved by the FDA in November 2024 for the treatment of R/R acute leukemia with a KMT2A translocation in adult and pediatric patients one year and older. The approval was based on an FDA analysis of 104 patients with R/R acute leukemia with a KMT2A translocation who were treated with Revuforj in the Phase 1/2 AUGMENT-101 trial. In the efficacy population, the rate of complete remission, or CR, plus CR with partial hematological recovery, or CRh, was 21% (22/104 pts; 95% confidence interval [CI]: 13.8%, 30.3%). The median duration of CR+CRh was 6.4 months (95% CI: 2.7, not estimable) and the median time to CR or CRh was 1.9 months (range: 0.9, 5.6 months). 23% (24/104 pts) of patients underwent hematopoietic stem cell transplantation, or HSCT, following treatment with Revuforj. Results from the 104-patient efficacy analysis are consistent with the previously reported, protocol-defined Phase 2 interim analysis of patients with R/R KMT2Ar acute leukemia in the AUGMENT-101 trial (n=57) which were published in the Journal of Clinical Oncology in August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original safety evaluation of Revuforj was based on an FDA analysis of 135 patients with R/R acute leukemia with a KMT2A translocation who were treated with Revuforj. The most common adverse reactions (≥20%) including laboratory abnormalities were hemorrhage, nausea, phosphate increased, musculoskeletal pain, infection, aspartate aminotransferase increased, febrile neutropenia, alanine aminotransferase increased, parathyroid hormone intact increased, bacterial infection, diarrhea, differentiation syndrome, electrocardiogram QT prolonged, phosphate decreased, triglycerides increased, potassium decreased, decreased appetite, constipation, edema, viral infection, fatigue, and alkaline phosphatase increased.  Adverse reactions leading to dose reduction or permanent discontinuation were low at 10% and 12% of patients, respectively.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late November 2024, we launched Revuforj for commercial sale in the United States. In December 2024, revumenib was added to the NCCN Guidelines for AML and acute lymphoblastic leukemia, or ALL, as a category 2A recommendation for R/R acute leukemia with a KMT2A rearrangement. In October 2025, the indication for Revuforj in R/R acute leukemia with a KMT2A translocation was updated to include language referring to the use of an FDA-authorized test to detect KMT2A translocations.</w:t>
      </w:r>
    </w:p>
    <w:p>
      <w:pPr>
        <w:pStyle w:val="TextBody"/>
        <w:bidi w:val="0"/>
        <w:spacing w:before="120" w:after="283"/>
        <w:jc w:val="left"/>
        <w:rPr>
          <w:rFonts w:ascii="Times New Roman" w:hAnsi="Times New Roman"/>
          <w:sz w:val="20"/>
        </w:rPr>
      </w:pPr>
      <w:r>
        <w:rPr>
          <w:rFonts w:ascii="Times New Roman" w:hAnsi="Times New Roman"/>
          <w:i/>
          <w:color w:val="000000"/>
          <w:sz w:val="20"/>
        </w:rPr>
        <w:t>Revuforj in R/R AML with an NPM1 mutation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2025, revumenib was added to the NCCN Guidelines for R/R AML with an NPM1 mutation.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2025, Revuforj received a second approval from the FDA for the treatment of R/R AML with a susceptible NPM1 mutation in adult and pediatric patients one year and older who have no satisfactory alternative treatment options.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approval of Revuforj in R/R NPM1m AML was based on efficacy data from patients with R/R NPM1m AML in the Phase 2 portion of the pivotal AUGMENT-101 trial. The rate of CR plus CRh was 23% (15/65 pts; 95% CI: 14%, 35%). The median time to CR or CRh response was 2.8 months and the median duration of CR or CRh was 4.5 months. Results from the R/R NPM1m AML cohort in the Phase 2 portion of the AUGMENT-101 trial were published in the journal Blood and presented at the 2025 European Hematology Association, or EHA, Annual Congress.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the approval of Revuforj in R/R NPM1m AML, the Revuforj U.S. Prescribing Information was updated to include safety data from 241 patients (207 adult and 34 pediatric patients) with R/R acute leukemia with an NPM1 mutation or a KMT2A translocation who were treated with Revuforj in clinical trials. The most common adverse reactions in this combined population were consistent with the previously reported known safety profile of Revuforj. The updated Prescribing Information contains a boxed warning for differentiation syndrome, QTc prolongation, and Torsades de Pointes.</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Revumenib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studying the use of revumenib in multiple genetic subtypes of acute leukemia across the treatment continuum, including in combination with standard-of-care therapies in newly diagnosed patients with NPM1m and KMT2Ar AML.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 of revumenib trials and development pipeline</w:t>
      </w:r>
    </w:p>
    <w:p>
      <w:pPr>
        <w:pStyle w:val="TextBody"/>
        <w:bidi w:val="0"/>
        <w:spacing w:before="120" w:after="283"/>
        <w:jc w:val="left"/>
        <w:rPr/>
      </w:pPr>
      <w:r>
        <w:rPr/>
        <w:drawing>
          <wp:inline distT="0" distB="0" distL="0" distR="0">
            <wp:extent cx="5943600" cy="2362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43600" cy="2362200"/>
                    </a:xfrm>
                    <a:prstGeom prst="rect">
                      <a:avLst/>
                    </a:prstGeom>
                  </pic:spPr>
                </pic:pic>
              </a:graphicData>
            </a:graphic>
          </wp:inline>
        </w:drawing>
      </w:r>
    </w:p>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trials evaluating revumenib across the acute leukemia treatment continuum are ongoing, such as: </w:t>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EVOLVE-2: In the first quarter of 2025, we initiated a pivotal, Phase 3, randomized, double-blind, placebo-controlled trial of revumenib in combination with venetoclax and azacitidine in newly diagnosed NPM1m (primary efficacy analysis population) and KMT2Ar patients who are unfit for intensive chemotherapy. The trial is being conducted in collaboration with the HOVON network, a leading cooperative clinical trial group with extensive experience studying novel therapies for hematologic malignancies. The trial has dual primary endpoints of CR and overall survival, both in NPM1m patients only, to support the potential for accelerated and full approval, respectively.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REVEAL-ND: In November 2025, we initiated a pivotal, Phase 3, randomized, double-blind, placebo-controlled trial of revumenib in combination with intensive chemotherapy in newly diagnosed NPM1m AML patients. The trial has dual primary endpoints of measurable residual disease, or MRD, negative CR and event free survival to support the potential for accelerated approval and full approval, respectively.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SAVE: A Phase 1/2 trial evaluating an all-oral combination of revumenib with venetoclax and decitabine/cedazuridine in pediatric and adult patients with newly diagnosed and R/R AML or mixed-lineage acute leukemia harboring either NPM1m, KMT2Ar, or NUP98r alterations. The trial is being conducted by investigators from MD Anderson Cancer Center. New data presented at the 2025 American Society of Hematology, or ASH, Annual Meeting from the first cohort of newly diagnosed patients showed a CR rate of 76% (16/21), an overall response rate, or ORR, of 86% (18/21), and a MRD negativity rate among responders of 100% (18/18).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Intensive chemotherapy: Two ongoing Phase 1 trials, referred to as the 708 and NCI trial, are evaluating the combination of revumenib with intensive chemotherapy (7+3) in newly diagnosed NPM1m or KMT2Ar acute leukemia patients. Preliminary data presented from both trials at the 2025 ASH Annual Meeting showed that the safety profile of the combination was consistent with the profile for intensive chemotherapy alone, along with high rates of response and MRD negativity.</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BEAT AML: A Phase 1 trial evaluating the combination of revumenib with venetoclax and azacitidine in newly diagnosed older adults (≥60 years) with NPM1m or KMT2Ar AML. The trial is being conducted as part of the Leukemia &amp; Lymphoma Society's Beat AML</w:t>
      </w:r>
      <w:r>
        <w:rPr>
          <w:rFonts w:ascii="Times New Roman" w:hAnsi="Times New Roman"/>
          <w:color w:val="000000"/>
          <w:sz w:val="13"/>
        </w:rPr>
        <w:t>®</w:t>
      </w:r>
      <w:r>
        <w:rPr>
          <w:color w:val="000000"/>
        </w:rPr>
        <w:t xml:space="preserve"> </w:t>
      </w:r>
      <w:r>
        <w:rPr>
          <w:rFonts w:ascii="Times New Roman" w:hAnsi="Times New Roman"/>
          <w:color w:val="000000"/>
          <w:sz w:val="20"/>
        </w:rPr>
        <w:t xml:space="preserve">Master Clinical Trial. Data presented at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pPr>
      <w:r>
        <w:rPr>
          <w:rFonts w:ascii="Times New Roman" w:hAnsi="Times New Roman"/>
          <w:color w:val="000000"/>
          <w:sz w:val="20"/>
        </w:rPr>
        <w:t xml:space="preserve">2025 EHA Annual Congress and simultaneously published in the </w:t>
      </w:r>
      <w:r>
        <w:rPr>
          <w:rFonts w:ascii="Times New Roman" w:hAnsi="Times New Roman"/>
          <w:i/>
          <w:color w:val="000000"/>
          <w:sz w:val="20"/>
        </w:rPr>
        <w:t>Journal of Clinical Oncology</w:t>
      </w:r>
      <w:r>
        <w:rPr>
          <w:color w:val="000000"/>
        </w:rPr>
        <w:t xml:space="preserve"> </w:t>
      </w:r>
      <w:r>
        <w:rPr>
          <w:rFonts w:ascii="Times New Roman" w:hAnsi="Times New Roman"/>
          <w:color w:val="000000"/>
          <w:sz w:val="20"/>
        </w:rPr>
        <w:t>showed a CR rate of 67% (29/43), an ORR of 88% (38/43), and a MRD negativity rate of 100% (37/37) among responders.</w:t>
      </w:r>
      <w:r>
        <w:rPr>
          <w:color w:val="000000"/>
        </w:rPr>
        <w:t xml:space="preserv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Post-transplant maintenance: A Phase 1 trial, referred to as the Ball study, is evaluating the safety and preliminary efficacy of revumenib as post-transplant maintenance after HSCT in patients with KMT2Ar or NPM1m acute leukemia. The trial is being conducted by investigators from the City of Hope Medical Center.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 xml:space="preserve">Break </w:t>
      </w:r>
      <w:r>
        <w:rPr>
          <w:rFonts w:ascii="Times New Roman" w:hAnsi="Times New Roman"/>
          <w:i/>
          <w:color w:val="000000"/>
          <w:sz w:val="20"/>
        </w:rPr>
        <w:t>Through</w:t>
      </w:r>
      <w:r>
        <w:rPr>
          <w:color w:val="000000"/>
        </w:rPr>
        <w:t xml:space="preserve"> </w:t>
      </w:r>
      <w:r>
        <w:rPr>
          <w:rFonts w:ascii="Times New Roman" w:hAnsi="Times New Roman"/>
          <w:color w:val="000000"/>
          <w:sz w:val="20"/>
        </w:rPr>
        <w:t xml:space="preserve">Cancer: A Phase 2 trial studying whether the combination of revumenib and venetoclax can eliminate MRD in patients with AML and extend progression-free survival. The trial is being conducted by Break </w:t>
      </w:r>
      <w:r>
        <w:rPr>
          <w:rFonts w:ascii="Times New Roman" w:hAnsi="Times New Roman"/>
          <w:i/>
          <w:color w:val="000000"/>
          <w:sz w:val="20"/>
        </w:rPr>
        <w:t>Through</w:t>
      </w:r>
      <w:r>
        <w:rPr>
          <w:color w:val="000000"/>
        </w:rPr>
        <w:t xml:space="preserve"> </w:t>
      </w:r>
      <w:r>
        <w:rPr>
          <w:rFonts w:ascii="Times New Roman" w:hAnsi="Times New Roman"/>
          <w:color w:val="000000"/>
          <w:sz w:val="20"/>
        </w:rPr>
        <w:t>Cancer, a collaboration between leading U.S. cancer research centers.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INTERCEPT: A Phase 1 trial evaluating the use of novel therapies, including revumenib, to target MRD and early relapse in AML. The trial is being conducted by the Australasian Leukaemia and Lymphoma Group as part of the INTERCEPT AML master clinical trial. Data presented at the 2024 ASH Annual Meeting showed that 54% (6/11) of patients had MRD reduction at any time, including 36% (4/11) who achieved MRD negativity.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ongoing trials described above, we expect to initiate the RAVEN trial in the second half of 2026. RAVEN is a Phase 2 collaborative trial of revumenib in combination with venetoclax and azacitidine in newly diagnosed KMT2Ar patients who would be considered eligible, or fit, for intensive chemotherapy. The RAVEN trial seeks to explore if the combination can provide high rates of clinical activity without the toxicity associated with intensive chemotherapy. </w:t>
        <w:b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Revumenib in MF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initiate a program in 2026 designed to generate proof-of-principle clinical data with revumenib in MF. This program builds on preclinical data presented at the 2025 ASH Annual Meeting which showed that menin inhibition has the potential for disease-modifying activity by reversing key pathologic features of myeloproliferative neoplasms, or MPNs, including those seen in MF. </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Revumenib in colorectal cancer (CRC)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2026, we reported Phase 1 results from a Phase 1/2 proof-of-concept trial designed to assess the safety, tolerability, and anti-tumor activity of revumenib in patients with advanced CRC and other solid tumors at the ASCO Gastrointestinal Cancer Symposium. The study met the Phase 1 primary endpoint, demonstrating that revumenib was well tolerated. Limited anti-tumor efficacy was observed, with no patients achieving a clinical response and a 10.5% disease control rate. We have decided not to pursue further development of revumenib in CRC.</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Niktimvo (axatilimab)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Niktimvo (axatilimab-csfr) is our first-in-class CSF-1R-blocking antibody that was approved by the FDA in August 2024 for the treatment of cGVHD after failure of at least two prior lines of systemic therapy in adult and pediatric patients weighing at least 40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approval was based on data from the global AGAVE-201 study evaluating the safety and efficacy of Niktimvo in 241 adult and pediatric patients with refractory cGVHD who received at least two prior lines of systemic therapy. The trial met the primary endpoint across all cohorts receiving Niktimvo. Results from the study showed durable responses across all organs studied and patient subgroups. Among patients who received Niktimvo at the approved dose of 0.3 mg/kg every two weeks (n=79), 75% achieved an overall response rate (ORR) within the first six months of treatment, with a median time to response of 1.5 months. Additionally, 60% maintained a response at 12 months (measured from first response to new systemic therapy or death, based on the Kaplan Meier estimate). The trial also met a key exploratory endpoint, with a majority (56%) of patients achieving a ≥7-point improvement in the modified Lee Symptom Scale score. Organ-specific complete and partial responses were demonstrated across all organs studied that are affected by cGVHD, including lower gastrointestinal, or GI, upper GI, esophagus, joints/fascia, mouth, lungs, liver, eyes and skin. The most common (≥15%) adverse reactions,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including laboratory abnormalities, were increased aspartate aminotransferase, infection (pathogen unspecified), increased alanine aminotransferase, decreased phosphate, decreased hemoglobin, viral infection, increased gamma glutamyl transferase, musculoskeletal pain, increased lipase, fatigue, increased amylase, increased calcium, increased creatine phosphokinase, increased alkaline phosphatase, nausea, headache, diarrhea, cough, bacterial infection, pyrexia and dyspnea.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2024, the pivotal data from the AGAVE-201 trial were published in the New England Journal of Medicine. In August 2024, axatilimab-csfr was added to the latest NCCN Guidelines as a category 2A recommendation for the treatment of chronic GVHD after the failure of at least two prior lines of systemic therapy in adult and pediatric patients weighing at least 40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late January 2025, we launched Niktimvo for commercial sale in the U.S. in partnership with Incyte and in accordance with the collaboration agreement and license agreement with Incyte described below under the heading “Collaborations - Incyte Collaboration and License Agreement.” Under the agreement, we are co-commercializing Niktimvo along with Incyte.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Axatilimab Development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Axatilimab is in development for the treatment of newly diagnosed chronic GVHD patients and for other fibrotic diseases, such as IPF.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Axatilimab is a monoclonal antibody targeting CSF-1R, a cell surface protein thought to control the survival and function of monocytes and macrophages. Axatilimab binds with high affinity to CSF-1R and blocks the binding of the two known CSF-1R ligands CSF-1 and IL-34. CSF-1R is expressed on the surface of specific immune cells known as macrophages and their precursor cells known as monocytes. CSF-1R signaling on these cells has been demonstrated in preclinical studies conducted in animal models of skin and lung cGVHD to be the key regulatory pathway involved in the expansion and infiltration of the macrophages that mediate fibrosis and the cGVHD disease process. Blocking CSF-1R activity with an experimental CSF-1R antibody in these studies was shown to prevent and treat the symptoms of cGVHD. We believe that by inhibiting CSF-1R activation on monocytes and macrophages, axatilimab also has the potential to be used to treat other fibrotic diseases where monocyte-derived macrophages have been shown to play a significant role.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near-term focus is to investigate the potential for axatilimab to provide meaningful clinical benefit earlier in the treatment of cGVHD and to establish proof-of-concept for the use of axatilimab to treat other fibrotic diseases where monocyte-derived macrophages have been shown to play a role.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Overview of axatilimab trials and development pipeline</w:t>
      </w:r>
    </w:p>
    <w:p>
      <w:pPr>
        <w:pStyle w:val="TextBody"/>
        <w:bidi w:val="0"/>
        <w:spacing w:before="120" w:after="283"/>
        <w:jc w:val="left"/>
        <w:rPr/>
      </w:pPr>
      <w:r>
        <w:rPr/>
        <w:drawing>
          <wp:inline distT="0" distB="0" distL="0" distR="0">
            <wp:extent cx="5943600" cy="1181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943600" cy="1181100"/>
                    </a:xfrm>
                    <a:prstGeom prst="rect">
                      <a:avLst/>
                    </a:prstGeom>
                  </pic:spPr>
                </pic:pic>
              </a:graphicData>
            </a:graphic>
          </wp:inline>
        </w:drawing>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*Trials led by Incyte. List is not inclusive of ongoing ex-U.S. trials.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Axatilimab for the treatment of newly diagnosed cGVHD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partner, Incyte, has initiated two clinical trials studying the use of axatilimab in combination with standard of care cGVHD therapies in the frontline setting.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trial is a Phase 2, open-label, randomized, multicenter trial of axatilimab in combination with ruxolitinib in patients 12 years of age and older with newly diagnosed cGVHD. Interim safety data presented at the 2025 ASH Annual Meeting showed that the combination was well tolerated. Topline data from the trial is anticipated in early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trial, referred to as AXemplify-357, is a Phase 3, randomized, double-blind, placebo-controlled, multi-center trial that will investigate the use of axatilimab in combination with corticosteroids as initial treatment for cGVHD. Topline data from the trial is anticipated in early 2028.</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Axatilimab for the treatment of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first quarter of 2026, we completed enrollment in MAXPIRe, our randomized, double-blind, placebo-controlled, 26-week, Phase 2 trial of axatilimab on top of standard-of-care therapies in patients with IPF. The ongoing trial will assess the efficacy, safety and tolerability of axatilimab. We expect to report topline data from the trial in the fourth quarter of 2026.</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Entinostat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Entinostat is our oral, small molecule product candidate that has direct effects on both cancer cells and immune regulatory cells, potentially enhancing the body’s immune response to tumors. In March 2007, we entered into a license agreement with Bayer Schering Pharma AG, or Bayer, for a worldwide, exclusive license to develop and commercialize entinostat and any other products containing the same active ingredient. We have deprioritized the development of entinostat, but maintain a license, development and commercialization agreement, or the Eddingpharm License Agreement, with Eddingpharm Investment Company Limited, or Eddingpharm, under which we granted Eddingpharm an exclusive license under our intellectual property rights to develop and commercialize entinostat in China and certain other Asian countries. In April 2024, entinostat received marketing approval in China.</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Disease and Market Overviews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KMT2A-Rearranged (KMT2Ar) Acute Leukemia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KMT2Ar, also known as mixed lineage leukemia rearranged, acute leukemias arise by rare, spontaneous translocations at the MLL1 locus (11q23). It is estimated that approximately 10% of AML and ALL harbor a KMT2A rearrangement with a worldwide incidence of approximately 5,000 to 7,000 cases per year. KMT2Ar acute leukemia is routinely diagnosed through currently available cytogenetic or molecular diagnostic techniques.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KMT2A-rearrangements give rise to an aggressive form of acute leukemia that is associated with a very poor prognosis and high relapse rates. It is estimated that more than 95% of patients with KMT2Ar acute leukemia have a KMT2A translocation, a type of rearrangement that occurs when part of one chromosome breaks and fuses to a different chromosome. More than half of patients with KMT2Ar acute leukemia will relapse after receiving conventional frontline therapies, with a median overall survival, or OS, of less than one year. With third line treatment or beyond, only 5% of patients achieve complete remission, and the median OS is less than three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the first and only FDA-approved treatment for R/R acute leukemia with a KMT2A translocation. Currently there are several other clinical-stage menin inhibitors in development for the treatment of KMT2Ar acute leukemias.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Mutant NPM1 (NPM1m) Acute Myeloid Leukemia (AML)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Mutations in the NPM1 gene are the most common genetic alteration in adult AML and are observed in approximately 30% of cases. Patients with R/R NPM1m AML have a poor prognosis and high unmet need.</w:t>
      </w:r>
    </w:p>
    <w:p>
      <w:pPr>
        <w:pStyle w:val="TextBody"/>
        <w:bidi w:val="0"/>
        <w:spacing w:before="120" w:after="283"/>
        <w:jc w:val="left"/>
        <w:rPr>
          <w:rFonts w:ascii="Times New Roman" w:hAnsi="Times New Roman"/>
          <w:sz w:val="20"/>
        </w:rPr>
      </w:pPr>
      <w:r>
        <w:rPr>
          <w:rFonts w:ascii="Times New Roman" w:hAnsi="Times New Roman"/>
          <w:color w:val="000000"/>
          <w:sz w:val="20"/>
        </w:rPr>
        <w:t>Like KMT2Ar acute leukemia, NPM1m is readily diagnosed as part of the standard AML patient work-up today. Revuforj is the first and only treatment FDA approved in both adults and children with R/R NPM1m AML. There is one other menin inhibitor, Komzifti</w:t>
      </w:r>
      <w:r>
        <w:rPr>
          <w:rFonts w:ascii="Times New Roman" w:hAnsi="Times New Roman"/>
          <w:color w:val="000000"/>
          <w:sz w:val="13"/>
        </w:rPr>
        <w:t></w:t>
      </w:r>
      <w:r>
        <w:rPr>
          <w:rFonts w:ascii="Times New Roman" w:hAnsi="Times New Roman"/>
          <w:color w:val="000000"/>
          <w:sz w:val="20"/>
        </w:rPr>
        <w:t xml:space="preserve"> (ziftomenib), that is FDA approved in adults only with R/R NPM1m AML. There are several additional clinical stage agents currently advancing as potential treatments for NPM1m AML.</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Myelofibrosis (MF)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MF is a subtype of a group of blood cancers called MPNs. MF affects the bone marrow and the production of blood cells. It is characterized by bone marrow fibrosis, extramedullary hematopoiesis, splenomegaly, cytopenias, and systemic symptoms. MF is estimated to affect approximately 16,000 to 20,000 patients in the United States. </w:t>
      </w:r>
    </w:p>
    <w:p>
      <w:pPr>
        <w:pStyle w:val="TextBody"/>
        <w:bidi w:val="0"/>
        <w:spacing w:before="120" w:after="283"/>
        <w:jc w:val="left"/>
        <w:rPr>
          <w:rFonts w:ascii="Times New Roman" w:hAnsi="Times New Roman"/>
          <w:sz w:val="20"/>
        </w:rPr>
      </w:pPr>
      <w:r>
        <w:rPr>
          <w:rFonts w:ascii="Times New Roman" w:hAnsi="Times New Roman"/>
          <w:color w:val="000000"/>
          <w:sz w:val="20"/>
        </w:rPr>
        <w:t>There are currently four FDA approved therapies for MF, Jakafi</w:t>
      </w:r>
      <w:r>
        <w:rPr>
          <w:rFonts w:ascii="Times New Roman" w:hAnsi="Times New Roman"/>
          <w:color w:val="000000"/>
          <w:sz w:val="13"/>
        </w:rPr>
        <w:t>®</w:t>
      </w:r>
      <w:r>
        <w:rPr>
          <w:rFonts w:ascii="Times New Roman" w:hAnsi="Times New Roman"/>
          <w:color w:val="000000"/>
          <w:sz w:val="20"/>
        </w:rPr>
        <w:t xml:space="preserve"> (ruxolitinib), Inrebic</w:t>
      </w:r>
      <w:r>
        <w:rPr>
          <w:rFonts w:ascii="Times New Roman" w:hAnsi="Times New Roman"/>
          <w:color w:val="000000"/>
          <w:sz w:val="13"/>
        </w:rPr>
        <w:t xml:space="preserve">® </w:t>
      </w:r>
      <w:r>
        <w:rPr>
          <w:rFonts w:ascii="Times New Roman" w:hAnsi="Times New Roman"/>
          <w:color w:val="000000"/>
          <w:sz w:val="20"/>
        </w:rPr>
        <w:t>(fedratinib), Vonjo</w:t>
      </w:r>
      <w:r>
        <w:rPr>
          <w:rFonts w:ascii="Times New Roman" w:hAnsi="Times New Roman"/>
          <w:color w:val="000000"/>
          <w:sz w:val="13"/>
        </w:rPr>
        <w:t xml:space="preserve">® </w:t>
      </w:r>
      <w:r>
        <w:rPr>
          <w:rFonts w:ascii="Times New Roman" w:hAnsi="Times New Roman"/>
          <w:color w:val="000000"/>
          <w:sz w:val="20"/>
        </w:rPr>
        <w:t>(pacritinib), and Ojjaara</w:t>
      </w:r>
      <w:r>
        <w:rPr>
          <w:rFonts w:ascii="Times New Roman" w:hAnsi="Times New Roman"/>
          <w:color w:val="000000"/>
          <w:sz w:val="13"/>
        </w:rPr>
        <w:t xml:space="preserve">® </w:t>
      </w:r>
      <w:r>
        <w:rPr>
          <w:rFonts w:ascii="Times New Roman" w:hAnsi="Times New Roman"/>
          <w:color w:val="000000"/>
          <w:sz w:val="20"/>
        </w:rPr>
        <w:t xml:space="preserve">(momelotinib), all of which are JAK inhibitors. While these drugs reduce symptom burden and spleen volume, they do not substantially reduce the degree of bone marrow fibrosis, and most patients stop responding to JAK inhibitors within two to three years. Therefore, new therapeutic strategies are needed.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Preclinical data presented at the 2025 ASH Annual Meeting showed that menin inhibition has the potential for disease-modifying activity by reversing key pathologic features of MPNs, including those seen in MF. </w:t>
      </w:r>
      <w:r>
        <w:rPr>
          <w:rFonts w:ascii="Times New Roman" w:hAnsi="Times New Roman"/>
          <w:i/>
          <w:color w:val="000000"/>
          <w:sz w:val="20"/>
        </w:rPr>
        <w:t>In vitro</w:t>
      </w:r>
      <w:r>
        <w:rPr>
          <w:rFonts w:ascii="Times New Roman" w:hAnsi="Times New Roman"/>
          <w:color w:val="000000"/>
          <w:sz w:val="20"/>
        </w:rPr>
        <w:t xml:space="preserve"> studies showed that revumenib caused a decrease in megakaryocyte progenitor cells and led to fewer mature megakaryocytes without affecting other blood cell lineages. </w:t>
      </w:r>
      <w:r>
        <w:rPr>
          <w:rFonts w:ascii="Times New Roman" w:hAnsi="Times New Roman"/>
          <w:i/>
          <w:color w:val="000000"/>
          <w:sz w:val="20"/>
        </w:rPr>
        <w:t>In vivo</w:t>
      </w:r>
      <w:r>
        <w:rPr>
          <w:rFonts w:ascii="Times New Roman" w:hAnsi="Times New Roman"/>
          <w:color w:val="000000"/>
          <w:sz w:val="20"/>
        </w:rPr>
        <w:t xml:space="preserve"> data from MPN mouse models showed that revumenib lowered leukocyte and platelet counts, reduced megakaryocyte numbers in the bone marrow, ablated bone marrow fibrosis, normalized hemoglobin and hematocrit levels, and reduced spleen size. Certain effects were enhanced when revumenib was combined with ruxolitinib. These preclinical data provide rationale for the further investigation of menin inhibition in the treatment of MF.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Chronic Graft-Versus-Host Disease (cGVHD)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cGVHD, an immune response of the donor-derived hematopoietic cells against recipient tissues, is a serious, potentially life-threatening complication of allogeneic HSCT that can last for years. cGVHD is a leading cause of significant morbidity and mortality after HSCT and is estimated to develop in approximately 42% of transplant recipients, affecting approximately 17,000 patients in the U.S. Of those patients who develop chronic GVHD, nearly 50% require at least three lines of treatment, emphasizing the need for additional effective treatment options. cGVHD typically manifests across multiple organ systems, with the skin and mucosa being commonly involved, and is characterized by the development of fibrotic tissue.</w:t>
      </w:r>
    </w:p>
    <w:p>
      <w:pPr>
        <w:pStyle w:val="TextBody"/>
        <w:bidi w:val="0"/>
        <w:spacing w:before="120" w:after="283"/>
        <w:jc w:val="left"/>
        <w:rPr>
          <w:rFonts w:ascii="Times New Roman" w:hAnsi="Times New Roman"/>
          <w:sz w:val="20"/>
        </w:rPr>
      </w:pPr>
      <w:r>
        <w:rPr>
          <w:rFonts w:ascii="Times New Roman" w:hAnsi="Times New Roman"/>
          <w:color w:val="000000"/>
          <w:sz w:val="20"/>
        </w:rPr>
        <w:t>cGVHD has historically been managed by off-label treatments. However, in the past several years, the FDA has approved three drugs, Imbruvica</w:t>
      </w:r>
      <w:r>
        <w:rPr>
          <w:rFonts w:ascii="Times New Roman" w:hAnsi="Times New Roman"/>
          <w:i/>
          <w:color w:val="000000"/>
          <w:sz w:val="13"/>
        </w:rPr>
        <w:t>®</w:t>
      </w:r>
      <w:r>
        <w:rPr>
          <w:rFonts w:ascii="Times New Roman" w:hAnsi="Times New Roman"/>
          <w:color w:val="000000"/>
          <w:sz w:val="20"/>
        </w:rPr>
        <w:t xml:space="preserve"> (ibrutinib), Rezurock</w:t>
      </w:r>
      <w:r>
        <w:rPr>
          <w:rFonts w:ascii="Times New Roman" w:hAnsi="Times New Roman"/>
          <w:i/>
          <w:color w:val="000000"/>
          <w:sz w:val="13"/>
        </w:rPr>
        <w:t>®</w:t>
      </w:r>
      <w:r>
        <w:rPr>
          <w:rFonts w:ascii="Times New Roman" w:hAnsi="Times New Roman"/>
          <w:color w:val="000000"/>
          <w:sz w:val="20"/>
        </w:rPr>
        <w:t xml:space="preserve"> (belomosidil) and Jakafi</w:t>
      </w:r>
      <w:r>
        <w:rPr>
          <w:rFonts w:ascii="Times New Roman" w:hAnsi="Times New Roman"/>
          <w:i/>
          <w:color w:val="000000"/>
          <w:sz w:val="13"/>
        </w:rPr>
        <w:t>®</w:t>
      </w:r>
      <w:r>
        <w:rPr>
          <w:rFonts w:ascii="Times New Roman" w:hAnsi="Times New Roman"/>
          <w:color w:val="000000"/>
          <w:sz w:val="20"/>
        </w:rPr>
        <w:t xml:space="preserve"> (ruxolitinib), for use in patients with cGVHD after failure of one or more prior lines of systemic therapy. All three of these drugs may compete with Niktimvo in patients diagnosed with cGVHD. The first line of therapy for cGVHD is typically corticosteroids, though approximately 50% of patients may require treatment with additional systemic therapies, such as extracorporeal photopheresis, cytostatic agents such as mycophenolate moftetil, methotrexate, and immunomodulators such as rituximab, IL-2. Imbruvica</w:t>
      </w:r>
      <w:r>
        <w:rPr>
          <w:rFonts w:ascii="Times New Roman" w:hAnsi="Times New Roman"/>
          <w:color w:val="000000"/>
          <w:sz w:val="13"/>
        </w:rPr>
        <w:t>®</w:t>
      </w:r>
      <w:r>
        <w:rPr>
          <w:rFonts w:ascii="Times New Roman" w:hAnsi="Times New Roman"/>
          <w:color w:val="000000"/>
          <w:sz w:val="20"/>
        </w:rPr>
        <w:t xml:space="preserve"> (ibrutinib), a BTK inhibitor, was the first FDA-approved therapy for cGVHD and is indicated for use after one or more lines of therapy. Imbruvica received approval based on Phase 1/2 clinical trial data that showed a 68% overall response rate, with 48% of responses lasting 20 weeks or longer and reduced dependence on steroids for most patients. Prior to the recent FDA approval of Niktimvo (axatilimab-csfr), the FDA had previously approved two other drugs, Rezurock</w:t>
      </w:r>
      <w:r>
        <w:rPr>
          <w:rFonts w:ascii="Times New Roman" w:hAnsi="Times New Roman"/>
          <w:color w:val="000000"/>
          <w:sz w:val="13"/>
        </w:rPr>
        <w:t>®</w:t>
      </w:r>
      <w:r>
        <w:rPr>
          <w:rFonts w:ascii="Times New Roman" w:hAnsi="Times New Roman"/>
          <w:color w:val="000000"/>
          <w:sz w:val="20"/>
        </w:rPr>
        <w:t xml:space="preserve"> (belomosidil), for use in patients with cGVHD after failure of at least two prior lines of systemic therapy, and Jakafi</w:t>
      </w:r>
      <w:r>
        <w:rPr>
          <w:rFonts w:ascii="Times New Roman" w:hAnsi="Times New Roman"/>
          <w:color w:val="000000"/>
          <w:sz w:val="13"/>
        </w:rPr>
        <w:t>®</w:t>
      </w:r>
      <w:r>
        <w:rPr>
          <w:rFonts w:ascii="Times New Roman" w:hAnsi="Times New Roman"/>
          <w:color w:val="000000"/>
          <w:sz w:val="20"/>
        </w:rPr>
        <w:t xml:space="preserve"> (ruxolitinib), for use in patients with cGVHD after failure of one or more prior lines of systemic therapy. While the other agents have shown a benefit in improving symptoms of this disease, none have demonstrated an improvement in long-term outcomes and a significant unmet medical need still remains for this patient population. Additionally, the other previously approved agents are believed to exert their effect through T- and B-cells, with minimal impact on macrophages. By inhibiting the work of monocyte-derived macrophages, axatilimab provides a differentiated way to treat cGVHD, which we expect to ultimately have a more pronounced impact on the fibrotic process. We also believe that shifting CSF-1R inhibition earlier in the treatment phase of cGVHD, to minimize formation of fibrotic tissue, could have a meaningful long-term impact on the disease process itself.</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Idiopathic Pulmonary Fibrosis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IPF is a specific form of chronic, fibrosing, interstitial pneumonia limited to the lungs with a median survival of approximately three to five years after diagnosis. IPF has an estimated prevalence of 281,000 people among the seven major market countries. IPF incidence and prevalence increase with age and are higher among males. Although relatively rare, the incidence of IPF is increasing, likely due to an increasing understanding of the disease and the recent development of uniform diagnostic criteria.</w:t>
      </w:r>
    </w:p>
    <w:p>
      <w:pPr>
        <w:pStyle w:val="TextBody"/>
        <w:bidi w:val="0"/>
        <w:spacing w:before="120" w:after="283"/>
        <w:jc w:val="left"/>
        <w:rPr>
          <w:rFonts w:ascii="Times New Roman" w:hAnsi="Times New Roman"/>
          <w:sz w:val="20"/>
        </w:rPr>
      </w:pPr>
      <w:r>
        <w:rPr>
          <w:rFonts w:ascii="Times New Roman" w:hAnsi="Times New Roman"/>
          <w:color w:val="000000"/>
          <w:sz w:val="20"/>
        </w:rPr>
        <w:t>There are currently three FDA approved therapies for IPF, Ofev</w:t>
      </w:r>
      <w:r>
        <w:rPr>
          <w:rFonts w:ascii="Times New Roman" w:hAnsi="Times New Roman"/>
          <w:color w:val="000000"/>
          <w:sz w:val="13"/>
        </w:rPr>
        <w:t xml:space="preserve">® </w:t>
      </w:r>
      <w:r>
        <w:rPr>
          <w:rFonts w:ascii="Times New Roman" w:hAnsi="Times New Roman"/>
          <w:color w:val="000000"/>
          <w:sz w:val="20"/>
        </w:rPr>
        <w:t>(nintedanib), Esbriet</w:t>
      </w:r>
      <w:r>
        <w:rPr>
          <w:rFonts w:ascii="Times New Roman" w:hAnsi="Times New Roman"/>
          <w:color w:val="000000"/>
          <w:sz w:val="13"/>
        </w:rPr>
        <w:t xml:space="preserve">® </w:t>
      </w:r>
      <w:r>
        <w:rPr>
          <w:rFonts w:ascii="Times New Roman" w:hAnsi="Times New Roman"/>
          <w:color w:val="000000"/>
          <w:sz w:val="20"/>
        </w:rPr>
        <w:t>(pirfenidone), and Jascayd</w:t>
      </w:r>
      <w:r>
        <w:rPr>
          <w:rFonts w:ascii="Times New Roman" w:hAnsi="Times New Roman"/>
          <w:color w:val="000000"/>
          <w:sz w:val="13"/>
        </w:rPr>
        <w:t>®</w:t>
      </w:r>
      <w:r>
        <w:rPr>
          <w:rFonts w:ascii="Times New Roman" w:hAnsi="Times New Roman"/>
          <w:color w:val="000000"/>
          <w:sz w:val="20"/>
        </w:rPr>
        <w:t xml:space="preserve"> (nerandomilast). Despite these recent advances, the unmet medical need in IPF remains high, with a five-year mortality rate of 50% to 70% with deaths occurring mainly due to respiratory failure. Lung transplantation remains the only curative treatment option, but less than five percent of IPF patients undergo lung transplantation. There is an urgent need for new and more effective treatments for IPF that can address the limitations of current treatment options, improve mortality, and quality of life.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Growing evidence suggests macrophages are critical regulators of lung fibrosis. Recent work has established a role for monocyte-derived macrophages as the pathogenic population of cells required for the development of fibrosis and that drive the fibrotic process. Reducing the circulating levels of pathogenic monocyte-derived macrophage precursors or inhibiting their activation in tissues provides an opportunity to therapeutically intervene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directly inhibit fibrosis. Recent experiments have demonstrated that the monocyte-derived, pro-fibrotic macrophages are CSF-1-dependent and CSF-1R inhibition through anti-CSF-1R antibody can block fibrosis in fibrotic disease models. We believe that using axatilimab to inhibit the work of monocyte-derived macrophages may provide a differentiated way to treat IPF, and could result in a more pronounced impact on the fibrotic process.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Collaborations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Incyte Collaboration and License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and milestone payment obligations set forth below. In the United States, Incyte and the Company are co-commercializing axatilimab as Niktimvo (axatilimab-csfr) and share equally the profits and losses from these co-commercialization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and Incyte have agreed to continue to co-develop axatilimab and to share development costs associated with global and additional U.S.-specific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non-U.S. countries. All development costs related to the collaboration will be subject to a joint development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 the terms of the Incyte Agreements, in December 2021, Incyte paid the Company a non-refundable cash payment of $117.0 million and the Company issued 1,421,523 shares of common stock with an aggregate purchase price of $35.0 million, or $24.62 per share. Additionally, under the terms of the Incyte Agreements, the Company was eligible, upon execution,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License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Vitae Pharmaceuticals,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2017, we entered into a license agreement, or the Vitae License Agreement, under which we were granted an exclusive, sublicensable, worldwide license to a portfolio of preclinical, orally available, small molecule inhibitors of the Menin–KMT2A binding interaction, or the Menin Assets. Under the Vitae License Agreement, we are required to pay AbbVie up to $99.0 million in one-time development and regulatory milestone payments over the term of the Vitae License Agreement, subject to the achievement of certain milestone events. In the event that we or any of our affiliates or sublicensees commercializes the Menin Assets, we will also be obligated to pay Vitae low single to low double-digit percentage royalties on sales, subject to reduction in certain circumstances, as well as up to an aggregate of $70.0 million in potential one-time, sales-based milestone payments based on achievement of certain annual sales thresholds. We are solely responsible for the development and commercialization of the Menin Assets. Each party may terminate the Vitae License Agreement for the other party’s uncured material breach or insolvency, and we may terminate the Vitae License Agreement at any time upon advance written notice to Vitae. Vitae may terminate the Vitae License Agreement if we or any of our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country; (ii) the expiration of all regulatory exclusivity applicable to the product in such country; and (iii) 10 years from the date of the first commercial sale of the product in such country.</w:t>
      </w:r>
    </w:p>
    <w:p>
      <w:pPr>
        <w:pStyle w:val="TextBody"/>
        <w:bidi w:val="0"/>
        <w:spacing w:before="360" w:after="283"/>
        <w:jc w:val="left"/>
        <w:rPr>
          <w:rFonts w:ascii="Times New Roman" w:hAnsi="Times New Roman"/>
          <w:sz w:val="20"/>
        </w:rPr>
      </w:pPr>
      <w:r>
        <w:rPr>
          <w:rFonts w:ascii="Times New Roman" w:hAnsi="Times New Roman"/>
          <w:b/>
          <w:i/>
          <w:color w:val="000000"/>
          <w:sz w:val="20"/>
        </w:rPr>
        <w:t>UCB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2016, the Company entered into a license agreement, or the UCB License Agreement, as amended from time to time, with UCB, under which UCB granted to the Company a worldwide, sublicensable, exclusive license to UCB6352, which the Company refers to as axatilimab, an anti-CSF-1R monoclonal antibody. Under the UCB License Agreement, the Company is required to pay UCB up to $119.5 million in one-time development and regulatory milestone payments over the term of the UCB License Agreement, subject to the achievement of certain milestone events.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deductions, with UCB. The Company is solely responsible for the development and commercialization of axatilimab, except that UCB was responsible for performing a limited set of transitional chemistry, manufacturing and control tasks related to axatilimab. Each party may terminate the UCB License Agreement for the other party’s uncured material breach or insolvency, and the Company may terminate the UCB License Agreement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Bayer Pharma AG (formerly known as Bayer Schering Pharma AG)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2007, the Company entered into a license agreement with Bayer for a worldwide, exclusive license to develop and commercialize entinostat and any other products containing the same active ingredient. The Company will pay Bayer royalties on a sliding scale based on net sales, if any, and make future milestone payments to Bayer of up to $150.0 million in the event that certain specified development and regulatory goals and sales levels are achieved.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Eddingpharm Investment Company Limited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2013, the Company entered into the Eddingpharm License Agreement to develop and commercialize entinostat in China and certain other Asian countries. Eddingpharm will pay the Company royalties on a sliding scale based on net sales, if any, and make future milestone payments up to $10.0 million in the event that certain specified development and regulatory goals are achieved.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Royalty Financing with Royalty Pharma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November 4, 2024, we entered into a Purchase and Sale Agreement, or Purchase and Sale Agreement, with Royalty Pharma Development Funding, LLC, or Royalty Pharma, pursuant to which Royalty Pharma purchased rights to certain revenue streams from net sales of products comprising or containing axatilimab (including Niktimvo) by Syndax, its affiliates and its licensees in the United States and its respective territories, districts, commonwealths and possessions (including Guam and Puerto Rico) in exchange for an upfront fee of $350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Territory, the Revenue Participation Right. Aggregate payments made to Royalty Pharma in respect of the Revenue Participation Right will be capped at $822.5 million, or the Royalty Cap.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our assets related to the product. Upon a change of control, we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our license agreement with UCB Biopharma Srl, Royalty Pharma may require us to repurchase Royalty Pharma’s interests in the Revenue Participation Right at a repurchase price equal to the Royalty Cap.</w:t>
      </w:r>
    </w:p>
    <w:p>
      <w:pPr>
        <w:pStyle w:val="TextBody"/>
        <w:bidi w:val="0"/>
        <w:spacing w:before="240" w:after="283"/>
        <w:jc w:val="left"/>
        <w:rPr>
          <w:rFonts w:ascii="Times New Roman" w:hAnsi="Times New Roman"/>
          <w:sz w:val="20"/>
        </w:rPr>
      </w:pPr>
      <w:r>
        <w:rPr>
          <w:rFonts w:ascii="Times New Roman" w:hAnsi="Times New Roman"/>
          <w:b/>
          <w:color w:val="000000"/>
          <w:sz w:val="20"/>
        </w:rPr>
        <w:t>Sales and Marketing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support the commercialization of Revuforj and Niktimvo in the United States, we have established a robust customer-facing team comprising highly experienced professionals with extensive experience in hematology and oncology and new product launches. Our targeted sales force focuses on a well-defined group of medical hematologists and oncologists and transplant physicians, primarily in academic and community settings, who are responsible for the care and treatment of cancer patients. For Revuforj, we manage sales, marketing and distribution through internal resources and third-party relationships. In accordance with our agreement, Incyte leads the commercialization of axatilimab globally and we are co-commercializing Niktimvo in the United States. Outside the United States, we plan to rely on our current partners and plan to seek additional pharmaceutical partners for development as well as sales and marketing activities.</w:t>
      </w:r>
    </w:p>
    <w:p>
      <w:pPr>
        <w:pStyle w:val="TextBody"/>
        <w:bidi w:val="0"/>
        <w:spacing w:before="240" w:after="283"/>
        <w:jc w:val="left"/>
        <w:rPr>
          <w:rFonts w:ascii="Times New Roman" w:hAnsi="Times New Roman"/>
          <w:sz w:val="20"/>
        </w:rPr>
      </w:pPr>
      <w:r>
        <w:rPr>
          <w:rFonts w:ascii="Times New Roman" w:hAnsi="Times New Roman"/>
          <w:b/>
          <w:color w:val="000000"/>
          <w:sz w:val="20"/>
        </w:rPr>
        <w:t>Manufacturing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own or operate manufacturing facilities for the production of revumenib, axatilimab, or entinostat, and we do not have plans to develop our own manufacturing operations in the foreseeable future. We currently rely on third-party contract manufacturers as well as Incyte for all of our required raw materials, active pharmaceutical ingredients and finished product for our preclinical research, clinical trials, and commercial supply. Development and commercial quantities of any products that we develop will need to be manufactured in facilities, and by processes, that comply with the requirements of the FDA and the regulatory agencies of other jurisdictions in which we are seeking approval.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Patents and Property Rights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Through licensed intellectual property and our owned intellectual property, we seek patent protection in the United States and internationally for our product candidates, their methods of use and processes for their manufacture, as well as for other technologies, where appropriate. Our policy is to actively seek to protect our proprietary position by, among other things, filing patent applications in the United States and abroad claiming our proprietary technologies that are important to the development of our business. We also rely on trade secrets, know-how, continuing technological innovation and in-licensing opportunities to develop and maintain our proprietary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cannot be sure that patents will be granted with respect to any of our owned or licensed pending patent applications or with respect to any patent applications filed by us or our licensors in the future, nor can we be sure that any of our existing owned or licensed patents or any patents that may be granted to us or to our licensors in the future will protect our technology. Our success will depend significantly on our ability to obtain and maintain patent and other proprietary protection for the technologies that we consider important to our business, defend our patents, preserve the confidentiality of our trade secrets, operate our business without infringing the patents and proprietary rights of third parties, and prevent third parties from infringing our proprietary rights.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Axatilimab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in-licensed from UCB a patent portfolio directed to axatilimab. As of December 31, 2025, the in-licensed axatilimab composition-of-matter patent portfolio included two granted U.S. patents, 35 granted non-U.S. patents, including a granted Eurasian patent which has been validated in 3 countries and two granted EP patents which have been validated in 37 countries each, and 6 non-U.S. pending patent applications. The in-licensed granted patents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covering axatilimab, and any non-U.S. pending applications should they issue, will expire in August 2034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in-licensed patent portfolio also includes patents and patent applications directed to methods for the treatment and/or prophylaxis of fibrotic disease by administration of an inhibitor of CSF-1R activity, methods for the treatment and/or prophylaxis of inflammatory bowel disease, or IBD, by administration of an inhibitor of CSF-1R activity, and liquid pharmaceutical compositions of anti-CSF-1R antibodies. As of December 31, 2025, the in-licensed method of use patent family included 11 granted non-U.S. patents, including a granted EP patent which has been validated in 7 countries. These in-licensed granted patents covering axatilimab, will expire in August 2034 or later should patent term extension be granted. As of December 31, 2025, the in-licensed liquid pharmaceutical compositions of anti-CSF-1R antibodies patent family included 1 granted U.S. patent, 17 granted non-U.S. patents including a granted EP patent which has been validated in 33 countries. These in-licensed granted patents covering axatilimab, and any non-U.S. pending applications should they issue, will expire in February 2036 or later should patent term extension be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owned axatilimab patent portfolio includes one granted U.S. Patent, three granted non-U.S. patents, one pending U.S. patent application and five non-U.S. patent applications directed to combinations of entinostat and axatilimab. The granted U.S. patent will expire in January 2039 (including a patent term adjustment period of 237 days). Further, the non-U.S. granted patents and any pending applications should they issue, will expire in May 2038 or later should patent term extension be granted. Our owned axatilimab patent portfolio also consists of patent applications directed to the treatment regimens and methods of using axatilimab includes one allowed U.S. patent application, one allowed non-U.S. patent application, and 19 non-U.S. patent applications. Further, our owned axatilimab patent portfolio consists of patent applications directed to methods of treating chronic graft-versus-host disease-related bronchiolitis obliterans syndrome using an anti-colony stimulating factor 1 receptor antibody, which include one pending U.S. patent application, one pending non-U.S. patent application, and one pending Patent Cooperation Treaty, or PCT, application. If any one of these applications were to issue as one or more patents, these patents would expire between December 2040 and May 2044 or later should patent term extension be granted.</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Menin Asset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in-licensed from Vitae, a patent portfolio directed to a series of selective preclinical inhibitors targeting the binding interaction of menin with MLL-r. As of December 31, 2025, the in-licensed portfolio includes five granted U.S. patents, U.S. Patent Nos. 12,312,359; 11,479,557; 10,683,302; 11,739,085; and 10,899,758; 30 granted non-U.S patents, including a granted European patent, which was validated in 30 member states and another granted European patent which was validated in 15 member states; two pending U.S. applications; and 20 non-U.S. pending patent applications covering composition of matter and methods of treating, e.g., MLL. The in-licensed granted patents, and any pending application should they issue, are expected to expire between June 2037 and September 2037 or later should patent term extension be granted.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owned menin patent portfolio consists of 14 pending non-U.S. patent applications and one allowed U.S. patent application, directed to combinations of a menin inhibitor and a CYP3A inhibitor for the treatment of various cancers. Our owned menin patent portfolio also consists of one pending U.S. non-provisional application, one pending PCT application, and one pending non-U.S. patent application directed to the salts and polymorphic forms of menin inhibitors and pharmaceutical combinations thereof. Furthermore, our owned menin portfolio includes 15 pending non-U.S. patent applications and one pending U.S. patent application directed to methods of treating colorectal cancer in a subject in need thereof with a menin-MLL inhibitor. We also own two pending non-U.S. patent applications and one pending PCT application, covering composition of matter and methods of treating cancer and other diseases mediated by the menin-MLL interaction. If any of these pending applications were to issue as one or more patents, these patents would expire between April 2041 and November 2044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co-own with Vitae one granted U.S. patent, eighteen pending non-U.S. patent applications, and one pending U.S. patent application, covering composition of matter and methods of treating cancer and other diseases mediated by the menin-MLL interaction. The granted patent and any pending applications should they issue, are expected to expire in May 2042 or later should patent term extension be granted.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own two pending PCT applications, two pending non-U.S. patent applications, one pending U.S. non-provisional patent application, and six U.S. provisional applications covering composition of matter and methods of treating cancer and other diseases mediated by the menin-MLL interaction. Should these pending applications issue as one or more patents, these patents would expire between December 2045 and February 2046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also co-own with St. Jude Children's Research Hospital, Inc. one pending PCT application, covering methods of using menin inhibitors or combinations of a menin inhibitor and a second therapeutic agent. Should this pending application issue as one or more patents, these patents would expire in 2045 or later should patent term extension be granted. We also co-own with Board of Regents, The University of Texas System six pending non-U.S. patent applications, one pending U.S. patent application, covering methods of treating cancer with combinations, including menin inhibitors and Bcl-2 inhibitors.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Entinostat Patent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protected entinostat with multiple layers of patents. As of December 31, 2025, our portfolio included two owned pending U.S. non-provisional patent applications, five owned granted U.S. patents, U.S. Patent Nos. 10,226,472; 11,324,822; 11,397,184; 12,168,054; and 12,000,829; which expire in August 2032, March 2036, October 2036; January 2039; and September 2041, respectively, or later should patent term extension be granted, directed to methods of treating or selecting a patient for treatment with combinations comprising entinostat and another therapeutic agent, 28 granted non-U.S. patents (including one European patent validated in five countries), and 12 owned non-U.S. pending patent applications. Our owned entinostat patent portfolio includes pending U.S. and/or non-U.S. patent applications directed to methods of treating cancer patients by administration of entinostat and exemestane, treatments with entinostat combined with anti PD-1 or anti PD-L1 antibodies, entinostat and CSF-1 or CSF-1R combination therapies (also discussed above in the Axatilimab Patent Portfolio) and patient selection for combination therapy comprising entinostat and a second therapeutic agent. The granted patents would otherwise expire between August 2032 and May 2039 or later should patent term extension be granted.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portfolio we licensed from Bayer includes U.S. Patent 7,973,166, or the ‘166- patent, which covers a crystalline polymorph of entinostat which is referred to as crystalline polymorph- B, the crystalline polymorph used in the clinical development of entinostat. Many compounds can exist in different crystalline forms. A compound which in the solid state may exhibit multiple different crystalline forms is called polymorphic, and each crystalline form of the same chemical compound is termed a polymorph. A new crystalline form of a compound may arise, for example, due to a change in the chemical process or the introduction of an impurity. Such new crystalline forms may be patented. By comparison, the U.S. Patent RE39,754, which expired in September 2017, covers the chemical entity of entinostat and any crystalline or non-crystalline form of entinostat. On March 7, 2014, our licensor Bayer applied for reissue of the ‘166 patent. The reissue application sought to add three additional inventors to the ‘166 patent. The reissue was granted as RE45,499 on April 28, 2015, at which time the original ‘166 patent was surrendered. The reissue patent has the same force and effect as the original ‘166 patent and the same August 2029 expiration date.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Of the unexpired foreign-granted patents we licensed from Bayer, there are at least 35 granted foreign counterparts of the ‘166 patent (now RE45,499) that cover crystalline polymorph B, including the European patent and Eurasian patent. The granted European patent comprises 37 national countries that have all been validated, and the granted Eurasian patent comprises nine countries that have all been validated. Likewise, there are 2 pending foreign counterparts of the ‘166 crystalline polymorph B patent. Other patents and patent applications in the licensed Bayer portfolio are expired and covered methods of treatment by administration of entinostat.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Patent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of individual patents depends upon the legal term of the patents in the countries in which they are obtained. In most countries in which we file, the patent term is 20 years from the date of filing the earliest non-provisional application or PCT application.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a patent’s term may be lengthened by patent term adjustment, which compensates a patentee for administrative delays by the U.S. Patent and Trademark Office, or USPTO in granting a patent, or may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 shortened if a patent is terminally disclaimed over an earlier-filed patent. The term of a patent that covers an approved drug may also be eligible for patent term extension, which permits patent term restoration as compensation for the patent term lost during the development and regulatory review process. To obtain a patent extension in the United States, the term of the relevant patent must not have expired before the extension application, the patent cannot have been extended previously under this law, an application for extension must be submitted, the product must be subject to regulatory review prior to its commercialization, and the permission for the commercial marketing or use of the product after such regulatory review period is the first permitted commercial marketing or use of the product. If our future products contain active ingredients which have not been previously approved, we may be eligible for a patent term extension in the United States. In the United States, we are seeking for axatilimab and revumenib extension of patent terms under the Drug Price Competition and Patent Term Restoration Act of 1984, which permits a patent term extension of up to five years beyond the expiration of the patent for patent claims covering a new chemical entity. If patent extensions are available to us outside of the United States, we would expect to file for a patent term extension in applicable jurisdictions.</w:t>
      </w:r>
    </w:p>
    <w:p>
      <w:pPr>
        <w:pStyle w:val="TextBody"/>
        <w:bidi w:val="0"/>
        <w:spacing w:before="360" w:after="283"/>
        <w:jc w:val="left"/>
        <w:rPr>
          <w:rFonts w:ascii="Times New Roman" w:hAnsi="Times New Roman"/>
          <w:sz w:val="20"/>
        </w:rPr>
      </w:pPr>
      <w:r>
        <w:rPr>
          <w:rFonts w:ascii="Times New Roman" w:hAnsi="Times New Roman"/>
          <w:b/>
          <w:i/>
          <w:color w:val="000000"/>
          <w:sz w:val="20"/>
        </w:rPr>
        <w:t>Confidential Information and Inventions Assignment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require our employees and consultants to execute confidentiality agreements upon the commencement of employment, consulting or collaborative relationships with us. These agreements provide that all confidential information developed or made known during the course of the relationship with us be kept confidential and not disclosed to third parties except in specific circumstances.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case of employees, the agreements provide that all inventions resulting from work performed for us, utilizing our property or relating to our business and conceived or completed by the individual during employment shall be our exclusive property to the extent permitted by applicable law. Our consulting and service agreements also provide for assignment to us of any intellectual property resulting from services performed for us.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Government Regulation and Product Approval</w:t>
      </w:r>
    </w:p>
    <w:p>
      <w:pPr>
        <w:pStyle w:val="TextBody"/>
        <w:bidi w:val="0"/>
        <w:spacing w:before="120" w:after="283"/>
        <w:jc w:val="left"/>
        <w:rPr>
          <w:rFonts w:ascii="Times New Roman" w:hAnsi="Times New Roman"/>
          <w:sz w:val="20"/>
        </w:rPr>
      </w:pPr>
      <w:r>
        <w:rPr>
          <w:rFonts w:ascii="Times New Roman" w:hAnsi="Times New Roman"/>
          <w:b/>
          <w:i/>
          <w:color w:val="000000"/>
          <w:sz w:val="20"/>
        </w:rPr>
        <w:t>United States Government Regulation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the FDA regulates drugs and biologics under the Federal Food, Drug, and Cosmetic Act the Public Health Service Act, and related regulations. Drugs and biologics are also subject to other federal, state and local statutes and regulations. The FDA and comparable regulatory agencies in state and local jurisdictions impose substantial requirements upon, among other things, the testing, development, manufacture, quality control, safety, purity, potency, labeling, storage, distribution, record keeping and reporting, approval, import and export, advertising and promotion, and postmarket surveillance of drugs and biologics. </w:t>
      </w:r>
    </w:p>
    <w:p>
      <w:pPr>
        <w:pStyle w:val="TextBody"/>
        <w:bidi w:val="0"/>
        <w:spacing w:before="360" w:after="283"/>
        <w:jc w:val="left"/>
        <w:rPr>
          <w:rFonts w:ascii="Times New Roman" w:hAnsi="Times New Roman"/>
          <w:sz w:val="20"/>
        </w:rPr>
      </w:pPr>
      <w:r>
        <w:rPr>
          <w:rFonts w:ascii="Times New Roman" w:hAnsi="Times New Roman"/>
          <w:b/>
          <w:i/>
          <w:color w:val="000000"/>
          <w:sz w:val="20"/>
        </w:rPr>
        <w:t>Biopharmaceutical Product Development Process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required by the FDA before biopharmaceutical products may be marketed in the United States generally involves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completion of extensive preclinical laboratory tests and animal studies in accordance with applicable regulations, including the FDA’s good laboratory practice, or GLP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of an Investigational New Drug, or IND, application which must become effective before clinical trials may begin;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performance of adequate and well-controlled human clinical trials in accordance with applicable regulations, including the FDA’s current good clinical practice, or cGCP, regulations to establish the safety and efficacy of the proposed drug for its intended use or uses;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submission to the FDA of a New Drug Application, or NDA, for a new drug product or a Biologics License Application, or BLA, for biologics;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determination by the FDA within 60 days of its receipt of an NDA or BLA to accept the application for filing and review;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where the drug or biologic is produced to assess compliance with the FDA’s current Good Manufacturing Practices, or cGMP, regulations to assure that the facilities, methods and controls are adequate to preserve the product’s identity, strength, quality and purity;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FDA audit of the preclinical and/or clinical trial sites that generated the data in support of an NDA or BLA;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review and approval of an NDA or BLA prior to any commercial marketing or sale of the biopharmaceutical product in the United States.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Before testing any compounds with potential therapeutic value in humans, the product candidate enters the preclinical testing stage. Preclinical tests include laboratory evaluations of product chemistry and formulation, as well as animal studies to assess the potential safety, toxicity profile and activity of the product candidate. The conduct of the preclinical tests must comply with federal regulations and requirements including GLPs.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Prior to commencing the first clinical trial in humans, an IND must be submitted to the FDA, and the IND must become effective. A sponsor must submit preclinical testing results to the FDA as part of the IND and the FDA must evaluate whether there is an adequate basis for testing the drug in humans. The IND automatically becomes effective 30 days after receipt by the FDA unless the FDA within the 30-day time period raises concerns or questions about the submitted data or the conduct of the proposed clinical trial and places the IND on clinical hold. In such case, the IND application sponsor must resolve any outstanding concerns with the FDA before the clinical trial may begin. A separate submission to the existing IND application must be made for each successive clinical trial to be conducted during product development. Further, an independent Institutional Review Board, or IRB, for each site proposing to conduct the clinical trial must review and approve the protocol and informed consent for any clinical trial before it commences at that site. Informed consent must also be obtained from each study subject. Regulatory authorities, an IRB, a data safety monitoring board or the trial sponsor may suspend or terminate a clinical trial at any time on various grounds, including a finding that the participants are being exposed to an unacceptable health risk.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Human clinical trials are typically conducted in three sequential phases that may overlap: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1—The drug is initially given to healthy human subjects or patients and tested for safety, dosage tolerance, absorption, metabolism, distribution and excretion, the side effects associated with increasing doses, and if possible, to gain early evidence on effectiveness.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2—The drug is evaluated in a limited patient population to identify possible adverse effects and safety risks, to preliminarily evaluate the efficacy of the product for specific targeted diseases or conditions and to determine dosage tolerance, optimal dosage and dosing schedule.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Phase 3—Clinical trials are undertaken to further evaluate dosage, clinical efficacy and safety at geographically dispersed clinical trial sites. These clinical trials are intended to establish the overall benefit-risk ratio of the product and to provide an adequate basis for product approval by the FDA.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Post-approval studies, or Phase 4 clinical trials, may be conducted after initial marketing approval. These studies may be required by the FDA as a condition of approval and are used to gain additional experience from the treatment of patients in the intended therapeutic indication. The FDA also has express statutory authority to require post-market clinical studies to address safety issues.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clinical trials are overseen by an independent group of qualified experts organized by the clinical trial sponsor, known as a data monitoring board or committee. This group provides recommendations for whether or not a trial may move forward at designated checkpoints based on access to certain data from the study. A sponsor may also suspend or terminate a clinical trial based on evolving business objectives and/or competitive climate.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drug candidate and, among other things, must include developed methods for testing the identity, strength, quality and purity of the finished product. Additionally, appropriate packaging must be selected and tested and stability studies must be conducted to demonstrate that the product candidate does not undergo unacceptable deterioration over its shelf life.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FDA Review and Approval Processes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obtain approval to market a biopharmaceutical product in the United States, a marketing application must be submitted to the FDA that provides data establishing to the FDA’s satisfaction the safety and effectiveness of the investigational drug for the proposed indication. Each NDA or BLA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will initially review an NDA or BLA for completeness before it accepts it for filing. The FDA has 60 days from its receipt of an application to determine whether the application will be accepted for filing based on the agency’s threshold determination that the application is sufficiently complete to permit substantive review. If it is not, the FDA may refuse to file the application and request additional information, in which case the application must be resubmitted with the supplemental information, and review of the application is delayed. After an NDA or BLA submission is accepted for filing, the FDA reviews the application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the filing of an NDA or BLA, the FDA may grant a priority review designation to a product, which sets the target date for FDA action on the application at 6 months, rather than the standard 10 months. Priority review is given for drug that treats a serious condition and, if approved, would provide a significant improvement in safety or effectiveness. Priority review designation does not change the scientific or medical standard for approval or the quality of evidence necessary to support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Before approving an NDA or BLA,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 Additionally, before approving an NDA or BLA, the FDA may inspect one or more clinical sites to assure compliance with GCP.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After the FDA completes its initial review of an NDA or BLA, it will communicate to the sponsor that the product is approved, or it will issue a complete response letter to communicate that the application will not be approved in its current form and inform the sponsor of changes that must be made or additional clinical, nonclinical or manufacturing data that must be received before the application can be approved.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For example, the FDA may require Phase 4 testing, which involves clinical trials designed to further assess a drug’s safety and effectiveness and may require testing and surveillance programs to monitor the safety of approved products that have been commercialized. The FDA may also determine that a risk evaluation and mitigation strategy, or REMS, is necessary to assure the safe use of the drug. If the FDA concludes a REMS is needed, the sponsor of an NDA must submit a proposed REMS, and the FDA will not approve an NDA without an approved REMS, if required.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Expedited Review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Among other programs, the FDA may expedite the review of a product candidate designated as a breakthrough therapy, which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A sponsor may request the FDA to designate a drug as a breakthrough therapy at the time of, or any time after, the submission of an IND application for the drug. If the FDA designates a drug as a breakthrough therapy, it may take actions appropriate to expedite the development and review of the application, which may include holding meetings with the sponsor and the review team throughout the development of the drug;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taking steps to ensure that the design of the clinical trials is as efficient as practicable, when scientifically appropriate, such as by minimizing the number of patients exposed to a potentially less efficacious treatment. The FDA may rescind a breakthrough therapy designation in the future if further clinical development later shows that the criteria for designation are no longer met.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Breakthrough therapy designation does not change the standards for approval but may expedite the development or review process. </w:t>
      </w:r>
    </w:p>
    <w:p>
      <w:pPr>
        <w:pStyle w:val="TextBody"/>
        <w:bidi w:val="0"/>
        <w:spacing w:before="360" w:after="283"/>
        <w:jc w:val="left"/>
        <w:rPr>
          <w:rFonts w:ascii="Times New Roman" w:hAnsi="Times New Roman"/>
          <w:sz w:val="20"/>
        </w:rPr>
      </w:pPr>
      <w:r>
        <w:rPr>
          <w:rFonts w:ascii="Times New Roman" w:hAnsi="Times New Roman"/>
          <w:b/>
          <w:i/>
          <w:color w:val="000000"/>
          <w:sz w:val="20"/>
        </w:rPr>
        <w:t>Post-Approval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and when approved, any products manufactured or distributed by us or on our behalf will be subject to continuing regulation by the FDA, including requirements for record-keeping, reporting of adverse experiences and submitting annual reports.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Biopharmaceutical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The FDA and certain states also impose requirements on manufacturers and distributors to establish the pedigree of product in the chain of distribution, including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application, shut down manufacturing operations or withdraw approval of an application, or we may recall the product from distribution. Noncompliance with cGMP or other requirements can result in issuance of warning letters, civil and criminal penalties, seizures and injunctive action.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FDA closely regulates the labeling, marketing and promotion of drugs and biologics. While doctors are free to prescribe any drug approved by the FDA for any use based on the doctor’s independent medical judgment, a company can only make claims relating to safety and efficacy of a drug that are consistent with FDA approval, and a company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 </w:t>
      </w:r>
    </w:p>
    <w:p>
      <w:pPr>
        <w:pStyle w:val="TextBody"/>
        <w:bidi w:val="0"/>
        <w:spacing w:before="360" w:after="283"/>
        <w:jc w:val="left"/>
        <w:rPr>
          <w:rFonts w:ascii="Times New Roman" w:hAnsi="Times New Roman"/>
          <w:sz w:val="20"/>
        </w:rPr>
      </w:pPr>
      <w:r>
        <w:rPr>
          <w:rFonts w:ascii="Times New Roman" w:hAnsi="Times New Roman"/>
          <w:b/>
          <w:i/>
          <w:color w:val="000000"/>
          <w:sz w:val="20"/>
        </w:rPr>
        <w:t>Coverage and Reimbursement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both domestic and foreign markets, sales of Revuforj, Niktimvo and any other products for which we may receive regulatory approval will depend in part upon the availability of formulary coverage and adequate reimbursement to healthcare providers from third-party payors. Such third-party payors include government health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programs, such as Medicare and Medicaid, as well as managed care organizations, private health insurers and other organizations. Coverage decisions may depend upon clinical and economic standards that disfavor new drug products when more established or lower cost therapeutic alternatives are available. Assuming coverage is granted, the reimbursement rates paid for covered products might not be adequate. Even if favorable coverage status and adequate reimbursement rates are attained, less favorable coverage policies and reimbursement rates may be implemented in the future. The marketability of Revuforj, Niktimvo and any other products for which we may receive regulatory approval for commercial sale may suffer if the government and other third-party payors fail to provide coverage and adequate reimbursement to allow us to sell such products on a competitive and profitable basis. For example, under these circumstances, physicians may limit how much or under what circumstances they will prescribe or administer such products, and patients may decline to purchase them. This, in turn, could affect our ability to successfully commercialize our products and impact our profitability, results of operations, financial condition, and future success.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United States, the European Union and other potentially significant markets for our products and product candidates, government authorities and third-party payors are increasingly attempting to limit or regulate the price of medical products and services, particularly for new and innovative products and therapies. For example, the U.S. Department of Health and Human Services, or HHS, imposes rebates on many Medicare Part B and Medicare Part D products to penalize price increases that outpace inflation on an annual basis. HHS also has been empowered to negotiate the price of certain single-source drugs that have been on the market for at least seven years and single-course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Adoption of price controls and cost-containment measures, and adoption of more restrictive policies in jurisdictions with existing controls and measures, could further limit a company’s revenue generated from the sale of any approved products. Such pressure, along with the increased emphasis on managed healthcare in the United States and on country and regional pricing and reimbursement controls in the European Union, will likely put additional downward pressure on product pricing, reimbursement and usage, which may adversely affect our future product sales and results of operations. These pressures can arise from rules and practices of managed care groups, judicial decisions, governmental laws and regulations related to government healthcare programs, healthcare reform, and pharmaceutical coverage and reimbursement policies.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market for Revuforj, Niktimvo and any other product candidates for which we may receive regulatory approval will depend significantly on the degree to which these products are listed on third-party payors’ drug formularies or lists of medications for which third-party payors provide coverage and reimbursement to the extent products for which we may receive regulatory approval are covered under a pharmacy benefit or are otherwise subject to a formulary. The industry competition to be included on such formularies often leads to downward pricing pressures on pharmaceutical companies. Also, third-party payors may refuse to include a particular branded drug on their formularies or otherwise restrict patient access to a branded drug when a less costly generic equivalent or other alternative is available. In addition, because each third-party payor individually approves coverage and reimbursement levels, obtaining coverage and adequate reimbursement is a time-consuming and costly process. Further, one payor’s determination to provide coverage for a drug product does not assure that other payors will also provide coverage for the drug product. We may be required to provide scientific and clinical support for the use of any product to each third-party payor separately with no assurance that approval would be obtained, and we may need to conduct expensive pharmacoeconomic studies in order to demonstrate the cost-effectiveness of our products. We cannot be certain that Revuforj, Niktimvo and any other product candidates for which we may receive regulatory approval will be considered cost-effective. This process could delay the market acceptance of such products and could have a negative effect on our future revenue and operating results.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Federal and State Fraud and Abuse and Data Privacy and Security Laws and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FDA restrictions on marketing of pharmaceutical products, federal and state laws restrict business practices in the pharmaceutical industry. These laws include anti-kickback and false claims laws and regulations as well as data privacy and security laws and regulations. The laws that will affect our operations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by the Health Care and Education Reconciliation Act, collectively, the Affordable Care Act, amended the intent requirement of the federal Anti-Kickback Statute so that a person or entity no longer needs to have actual knowledge of this statute or specific intent to violate it in order to have committed a violation;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federal civil and criminal false claims laws, including, without limitation, the False Claims Act, or FCA,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Affordable Care Act provides, and recent government cases against pharmaceutical manufacturers support, the view that federal Anti-Kickback Statute violations and certain marketing practices, including off-label promotion, may implicate the FCA;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Health Insurance Portability and Accountability Act of 1996, or HIPAA, which created additional federal criminal statutes that, among other things, prohibit a person from knowingly and willfully executing a scheme or making false or fraudulent statements to defraud any healthcare benefit program, regardless of the payor (e.g., public or private);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the Health Information Technology for Economic and Clinical Health Act, or HITECH, and their implementing regulations, which imposes certain requirements relating to the privacy, security and transmission of individually identifiable health information without appropriate authorization by entities subject to the rule, such as health plans, healthcare clearinghouses and certain healthcare providers, known as covered entities, and their respective business associates, individuals or entities that perform certain services on behalf of a covered entity that involves the use or disclosure of individually identifiable health information, and their covered subcontractors;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state law equivalents of each of the above federal laws, state laws that require manufacturers to report information related to payments and other transfers of value to physicians and other healthcare providers or marketing expenditures,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state laws that require manufactures to report pricing information regarding certain drugs, state and local laws that require the registration of pharmaceutical sales representatives, and state laws that govern the privacy and security of health information, which differ from each other in significant ways and often are not preempted by HIPAA, thus complicating compliance efforts.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also be subject to federal and state laws that govern the privacy and security of other personal data, including federal and state consumer protection laws, state data security laws, and data breach notification laws. A data breach affecting sensitive personal data, including health information, could result in significant legal and financial exposure and reputational damages.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available statutory and regulatory exemptions, it is possible that some of our business activities could be subject to challenge, investigation or legal action under one or more of such laws. If our operations are found to be in violation of any of the federal and state laws described above or any other governmental regulations that apply to us, we may be subject to significant civil, criminal, and administrative penalties, including, without limitation, damages, fines, imprisonment, disgorgement, exclusion from participation in government healthcare programs, additional reporting requirements and oversight if we become subject to a corporate integrity agreement or similar agreement to resolve allegations of non-compliance with these laws, and the curtailment or restructuring of our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any of our product candidates receive approval and are sold in a foreign country, we may be subject to similar foreign laws and regulations, which may include, for instance, applicable post-marketing requirements, including safety surveillance, anti-fraud and abuse laws, international data protection laws (including the General Data Protection Directive ((EU) 2016/679) on the protection of individuals with regard to the processing of personal data and on the free movement of such data as well as EU member state implementing legislation), and implementation of corporate compliance programs and reporting of payments or transfers of value to healthcare professionals.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Healthcare Reform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Revuforj, Niktimvo, and any other product candidates for which we obtain marketing approval. Among policy makers and payors in the United States and elsewhere, there is significant interest in promoting changes in healthcare systems with the stated goals of containing healthcare costs, improving quality and expanding access. In the United States, the pharmaceutical industry has been a particular focus of these efforts and has been significantly affected by major legislative initiatives. For example, in March 2010, the Affordable Care Act was passed, which has changed health care financing by both governmental and private insurers and significantly affected the U.S. pharmaceutical industry.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its enactment, there have been executive, judicial and Congressional challenges and amendments to certain aspects of the Affordable Care Act. For example, on July 4, 2025, the One Big Beautiful Bill Act, or the OBBBA, was signed into law, which narrowed access to Affordable Care Act marketplace exchange enrollment and declined to extend the Affordable Care Act’s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United States federal healthcare reform measures will be adopted in the future, any of which could limit the amounts that the federal government will pay for healthcare products and services, which could result in reduced demand for our products or additional pricing pressures.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increasing legislative and enforcement interest in the United States with respect to specialty drug pricing practices. Additionally,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drug prices in the United States, potentially impacting manufacturers’ global pricing strategies and profitability, while increasing their operational costs and compliance risks. Additionally, in its June 2024 decision in Loper Bright Enterprises v. Raimondo, or Loper Bright, the U.S.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additional state, federal, and foreign healthcare reform measures will be adopted in the future. The full impact on our business of these health reform measures and other new laws is uncertain but may result in additional reductions in Medicare and other healthcare funding. Nor is it clear whether other legislative changes will be adopted, if any, or how such changes would affect our business, including the demand for our products. </w:t>
      </w:r>
    </w:p>
    <w:p>
      <w:pPr>
        <w:pStyle w:val="TextBody"/>
        <w:bidi w:val="0"/>
        <w:spacing w:before="360" w:after="283"/>
        <w:jc w:val="left"/>
        <w:rPr>
          <w:rFonts w:ascii="Times New Roman" w:hAnsi="Times New Roman"/>
          <w:sz w:val="20"/>
        </w:rPr>
      </w:pPr>
      <w:r>
        <w:rPr>
          <w:rFonts w:ascii="Times New Roman" w:hAnsi="Times New Roman"/>
          <w:b/>
          <w:i/>
          <w:color w:val="000000"/>
          <w:sz w:val="20"/>
        </w:rPr>
        <w:t>Regulations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regulations in the United States, we will be subject to a variety of foreign regulations governing clinical trials and commercial sales and distribution of our product candidates to the extent we choose to sell any products outside of the United States. Whether or not we obtain FDA approval for a product, we must obtain approval of a product by the comparable regulatory authorities of foreign countries before we can commence clinical trials or marketing of the product in those countries. The approval process varies from country to country and the time may be longer or shorter than that required for FDA approval. The requirements governing the conduct of clinical trials, product licensing, pricing and reimbursement vary greatly from country to country. As in the United States, post-approval regulatory requirements, such as those regarding product manufacture, marketing, or distribution would apply to any product that is approved outside the United States. </w:t>
      </w:r>
    </w:p>
    <w:p>
      <w:pPr>
        <w:pStyle w:val="TextBody"/>
        <w:bidi w:val="0"/>
        <w:spacing w:before="360" w:after="283"/>
        <w:jc w:val="left"/>
        <w:rPr>
          <w:rFonts w:ascii="Times New Roman" w:hAnsi="Times New Roman"/>
          <w:sz w:val="20"/>
        </w:rPr>
      </w:pPr>
      <w:r>
        <w:rPr>
          <w:rFonts w:ascii="Times New Roman" w:hAnsi="Times New Roman"/>
          <w:b/>
          <w:i/>
          <w:color w:val="000000"/>
          <w:sz w:val="20"/>
        </w:rPr>
        <w:t>Other Regulations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Employees and Human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we had 298 full-time employees of which 144 were primarily engaged in research and development activities and 65 with M.D., Ph.D., or PharmD degree. As of February 16, 2026, we had 277 full-time employees. Of the full-time employees, 128 were primarily engaged in research and development activities and 56 have an M.D., Ph.D., or PharmD degree. None of our employees are represented by labor unions or covered by collective bargaining agreements. We consider our relationship with our employees to be good. To allow us flexibility in meeting varying workflow demands, we also engage consultants and temporary workers when needed.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human capital resources objectives include, as applicable, identifying, recruiting, retaining, incentivizing and integrating our existing and additional employees. All employees must adhere to a code of business conduct and ethics and our employee handbook, which combined, define standards for appropriate behavior and are annually trained to help prevent, identify, report, and stop any type of discrimination and harassment.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consider a number of measures and objectives in managing our human capital assets, including, among others, employee engagement, development, and training, talent acquisition and retention, employee safety and wellness, diversity and inclusion, and compensation and pay equity. We provide our employees with salaries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bonuses intended to be competitive for our industry, opportunities for equity ownership, development programs that enable continued learning and growth and a robust benefits package to promote well-being across all aspects of their lives, including health care, retirement planning and paid time off. The principal purposes of our equity incentive plans are to attract, retain and motivate selected employees and directors through the granting of equity-based compensation awards and cash-based compensation awards, in order to increase stockholder value and the success of our company by motivating such individuals to perform to the best of their abilities and achieve our objectives.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have conducted employee surveys to gauge employee engagement and identify areas of future focus for our human capital practices and benefits offerings.</w:t>
      </w:r>
    </w:p>
    <w:p>
      <w:pPr>
        <w:pStyle w:val="TextBody"/>
        <w:bidi w:val="0"/>
        <w:spacing w:before="360" w:after="283"/>
        <w:jc w:val="left"/>
        <w:rPr>
          <w:rFonts w:ascii="Times New Roman" w:hAnsi="Times New Roman"/>
          <w:sz w:val="20"/>
        </w:rPr>
      </w:pPr>
      <w:r>
        <w:rPr>
          <w:rFonts w:ascii="Times New Roman" w:hAnsi="Times New Roman"/>
          <w:b/>
          <w:color w:val="000000"/>
          <w:sz w:val="20"/>
        </w:rPr>
        <w:t>Corporate and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were incorporated in Delaware in 2005. In 2021, we established a wholly owned subsidiary in the Netherlands. There have been no material activities for these entities to date. We currently operate in one segment.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principal office is located in New York, New York, where we lease approximately 12,000 square feet of office space pursuant to a lease that expires in August 2028. In February 2025, following the expiration of our lease, we closed our office in Waltham, Massachusetts and made New York our principal office. We believe our facilities are adequate to meet our current needs, although we may seek to negotiate new leases or evaluate additional or alternate space for our operations. We believe appropriate alternative space will be readily available on commercially reasonable terms.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We file electronically with the Securities and Exchange Commission, or SEC, our annual reports on Form 10-K, quarterly reports on Form 10-Q, current reports on Form 8-K, and amendments to those reports filed or furnished pursuant to Section 13(a) or 15(d) of the Exchange Act. We make available on our website at </w:t>
      </w:r>
      <w:r>
        <w:rPr>
          <w:rFonts w:ascii="Times New Roman" w:hAnsi="Times New Roman"/>
          <w:color w:val="000000"/>
          <w:sz w:val="20"/>
          <w:u w:val="single"/>
        </w:rPr>
        <w:t>www.syndax.com</w:t>
      </w:r>
      <w:r>
        <w:rPr>
          <w:rFonts w:ascii="Times New Roman" w:hAnsi="Times New Roman"/>
          <w:color w:val="000000"/>
          <w:sz w:val="20"/>
        </w:rPr>
        <w:t xml:space="preserve">, under “Investors,” free of charge, copies of these reports as soon as reasonably practicable after filing or furnishing these reports with the SEC. </w:t>
      </w:r>
    </w:p>
    <w:p>
      <w:pPr>
        <w:pStyle w:val="TextBody"/>
        <w:bidi w:val="0"/>
        <w:spacing w:before="360" w:after="283"/>
        <w:jc w:val="left"/>
        <w:rPr>
          <w:rFonts w:ascii="Times New Roman" w:hAnsi="Times New Roman"/>
          <w:sz w:val="20"/>
        </w:rPr>
      </w:pPr>
      <w:bookmarkStart w:id="5" w:name="item_1a_risk_factors"/>
      <w:bookmarkEnd w:id="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This Annual Report contains forward-looking information based on our current expectations. Because our business is subject to many risks and our actual results may differ materially from any forward-looking statements made by or on behalf of us, this section includes a discussion of important factors that could affect our business, operating results, financial condition and the trading price of our common stock. You should carefully consider these risk factors, together with all of the other information included in this Annual Report as well as our other publicly available filings with the SEC.</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of Selected Risks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business is subject to numerous risks and uncertainties, of which you should be aware before making a decision to invest in our securities. These risks and uncertainties include, among others,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depends heavily on our ability to successfully commercialize Revuforj and Niktimvo in the United States and in other jurisdictions where we may obtain marketing approval. There is no assurance that our commercialization efforts with respect to Revuforj or Niktimvo will be successful or that we will be able to generate revenues at the levels or on the timing we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recently begun commercialization efforts and the sales, marketing, and distribution of Revuforj, Niktimvo, or any future approved products may be unsuccessful or less successful than anticipated.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market opportunities for our products are smaller than we believe they are, our revenue may be adversely affected, and our business may suffer.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significant competition from other biotechnology and pharmaceutical companies, and our operating results will suffer if we fail to compete effectively.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currently developing several product candidates. If we are unable to successfully complete clinical development of, obtain regulatory approval for, and commercialize our product candidates, our business prospects may be significantly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to the final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incur additional costs or experience delays in completing, or ultimately be unable to complete, the development and commercialization of any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Incyte may fail to perform its obligations as expected under the collaboration or may deprioritize its investment to further develop and commercialize axatilimab.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or our collaborators are unable to enroll patients in clinical trials, these clinical trials may not be completed on a timely basis or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comply with regulatory requirements or unanticipated problems with Revuforj or Niktimvo may result in various adverse actions such as the suspension or withdrawal of Revuforj or Niktimvo, closure of a facility or enforcement of substantial penalties or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regulatory approval processes of the FDA and foreign regulatory authorities are lengthy, time-consuming and inherently unpredictable. Our inability to obtain regulatory approval for our product candidates would harm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Niktimvo and our future products may not achieve adequate market acceptance among physicians, patients, healthcare payors and others in the medical community to be commercially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third-party contract manufacturers as well as Incyte for all of our required raw materials, active pharmaceutical ingredients and finished product for our preclinical research, clinical trials, and commercial manufacturing and distribution.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product candidates may face future development and regulatory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products and product candidates may cause undesirable side effects or have other properties that could delay or prevent their regulatory approval, limit the commercial scope of their approved use, or result in significant negative consequences following any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insurance coverage and reimbursement status of newly approved products is uncertain. Failure to obtain or maintain adequate coverage and reimbursement for Revuforj or Niktimvo or any future products could limit our ability to market those products and decrease our ability to generate revenue.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period since our inception, except in 2021, and anticipate that we will continue to incur net losses for the near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product, collaboration and milestone revenue, we may never achieve or maintain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or protect intellectual property rights, we may not be able to compete effectively in our market.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stock may be volatile and you could lose all or part of your investment.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sell additional equity or debt securities or enter into other arrangements to fund our operations, which may result in dilution to our stockholders and impose restrictions or limitations on our business.</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Business and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depends heavily on our ability to successfully commercialize Revuforj and Niktimvo in the United States and in other jurisdictions where we may obtain marketing approval. There is no assurance that our commercialization efforts with respect to Revuforj or Niktimvo will be successful or that we will be able to generate revenues at the levels or on the timing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2024, Revuforj was approved by the FDA for the treatment of R/R acute leukemia with a KMT2A, translocation in adult and pediatric patients one year old and older. In October 2025, Revuforj received a second approval from the FDA for the treatment of R/R AML with a susceptible nucleophosmin 1 mutation, or NPM1m, in adult and pediatric patients one year and older who have no satisfactory alternative treatment options. The FDA approved Niktimvo in August 2024 for the treatment of cGVHD after failure of at least two prior lines of systemic therapy in adult and pediatric patients weighing at least 40 kg.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currently depends heavily on our ability to successfully commercialize Revuforj in the United States and in other jurisdictions where we may obtain marketing approval as well as commercializing Niktimvo, with our collaboration partner Incyte, in the United States. We may never be able to successfully commercialize our products or meet our expectations with respect to revenues. We have never marketed, sold, or distributed for commercial use any other products, nor have we marketed, sold or distributed for commercial use any product in any other market outside of the United States. There is no guarantee that the infrastructure, systems, processes, policies, relationships, and materials we have built for the launch and commercialization of Revuforj or Niktimvo in the United States will be sufficient for us to achieve success at the levels we expect.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encounter issues and challenges in commercializing Revuforj and Niktimvo and generating substantial revenues. We may also encounter challenges related to reimbursement of Revuforj or Niktimvo, including potential limitations in the scope, breadth, availability, or amount of reimbursement covering Revuforj or Niktimvo, respectively. Similarly, healthcare settings or patients may determine that the financial burdens of treatment are not acceptable. We may face other limitations or issues related to the price of Revuforj or Niktimvo. Our results may also be negatively impacted if we have not adequately sized our field teams or our physician segmentation and targeting strategy is inadequate or if we encounter deficiencies or inefficiencies in our infrastructure or processes. Other factors that may hinder our ability to successfully commercialize Revuforj, Niktimvo, or any of our future approved drugs, and generate substantial revenues,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acceptance of Revuforj and Niktimvo by patients and the medical community;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third-party manufacturer(s) to manufacture commercial supplies of Revuforj or Niktimvo at acceptable costs, to remain in good standing with regulatory agencies, and to maintain commercially viable manufacturing processes that are, to the extent required, compliant with cGMP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remain compliant with laws and regulations that apply to us and our commercial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FDA-mandated package insert requirements and successful completion of any related FDA post-marketing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actual market size for Revuforj or Niktimvo, respectively, which may be different than expected;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length of time that patients who are prescribed our drug remain on treatment;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sufficiency of our drug supply to meet commercial and clinical demands which could be negatively impacted if our projections regarding the potential number of patients are inaccurate, we are subject to unanticipated regulatory requirements, or our current drug supply is destroyed, or negatively impacted at our manufacturing or storage sites, or in transit;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effectively compete with other therapies that may emerge;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enforce, and defend third party challenges to our intellectual property rights in and to Revuforj and Niktimvo.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issues could impair our ability to successfully commercialize our products or to generate substantial revenues or profits or to meet our expectations with respect to the amount or timing of revenues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profits. Any issues or hurdles related to our commercialization efforts may materially adversely affect our business, results of operations, financial condition, and prospects. There is no guarantee that we will be successful in our commercialization efforts with respect to Revuforj or Niktimvo. We may also experience significant fluctuations in sales of Revuforj or Niktimvo from period to period and, ultimately, we may never generate sufficient revenues from Revuforj and Niktimvo to reach or maintain profitability or sustain our anticipated levels of operations. Any inability on our part to successfully commercialize Revuforj or Niktimvo in the United States, and any other international markets where it may subsequently be approved, or any significant delay, could have a material adverse impact on our ability to execute upon our business strategy.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recently begun commercialization efforts and the sales, marketing, and distribution of Revuforj, Niktimvo, or any future approved products may be unsuccessful or less successful than anticipated.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began commercialization of Revuforj in November 2024 and Niktimvo in February 2025. As a company, we had no prior experience commercializing a product. The success of our commercialization efforts for Revuforj, Niktimvo, and any future approved products is difficult to predict and subject to the effective execution of our business plan, including, among other things, the continued development of our internal sales, marketing, and distribution capabilities and our ability to navigate the significant expenses and risks involved with the development and management of such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we have expanded in areas to support commercialization, including in sales management, sales representatives, marketing, market access and reimbursement, sales support, and distribution. There are significant risks involved with establishing our own sales, marketing, and distribution capabilities, including risks related to our ability to hire, retain, and appropriately incentivize qualified individuals, provide adequate training to sales and marketing personnel, and effectively manage geographically dispersed sales teams to generate sufficient demand. Any failure or delay in the development of these capabilities could delay or negatively affect the success of our commercialization efforts and our business. In addition, the commercialization of Revuforj and Niktimvo may not develop as planned or anticipated, which may require us to adjust or amend our business plan and incur significant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given our recent launches of Revuforj and Niktimvo, we do not have a track record of successfully executing on the commercialization of approved products. If we are unsuccessful in accomplishing our objectives and executing on our business plan, or if the commercialization of Revuforj and Niktimvo or any future approved products does not develop as planned, we may require significant additional capital and financial resources, we may not become profitable, and we may not be able to compete against more established companies in our industry.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If the market opportunities for our products are smaller than we believe they are, our revenue may be adversely affected, and our business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projections of the number of adult and pediatric patients who have the potential to benefit from treatment with either Revuforj or Niktimvo are based on our beliefs and estimates. These estimates have been derived from a variety of sources and may prove to be incorrect or new studies may change the estimated incidence or prevalence, and the number of patients may turn out to be lower than expected. Additionally, the potentially addressable patient population for Revuforj or Niktimvo may be limited or may not be amenable to treatment with Revuforj or Niktimvo, and new patients may become increasingly difficult to identify or access, which would adversely affect our results of operations and our business. If the number of our addressable patients is not as significant as we estimate or the reasonably expected population for treatment is narrowed by competition, physician choice, or treatment guidelines, revenue from sales of products may be more limited than we expect. Even if we obtain significant market share for Revuforj or Niktimvo, we may never become or remain profitable nor generate sufficient revenue growth to sustain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face significant competition from other biotechnology and pharmaceutical companies, and our operating results will suffer if we fail to compete effectively.</w:t>
      </w:r>
    </w:p>
    <w:p>
      <w:pPr>
        <w:pStyle w:val="TextBody"/>
        <w:bidi w:val="0"/>
        <w:spacing w:before="120" w:after="283"/>
        <w:jc w:val="left"/>
        <w:rPr>
          <w:rFonts w:ascii="Times New Roman" w:hAnsi="Times New Roman"/>
          <w:sz w:val="20"/>
        </w:rPr>
      </w:pPr>
      <w:r>
        <w:rPr>
          <w:rFonts w:ascii="Times New Roman" w:hAnsi="Times New Roman"/>
          <w:color w:val="000000"/>
          <w:sz w:val="20"/>
        </w:rPr>
        <w:t>Revuforj, Niktimvo and any product candidate that receives approval in the future would face significant competition from other therapies in the relevant indication. For example, cGVHD has historically been managed by off-label treatments. However, in the past several years, the FDA has approved three drugs, ibrutinib (</w:t>
      </w:r>
      <w:r>
        <w:rPr>
          <w:rFonts w:ascii="Times New Roman" w:hAnsi="Times New Roman"/>
          <w:i/>
          <w:color w:val="000000"/>
          <w:sz w:val="20"/>
        </w:rPr>
        <w:t>Imbruvica</w:t>
      </w:r>
      <w:r>
        <w:rPr>
          <w:rFonts w:ascii="Times New Roman" w:hAnsi="Times New Roman"/>
          <w:i/>
          <w:color w:val="000000"/>
          <w:sz w:val="13"/>
        </w:rPr>
        <w:t>®</w:t>
      </w:r>
      <w:r>
        <w:rPr>
          <w:rFonts w:ascii="Times New Roman" w:hAnsi="Times New Roman"/>
          <w:color w:val="000000"/>
          <w:sz w:val="20"/>
        </w:rPr>
        <w:t>), belomosidil (</w:t>
      </w:r>
      <w:r>
        <w:rPr>
          <w:rFonts w:ascii="Times New Roman" w:hAnsi="Times New Roman"/>
          <w:i/>
          <w:color w:val="000000"/>
          <w:sz w:val="20"/>
        </w:rPr>
        <w:t>Rezurock</w:t>
      </w:r>
      <w:r>
        <w:rPr>
          <w:rFonts w:ascii="Times New Roman" w:hAnsi="Times New Roman"/>
          <w:color w:val="000000"/>
          <w:sz w:val="13"/>
        </w:rPr>
        <w:t>®</w:t>
      </w:r>
      <w:r>
        <w:rPr>
          <w:rFonts w:ascii="Times New Roman" w:hAnsi="Times New Roman"/>
          <w:color w:val="000000"/>
          <w:sz w:val="20"/>
        </w:rPr>
        <w:t>) and ruxolitinib (</w:t>
      </w:r>
      <w:r>
        <w:rPr>
          <w:rFonts w:ascii="Times New Roman" w:hAnsi="Times New Roman"/>
          <w:i/>
          <w:color w:val="000000"/>
          <w:sz w:val="20"/>
        </w:rPr>
        <w:t>Jakafi</w:t>
      </w:r>
      <w:r>
        <w:rPr>
          <w:rFonts w:ascii="Times New Roman" w:hAnsi="Times New Roman"/>
          <w:color w:val="000000"/>
          <w:sz w:val="13"/>
        </w:rPr>
        <w:t>®</w:t>
      </w:r>
      <w:r>
        <w:rPr>
          <w:rFonts w:ascii="Times New Roman" w:hAnsi="Times New Roman"/>
          <w:color w:val="000000"/>
          <w:sz w:val="20"/>
        </w:rPr>
        <w:t>), for use in patients with cGVHD after failure of one or more lines of systemic therapy. All three of these drugs may compete with Niktimvo in patients diagnosed with cGVHD.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FDA approved for the treatment of patients one year and older with R/R acute leukemia with a KMT2A translocation or R/R AML with an NPM1 mutation. In November 2025, the FDA approved Komzifti (ziftomenib) for adult patients with R/R AML with an NPM1 mutation. At this time, other than Revuforj and Komzifti, there are no other drugs specifically approved for these genetic subtypes of acute leukemia, although other types of therapies can also be used in the treatment of these patient populations. While there are additional menin inhibitors in development for similar patient populations, Revuforj is the first and currently the only therapy FDA approved for both adults and pediatrics with R/R acute leukemia with a KMT2A translocation or R/R AML with an NPM1 mutation.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or potential competitors have or may have substantially greater financial, technical and human resources than we do and significantly greater experience in the discovery and development of product candidates, obtaining FDA and other regulatory approvals of product candidates and the commercialization of those products. Our competitors may obtain FDA or other regulatory approval for their products more rapidly than we may obtain approval for ours and may be more successful than us in obtaining FDA approval for drugs and achieving widespread market acceptance of their products. Our competitors’ drugs may also be more effective or more effectively marketed and sold than any drug we may commercialize and may render our product candidates obsolete or non-competitive before we can recover the expenses of developing and commercializing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our ability to successfully compete will depend on, among other things: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adoption of Revuforj, Niktimvo and any future products by physicians and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of our products and product candidates relative to marketed products and product candidates in development by third parties;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time it takes for our product candidates to complete clinical development and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commercialize Revuforj, Niktimvo and our product candidates if they receive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of Revuforj, Niktimvo and any future products, including in comparison to branded or generic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coverage and adequate levels of reimbursement are available under private and governmental health insurance plans, including Medicare;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manufacture commercial quantities of Revuforj, Niktimvo and our product candidates, if they receive regulatory approval;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preferential formulary status for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anticipate that we will face intense and increasing competition as new drugs enter the market and advanced technologies become available. Even if we obtain regulatory approval of our other product candidates, the availability, commercial formulary placement, and price of our competitors’ products could limit the demand and the price we are able to charge. We may not be able to implement our business plan if the acceptance of our product candidates is inhibited by price competition or the reluctance of physicians to switch from existing methods of treatment, or if physicians switch to other new drug or biologic products or choose to reserve our drugs for use in limited circumstances.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currently developing several product candidates. If we are unable to successfully complete clinical development of, obtain regulatory approval for, and commercialize our product candidates, our business prospects will be significantly harmed.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have begun generating revenue from product sales of Revuforj and Niktimvo, our financial success will also depend substantially on our ability to effectively and profitably commercialize our products and product candidates and expand the approved indications for Revuforj and Niktimvo. In order to commercialize our product candidates and expand the approved indications for Revuforj and Niktimvo, we will be required to obtain regulatory approvals by establishing that each of them is sufficiently safe and effective. The clinical and commercial success of our product candidates will depend on a number of factors, including the following: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cost, timing, progress and results of our research and development activities, clinical trials and preclinical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timely completion of any future clinical trials of revumenib and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interruption of key clinical trial activities, in connection with public health threats or any future geopolitical tensions, such as tariffs, war or terrorism;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whether we are required by the FDA or foreign regulatory authorities to conduct additional clinical trials prior to receiving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prevalence and severity of adverse drug reactions in any of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demonstrate safety and efficacy of our product candidates for their proposed indications and the timely receipt of necessary marketing approvals from the FDA and foreign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successfully meeting the endpoints in the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achieving and maintaining compliance with all applicable regulatory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use of our product candidates to treat various cancer indications and fibrotic diseases;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perceived advantages, relative cost, relative safety and relative efficacy of alternative and competing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our own or our potential strategic collaborators’ marketing, sales and distribution strategy and operations in the United States and abroad;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our collaboration partner and of third-party contract manufacturers to produce trial supplies and to develop, validate and maintain a commercially viable manufacturing process that is compliant with current Good Manufacturing Practices, or cGMP;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our product candidates in the United States and abroad,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prevent any significant disruptions of our information technology systems and protect the security of our data;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enforce our intellectual property rights in and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to obtain regulatory approval for our product candidates, we will not be able to commercialize our product candidates, which will have a material adverse effect on our business and our prospects.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publish interim top-line or preliminary data from our clinical trials. Interim data from clinical trials that we may complete are subject to the risk that one or more of the clinical outcomes may materially change as patient enrollment continues and more patient data become available. Preliminary or top-line data remain subject to audit and verification procedures that may result in the final data being materially different from the preliminary data we previously published. Preliminary or top-line data may include, for example, data regarding a small percentage of the patients enrolled in a clinical trial, and such preliminary data should not be viewed as an indication, belief or guarantee that other patients enrolled in such clinical trial will achieve similar results or that the preliminary results from such patients will be maintained. As a result, interim and preliminary data should be viewed with caution until the final data are available. Differences between preliminary or interim data and final data could significantly harm our business prospects and may cause the trading price of our common stock to fluctuate significantly.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incur additional costs or experience delays in completing, or ultimately be unable to complete, the development and commercialization of any of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obtaining marketing approval from regulatory authorities for the sale of any of our product candidates, we or our collaborators must conduct extensive trials to demonstrate the safety and efficacy of the product candidates in humans. Clinical testing is expensive and difficult to design and implement, can take many years to complete and is inherently uncertain as to the outcome. A failure of one or more trials can occur at any stage of testing. The outcome of preclinical studies and early clinical trials may not accurately predict the success of later trials, and interim results of a trial do not necessarily predict final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dependent upon our collaboration with Incyte to further develop and commercialize axatilimab. If we or Incyte fail to perform as expected the potential for us to generate future revenue under the collaboration could be significantly reduced, the development and/or commercialization of axatilimab may be terminated or substantially delayed,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numerous risks related to the Incyte Collaboration Agreement to collaborate on the development and commercialization of axatilimab.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there is no assurance that the parties will achieve any additional regulatory development or sales milestones or that we will receive any future milestone or royalty payments under the Incyte Collaboration Agreement. Incyte’s activities may be influenced by, among other things, the efforts and allocation of resources by Incyte, which we cannot control. If Incyte does not perform in the manner we expect or fulfill its responsibilities in a timely manner, or at all, the clinical development, manufacturing, regulatory approval, and commercialization efforts related to axatilimab could be delayed or terminated. In addition, our license with Incyte may be unsuccessful due to other factors, including, without limitation,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terminate the agreement for convenience upon 90 or 180 days’ notice depending on whether or not the parties have commercialized axatilimab in an indication in the respective territory;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change the focus of its development and commercialization efforts or prioritize other programs more highly and, accordingly, reduce the efforts and resources allocated to axatilimab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Incyte may, within its commercially reasonable discretion, choose not to develop and commercialize axatilimab in all relevant markets or for one or more indications, if at all;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Incyte is acquired during the term of our collaboration, the acquirer may have competing programs or different strategic priorities that could cause it to reduce its commitment to our collaboration or to terminate the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cannot ensure that the potential strategic benefits and opportunities expected from this collaboration with be realized on our anticipated timeline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our collaborators are unable to enroll patients in clinical trials, these clinical trials may not be completed on a timely basis or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largely depends on patient enrollment. Many factors affect patient enrollment,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public health crises;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perception about the relative efficacy of our product candidates versus other compounds in clinical development or commercially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evolving standard of care therapies in treating cancer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nature of the patient population, especially in the case of an orphan indication, we are pursuing;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trial sites enrolled;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competition with other organizations or our own clinical trials for clinical trial sites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eligibility and exclusion criteria for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design of the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obtain and maintain patient consent;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risk that enrolled subjects will drop out before completion.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the above factors, there is a risk that our or our collaborators’ clinical trials may not be completed on a timely basis or at all.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required to relinquish important rights to and control over the development and commercialization of our product candidates to our current or future collaborators.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collaborations, including any future strategic collaborations we enter into, could subject us to a number of risks, including that: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undertake the expenditure of substantial operational, financial and management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issue equity securities that would dilute our existing stockholders’ percentage of ownership;</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required to assume substantial actual or contingent liabilities;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control the amount and timing of resources that our strategic collaborators devote to the development or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delay clinical trials, provide insufficient funding, terminate a clinical trial or abandon a product candidate, repeat or conduct new clinical trials or require a new version of a product candidate for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pursue further development and commercialization of products resulting from the strategic collaboration arrangement or may elect to discontinue research and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commit adequate resources to the marketing, sales and distribution of our product candidates, limiting our potential revenue from these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experience financial difficulties;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may not properly maintain or defend our intellectual property rights or may use our proprietary information in a manner that could jeopardize or invalidate our proprietary information or expose us to potential litigation;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combinations or significant changes in a strategic collaborator’s business strategy may also adversely affect a strategic collaborator’s willingness or ability to complete its obligations under any arrangement;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could decide to move forward with a competing product candidate developed either independently or in collaboration with others, including our competitors;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strategic collaborators could terminate the arrangement or allow it to expire, which would delay the development and may increase the cost of developing,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explore strategic collaborations that may never materialize or may fail.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periodically explore a variety of possible strategic collaborations in an effort to gain access to additional product candidates or resources. At the current time, we cannot predict what form such a strategic collaboration might take. We are likely to face significant competition in seeking appropriate strategic collaborators, and strategic collaborations can be complicated and time consuming to negotiate and document. We may enter into strategic collaborations that we subsequently no longer wish to pursue, and we may not be able to negotiate strategic collaborations on acceptable terms, or at all. We are unable to predict when, if ever, we will enter into any additional strategic collaborations because of the numerous risks and uncertainties associated with establishing them.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Failure to comply with regulatory requirements or unanticipated problems with Revuforj or Niktimvo may result in various adverse actions, such as the suspension or withdrawal of either product, closure of a facility or enforcement of substantial penalties or fines.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agencies will subject any marketed product(s), as well as the manufacturing facilities, to continual review and periodic inspection. If previously unknown problems with a product or with regulatory requirements are discovered, such as adverse events of unanticipated severity or frequency, serious or unexpected side effects or other safety risks, problems with a manufacturing process or laboratory facility, or failure to comply with applicable regulatory approval requirements, a regulatory agency may impose restrictions or penalties on that product or on us. Such restrictions or penalties may include,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restrictions on the marketing or manufacturing of the product, the withdrawal of the product from the market or product recalls;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warning letters or holds on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refusal by the FDA to approve pending applications or supplements to approved applications filed by us or suspension or revocation of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 seizure or detention, or refusal to permit the import or export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closure of the facility, enforcement of substantial fines, injunctions, or the imposition of civil or criminal penalties.</w:t>
      </w:r>
    </w:p>
    <w:p>
      <w:pPr>
        <w:pStyle w:val="TextBody"/>
        <w:bidi w:val="0"/>
        <w:spacing w:before="240" w:after="283"/>
        <w:jc w:val="left"/>
        <w:rPr>
          <w:rFonts w:ascii="Times New Roman" w:hAnsi="Times New Roman"/>
          <w:sz w:val="20"/>
        </w:rPr>
      </w:pPr>
      <w:r>
        <w:rPr>
          <w:rFonts w:ascii="Times New Roman" w:hAnsi="Times New Roman"/>
          <w:b/>
          <w:i/>
          <w:color w:val="000000"/>
          <w:sz w:val="20"/>
        </w:rPr>
        <w:t>The regulatory approval processes of the FDA and foreign regulatory authorities are lengthy, time-consuming and inherently unpredictable. Our inability to obtain regulatory approval for our product candidates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and comparable foreign regulatory authorities extensively and rigorously regulate and evaluate the manufacture, testing, distribution, advertising and marketing of drug products prior to granting marketing approvals with respect to such products. This approval process generally requires, at minimum, testing of any product candidate in preclinical studies and clinical trials to establish its safety and effectiveness, and confirmation by the FDA and comparable foreign regulatory authorities that any such product candidate, and any parties involved in its manufacturing, testing and development, complied with cGMP, cGLP and cGCP, regulations, standards and guidelines during such manufacturing, testing and development. The time required to obtain approval by the FDA and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our product candidates could fail to receive regulatory approval from the FDA or foreign regulatory authorities for other reasons, including but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that our product candidates are effective for their proposed indication and have an acceptable safety profile;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of clinical trials to meet the primary endpoints or level of statistical significance required for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demonstrate that the clinical and other benefits of a product candidate outweigh any of its safety risks;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our interpretation of data from preclinical studies or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disagreement with the design, size, conduct or implementation of our or our collaborators’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insufficiency of data collected from trials of our product candidates to support the submission and filing of an NDA, BLA or other submission or to obtain regulatory approval;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failure to obtain approval of the manufacturing and testing processes or facilities of third-party manufacturers with whom we contract for clinical and commercial product supplies or preclinical or clinical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receipt of a negative opinion from an advisory committee due to a change in the standard of care therapies regardless of the outcome of the clinical trials;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approval policies or regulations that render our preclinical and clinical data insufficient for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foreign regulatory authorities may require more information, including additional preclinical or clinical data, to support approval, which may delay or prevent approval and our commercialization plans, or may cause us to decide to abandon our development program. Regulatory authorities may approve one or more of our product candidates for a more limited patient population than we request, may grant approval contingent on the performance of costly post-marketing trials, may impose a REMS, or foreign regulatory authorities may require the establishment or modification of a similar strategy that may, for instance, restrict distribution of one or more of our product candidates and impose burdensome implementation requirements on us, or may approve it with a label that does not include the labeling claims necessary or desirable for the successful commercialization of one or more of our product candidates, all of which could limit our ability to successfully commercialize our product candidates. Moreover, if adopted in the form proposed, the recent European Commission proposals to revise the existing European Union, or EU, laws governing authorization of medicinal products may result in a decrease in data and market exclusivity for our product candidates in the EU.</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caused by layoffs, funding shortages or global health concerns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proposed clinical trials or approve new products can be affected by a variety of factors, including government budget and funding levels, statutory, regulatory, and policy changes, the FDA’s ability to hire and retain key personnel and accept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including executive and congressional priorities, the impacts of which are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agencies may slow the time necessary for new product candidates to be reviewed and/or approved, which would adversely affect our business. For example, over the last several years, including in October 2025, the U.S. government has shut down several times and certain regulatory agencies, such as the FDA, have had to furlough critical FDA employees and stop critical activities. If a prolonged government shutdown occurs, it could significantly impact the ability of the FDA to timely review and process our regulatory submissions, which could have a material adverse effect on our business. In addition, the current administration has implemented substantial reductions in force at various government agencies including the FDA, and has implemented layoffs at the FDA, which could significantly reduce the FDA’s capacity to perform its functions in a manner consistent with its past practices and could delay reviews and negatively impact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Revuforj, Niktimvo and our future products may not achieve adequate market acceptance among physicians, patients, healthcare payors and others in the medical community to be commercially successful</w:t>
      </w:r>
      <w:r>
        <w:rPr>
          <w:rFonts w:ascii="Times New Roman" w:hAnsi="Times New Roman"/>
          <w:i/>
          <w:color w:val="000000"/>
          <w:sz w:val="20"/>
        </w:rPr>
        <w: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Revuforj, Niktimvo and our future products may not gain sufficient market acceptance among physicians, patients, healthcare payors and others in the medical community. Our commercial success also depends on coverage and adequate reimbursement by third-party payors, including government payors, which may be difficult or time-consuming to obtain, may be limited in scope and may not be obtained in all jurisdictions in which we may seek to market our product candidates. The degree of market acceptance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efficacy and safety profile as demonstrated in trials and in post-marketing experience;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of market introduction as well as competitive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clinical indications for which the product candidate is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acceptance of the product as a safe and effective treatment by physicians, clinics and patients;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and perceived advantages of our products over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treatment in relation to alternative treatments;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pricing and the availability of coverage and adequate reimbursement by third-party payors, including government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relative convenience and ease of administration;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frequency and severity of adverse events;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effectiveness of sales and marketing;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unfavorable publicity relating to our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Revuforj, Niktimvo or future approved products do not achieve an adequate level of acceptance by physicians, hospitals, healthcare payors and patients, we may not generate sufficient revenue to become or remain profitable.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are in the process of building and maintaining our sales, marketing and distribution infrastructure.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successfully market Revuforj and Niktimvo or any approved product candidate in the future, we must continue building and maintaining our sales, marketing, distribution, market access, managerial and other non-technical capabilities or make arrangements with third parties to perform these services, as we do not presently have all of these capabilities.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support the commercialization of Revuforj and Niktimvo in the United States, we have established a robust commercial field force comprising highly experienced professionals with extensive experience in hematology and oncology and new product launches. For Revuforj, we manage sales, marketing and distribution through internal resources and third-party relationships. In accordance with our agreement, Incyte leads the commercialization of axatilimab globally and we are co-commercializing Niktimvo in the United States.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must invest significant amounts of financial and anagement resources to further develop our internal sales, distribution and marketing capabilities, we must invest significant amounts of financial and management resources in the future. For drug products where we decide to perform sales, marketing and distribution functions ourselves, we could face a number of challenges, including that: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attract, build and retain an effective marketing or sales organization;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training and providing regulatory oversight for a marketing or sales force may not be justifiable in light of the revenue generated by any particular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direct or indirect sales and marketing efforts may not be successful;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are significant legal and regulatory risks in drug marketing and sales, and any failure to comply with all legal and regulatory requirements for sales, marketing and distribution could result in enforcement action by the FDA or other authorities that could jeopardize our ability to market the product or could subject us to substantial liabilities.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Alternatively, we may rely on third parties to launch and market our future product candidates, if approved. We may have limited or no control over the sales, marketing and distribution activities of these third parties and our future revenue may depend on the success of these third parties. Additionally, if these third parties fail to comply with all applicable legal or regulatory requirements, the FDA or another governmental agency could take enforcement action that could jeopardize their ability and our ability to market our product candidates.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The insurance coverage and reimbursement status of newly approved products is uncertain. Failure to obtain or maintain adequate coverage and reimbursement for Revuforj, Niktimvo or any future products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pricing, coverage, and reimbursement of Revuforj, Niktimvo, and other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afford expensive treatments such as ours. Sales of Revuforj and Niktimvo will depend substantially on the extent to which their costs will be paid for by health maintenance, managed care, pharmacy benefit, and similar healthcare management organizations, or reimbursed by government authorities, private health insurers, and other payors. If coverage and reimbursement are not available, are available only to limited levels, or are not available on a timely basis, we may not be able to successfully commercialize either Revuforj or Niktimvo. Even if coverage is provided, the approved reimbursement amount may not be high enough to allow us to establish or maintain pricing sufficient to sustain our overall enterprise.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is significant uncertainty related to the insurance coverage and reimbursement of newly approved products. In the United States, CMS, an agency within HHS, decides whether and to what extent a new drug will be covered and reimbursed under Medicare. Private payors tend to follow the coverage reimbursement policies established by CMS to a substantial degree. It is difficult to predict what CMS or private payors will decide with respect to reimbursement for products such as ours.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and certain other foreign jurisdictions, government authorities and third-party payors are increasingly attempting to limit or regulate the price of medical products and services, particularly for new and innovative products and therapies. For example, HHS imposes rebates on many Medicare Part B and Medicare Part D products to penalize price increases that outpace inflation on an annual basis. HHS also has been empowered to negotiate the price of certain single-source drugs that have been on the market for at least seven years and single-course biologics that have been on the market for at least 11 years covered under Medicare as part of the Medicare Drug Price Negotiation Program. Each year up to 20 products will be selected by HHS for the Medicare Drug Price Negotiation Program. Products subject to the Medicare Drug Price Negotiation Program are expected to experience a significant reduction in reimbursement from the Medicare program on a per unit basis. Efforts by governmental and third-party payors in the United States and abroad to cap or reduce healthcare costs may cause such organizations to limit both coverage and the level of reimbursement for new products and, as a result, they may not cover or provide adequate payment for either Revuforj or Niktimvo. If coverage and adequate reimbursement are not available, or are available only to limited levels, we may not be able to successfully commercialize our current and any future product candidates that we develop, which could have an adverse effect on our operating results and our overall financial condition. We expect to experience pricing pressures in connection with the sales of both Revuforj and Niktimvo due to the trend toward managed healthcare, the increasing influence of health maintenance organizations, additional legislative changes, and statements by elected officials. The downward pressure on healthcare costs in general, and with respect to prescription drugs, surgical procedures, and other treatments in particular, has become very intense. As a result, increasingly high barriers are being erected to the entry of new products.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currently rely, and expect to continue to rely, on third-party contract manufacturers as well as Incyte for all of our required raw materials, active pharmaceutical ingredients and finished product for our preclinical research, clinical trials, and commercial manufacturing and distribution.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currently have, nor do we plan to acquire, the infrastructure or capability to manufacture or distribute preclinical, clinical or commercial quantities of drug substance or drug product, including for our existing products and product candidates. While we expect to continue to depend on third-party manufacturers and Incyte for the foreseeable future, we do not have direct control over the ability of these parties to maintain adequate manufacturing capacity and capabilities to serve our needs, including quality control, quality assurance and qualified personnel. In addition, public health crises, may impact the ability of our existing or future manufacturers to perform their obligations to us.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dependent on our third-party manufacturers and Incyte for compliance with cGMPs and for manufacture of both active drug substances and finished drug products. Facilities used by our third-party manufacturers and Incyte to manufacture drug substance and drug product for commercial sale must be approved by the FDA or other relevant foreign regulatory agencies pursuant to inspections that will be conducted after we submit our NDA or relevant foreign regulatory submission to the applicable regulatory agency. If our third-party manufacturers or Incyte cannot successfully manufacture materials that conform to our specifications and/or the strict regulatory requirements of the FDA or foreign regulatory agencies, they will not be able to secure and/or maintain regulatory approval for their manufacturing facilities. Furthermore, these third-party manufacturers are engaged with other companies to supply and/or manufacture materials or products for such companies, which also exposes our third-party manufacturers to regulatory risks for the production of such materials and products. As a result, failure to meet the regulatory requirements for the production of those materials and products may also affect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clearance of a third-party manufacturers’ facility. If the FDA or a foreign regulatory agency does not approve these facilities for the manufacture of our product candidates, or if it withdraws its approval in the future, we may need to find alternative manufacturing facilities, which would impede or delay our ability to develop, obtain regulatory approval for or market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and product candidates may face future development and regulatory difficulties.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products and product candidates are subject to ongoing requirements by the FDA and foreign regulatory authorities governing the manufacture, quality control, further development, labeling, packaging, storage, distribution, safety surveillance, import, export, advertising, promotion, recordkeeping and reporting of safety and other post-market information. The FDA and foreign regulatory authorities will continue to monitor closely the safety profile of any product even after approval. If the FDA or foreign regulatory authorities become aware of new safety information after approval of a product candidate, they may require labeling changes or establishment of a REMS or similar strategy, impose significant restrictions on its indicated uses or marketing, or impose ongoing requirements for potentially costly post-approval studies or post-market surveillance.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manufacturers of drug products and their facilities are subject to continual review and periodic inspections by the FDA and other regulatory authorities for compliance with cGMP regulations and standards. If we or a regulatory agency discover previously unknown problems with a product, such as adverse events of unanticipated severity or frequency, or problems with the facility where the product is manufactured, a regulatory agency may impose restrictions on that product, the manufacturing facility or us, including withdrawal of the product from the market or suspension of manufacturing, or we may recall the product from distribution. If we, or our third-party manufacturers, fail to comply with applicable regulatory requirements, a regulatory agency may: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issue warning letters or untitled letters;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mandate modifications to promotional materials or require us to provide corrective information to healthcare practitioners;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require us to enter into a consent decree, which can include imposition of various fines, reimbursements for inspection costs, required due dates for specific actions and penalties for noncompliance;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an injunction or impose civil or criminal penalties or monetary fines;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withdraw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any ongoing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refuse to approve pending applications or supplements to applications filed by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or impose restrictions on operations, including costly new manufacturing requirements;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seize or detain products or refuse to permit the import or export of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occurrence of any event or penalty described above may inhibit our ability to commercialize and generate revenue from the sale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Advertising and promotion of any product candidate that obtains approval in the United States is heavily scrutinized by the FDA’s Office of Prescription Drug Promotion, the Department of Justice, HHS’s Office of Inspector General, state attorneys general, members of Congress, other government agencies and the public. While physicians may prescribe products for off-label uses as the FDA and other regulatory agencies do not regulate a physician’s choice of drug treatment made in the physician’s independent medical judgment, they do restrict promotional communications from companies or their sales force with respect to off-label uses of products for which marketing clearance has not been issued. Companies may only share truthful and not misleading information that is otherwise consistent with a product’s FDA-approved labeling. Violations, including promotion of our products for unapproved (or off-label) uses, may be subject to enforcement letters, inquiries and investigations, and civil and criminal sanctions by the government. Additionally, foreign regulatory authorities will heavily scrutinize advertising and promotion of any product candidate that obtains approval in their respective jurisdictions.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engaging in the impermissible promotion of our products for off-label uses can also subject us to false claims litigation under federal and state statutes, which can lead to administrative, civil and criminal penalties, damages, monetary fines, disgorgement, individual imprisonment, exclusion from participation 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Medicare, Medicaid and other federal healthcare programs, curtailment or restructuring of our operations and agreements that materially restrict the manner in which a company promotes or distributes drug products. These false claims statutes include, but are not limited to, the FCA, which allows any individual to bring a lawsuit against an individual or entity, including a pharmaceutical or biopharmaceutical company on behalf of the federal government alleging the knowing submission of false or fraudulent claims, or causing to present such false or fraudulent claims, for payment or approval by a federal program such as Medicare or Medicaid. These FCA lawsuits against pharmaceutical or biopharmaceutical companies have increased significantly in number and breadth, leading to several substantial civil and criminal settlements regarding certain sales practices, including promoting off-label drug uses involving fines in excess of $1.0 billion. This growth in litigation has increased the risk that a pharmaceutical company will have to defend a false claim action, pay settlement fines or restitution, agree to comply with burdensome reporting and compliance obligations, and be excluded from participation in Medicare, Medicaid and other federal and state healthcare programs. If we, or any partner that we may engage, do not lawfully promote our approved products, we may become subject to such litigation, which may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products and product candidates may cause undesirable side effects or have other properties that could delay or prevent their regulatory approval, limit the commercial scope of their approved use, or result in significant negative consequences following any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Undesirable side effects caused by our products and product candidates could cause the interruption, delay or halting of the trials and could result in a more restrictive label or the delay or denial of regulatory approval by the FDA or other foreign regulatory authorities. For example, the Revuforj U.S. Prescribing Information label contains a boxed warning for differentiation syndrome, which can be fatal. Results of the clinical trials may reveal a high and unacceptable severity and prevalence of side effects or other unexpected characteristics. In such event, the trials could be suspended or terminated, or the FDA or foreign regulatory authorities could deny approval of our product candidates for any or all targeted indications. Drug-related side effects could affect patient recruitment or the ability of enrolled subjects to complete the trial or result in potential product liability claims. Any of these occurrences may harm our business, financial condition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our product candidates receive marketing approval, and we or others later identify undesirable side effects, a number of potentially significant negative consequences could result,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suspend marketing of, or withdraw or recall,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withdraw approvals;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additional warnings on the product labels;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or other regulatory authorities may issue safety alerts, Dear Healthcare Provider letters, press releases or other communications containing warnings about the product;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may require the establishment or modification of a REMS or foreign regulatory authorities may require the establishment or modification of a similar strategy that may, for instance, restrict distribution of the product and impose burdensome implementation requirements on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may require that we conduct post-marketing studies;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be sued and held liable for harm caused to subjects or patients;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reputation may suffer.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our product candidates for use in targeted indications or otherwise materially harm its commercial prospects, if approved, and could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failure to obtain regulatory approval in international jurisdictions would prevent us from marketing our product candidates outside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product candidates in other jurisdictions, we must obtain separate marketing approvals for those jurisdictions and comply with their numerous and varying regulatory requirements. We may not obtain foreign regulatory approvals on a timely basis, or at all. The approval procedure varies among countries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product reimbursement approvals must be secured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 candidates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Our failure to obtain approval of our product candidates by foreign regulatory authorities may negatively impact the commercial prospects of such product candidates and our business prospects could decline. Also, if regulatory approval for our product candidates is granted, it may be later withdrawn. If we fail to comply with the regulatory requirements in international jurisdictions and receive applicable marketing approvals, our target market will be reduced and our ability to realize the full market potential for our product candidates will be harmed and our business may be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Certain of our product candidates may require companion diagnostics in certain indications. Failure to successfully develop, validate and obtain regulatory clearance or approval for such tests could harm our product development strategy or prevent us from realizing the full commercial potential of our investigational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Companion diagnostics are subject to regulation by the FDA and comparable foreign regulatory authorities as a medical device and may require separate regulatory authorization prior to commercialization. Certain of our revumenib clinical trials include the use of an investigational or laboratory developed diagnostic test to help identify eligible patients. We currently do not have any plans to develop diagnostic tests internally. We are therefore dependent on the sustained cooperation and effort of third-party collaborators in developing and, if our investigational products are approved for use only with an approved companion diagnostic test, obtaining approval and commercializing these tests. If these parties are unable to successfully develop companion diagnostics for our investigational products, or experience delays in doing so, the development of our investigational products may be adversely affected and we may not be able to obtain marketing authorization for these investigational products. Furthermore, our ability to market and sell, as well as the commercial success, of any of our investigational products that require a companion diagnostic will be tied to, and dependent upon, the receipt of required regulatory authorization and the continued ability of such third parties to make the companion diagnostic commercially available on reasonable terms in the relevant geographies. Any failure to develop, validate, obtain and maintain marketing authorization and supply for a companion diagnostic we need may harm our business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We are dependent on UCB Biopharma Sprl, or UCB, to comply with the terms of our license agreement for axatilimab.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also depends upon our ability to develop, manufacture, market and sell axatilimab. We have a worldwide, sublicensable, exclusive license to axatilimab pursuant to a license agreement with UCB. Certain of the rights licensed to us under the UCB license agreement are in-licensed by UCB from third parties. We are dependent on UCB maintaining the applicable third-party license agreements in full force and effect, which may include activities and performance obligations that are not within our control. If any of these third-party license agreements terminate, certain of our rights to develop, manufacture, commercialize or sell axatilimab may be terminated as well. The occurrence of any of these events could adversely affect the development and commercialization of axatilimab, and materially harm our business.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employees, consultants and collaborators may engage in misconduct or other improper activities, including insider trading and non-compliance with regulatory standards and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that our employees, consultants, distributors, and collaborators may engage in fraudulent or illegal activity. Misconduct by these parties could include intentional, reckless or negligent conduct or disclosure of unauthorized activities to us that violates the regulations of the FDA and non-U.S. regulators, including those laws requiring the reporting of true, complete and accurate information to such regulators, manufacturing standards, healthcare fraud and abuse laws and regulations in the United States and abroad or laws that require the true, complete and accurate reporting of financial information or data. In particular, sales, marketing and business arrangements in the healthcare industry, including the sale of pharmaceuticals, are subject to extensive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We have adopted a code of conduct applicable to all of our employees, officers, directors, agents and representatives, including consultants,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fines or other sanctions, including the imposition of civil, criminal and administrative penalties, damages, monetary fines, disgorgement, individual imprisonment, possible exclusion from participation in Medicare, Medicaid and other federal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curtailment of operations, any of which could adversely affect our ability to operate our business and our results of operations. Whether or not we are successful in defending against such actions or investigations, we could incur substantial costs, including legal fees, and divert the attention of management in defending ourselves against any of these claims or investigations.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must attract and retain additional highly skilled employees in order to succeed.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must recruit, retain, manage and motivate qualified clinical, scientific, technical, commercial and management personnel and we face significant competition for experienced personnel.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pharmaceutical and biopharmaceutical industries is intense and as a result, we may be unable to continue to attract and retain qualified personnel necessary for the development of our business or to recruit suitable replacement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 </w:t>
      </w:r>
    </w:p>
    <w:p>
      <w:pPr>
        <w:pStyle w:val="TextBody"/>
        <w:bidi w:val="0"/>
        <w:spacing w:before="240" w:after="283"/>
        <w:jc w:val="left"/>
        <w:rPr>
          <w:rFonts w:ascii="Times New Roman" w:hAnsi="Times New Roman"/>
          <w:sz w:val="20"/>
        </w:rPr>
      </w:pPr>
      <w:r>
        <w:rPr>
          <w:rFonts w:ascii="Times New Roman" w:hAnsi="Times New Roman"/>
          <w:b/>
          <w:i/>
          <w:color w:val="000000"/>
          <w:sz w:val="20"/>
        </w:rPr>
        <w:t>Current and future legislation may adversely impact our business, operations, and profitability including, among other things, increasing the difficulty and cost for us to commercialize Revuforj, Niktimvo, and other product candidates, preventing or delaying marketing approval of our product candidates and affecting the prices we may obtain.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States and many foreign jurisdictions have enacted or proposed legislative and regulatory changes affecting the healthcare system that could adversely impact our business operations and profitability including, among other things, preventing or delaying marketing approval of our product candidates, restricting or regulating post-approval activities and affecting our ability to profitably sell Revuforj, Niktimvo, or any product candidate for which we obtain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March 2010, the Affordable Care Act was enacted and significantly affected the United States pharmaceutical industry. Since its enactment, there have been executive, judicial and Congressional challenges to certain aspects of the Affordable Care Act. For example, on July 4, 2025, the OBBBA was signed into law, which narrowed access to Affordable Care Act marketplace exchange enrollment and declined to extend the Affordable Care Act’s enhanced advanced premium tax credits that expired at the end of 2025, which, among other provisions in the law, are anticipated to reduce the number of Americans with health insurance. The OBBBA also is expected to reduce Medicaid spending and enrollment by implementing work requirements for some beneficiaries, capping state-directed payments, reducing federal funding, and limiting provider taxes used to fund the program. Congress is considering proposed legislation intended to further reduce healthcare costs with alternatives to replace the expired Affordable Care Act subsidies. We expect that additional United States federal healthcare reform measures will be adopted in the future, any of which could limit the amounts that the federal government will pay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healthcare products and services, which could result in reduced demand for our products or additional pricing pressures.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legislative changes have been proposed and adopted since the Affordable Care Act was enacted. These changes include aggregate reductions to Medicare payments to providers of up to 2% per fiscal year, which began in 2013, and due to subsequent legislative amendments to the statute, will remain in effect through 2032 unless additional Congressional action is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current administration is also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For example, the current administration has announced agreements with several pharmaceutical companies that require the drug manufacturers to offer, through a direct-to-consumer platform, U.S. patients and Medicaid programs prescription drug Most-Favored Nation pricing equal to or lower than those paid in other developed nations, with additional mandates for direct-to-patient discounts and repatriation of foreign revenues. Other recent actions, for example, include (1) directing agencies to reduce agency workforce and cut programs; (2) directing HHS and other agencies to lower prescription drug costs through a variety of initiatives, including by improving upon the Medicare Drug Price Negotiation Program and establishing Most-Favored-Nation pricing for pharmaceutical products; (3) imposing tariffs on imported pharmaceutical products; and (4) as part of the Make America Healthy Again Commission’s Strategy Report released in September 2025, working across government agencies to increase enforcement on direct-to-consumer pharmaceutical advertising. Additionally, the current administration recently called on Congress to enact "The Great Healthcare Plan," to codify and expand Most-Favored Nation pricing, lower government subsidies to private insurance companies, increase healthcare price transparency, expand pharmaceutical drugs available for over-the-counter purchase, and enact restrictions on pharmacy benefit manager payment methodologies, among other things. These actions and policies may significantly reduce drug prices in the United States, potentially impacting manufacturers’ global pricing strategies and profitability, while increasing their operational costs and compliance risks. Additionally, in its June 2024 decision in Loper Bright Enterprises v. Raimondo, or Loper Bright, the United States Supreme Court greatly reduced judicial deference to regulatory agencies, which could increase successful legal challenges to federal regulations affecting our operations. Congress may introduce and ultimately pass health care related legislation that could impact the drug approval process and make changes to the Medicare Drug Price Negotiation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Any such state reform measures, may result in lower drug prices for impacted products. We cannot predict which additional measures may be adopted or the impact of current and additional measures on the marketing, pricing and demand for our products, which could have a material adverse effect on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Product liability lawsuits against us could cause us to incur substantial liabilities and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an inherent risk of product liability exposure related to the clinical testing of our product candidates in human trials and in commercially selling out products and any product candidates that we may develop. Product liability claims may be brought against us by subjects enrolled in our trials, patients, healthcare providers or others using, administering or selling our products. If we cannot successfully defend ourselves against claims that our products or product candidates that we may develop caused injuries, we could incur substantial liabilities. Regardless of merit or eventual outcome, liability claims may result in: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demand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termination of clinical trial sites or entire trial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injury to our reputation and significant negative media attention;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withdrawal of trial participants;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 costs to defend the related litigation;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 monetary awards to trial subjects or patients;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diversion of management and scientific resources from our business operations;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inability to commercialize any products that we may develop.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we currently hold product liability insurance coverage consistent with industry standards covering the clinical testing and commercialization of our products, this may not adequately cover all liabilities that we may incur. We also may not be able to maintain insurance coverage at a reasonable cost or in an amount adequate to satisfy any liability that may arise in the future. Our current insurance coverage includes commercial sales upon marketing approval for our product candidates. A successful product liability claim or series of claims brought against us, particularly if judgments exceed our insurance coverage, could decrease our cash and adversely affect our business and financial condition.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relationships with healthcare providers, customers and third-party payors will be subject to applicable anti-kickback, fraud and abuse, transparency and other healthcare laws and regulations as well as privacy and data security laws and regulations, which could expose us to significant penalties, including criminal sanctions, civil penalties, contractual damages, reputational harm, fines, exclusion from participation in government healthcare programs, curtailments or restrictions of our operations, administrative burdens and diminished profits and future earnings.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Healthcare providers, including physicians and third-party payors play a primary role in the recommendation and prescription of Revuforj, Niktimvo, and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conduct clinical research and market, sell and distribute our products for which we obtain marketing approval. Restrictions under applicable federal and state healthcare laws and regulations,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Anti-Kickback Statute prohibits persons from, among other things, knowingly and willfully soliciting, offering, receiving or providing remuneration, directly or indirectly, in cash or in kind, to induce or reward, or in return for, the referral of an individual for the furnishing or arranging for the furnishing, or the purchase, lease or order, or arranging for or recommending purchase, lease or order, or any good or service for which payment may be made under a federal healthcare program such as Medicare and Medicaid;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false claims statues, including the FCA, impose criminal and civil penalties, including through civil whistleblower or qui tam actions, and civil monetary penalties laws, which prohibit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HIPAA, as amended by HITECH, also imposes obligations on covered entities, including certain health care providers, health plans and health care clearinghouses as well as their business associates that perform certain services involving the use or disclosure of individually identifiable health information for or on behalf of such covered entities, and their covered subcontractors, with respect to safeguarding the privacy, security and transmission of individually identifiable health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requires certain manufacturers of drugs, devices, biologics and medical supplies for which payment is available under Medicare, Medicaid or the Children’s Health Insurance Program to report annually to CMS information related to “payments or other transfers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value” made to physicians (defined to include doctors, dentists, optometrists, podiatrists and chiropractors), other healthcare professionals (such as physician assistants and nurse practitioners), and teaching hospitals and applicable manufacturers and applicable group purchasing organizations to report annually to CMS ownership and investment interests held by physicians (as defined above) and their immediate family members;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analogous state and foreign laws and regulations, such as state anti-kickback and false claims laws, which may apply to sales or marketing arrangements and claims involving healthcare items or services reimbursed by non-governmental third-party payors, including private insurers; state and foreign laws that require pharmaceutical companies to comply with the pharmaceutical industry’s voluntary compliance guidelines and the relevant compliance guidance promulgated by the federal government or otherwise restrict payments that may be made to healthcare providers; state and foreign laws that require drug manufacturers to report information related to payments and other transfers of value to physicians and other healthcare providers or marketing expenditures; state laws that require manufacturers to report pricing information regarding certain drugs; state and local laws that require the registration of pharmaceutical sales representatives; state and foreign laws that govern the privacy and security of health information in certain circumstances, many of which differ from each other in significant ways and often are not preempted by HIPAA, thus complicating compliance efforts; and federal, state, and foreign laws that govern the privacy and security of other personal data, including federal and state consumer protection laws, state data security laws, and data breach notification laws (a data breach affecting sensitive personal data, including health information, could result in significant legal and financial exposure and reputational damages).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Efforts to ensure that our business arrangements with third parties and our business generally, will comply with applicable healthcare laws and regulations will involve substantial costs. It is possible that governmental authorities will conclude that our business practices may not comply with current or future statutes, regulations or case law interpreting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contractual damages, reputational harm, additional reporting requirements and oversight if we become subject to a corporate integrity agreement or similar agreement to resolve allegations of non-compliance with these laws,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physician or other healthcare provider or entity with whom we expect to do business is found not to be in compliance with applicable laws, that person or entity may be subject to criminal, civil or administrative sanctions, including exclusions from government-funded healthcare programs.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Off-label use or misuse of our products may harm our reputation in the marketplace or result in injuries that lead to costly product liability suits.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received regulatory approval to market Revuforj for the treatment of R/R acute leukemia with a KMT2A translocation as determined by an FDA-authorized test in adult and pediatric patients one year old and older and for the treatment of R/R AML with a susceptible NPM1 mutation in adult and pediatric patients one year and older who have no satisfactory alternative treatment options. We received regulatory approval to market Niktimvo for the treatment of cGVHD after failure of at least two prior lines of systemic therapy in adult and pediatric patients weighing at least 40 kg. We may only promote or market Revuforj, Niktimvo, and our other product candidates, if approved by the FDA, for their specifically approved indications and in a manner consistent with the approved labeling. We train our marketing and sales force against promoting our product candidates for uses outside of the approved indications for use, known as “off-label uses.” We cannot, however, prevent a physician from using our products off-label, when in the physician’s independent professional medical judgment, he or she deems it appropriate. Furthermore, the use of our products for indications other than those approved by the FDA may not effectively treat such conditions. Any such off-label use of our product candidates could harm our reputation in the marketplace among physicians and patients. There may also be increased risk of injury to patients if physicians attempt to use our products for any off-label uses, which could lead to product liability suits that that might require significant financial and management resources and that could harm our reputation. Additionally,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imposes stringent restrictions on manufacturers’ communications regarding off-label uses and if we, or our collaborators, do not promote our products in a manner consistent with the approved labeling, we, or they, may be subject to warnings or enforcement action for off-label marketing. Violation of the Federal Food, Drug, and Cosmetic Act and other statutes, including the FCA, relating to the promotion and advertising of prescription drugs may lead to investigations or allegations of violations of federal and state healthcare fraud and abuse laws and state consumer protection laws.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collect, receive, store, process, generate, use, transfer, disclose, make accessible, protect, secure, dispose of, transmit, and share, or collectively, process, personal data and other sensitive information, including proprietary and confidential business data, trade secrets, intellectual property, sensitive third-party data, business plans, transactions, clinical trial data and financial information or collectively, sensitive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protected health information. For more information regarding risks associated with HIPAA, please refer to the section above that discusses risks associated with healthcare laws and regulations.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or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Although the CCPA, and other comprehensive U.S. state privacy laws exempt some data processed in the context of clinical trials, these developments further complicate compliance efforts and increase legal risk and compliance costs for us and the third parties with whom we work. Similar laws are being considered in several other states, as well as at the federal and local levels, and we expect more states to pass similar laws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Outside the United States, an increasing number of laws, regulations, and industry standards may govern data privacy and security. For example, the EU’s General Data Protection Regulation, or EU GDPR, and the United Kingdom’s GDPR, or UK GDPR, collectively, GDPR, Australia's Privacy Act, and Canada's Personal Information Protection and Electronic Documents Act, impose strict requirements for processing personal data.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certain laws governing the privacy of consumer health data. For example, Washington’s My Health My Data Act, or MHMD, broadly defines consumer health data, places restrictions on processing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consumer health data (including imposing stringent requirements for consents), provides consumers certain rights with respect to their health data, and creates a private right of action to allow individuals to sue for violations of the law. Other states have proposed, enacted or are considering similar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employees and personnel use generative artificial intelligence, or AI, technologies to perform their work, and the disclosure and use of personal data in AI technologies is subject to various privacy laws and other privacy obligations. Governments have passed and are likely to pass additional laws regulating AI technologies. Our use of this technology could result in additional compliance costs, regulatory investigations and actions, and lawsuits. If we are unable to use AI technologies, it could make our business less efficient and result in competitive disadvantages.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U.S. Department of Justice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bound by other contractual obligations related to data privacy and security, and our efforts to comply with such obligations may not be successful. We also publish privacy policies, marketing materials, and other statements concerning data privacy and security. Regulators are increasingly scrutinizing these statements and if these policies, materials, or statements are found to be deficient, lacking in transparency, deceptive, unfair, or misrepresentative of our practices, we may be subject to investigation, enforcement actions by regulators, or other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reliant on revenue from behavioral, interest-based, or tailored advertising, collectively targeted advertising, but delivering targeted advertisements is becoming increasingly difficult due to changes to our ability to gather information about user behavior through third party platforms, new laws and regulations, and consumer resistance. Major technology platforms on which we rely to gather information about consumers have adopted or proposed measures to provide consumers with additional control over the collection, use, and sharing of their personal data for targeted advertising purposes. In addition, legislative proposals and present laws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regulations regulate the use of cookies and other tracking technologies, electronic communications, and marketing. For example, in the EEA and the UK, regulators are increasingly focusing on compliance with requirements related to the targeted advertising ecosystem. European regulators have issued significant fines in certain circumstances where the regulators alleged that appropriate consent was not obtained in connection with targeted advertising activities. It is anticipated that the ePrivacy Regulation and national implementing laws will replace the current national laws implementing the ePrivacy Directive, which may require us to make significant operational changes. In the United States, the CCPA, for example, grants California residents the right to opt-out of a company’s sharing of personal data for advertising purposes in exchange for money or other valuable consideration, and requires covered businesses to honor user-enabled browser signals from the Global Privacy Control. Partially as a result of these developments, individuals are becoming increasingly resistant to the collection, use, and sharing of personal data to deliver targeted advertising. Individuals are now more aware of options related to consent, “do not track” mechanisms (such as browser signals from the Global Privacy Control), and “ad-blocking” software to prevent the collection of their personal data for targeted advertising purposes. As a result, we may be required to change the way we market our products, and any of these developments or changes could materially impair our ability to reach new or existing customers or otherwise negatively affect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and may necessitate changes to our services, information technologies, systems, and practices and to those of any third parties with whom we work. In addition, these obligations may require us to change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(including clinical trial data); and orders to destroy or not use personal data.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fines and penalties; disruptions of our business operations; reputational harm;</w:t>
      </w:r>
      <w:r>
        <w:rPr>
          <w:rFonts w:ascii="Times New Roman" w:hAnsi="Times New Roman"/>
          <w:color w:val="000000"/>
          <w:sz w:val="20"/>
        </w:rPr>
        <w:t xml:space="preserve"> </w:t>
      </w:r>
      <w:r>
        <w:rPr>
          <w:rFonts w:ascii="Times New Roman" w:hAnsi="Times New Roman"/>
          <w:b/>
          <w:i/>
          <w:color w:val="000000"/>
          <w:sz w:val="20"/>
        </w:rPr>
        <w:t>loss of revenue or profits;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increasingly dependent on information technology systems and infrastructure, including mobile technologies, to operate our business. In the ordinary course of our business, we and the third parties with whom we work collect, store, process and transmit large amounts of proprietary, confidential, and sensitive data, including personal data (such as health-related data), intellectual property, and trade secrets (collectively, sensitive information) and, as a result, we and the third parties with whom we work face a variety of evolving threats that could cause security incidents. We have also outsourced elements of our operations (including elements of our information technology infrastructure) to third parties, and as a result, we manage a number of third-party vendors who may or could have access to our computer networks and our sensitive data. In addition, those third-party vendors may in turn subcontract or outsource some of their responsibilities to other parties. While all information technology operations are inherently vulnerable to inadvertent or intentional security breaches, incidents, attacks and exposures, the accessibility and distributed nature of our information technology systems, and the sensitive information stored on those systems, make such systems vulnerable to unintentional or malicious, internal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external attacks on our technology environment. Furthermore, our ability to monitor the aforementioned third parties’ information security practices is limited, and these third parties may not have adequate information security measures in place. If the third-parties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that of the third parties we work with have not been compromised.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currently offer a hybrid-work environment, which increases risks to our information technology systems and data as more of our employees utilize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vulnerabilities can be exploited from inadvertent or intentional actions of our employees, third-party vendors, business partners, or by malicious third parties. We take steps designed to detect, mitigate, and remediate vulnerabilities in our information systems (such as our hardware and/or software, including that of third parties with whom we work). However, we have not and may not in the future detect and remediate all such vulnerabilities including on a timely basis. Further, we have (and may in the future) experienced delays in deploying remedial measures and patches designed to address identified vulnerabilities. Vulnerabilities could be exploited and result in a security incident.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Cyberattacks, malicious internet-based activity, online and offline fraud, and other similar activities threaten the confidentiality, integrity and availability of our information systems and sensitive data and those of the third parties with whom we work. Such threats are prevalent and increasing in their frequency, levels of persistence, sophistication and intensity, are increasingly difficult to detect, and are also being conducted by sophisticated and organized groups and individuals with a wide range of motives (including, but not limited to, industrial espionage) and expertise, traditional computer “hackers,” including organized criminal threat actors, “hacktivists,”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 supply chain, and ability to produce, sell and distribute our goods and services. We and the third parties with whom we work are subject to a variety of evolving threats, including but not limited to malicious code (such as viruses or worms), malware (including as a result of advanced persistent threat intrusions), ransomware attacks, denial-of-service attacks, credential stuffing and/or harvesting, personnel misconduct or error, social engineering attacks (including through deep fakes, which are increasingly more difficult to identify as fake, and phishing attacks), supply-chain attacks, software bugs, server malfunctions, software or hardware failures, loss of sensitive data or other information technology assets, adware, attacks enhanced or facilitated by AI, telecommunications failures, earthquakes, fires, floods and other similar threats. In particular, 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disruptions of our, our third-party vendors’ and/or business partners’ information technology systems or other similar data security incidents caused by any of the previously identified or similar threats have in the past and could in the future adversely affect our business operations and/or result in the unauthorized, unlawful, or accidental acquisition, modification, destruction, alteration, encryption, disclosure of, or access to our sensitive information or our information technology systems, or those of the third parties with whom we work, which could result in financial, legal, regulatory, business and reputational harm to us. For example, we have been the target of unsuccessful phishing attempts in the past and we expect such attempts will continue in the future. In addition, information technology system disruptions, whether from attacks on our technology environment or from computer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viruses, natural disasters, terrorism, war and telecommunication and electrical failures, could result in a material disruption of our development programs and our business operations (and that of third parties with whom we work). For example, the loss of clinical trial data from completed or future clinical trials could result in delays in our regulatory approval efforts and significantly increase our costs to recover or reproduce the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 the past and may in the future expend significant resources or modify our business activities (including our clinical trial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requirements could lead to adverse consequences.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(or a third party with whom we work) experience a security incident or are perceived to have experienced a security incident, including but not limited to a security incident involving personal data regarding employees or clinical trial patients, we may experience material adverse consequences, such as interruptions in our operations (including availability of data), harm to our reputation, government enforcement actions (for example, investigations, fines, penalties, audits, and inspections), additional reporting requirements and/or oversight litigation (including class claims), indemnification obligations, negative publicity, monetary fund diversions, diversion of management attention, financial loss, and other similar harms. Any failure or perceived failure by us or our vendors or business partners to comply with our privacy, confidentiality or data security-related legal or other obligations to third parties, or any security incidents or other inappropriate access events resulting in the unauthorized access, release or transfer of sensitive data, may result in governmental investigations, enforcement actions, regulatory fines, litigation, or public statements against us by advocacy groups or others, and could cause third parties, including clinical sites, regulators or current and potential partners, to lose trust in us or we could be subject to claims by third parties that we have breached our privacy or confidentiality-related obligations, which could materially and adversely affect our business and prospects. Moreover, data security incidents and other inappropriate access can be difficult to detect and any delay in identifying them may lead to increased harm of the type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against security incidents, there can be no assurance that such measures will be effective. Our contracts may not contain relevant limitations of liability, and even where they do, there can be no assurance that limitations of liability in our contracts are sufficient to protect us from liabilities, damages, or claims related to our data privacy and security obligations. Relatedly, our contracts with third parties with whom we work may limit the types and/or amounts of damages that we can recover from those third parties, even where the third party is responsible for a privacy or cybersecurity incident or violation.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 Sensitive data of the Company or our customers could be leaked, disclosed, or revealed as a result of or in connection with our employees’, personnel’s, or third parties’, including vendors’, suppliers’, and contractors’ potential use of generative AI technologies which may negatively impact our company, including our ability to realize the benefit of our intellectual property.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Social media platforms present new risks and challenges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social media continues to expand, it also presents us with new risks and challenges. Social media is increasingly being used to communicate information about us, our programs and the diseases our product candidates are being developed to treat. Social media practices in the biopharmaceutical industry are evolving, creating uncertainty and risk of noncompliance with regulations applicable to our business. For example, patients may use social media platforms to comment on the effectiveness of, or adverse experiences with, a product or a product candidate, which could result in reporting obligations or other consequences. Further, the accidental or intentional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disclosure of non-public information by our workforce or others through media channels could lead to information loss. In addition, there is a risk of inappropriate disclosure of sensitive data or negative or inaccurate posts or comments about us, our products, or our product candidates on any social media platform. The nature of social media prevents us from having real-time control over postings about us on social media. We may not be able to reverse damage to our reputation from negative publicity or adverse information posted on social media platforms or similar mediums. If any of these events were to occur or we otherwise fail to comply with application regulations, we could incur liability, face restrictive regulatory actions or incur other harm to our business including quick and irreversible damage to our reputation, brand image and goodwill.</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Our Financial Position and Capital Needs</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net losses since our inception, except 2021, and anticipate that we will continue to incur net losses for the near future.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is highly speculative because it entails substantial upfront capital expenditures and significant risk that any potential product candidate will fail to demonstrate adequate efficacy or an acceptable safety profile, gain regulatory approval or be commercially viable. We are a commercial-stage biopharmaceutical company with limited operating history. We launched Revuforj and Niktimvo for commercial sale in November 2024 and February 2025, respectively. We have no other products approved for commercial sale and we continue to incur significant research and development and other expenses related to our ongoing operations and clinical development of our product candidates. As a result, we are not and have never been profitable and have incurred losses in each period since our inception in 2005, except in 2021.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we reported a net loss of $285.4 million. As of December 31, 2025, we had an accumulated deficit of $1.5 billion, which included non-cash charges for stock-based compensation, preferred stock accretion and historical extinguishment charges. We expect to continue to incur significant losses for the near future, and we expect these losses to increase as we continue our commercialization activities for, and our continued development of, and seek additional regulatory approvals for, our products. We may also encounter unforeseen expenses, difficulties, complications, delays and other unknown factors that may adversely affect our business. The size of our future net losses will depend, in part, on the rate of growth of our expenses and our ability to generate revenue, if any. Our prior losses and expected future losses have had and will continue to have an adverse effect on our stockholders’ equity and working capital. </w:t>
      </w:r>
    </w:p>
    <w:p>
      <w:pPr>
        <w:pStyle w:val="TextBody"/>
        <w:bidi w:val="0"/>
        <w:spacing w:before="240" w:after="283"/>
        <w:jc w:val="left"/>
        <w:rPr>
          <w:rFonts w:ascii="Times New Roman" w:hAnsi="Times New Roman"/>
          <w:sz w:val="20"/>
        </w:rPr>
      </w:pPr>
      <w:r>
        <w:rPr>
          <w:rFonts w:ascii="Times New Roman" w:hAnsi="Times New Roman"/>
          <w:b/>
          <w:i/>
          <w:color w:val="000000"/>
          <w:sz w:val="20"/>
        </w:rPr>
        <w:t>While we have product revenue, we may never achieve or maintain profitability.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begun generating product revenue from sales of Revuforj and Niktimvo. Our ability to generate additional product revenue and become profitable depends upon our ability to successfully commercialize our product candidates. Our ability to generate future product revenue also depends on a number of additional factors, including, but not limited to, our ability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achieve market acceptance of Revuforj and Niktimvo;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 commercialize and achieve market acceptance of our future product candidates, and if launched independently, successfully leverage our existing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complete the research and clinical development of, and receive regulatory approval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build a portfolio of product candidates through the acquisition or in-license of products, product candidates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initiate preclinical and clinical trials for any additional product candidates that we may pursue in the future;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and maintain supplier and manufacturing relationships with third parties, and ensure adequate and legally compliant manufacturing of bulk drug substances and drug products to maintain that supply;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coverage and adequate product reimbursement from third-party payors, including government payors;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maintain, expand and protect our intellectual property rights;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attract, hire and retain additional qualified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numerous risks and uncertainties associated with drug development, we are unable to predict the timing or amount of expenses, and if or when we will achieve or maintain profitability. In addition, our expenses could increase beyond expectations if we decide to or are required by the FDA or foreign regulatory authorities to perform studies or trials in addition to those that we currently anticipate. Even if we complete the development and regulatory processes described above, we anticipate incurring significant costs associated with launching and commercializing our current product candidates and any other product candidates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revenue generated from the sale of Revuforj, Niktimvo or future product candidates continue increasing, we may not become profitable and may need to obtain additional funding to continue operations or acquire additional products that will require additional funding to develop them. If we fail to become profitable or do not sustain profitability on a continuing basis, then we may be unable to continue our operations at planned levels and be forced to reduce our operations or even shut down.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may require additional capital to finance our planned operations, which may not be available to us on acceptable terms, or at all. As a result, we may not complete the development and commercialization of, or obtain regulatory approval for our existing product candidates or develop new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have consumed substantial amounts of cash since our inception, primarily due to our research and development efforts as well as for the commercial launch of Revuforj and Niktimvo. We believe that our existing cash, cash equivalents and short-term investments will fund our projected operating expenses and capital expenditure requirements for at least the next 12 months. Unexpected circumstances may cause us to consume capital more rapidly than we currently anticipate, including as a result of the global economic slowdown, including any recessions that have occurred or may occur in the future. In addition, we may discover that we need to conduct additional activities that exceed our current budget to achieve appropriate rates of patient enrollment, which would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any event, we may require additional capital to continue the development of, obtain regulatory approval for, and to commercialize our existing product candidates and any future product candidates. Any efforts to secure additional financing may divert our management from our day-to-day activities, which may adversely affect our ability to develop and commercialize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long-term economic impacts associated with public health crises and global geopolitical tensions, like the ongoing wars between Russia and Ukraine as well as the ongoing conflicts in the Middle East, are difficult to assess or predict, each of these events has caused significant disruptions to the global financial markets and contributed to a general global economic slowdown. Furthermore, inflation rates have increased recently to levels not seen in decades. Increased inflation may result in increased operating costs (including labor costs) and may affect our operating budgets. Increases in interest rates, especially if coupled with reduced government spending and volatility in financial markets, may further increase economic uncertainty and heighten these risks. If the disruptions and slowdown deepen or persist, we may not be able to access additional capital on favorable terms, or at all, which could in the future negatively affect our financial condition and our ability to pursue our business strategy. We cannot guarantee that future financing will be available in sufficient amounts or on terms acceptable to us, if at all. If we do not raise additional capital when required or on acceptable terms, we may need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 scale back or discontinue the development or commercialization of our product candidates or cease operations altogether;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seek strategic alliances for our existing product candidates on terms less favorable than might otherwise be available; 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relinquish, or license on unfavorable terms, our rights to technologies or any future product candidates that we otherwise would seek to develop or commercialize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need to conduct additional fundraising activities and we do not raise additional capital in sufficient amounts or on terms acceptable to us, we may be unable to pursue development and commercialization efforts, which will harm our business, operating results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future funding requirements, both short- and long-term, will depend on many factors,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progress, timing, costs and results of clinical trials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outcome, timing and cost of seeking and obtaining regulatory approvals from the FDA and comparable foreign regulatory authorities, including the potential for such authorities to require that we perform more trials than we currently expect;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selecting, auditing and developing manufacturing capabilities, and potentially validating manufacturing sites for commercial-scale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for obtaining pricing, and coverage and reimbursement by third-party payors, which may require additional trials to address pharmacoeconomic benefit;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establishing sales, marketing and distribution capabilities for our product candidates if any candidate receives regulatory approval and we determine to commercialize it ourselves;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acquiring, licensing or investing in additional businesses, products,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acquire and implement additional internal systems and infrastructure, including compliance and financial and reporting systems, as we grow our company;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business interruptions resulting from geopolitical actions, including war or the perception that hostilities may be imminent (such as the ongoing wars between Russia and Ukraine as well as the ongoing conflicts in the Middle East), terrorism, natural disasters, including earthquakes, typhoons, floods and fires, or public health crises.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cannot expand our operations or otherwise capitalize on our business opportunities because we cannot secure sufficient capital, our business, financial condition and results of operations could be materially adversely affected.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could materially adversely affect our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tax laws or regulations could be enacted at any time, and existing tax laws or regulations could be interpreted, modified, or applied in a manner that is averse to us and adversely affect our business and financial condition. For example, the OBBBA, exacted in July 2025, introduced sweeping changes to the U.S. tax code, including the permanent extension of various provisions originally established under the Tax Cuts and Jobs Act. These changes, along with new OBBBA provisions such as the reinstatement of 100% bonus depreciation, the immediate expensing of domestic research and experimental expenditures, and modifications to the business interest expense limitations under Section 163(j), may significantly impact our effective tax rate and the timing of our tax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the OBBA provides federal clarity by making many temporary measures permanent, the long-term impact remains subject to future regulatory guidance. Furthermore, the Inflation Reduction Act, or IRA, continues to impact our operations through drug pricing reforms – including the Medicare drug price negotiation program and inflation-based rebate requirements – and the redesign of Part D benefits, which includes a $2,000 cap on out-of-pocket spending beginning in 2025. Additionally, significant uncertainty exists regarding state-level taxation. Various states may not conform to all provisions of the OBBBA or other recent federal tax legislation. This patchwork of state conformity, where certain states may de-couple from federal incentives or expense treatments, could result in increased administrative complexity, higher effective state tax rates, and a divergence between our federal and state tax liabilities. The impact of changes under the OBBBA, the IRA, or other future legislative shifts remains difficult to predict and could have a material adverse effect on our financial results.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with the commercialization of Revuforj and Niktimvo, and as we continue to develop our product candidates, our tax profile may become more intricate. We may become subject to additional tax obligations, including state and local sales, use, and gross receipts taxes, as well as foreign tax obligations if we expand internationally. Our tax positions may be challenged, including the characterization of revenue, the deductibility of expenses, the allocation of income among jurisdictions, and the structure of intercompany arrangements. A tax audit or further examination could result in additional tax assessments, interest, and penalties, which could be material.</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substantial losses during our history. Unused losses generally are available to be carried forward to offset future taxable income, if any. Under Sections 382 and 383 of the Code if a corporation undergoes an “ownership change,” generally defined as a greater than 50% change (by value) in its equity ownership over a three-year period, the corporation’s ability to use its pre-change net operating loss carryforwards, or NOLs, and other pre-change tax attributes (such as research tax credits) to offset its post-change taxable income or taxes may be limited. We last completed an analysis from January 1, 2021 through December 31, 2023 and determined that no ownership changes had occurred in that period. Prior analyses determined that on March 30, 2007, August 21, 2015, and May 4, 2020, ownership changes had occurred. We may also experience ownership changes in the future as a result of shifts in our stock ownership, some of which may be outside of our control. As a result, our ability to use our pre-change NOLs to offset U.S. federal taxable income may be subject to limitations, which could potentially result in increased future tax liability to us. In addition, at the state level, there may be periods during which the use of NOLs is suspended or otherwise limited, which could accelerate or permanently increase state taxes owed.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If we are unable to obtain or protect intellectual property rights, we may not be able to compete effectively in our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significant part on our and our licensors’ and licensees’ ability to establish, maintain and protect patents and other intellectual property rights and operate without infringing the intellectual property rights of others. We have filed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and time-consuming, and we and our current or future licensors and licensees may not be able to prepare, file and prosecute all necessary or desirable patent applications at a reasonable cost or in a timely manner. It is also possible that we or our licensors or licensees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or licensees. Therefore, these patents and applications may not be prosecuted and enforced in a manner consistent with the best interests of our business. If our current or future licensors or licensees fail to establish, maintain or protect such patents and other intellectual property rights, such rights may be reduced or eliminated. If our licensors or licensees are not fully cooperative or disagree with us as to the prosecution, maintenance or enforcement of any patent rights, such patent rights could be compromised.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in recent years been the subject of much litigation. As a result, the issuance, scope, validity, enforceability and commercial value of our and our current or future licensors’ or licensees’ patent rights are highly uncertain. Our and our licensors’ or licensees’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or licensees to narrow the scope of the claims of our or our licensors’ or licensees’ pending and future patent applications, which may limit the scope of patent protection that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be obtained. It is possible that third parties with products that are very similar to ours will circumvent our or our licensors’ or licensees’ patents by means of alternate designs or processes.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 There may be prior art of which we are not aware of that may affect the validity or enforceability of a patent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a competitor’s technology or product would be found by a court to infringe our patents. We may analyze patents or patent applications of our competitors that we believe are relevant to our activities, and consider that we are free to operate in relation to our product candidate, but our competitors may achieve issued claims, including in patents we consider to be unrelated, which block our efforts or may potentially result in our product candidate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we have issued that cover our products. Our and our licensors’ or licensees’ patent applications cannot be enforced against third parties practicing the technology claimed in such applications unless and until a patent issues from such applications, and then only to the extent the issued claims cover the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that we licensed from UCB includes granted patents and patent applications with pending claims directed to the composition of matter of axatilimab (a humanized, full-length IgG4 (kappa light chain) antibody with high affinity for the CSF-1R) as well as claims directed to methods of use of axatilimab. There is no guarantee that any further patents will be granted based on the pending applications we licensed from UCB or even if one or more patents are granted that the claims issued in those patents would cover axatilimab, methods of using axatilimab, or formulations of axatilimab. Based on the priority date and filing date of the applications in the portfolio we licensed from UCB, we expect that additional patents, if any, granted based on the currently pending applications would expire in 2034 or later should patent term extension be granted. The actual term of any patents granted based on the pending applications we licensed from UCB can only be determined after such patents are granted.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portfolio that we licensed from Vitae, includes granted patents and applications with pending claims directed to inhibitors of the interaction of menin with MLL and MLL fusion proteins, pharmaceutical compositions containing the same, and their use in the treatment of cancer and other diseases mediated by the menin-MLL interaction. There is no guarantee that any additional patents will be granted based on the pending applications that we licensed from Vitae or even if one or more patents are granted that the claims issued in those patents would cover the desired lead compounds, compositions, and methods of use thereof. Based on the priority date and filing date of the applications in the portfolio that we licensed from Vitae, we expect that a patent, if any, granted based on the currently pending applications would expire in 2037 or later should patent term extension be granted. The actual term of any patents granted based on the pending applications that we licensed from Vitae can only be determined after such patents are granted.</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enforcing and defending patents on product candidates in all countries throughout the world is prohibitively expensive, and our or our licensors’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and our licensors may not be able to prevent third parties from practicing our and our licensors’ inventions in countries outside the United States, or from selling or importing products made using our and our licensors’ inventions in and into the United States or other jurisdictions. Competitors may use our and our licensors’ technologies in jurisdictions where we have not obtained patent protection to develop their own products and may export otherwise infringing products to territories where we and our licensors have patent protection, but enforcement is not as strong as that in the United States. These products may compete with our product candidates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our and our licensors’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and our licensors to stop the infringement of our and our licensors’ patents or marketing of competing products in violation of our and our licensors’ proprietary rights generally. Proceedings to enforce our and our licensors’ patent rights in foreign jurisdictions could result in substantial costs and divert our attention from other aspects of our business, could put our and our licensors’ patents at risk of being invalidated or interpreted narrowly and our and our licensors’ patent applications at risk of not issuing and could provoke third parties to assert claims against us or our licensors. We or our licensors may not prevail in any lawsuits that we or our licensors initiate and the damages or other remedies awarded, if any, may not be commercially meaningful.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for patentability may differ in certain countries, particularly developing countries. For example, unlike other countries, China has a heightened requirement for patentability, and specifically requires a detailed description of medical uses of a claimed drug. In India, unlike the United States, there is no link between regulatory approval of a drug and its patent status.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In addition to India, certain countries in Europe and developing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and our licensors’ efforts to enforce intellectual property rights around the world may be inadequate to obtain a significant commercial advantage from the intellectual property that we own or license.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breach the UCB license agreement related to axatilimab or if the UCB license agreement is otherwise terminated, we could lose the ability to continue the development and commercialization of axatilimab.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axatilimab. Over the term of the UCB license agreement, and subject to the achievement of certain milestone events, we were required to pay UCB up to $119.5 million in one-time development and regulatory milestone payments. After achievements already recognized and milestones paid to date of $41.0 million, we may be required to pay UCB up to $78.5 million in additional payments. If we or any of our affiliates or sublicensees commercializes axatilimab, we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After achievements already recognized and milestones realized to date, we may be subject to pay $240 million of one-time sales-based milestone payments based on achievement of certain annual sales thresholds. Under certain circumstances, we may be required to share a percentage of non-royalty income from sublicensees, subject to certain deductions, with UCB.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UCB license agreement in its entirety or with respect to certain countries in the event of an uncured material breach by the other party. Either party may terminate the UCB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UCB may terminate the UCB license agreement if we seek to revoke or challenge the validity of any patent licensed to us by UCB under the UCB license agreement or if we procure or assist a third party to take any such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UCB would expire because no commercial sales of axatilimab have occurred and the last-to-expire relevant patent covering axatilimab in a given country may change in the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 UCB license agreement is terminated, we would not be able to develop, manufacture, market or sell axatilimab and would need to negotiate a new or reinstated agreement, which may not be available to us on equally favorable terms, or at all. In addition, our collaboration with Incyte to further develop and commercialize axatilimab is dependent upon the effectiveness of the UCB license agreement. If the UCB license agreement is terminated, Incyte may terminate our collaboration and our business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breach the license agreement related to revumenib or if the license agreement is otherwise terminated, we could lose the ability to continue the development and commercialization of revumenib.</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success depends upon our ability to develop, manufacture, market and sell revumenib. Over the term of the Vitae license agreement, and subject to the achievement of certain milestone events, we were required to pay Vitae up to $99.0 million in one-time development and regulatory milestone payments. After achievements already recognized and milestones paid to date of $38.0 million, we may be required to pay Vitae up to $61.0 million in additional payments. In the event that we or any of our affiliates or sublicensees commercializes revumenib, we will also be obligated to pay Vitae low single to low double-digit percentage royalties on sales, subject to reduction in certain circumstances, as well as up to an aggregate of $70.0 million in potential one-time sales-based milestone payments based on achievement of certain annual sales thresholds. Under certain circumstances, we may be required to share a percentage of non-royalty income from sublicensees, subject to certain deductions, with Vitae.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Either party may terminate the license agreement in its entirety or with respect to certain countries in the event of an uncured material breach by the other party. Either party may terminate the license agreement if voluntary or involuntary bankruptcy proceedings are instituted against the other party, if the other party makes an assignment for the benefit of creditors, or upon the occurrence of other specific events relating to the insolvency or dissolution of the other party. Vitae may terminate the license agreement if we seek to revoke or challenge the validity of any patent licensed to us by Vitae under the license agreement or if we procure or assist a third party to take any such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Unless terminated earlier in accordance with its terms, the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We cannot determine the date on which our royalty payment obligations to Vitae would expire because no commercial sales of revumenib have occurred and the last-to-expire relevant patent covering revumenib in a given country may change in the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the license agreement is terminated, we would not be able to develop, manufacture, market or sell revumenib and would need to negotiate a new or reinstated agreement, which may not be available to us on equally favorable terms, or at all.</w:t>
      </w:r>
    </w:p>
    <w:p>
      <w:pPr>
        <w:pStyle w:val="TextBody"/>
        <w:bidi w:val="0"/>
        <w:spacing w:before="240" w:after="283"/>
        <w:jc w:val="left"/>
        <w:rPr>
          <w:rFonts w:ascii="Times New Roman" w:hAnsi="Times New Roman"/>
          <w:sz w:val="20"/>
        </w:rPr>
      </w:pPr>
      <w:r>
        <w:rPr>
          <w:rFonts w:ascii="Times New Roman" w:hAnsi="Times New Roman"/>
          <w:b/>
          <w:i/>
          <w:color w:val="000000"/>
          <w:sz w:val="20"/>
        </w:rPr>
        <w:t>Changes in patent law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is the case with other biotechnology and 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 The Supreme Court has ruled on several patent cases in recent years, either narrowing the scope of patent protection available in certain circumstances or weakening the rights of patent owners in certain situations. In addition to increasing uncertainty with regard to our and our licensors’ ability to obtain patents in the future, this combination of events has created uncertainty with respect to the value of patents, once obtained. Depending on decisions by Congress, the federal courts, and the United States Patent and Trademark Office, or the USPTO, the laws and regulations governing patents could change in unpredictable ways that may weaken our and our licensors’ ability to obtain new patents or to enforce existing patents and patents we and our licensors or collaborators may obtain in the future. In view of recent developments in U.S. patent laws, in spite of our efforts and the efforts of our licensors, we may face difficulties in obtaining allowance of our biomarker based patient selection patent claims or if we are successful in obtaining allowance of our biomarker based patient selection claims, we or our licensor may be unsuccessful in defending the validity of such claims if challenged before a competent court.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Recent patent reform legislation could increase the uncertainties and costs surrounding the prosecution of our and our licensors’ patent applications and the enforcement or defense of our or our licensors’ issued patents. On September 16, 2011, the Leahy-Smith America Invents Act, or the America Invents Act, was signed into law. The America Invents Act includes a number of significant changes to U.S. patent law. These include provisions that affect the way patent applications are prosecuted and may also affect patent litigation. The USPTO recently developed new regulations and procedures to govern administration of the America Invents Act, and many of the substantive changes to patent law associated with the America Invents Act and in particular, the first to file provisions, only became effective on March 16, 2013. Accordingly, it is not clear what, if any, impact the America Invents Act will have on the operation of our business. However, the America Invents Act and its implementation could increase the uncertainties and costs surrounding the prosecution of our or our licensors’ patent applications and the enforcement or defense of our or our licensors’ issued patents, all of which could harm our business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fail to maintain the patents and patent applications covering our product candidates, our competitors might be able to enter the market, which would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intellectual property, which could be expensive, time-consuming and unsuccessful and have an adverse effect on the success of our business and on our stock price.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Third parties may infringe our or our licensors’ patents or misappropriate or otherwise violate our or our licensors’ intellectual property rights. In the future, we or our licensors may initiate legal proceedings to enforce or defend our or our licensors’ intellectual property rights, to protect our or our licensors’ trade secrets or to determine the validity or scope of intellectual property rights we own or control. Also, third parties may initiate legal proceedings against us or our licensors to challenge the validity or scope of intellectual property rights we own or control. The proceedings can be expensive and time-consuming and many of our or our licensors’ adversaries in these proceedings may have the ability to dedicate substantially greater resources to prosecuting these legal actions than we or our licensors can. Accordingly, despite our or our licensors’ efforts, we or our licensors may not be able to prevent third parties from infringing upon or misappropriating intellectual property rights we own or control, particularly in countries where the laws may not protect our rights as fully as in the United States. Litigation could result in substantial costs and diversion of management resources, which could harm our business and financial results. In addition, in an infringement proceeding, a court may decide that a patent owned by or licensed to us is invalid or unenforceable or may refuse to stop the other party from using the technology at issue on the grounds that our or our licensors’ patents do not cover the technology in question. An adverse result in any litigation proceeding could put one or more of our or our licensors’ patents at risk of being invalidated, held unenforceable or interpreted narrowly.</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Third-party pre-issuance submission of prior art to the USPTO, or opposition, derivation, reexamination, </w:t>
      </w:r>
      <w:r>
        <w:rPr>
          <w:rFonts w:ascii="Times New Roman" w:hAnsi="Times New Roman"/>
          <w:i/>
          <w:color w:val="000000"/>
          <w:sz w:val="20"/>
        </w:rPr>
        <w:t>inter partes</w:t>
      </w:r>
      <w:r>
        <w:rPr>
          <w:rFonts w:ascii="Times New Roman" w:hAnsi="Times New Roman"/>
          <w:color w:val="000000"/>
          <w:sz w:val="20"/>
        </w:rPr>
        <w:t xml:space="preserve"> review or interference proceedings, or other pre-issuance or post-grant proceedings in the United States or other jurisdictions provoked by third parties or brought by us or our licensors or collaborators may be necessary to determine the priority of inventions with respect to our or our licensors’ patents or patent applications. An unfavorable outcome could require us or our licensors to cease using the related technology and commercializing our product candidates, or to attempt to license rights to it from the prevailing party. Our business could be harmed if the prevailing party does not offer us or our licensors a license on commercially reasonable terms or at all. Even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or our licensors obtain a license, it may be non-exclusive, thereby giving our competitors access to the same technologies licensed to us or our licensors. In addition, if the breadth or strength of protection provided by our or our licensors’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process. There could also be public announcements of the results of hearings, motions or other interim proceedings or developments. If securities analysts or investors perceive these results to be negative, it could have a downward effect on the price of shares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Third parties may initiate legal proceedings against us or our licensors or collaborators alleging that we or our licensors or collaborators infringe their intellectual property rights or we or our licensors or collaborators may initiate legal proceedings against third parties to challenge the validity or scope of intellectual property rights controlled by third parties, including in oppositions, interferences, reexaminations, </w:t>
      </w:r>
      <w:r>
        <w:rPr>
          <w:rFonts w:ascii="Times New Roman" w:hAnsi="Times New Roman"/>
          <w:i/>
          <w:color w:val="000000"/>
          <w:sz w:val="20"/>
        </w:rPr>
        <w:t>inter partes</w:t>
      </w:r>
      <w:r>
        <w:rPr>
          <w:rFonts w:ascii="Times New Roman" w:hAnsi="Times New Roman"/>
          <w:color w:val="000000"/>
          <w:sz w:val="20"/>
        </w:rPr>
        <w:t xml:space="preserve"> reviews or derivation proceedings before the United States or other jurisdictions. These proceedings can be expensive and time-consuming and many of our or our licensors’ adversaries in these proceedings may have the ability to dedicate substantially greater resources to prosecuting these legal actions than we or our licensors or collaborators can.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unfavorable outcome could require us or our licensors or collaborators to cease using the related technology or developing or commercializing our product candidates, or to attempt to license rights to it from the prevailing party. Our business could be harmed if the prevailing party does not offer us or our licensors or collaborators a license on commercially reasonable terms or at all. Even if we or our licensors or collaborators obtain a license, it may be non-exclusive, thereby giving our competitors access to the same technologies licensed to us or our licensors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by third parties asserting that we or our employees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Many of our employees, including our senior management, were previously employed at universities or at other biotechnology or 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for some of our in-licensed patents and patent applications, we do not have access to every patent assignment or employee agreement demonstrating that all inventors have assigned their rights to the inventions or related patents. As a result, we may be subject to claims of ownership by such inventors.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inability to protect our confidential information and trade secrets would harm our business and competitive position.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third-party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If a competitor lawfully obtained or independently developed any of our trade secrets, we would have no right to prevent such competitor from using that technology or information to compete with us, which could harm our competitive position.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Risks Related to Ownership of Our Common Stock and Other General Matters</w:t>
      </w:r>
    </w:p>
    <w:p>
      <w:pPr>
        <w:pStyle w:val="TextBody"/>
        <w:bidi w:val="0"/>
        <w:spacing w:before="240" w:after="283"/>
        <w:jc w:val="left"/>
        <w:rPr>
          <w:rFonts w:ascii="Times New Roman" w:hAnsi="Times New Roman"/>
          <w:sz w:val="20"/>
        </w:rPr>
      </w:pPr>
      <w:r>
        <w:rPr>
          <w:rFonts w:ascii="Times New Roman" w:hAnsi="Times New Roman"/>
          <w:b/>
          <w:i/>
          <w:color w:val="000000"/>
          <w:sz w:val="20"/>
        </w:rPr>
        <w:t>The market price of our stock may be volatile and you could lose all or part of your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is highly volatile and subject to wide fluctuations in response to various factors, some of which we cannot control. In addition to the factors discussed in this “Risk Factors” section and elsewhere in this Annual Report, these factors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competitive products or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actions with respect to our products or our competitors’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our growth rate relative to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or our competitors of significant acquisitions, strategic collaborations, joint ventures, collaborations or capital commitments;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results of trials of our product candidates or those of our competitors;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or legal developments in the United States and other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or disputes concerning patent applications, issued patents or other proprietary rights;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recruitment or departure of key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expenses related to our product candidates or clinical development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actual or anticipated changes in estimates as to financial results, development timelines or recommendations by securities analysts;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variations in our financial results or those of companies that are perceived to be similar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fluctuations in the valuation of companies perceived by investors to be comparable to us;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 price and volume fluctuations attributable to inconsistent trading volume levels of our shares;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or expectation of additional financing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our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the structure of healthcare payment systems;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in the pharmaceutical and biotechnology sectors;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political and market conditions, including, but not limited to new or ongoing public health crises and the war between Russia and Ukraine as well as the ongoing conflicts in the Middle East.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in general, and the Nasdaq Global Select Market, or Nasdaq, and biopharmaceutical companies in particular, frequently experiences extreme price and volume fluctuations that have often been unrelated or disproportionate to the operating performance of such companies. Broad market and industry factors, including potentially worsening economic conditions and other adverse effects or developments may negatively affect the market price of our common stock, regardless of our actual operating performance. The realization of any of the above risks or any of a broad range of other risks, including those described in this “Risk Factors” section, could have a dramatic and negative impact on the market price of our common stock.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Unstable market and economic conditions may have serious adverse consequences on our business, financial condition and share price.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global economy, including credit and financial markets, has experienced extreme volatility and disruptions, including severely diminished liquidity and credit availability, bank failures, declines in consumer confidence, declines in economic growth, increases in unemployment rates, increases in inflation rates and uncertainty about economic stability. For example, the current Russia-Ukraine war exacerbated volatility in the global capital markets and continues to disrupt the global supply chain and energy markets. Any such volatility and disruptions may have adverse consequences for us or the third parties on whom we rely. If the equity and credit markets deteriorate, including as a result of political unrest or war, it may make any necessary debt or equity financing more difficult to obtain in a timely manner or on favorable terms, more costly or more dilutive. Inflation can adversely affect us by increasing our costs, including personnel costs (wages). Any significant increases in inflation and related increases in interest rates could have a material adverse effect on our business, results of operations and financial condition.</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sell additional equity or debt securities or enter into other arrangements to fund our operations, which may result in dilution to our stockholders and impose restrictions or limitations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we can generate a sufficient amount of profit from our products, if ever, we expect to finance future cash needs through public or private equity or debt offerings. If we raise additional funds through the issuance of additional equity or debt securities, it may result in dilution to our existing stockholders and/or increased fixed payment obligations. The issuance of these shares of our common stock resulted, and any future issuance pursuant to any future public or private equity financing or future sales under the 2023 ATM Program will result in dilution to our stockholders.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have a significant number of stock options and pre-funded warrants outstanding. To the extent that these have been or may be exercised, stockholders may experience further dilution.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seek additional funding through government or other third-party funding and other collaborations, strategic alliances and licensing arrangements. These financing activities may have an adverse impact on our stockholders’ rights as well as on our operations, and such additional funding may not be available on reasonable terms, if at all. Furthermore, these securities may have rights senior to those of our common stock and could contain covenants that would restrict our operations and potentially impair our competitiveness, such as limitations on our ability to incur additional debt, limitations on our ability to acquire, sell or license intellectual property rights and other operating restrictions that could adversely impact our ability to conduct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we seek funds through arrangements with collaborative partners, these arrangements may require us to relinquish rights to some of our technologies or product candidates or otherwise agree to terms unfavorable to us. Any of these events could significantly harm our business, financial condition and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or industry analysts do not publish research or reports about our business, or if they issue an adverse or misleading opinion regarding our stock, our stock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is influenced by the research and reports that industry or securities analysts publish about us or our business. If no or few securities or industry analysts continue coverage of us, the trading price for our stock could be negatively impacted. If any of the analysts who cover us issue an adverse or misleading opinion regarding us, our business model, our intellectual property or our stock performance, or if our trials or operating results fail to meet the expectations of analysts, our stock price could decline. If one or more of these analysts cease coverage of us or fail to publish reports on us regularly, we could lose visibility in the financial markets, which in turn could cause our stock price or trading volume to decline.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and management own a significant percentage of our stock and will be able to exert significant influence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our executive officers, directors, and holders of 5% or more of our capital stock and their respective affiliates beneficially owned approximately 39.1% of our outstanding voting stock and options. As a result, these stockholders will continue to have a significant influence over all matters requiring stockholder approval. For example, these stockholders may be able to influence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Sarbanes-Oxley Act requires, among other things, that we maintain effective internal controls for financial reporting and disclosure controls and procedures. We are required, under Section 404 of the Sarbanes-Oxley Act, to furnish a report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 of the Sarbanes-Oxley Act also generally requires an attestation from our independent registered public accounting firm on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to get an attestation from our independent registered public accounting firm on the effectiveness of our internal control over financial reporting. Our compliance with Section 404 requires that we incur substantial expense and expend significant management efforts. We currently do not have an internal audit group, and we may need to hire additional accounting and financial staff with appropriate public company experience and technical accounting knowledge and compile the system and process documentation necessary to perform the evaluation needed to comply with Section 404. We may not be able to complete our evaluation, testing and any required remediation in a timely fashion. During the evaluation and testing process, if we identify one or more material weaknesses in our internal control over financial reporting, we will be unable to assert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 its Section 404 reviews, we could lose investor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Some provisions of our charter documents and Delaware law may have anti-takeover effects that could discourage an acquisition of us by others, even if an acquisition would benefit our stockholders and may prevent attempts by our stockholders to replace or remove our current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Provisions in our amended and restated certificate of incorporation and amended and restated bylaws, as well as provisions of Delaware law, could make it more difficult for a third party to acquire us or increase the cost of acquiring us, even if doing so would benefit our stockholders, or remove our current management. These provisions include a classified board of directors, a prohibition on actions by written consent of our stockholders and the ability of our board of directors to issue preferred stock without stockholder approval. These provisions may frustrate or prevent any attempts by our stockholders to replace or remove our current management by making it more difficult for stockholders to replace members of our board of directors, who are responsible for appointing the members of our management. Because we are incorporated in Delaware, we are governed by the provisions of Section 203 of the Delaware General Corporation Law, or the DGCL, which may discourage, delay or prevent someone from acquiring us or merging with us whether or not it is desired by or beneficial to our stockholders. Under the DGCL, a corporation may not, in general, engage in a business combination with any holder of 15% or more of its capital stock unless the holder has held the stock for three years or, among other things, the board of directors has approved the transaction. Any provision of our amended and restated certificate of incorporation or amended and restated bylaws or Delaware law that has the effect of delaying or deterring a change of control could limit the opportunity for our stockholders to receive a premium for their shares of our common stock and could also affect the price that some investors are willing to pay for our common stock.</w:t>
      </w:r>
    </w:p>
    <w:p>
      <w:pPr>
        <w:pStyle w:val="TextBody"/>
        <w:bidi w:val="0"/>
        <w:spacing w:before="360" w:after="283"/>
        <w:jc w:val="left"/>
        <w:rPr>
          <w:rFonts w:ascii="Times New Roman" w:hAnsi="Times New Roman"/>
          <w:sz w:val="20"/>
        </w:rPr>
      </w:pPr>
      <w:bookmarkStart w:id="6" w:name="item_1b_unresolved_staff_comments"/>
      <w:bookmarkEnd w:id="6"/>
      <w:r>
        <w:rPr>
          <w:rFonts w:ascii="Times New Roman" w:hAnsi="Times New Roman"/>
          <w:b/>
          <w:color w:val="000000"/>
          <w:sz w:val="20"/>
        </w:rPr>
        <w:t>Item 1B. Unresolved Staff Comments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360" w:after="283"/>
        <w:jc w:val="left"/>
        <w:rPr>
          <w:rFonts w:ascii="Times New Roman" w:hAnsi="Times New Roman"/>
          <w:sz w:val="20"/>
        </w:rPr>
      </w:pPr>
      <w:bookmarkStart w:id="7" w:name="item_1c_cybersecurity"/>
      <w:bookmarkEnd w:id="7"/>
      <w:r>
        <w:rPr>
          <w:rFonts w:ascii="Times New Roman" w:hAnsi="Times New Roman"/>
          <w:b/>
          <w:color w:val="000000"/>
          <w:sz w:val="20"/>
        </w:rPr>
        <w:t>Item 1C. Cyber Security</w:t>
      </w:r>
      <w:r>
        <w:rPr>
          <w:rFonts w:ascii="Times New Roman" w:hAnsi="Times New Roman"/>
          <w:color w:val="000000"/>
          <w:sz w:val="20"/>
        </w:rPr>
        <w:t xml:space="preserve">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implemented and maintain various information security processes designed to identify, assess and manage material risks from cybersecurity threats to our critical computer networks, third-party hosted services, communications systems, hardware and software, and our critical data, including intellectual property, confidential information that is proprietary, strategic or competitive in nature, and our clinical trial and related data, or Information Systems and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information security function, which is led by our Vice President of Information Technology, or VP of IT, helps identify, assess and manage our cybersecurity threats and risks. The information security function identifies and assesses cybersecurity threats and risks by monitoring and evaluating our threat environment and our risk profile using various methods including, for example: manual and automated tools, subscribing to reports and services that identify cybersecurity threats, analyzing reports of threats, evaluating threats reported to us, internal and external audits, leveraging third party threat assessments, conducting vulnerability identification assessments, and leveraging external threat intelligence.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the environment or system, we implement and maintain various technical, physical, and organizational measures, processes, standards and policies designed to manage and mitigate material risks from cybersecurity threats to our Information Systems and Data, including, for example: incident detection and response, disaster recovery and business continuity plans, encryption of certain data, network security controls, data segregation for certain data, access controls, physical controls, systems monitoring, penetration testing, and cybersecurity insurance. Certain information about our assessment and management of material risks from cybersecurity threats is included in risk management reports as applicable to senior leadership and the audit committee.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use third-party service providers to assist us from time to time to identify, assess, and manage material risks from cybersecurity threats, including, for example: cybersecurity consultants, managed cybersecurity service providers, and professional service firms, including legal counsel, forensic investigators, and penetration testing service providers.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use third-party service providers to perform a variety of functions throughout our business, such as software-as-a-service providers, hosting companies, supply chain resources, contract research organizations, and contract manufacturing organizations. Depending on the nature of the services provided, the sensitivity of the critical systems, information and assets at issue, and the identity of the provider, we may conduct a review of security assessments provided by the vendor and impose contractual obligations related to cybersecurity on the vendor.</w:t>
      </w:r>
    </w:p>
    <w:p>
      <w:pPr>
        <w:pStyle w:val="TextBody"/>
        <w:bidi w:val="0"/>
        <w:spacing w:before="120" w:after="283"/>
        <w:jc w:val="left"/>
        <w:rPr>
          <w:rFonts w:ascii="Times New Roman" w:hAnsi="Times New Roman"/>
          <w:sz w:val="20"/>
        </w:rPr>
      </w:pPr>
      <w:r>
        <w:rPr>
          <w:rFonts w:ascii="Times New Roman" w:hAnsi="Times New Roman"/>
          <w:color w:val="000000"/>
          <w:sz w:val="20"/>
        </w:rPr>
        <w:t>For a description of the risks from cybersecurity threats that may materially affect the Company and how they may do so, see our risk factors under Part 1. Item 1A. “Risk Factors” in this Annual Report, including “</w:t>
      </w:r>
      <w:r>
        <w:rPr>
          <w:rFonts w:ascii="Times New Roman" w:hAnsi="Times New Roman"/>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fines and penalties; disruptions of our business operations; reputational harm; loss of revenue or profits; and other adverse consequences.”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Governance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addresses the Company’s cybersecurity risk management as part of its general oversight function. Our board of directors’ audit committee is responsible for overseeing the Company’s cybersecurity risk management processes.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risk assessment and management processes are implemented and maintained by certain Company management, including our VP of IT, who has over 25 years of experience in information technology including IT leadership in Department of Defense Research. Our VP of IT who reports to our Chief Financial Officer, or CFO, who has 23 years of experience as a CFO, including supervisory responsibility over IT and cybersecurity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VP of IT is responsible for hiring appropriate personnel, helping to integrate cybersecurity risk considerations into the Company’s overall risk management strategy, and communicating key priorities to relevant personnel. Our VP of IT is also responsible for approving budgets, helping prepare for cybersecurity incidents, approving cybersecurity processes, and reviewing security assessments and other security-related reports.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cybersecurity incident processes are designed to escalate certain cybersecurity incidents to members of management depending on the circumstances, including our CFO, General Counsel, or GC, and Chief Executive Officer, or CEO. Our GC, CFO, and other leadership personnel work with our incident response team to help assess impact and mitigate and remediate cybersecurity incidents of which they are notified, in addition to notifying the audit committee of our board of directors, as appropriate.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board of directors’ audit committee receives annual reports from our CFO concerning our significant cybersecurity threats and risk and the processes the Company has implemented to address them. Our audit committee also has access to various reports, summaries or presentations related to cybersecurity threats, risk and mitigation.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8" w:name="item_2_properties"/>
      <w:bookmarkEnd w:id="8"/>
      <w:r>
        <w:rPr>
          <w:rFonts w:ascii="Times New Roman" w:hAnsi="Times New Roman"/>
          <w:b/>
          <w:color w:val="000000"/>
          <w:sz w:val="20"/>
        </w:rPr>
        <w:t>Item 2. Properties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principal office is located in New York, NY, where we lease approximately 12,000 square feet of office space pursuant to a lease that expires in August 2028. In February 2025, following the expiration of our lease, we closed our office in Waltham, MA and made New York our principal office location. In August 2025, following the expiration of our lease, we also closed approximately 4,000 square feet of additional office space in New York, NY. We believe that our existing facilities are sufficient for our foreseeable future needs. If we determine that additional or new facilities are needed in the future, we believe that appropriate alternative space would be available to us on commercially reasonable terms. </w:t>
      </w:r>
    </w:p>
    <w:p>
      <w:pPr>
        <w:pStyle w:val="TextBody"/>
        <w:bidi w:val="0"/>
        <w:spacing w:before="360" w:after="283"/>
        <w:jc w:val="left"/>
        <w:rPr>
          <w:rFonts w:ascii="Times New Roman" w:hAnsi="Times New Roman"/>
          <w:sz w:val="20"/>
        </w:rPr>
      </w:pPr>
      <w:bookmarkStart w:id="9" w:name="item_3_legal_proceedings"/>
      <w:bookmarkEnd w:id="9"/>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not currently a party to any material legal proceedings. </w:t>
      </w:r>
    </w:p>
    <w:p>
      <w:pPr>
        <w:pStyle w:val="TextBody"/>
        <w:bidi w:val="0"/>
        <w:spacing w:before="360" w:after="283"/>
        <w:jc w:val="left"/>
        <w:rPr>
          <w:rFonts w:ascii="Times New Roman" w:hAnsi="Times New Roman"/>
          <w:sz w:val="20"/>
        </w:rPr>
      </w:pPr>
      <w:bookmarkStart w:id="10" w:name="item_4_mine_safety_disclosures"/>
      <w:bookmarkEnd w:id="10"/>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12" w:name="item_5_market_for_registrants_common_equ"/>
      <w:bookmarkEnd w:id="12"/>
      <w:r>
        <w:rPr>
          <w:rFonts w:ascii="Times New Roman" w:hAnsi="Times New Roman"/>
          <w:b/>
          <w:color w:val="000000"/>
          <w:sz w:val="20"/>
        </w:rPr>
        <w:t>Item 5. Market for Registrant’s Common Equity, Related Stockholder Matters and Issuer Purchases of Equity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Market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began trading on the Nasdaq Global Select Market on March 2, 2016, under the symbol “SNDX.” Prior to that time, there was no public market for our common stock.</w:t>
      </w:r>
    </w:p>
    <w:p>
      <w:pPr>
        <w:pStyle w:val="TextBody"/>
        <w:bidi w:val="0"/>
        <w:spacing w:before="240" w:after="283"/>
        <w:jc w:val="left"/>
        <w:rPr>
          <w:rFonts w:ascii="Times New Roman" w:hAnsi="Times New Roman"/>
          <w:sz w:val="20"/>
        </w:rPr>
      </w:pPr>
      <w:r>
        <w:rPr>
          <w:rFonts w:ascii="Times New Roman" w:hAnsi="Times New Roman"/>
          <w:b/>
          <w:color w:val="000000"/>
          <w:sz w:val="20"/>
        </w:rPr>
        <w:t>Holders of Record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February 2, 2025, we had approximately 11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 </w:t>
      </w:r>
    </w:p>
    <w:p>
      <w:pPr>
        <w:pStyle w:val="TextBody"/>
        <w:bidi w:val="0"/>
        <w:spacing w:before="240" w:after="283"/>
        <w:jc w:val="left"/>
        <w:rPr>
          <w:rFonts w:ascii="Times New Roman" w:hAnsi="Times New Roman"/>
          <w:sz w:val="20"/>
        </w:rPr>
      </w:pPr>
      <w:r>
        <w:rPr>
          <w:rFonts w:ascii="Times New Roman" w:hAnsi="Times New Roman"/>
          <w:b/>
          <w:color w:val="000000"/>
          <w:sz w:val="20"/>
        </w:rPr>
        <w:t>Dividend Policy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discretion of our board of directors and will depend on then-existing conditions, including our financial conditions, operating results, contractual restrictions, capital requirements, business prospects and other factors our board of directors may deem relevant.</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Performance Graph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performance graph shown below compares the annual change in cumulative total stockholder return on our common shares with the Nasdaq Composite Index and the Nasdaq Biotechnology Index from December 31, 2020, through the year ended December 31, 2025. The graph assumes an investment of $100 on December 31, 2020 in our common shares, the Nasdaq Composite Index and the Nasdaq Biotechnology Index and assumes that any dividends are reinvested. All index values are weighted by the capitalization of the companies included in the index. The comparisons shown in the graph below are based upon historical data. The stock price performance included in this graph is not necessarily indicative of future stock price performance. 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except to the extent that we specifically incorporate it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drawing>
          <wp:inline distT="0" distB="0" distL="0" distR="0">
            <wp:extent cx="5695950" cy="4724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695950" cy="4724400"/>
                    </a:xfrm>
                    <a:prstGeom prst="rect">
                      <a:avLst/>
                    </a:prstGeom>
                  </pic:spPr>
                </pic:pic>
              </a:graphicData>
            </a:graphic>
          </wp:inline>
        </w:drawing>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6_reserved"/>
      <w:bookmarkEnd w:id="13"/>
      <w:r>
        <w:rPr>
          <w:rFonts w:ascii="Times New Roman" w:hAnsi="Times New Roman"/>
          <w:b/>
          <w:color w:val="000000"/>
          <w:sz w:val="20"/>
        </w:rPr>
        <w:t>Item 6. [Reserved]</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7_managements_discussion_analysis_f"/>
      <w:bookmarkEnd w:id="14"/>
      <w:r>
        <w:rPr>
          <w:rFonts w:ascii="Times New Roman" w:hAnsi="Times New Roman"/>
          <w:b/>
          <w:color w:val="000000"/>
          <w:sz w:val="20"/>
        </w:rPr>
        <w:t>Item 7.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The following discussion and analysis should be read in conjunction with our consolidated financial statements and related notes included elsewhere in this Annual Report. This discussion and analysis and other parts of this Annual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“Risk Factors” and elsewhere in this Annual Report. You should carefully read the “Risk Factors” section of this Annual Report to gain an understanding of the important factors that could cause actual results to differ materially from our forward-looking statements. Please also see the section entitled “Special Note Regarding Forward-Looking Statements.”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For the discussion of the financial condition and results of operations for the year ended December 31, 2024 compared to the year ended December 31, 2023, refer to "Management's Discussion and Analysis of Financial Condition and Results of Operations—Results of Operations" and "—Liquidity and Capital Resources" included in the Annual Report on Form 10-K filed with the SEC on March 3, 2025.</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We are a commercial-stage biopharmaceutical company advancing innovative cancer therapies. We currently have two commercially approved medicines, Revuforj</w:t>
      </w:r>
      <w:r>
        <w:rPr>
          <w:rFonts w:ascii="Times New Roman" w:hAnsi="Times New Roman"/>
          <w:color w:val="000000"/>
          <w:sz w:val="13"/>
        </w:rPr>
        <w:t>®</w:t>
      </w:r>
      <w:r>
        <w:rPr>
          <w:rFonts w:ascii="Times New Roman" w:hAnsi="Times New Roman"/>
          <w:color w:val="000000"/>
          <w:sz w:val="20"/>
        </w:rPr>
        <w:t xml:space="preserve"> (revumenib) and Niktimvo (axatilimab-csfr), and a robust slate of clinical development programs designed to unlock the full potential of our first two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Revuforj is our first-in-class menin inhibitor that was approved by the U.S. Food and Drug Administration, or FDA, in November 2024 for the treatment of relapsed or refractory, or R/R, acute leukemia with a lysine methyltransferase 2A gene, or KMT2A, translocation in adult and pediatric patients one year old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and KMT2A-rearranged, or KMT2Ar, acute leukemia across the treatment landscape, including in newly diagnosed patients. Additionally, we are exploring the potential for menin inhibition in the treatment of myelofibrosis, or MF.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Niktimvo is our first-in-class colony stimulating factor-1 receptor, or CSF-1R, blocking antibody that was approved by the FDA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and for the treatment of idiopathic pulmonary fibrosis, or IPF.</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licensed the global rights to revumenib and axatilimab, the first two FDA approved medicines to emerge from our pipeline. We are leading the commercialization and further development of revumenib and working closely with our collaboration partner, Incyte, on the commercialization and further development of axatilimab. We plan to continue to leverage the technical and business expertise of our management team and scientific collaborators to license, acquire and develop additional therapeutics to expand our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While we generate product revenue from sales of Revuforj and collaboration as well as milestone revenue from sales of Niktimvo, we continue to incur significant research and development and other expenses related to our ongoing operations. Except for 2021, we have not been profitable and have incurred losses in each period since our inception in 2005. For the years ended December 31, 2025, 2024, and 2023, we reported a net loss of $285.4 million and $318.8 million, and $209.4 million, respectively. As of December 31, 2025, we had an accumulated deficit of $1.5 billion, which included non-cash charges for stock-based compensation, preferred stock accretion and extinguishment charges. As of December 31, 2025, we had cash, cash equivalents and short-term investments of $394.1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Significant 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Ongoing high interest rates could make it more difficult for us to obtain traditional financing on acceptable terms, if at all. Additionally, the ongoing recession risk together with the foregoing, could result in further economic uncertainty and volatility in the capital markets in the near term and, as a result could negatively affect our operations. Furthermore, such economic conditions have produced downward pressure on share prices. Although we do not believe that inflation has had a material impact on our financial position or results of operations to date, the return of a high inflationary environment could increase our operating costs, including our labor costs and research and development costs. These costs may also be negatively impacted due to supply chain constraints, global geopolitical tensions, worsening macroeconomic conditions and employee availability and wage increases, which may result in additional stress on our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we are subject to other challenges and risks specific to our business and our ability to execute on our strategy, as well as risks and uncertainties common to companies in the pharmaceutical industry with development and commercial operations, including, without limitation, risks and uncertainties associated with: obtaining regulatory approval of our late-stage product candidate; identifying, acquiring or in-licensing additional products or product candidates; pharmaceutical product development and the inherent uncertainty of clinical success; the challenges of protecting and enhancing our intellectual property rights; and complying with applicable regulatory requirements. </w:t>
      </w:r>
    </w:p>
    <w:p>
      <w:pPr>
        <w:pStyle w:val="TextBody"/>
        <w:bidi w:val="0"/>
        <w:spacing w:before="360" w:after="283"/>
        <w:jc w:val="left"/>
        <w:rPr>
          <w:rFonts w:ascii="Times New Roman" w:hAnsi="Times New Roman"/>
          <w:sz w:val="20"/>
        </w:rPr>
      </w:pPr>
      <w:r>
        <w:rPr>
          <w:rFonts w:ascii="Times New Roman" w:hAnsi="Times New Roman"/>
          <w:b/>
          <w:color w:val="000000"/>
          <w:sz w:val="20"/>
        </w:rPr>
        <w:t>Financial Overview</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Product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FDA-approved product, Revuforj, was approved by the FDA for commercial sale in the U.S. on November 15, 2024. Net product revenue from sales of Revuforj was $124.8 million and $7.7 million for the twelve months ended December 31, 2025 and 2024 respectively. In accordance with GAAP, we determine net product revenue for Revuforj, with specific assumptions for variable consideration components including, but not limited to, trade discounts and allowances, co-pay assistance programs and payor rebates. We record product revenue net of estimated discounts, chargebacks, rebates, product returns, and other gross-to-net revenue deductions.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generated no net product revenue during the year ended December 31, 2023.</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September 2021, we entered into the Incyte License and Collaboration Agreement, or the Incyte License, with Incyte covering the worldwide development and commercialization of axatilimab. In August 2024, the FDA approved Niktimvo for the treatment of cGVHD after failure of at least two prior lines of systemic therapy in adult and pediatric patients weighing at least 40 kg (88.2 lbs). Niktimvo sales began in February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accordance with Topic ASC 808, </w:t>
      </w:r>
      <w:r>
        <w:rPr>
          <w:rFonts w:ascii="Times New Roman" w:hAnsi="Times New Roman"/>
          <w:i/>
          <w:color w:val="000000"/>
          <w:sz w:val="20"/>
        </w:rPr>
        <w:t>Collaboration Arrangements,</w:t>
      </w:r>
      <w:r>
        <w:rPr>
          <w:rFonts w:ascii="Times New Roman" w:hAnsi="Times New Roman"/>
          <w:color w:val="000000"/>
          <w:sz w:val="20"/>
        </w:rPr>
        <w:t xml:space="preserve"> Incyte has been identified as the principal in product sales, therefore, we will recognize its 50% share of any profits or losses in the amount of net product sales less cost of goods sold and shared commercial and other expenses, including any royalties owed on license agreements, in the period in which the underlying sales and costs are recognized. Our share of net profits in connection with commercialization of Niktimvo will be presented as “Collaboration revenue, net” and our share of net losses will be presented as “Collaboration loss” within operating expenses. We will continue to recognize the costs associated with ongoing development services in the R&amp;D operating expense line, including any cost-sharing components with Incyte.</w:t>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Milestone, License, and Royalty Revenue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enter into license agreements for the development and commercialization of our product candidates. License agreements may include non-refundable upfront payments, contingent milestone and/or royalty payments based on the occurrence of specified events under our license arrangements, partial or complete reimbursement of research and development expenses, license fees and royalties on sales if they are successfully approved and commercialized. Our performance obligations under the license agreements may include the transfer of intellectual property rights in the form of licenses, obligations to provide research and development services and related materials and participation on certain development and/or commercialization committees.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Revenue is recognized when, or as, performance obligations are satisfied, which occurs when control of the promised products or services is transferred to customers. Revenue is measured as the amount of consideration we expect to receive in exchange for transferring products or services to a customer, or the transaction price. To the extent that the transaction price includes variable consideration, we estimate the amount of variable consideration that should be included in the transaction price utilizing the most likely amount method. Variable consideration is included in the transaction price if, in our judgment, it is probable that a significant future reversal of cumulative revenue under the contract will not occur. Estimates of variable consideration and determination of whether to include estimated amounts in the transaction price are based largely on an assessment of our anticipated performance and all information (historical, current and forecasted) that is reasonably available.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assessed the promises to determine if they are distinct performance obligations. Once the performance obligations are determined, the transaction price is allocated based on a relative standalone selling price basis. Milestone payments and royalties are typically considered variable consideration at the outset of the contract and are recognized in the transaction price either upon occurrence or when the constraint of a probable reversal is no longer applicable.</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Our cost of product sales includes the cost of goods sold for Revuforj and license agreement royalties associated with its sales in the United States. Until we received regulatory approval for Revuforj in the United States in November 2024, we recorded expenses incurred for the manufacturing of pre-launch inventory that would support a U.S. launch as research and development expense. Cost of goods sold for a Revuforj may not include the full cost of manufacturing until the initial pre-launch, and previously expensed, inventory is depleted.</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inception, we have primarily focused on our clinical development programs. Research and development expenses consist primarily of costs incurred for the development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expenses incurred under agreements related to our clinical trials, including the costs for investigative sites and contract research organizations, or CROs, that conduct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employee-related expenses associated with our research and development activities, including salaries, benefits, travel and non-cash stock-based compensation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process-development, clinical supplies and technology-transfer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license fees and milestone payments under our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consulting fees paid to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allocated facilities and overhead expenses;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associated with regulatory operations and regulatory compliance requirements.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Internal and external research and development costs are expensed as they are incurred. Cost-sharing amounts received by us are recorded as reductions to research and development expense. Costs for certain development activities, such as clinical trials, are recognized based on an evaluation of the progress to completion of specific tasks using data such as patient enrollment, clinical site activations or other information provided to us by our vendors.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central to our business model. Product candidates in late stages of clinical development generally have higher development costs than those in earlier stages of clinical development, primarily due to the increased size and duration of late-stage clinical trials. We plan to continue to spend a significant amount of our resources on research and development activities for the foreseeable future as we continue to advance the development of our product candidates. The amount of research and development expenses allocated to external spending will continue to grow, while we expect our internal spending to grow at a slower and more controlled pace.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difficult to determine, with certainty, the duration and completion costs of our current or future preclinical programs, research studies and clinical trials of our product candidates. The duration, costs and timing of research studies and clinical trials of our products and product candidates will depend on a variety of factors that include, but are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 patient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that participate;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countries in which the trials are conducted;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length of time required to enroll eligible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additional safety monitoring or other studies requested by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duration of patient monitoring;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profile of the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timing and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probability of success for each drug candidate will depend on numerous factors, including competition, manufacturing capability and commercial viability. The successful development of our products and additional product candidates is highly uncertain. At this time, we cannot reasonably estimate the nature, timing or costs of the efforts that will be necessary to complete the remainder of the development of our products and additional product candidates for the period, if any, in which material net cash inflows from these potential product candidates may commence. Clinical development timelines, the probability of success and development costs can differ materially from expectations.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Selling, General and Administrative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employee-related expenses, including salaries, benefits, non-cash stock-based compensation and travel expenses, for our employees in executive, finance, human resources, business development and support functions, as well as sales and marketing expenses to support the launch and commercialization of Revuforj and Niktimvo. Other selling, general and administrative expenses include facility-related costs not otherwise allocated to research and development expenses and accounting, tax, legal, information technology and consulting services.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Royalty 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Royalty interest expense consists of the interest recorded related to the Royalty Pharma Purchase and Sale Agreement under the effective interest method.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primarily of expense related to the interest recognized for capital leases.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consists of income earned on our cash equivalents and short and long-term investment balances.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income, net consists of the revaluation of foreign currency related to trade payables.</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or FASB, or other standard setting bodies and adopted by us as of the specified effective date. Unless otherwise discussed in "Summary of Significant Accounting Policies" (Note 3) to our audited consolidated financial statements included in this Annual Report, we believe that the impact of recently issued standards that are not yet effective will not have a material impact on our financial position or results of operations upon adoption.</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our consolidated financial statements, which have been prepared in accordance with accounting principles generally accepted in the United States, or U.S. GAAP, requires us to make estimates, judgments and assumptions that may affect the reported amounts of assets, liabilities, equity, revenue and expense and related disclosure of contingent assets and liabilities. On an ongoing basis we evaluate our estimates, judgments and assumptions. We base our estimates on historical experience, known trends and events and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In making estimates and judgments, management employs critical accounting policies. Other significant accounting policies are outlined in "Summary of Significant Accounting Policies" (Note 3) to our consolidated financial statements included in this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listed below our critical accounting estimates that we believe to have the greatest potential impact on our consolidated financial statements. Historically, our assumptions, judgments and estimates relative to our critical accounting estimates have not differed materially from actual results. </w:t>
      </w:r>
    </w:p>
    <w:p>
      <w:pPr>
        <w:pStyle w:val="TextBody"/>
        <w:bidi w:val="0"/>
        <w:spacing w:before="240" w:after="283"/>
        <w:jc w:val="left"/>
        <w:rPr>
          <w:rFonts w:ascii="Times New Roman" w:hAnsi="Times New Roman"/>
          <w:sz w:val="20"/>
        </w:rPr>
      </w:pPr>
      <w:r>
        <w:rPr>
          <w:rFonts w:ascii="Times New Roman" w:hAnsi="Times New Roman"/>
          <w:b/>
          <w:i/>
          <w:color w:val="000000"/>
          <w:sz w:val="20"/>
        </w:rPr>
        <w:t>Product 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when our customer obtains control of the promised goods or services, in an amount that reflects the consideration which we expect to receive in exchange for those goods or services. We recognize revenue following the five – step model prescribed under FASB Accounting Standards Codification (ASC 606), Revenue from Contracts with Customers: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 We only recognize revenue when it is probable that it will collect the consideration to which it is entitled in exchange for the goods or services that will be transferred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sell Revuforj to specialty distributors and specialty pharmacies, or collectively, Customers. These Customers subsequently resell Revuforj to healthcare providers, patients and other pharmacies. In addition to agreements with Customers, we enter into arrangements with healthcare providers and payors that provide for government-mandated and/or privately-negotiated rebates, chargebacks and discounts for the purchase of Revuforj.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recognize revenue from product sales at the point Customers obtain control of the product, which generally occurs upon delivery. The transaction price that is recognized as product revenue includes an estimate of variable consideration which is described below. Payment terms with Customers do not exceed one year and, therefore, we do not account for a financing component in its arrangements. We expense incremental costs of obtaining a contract with a Customer (for example, sales commissions) when incurred as the period of benefit is less than one year. Shipping and handling costs for product shipments to Customers are recorded as 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from products is recognized at the estimated net sales price (transaction price), which includes estimates of variable consideration. We include estimated amounts in the transaction price to the extent it is determined probable that a significant reversal of cumulative revenue recognized will not occur when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uncertainty associated with the variable consideration is resolved. Our estimates of variable consideration and determination of whether to include estimated amounts in the transaction price are based largely on an assessment of its anticipated performance and all information (historical, current and forecasted) that is reasonably available. The components of our variable consideration around product revenue include provider chargebacks and discounts, trade discounts and allowances, product returns, government rebates, patient assistance, and distribution and other fees.</w:t>
      </w:r>
    </w:p>
    <w:p>
      <w:pPr>
        <w:pStyle w:val="TextBody"/>
        <w:bidi w:val="0"/>
        <w:spacing w:before="240" w:after="283"/>
        <w:jc w:val="left"/>
        <w:rPr>
          <w:rFonts w:ascii="Times New Roman" w:hAnsi="Times New Roman"/>
          <w:sz w:val="20"/>
        </w:rPr>
      </w:pPr>
      <w:r>
        <w:rPr>
          <w:rFonts w:ascii="Times New Roman" w:hAnsi="Times New Roman"/>
          <w:b/>
          <w:i/>
          <w:color w:val="000000"/>
          <w:sz w:val="20"/>
        </w:rPr>
        <w:t>Accrued 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part of the process of preparing our consolidated financial statements, we are required to estimate our accrued research and development expenses. This process involves reviewing contracts and vendor agreements, communicating with our applicable personnel to identify services that have been performed on our behalf and estimating the level of service performed and the associated cost incurred for the service when we have not yet been invoiced or otherwise notified of actual cost. We make estimates of our accrued and prepaid clinical expenses as of each balance sheet date in our consolidated financial statements based on facts and circumstances known to us at that time. Examples of estimated accrued research and development expenses include fees paid to contract research organizations, or CROs, and investigative sites in connection with clinical studies and to vendors related to product manufacturing and development of clinical supplies.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base our expenses related to clinical study and trial costs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out of our control, such as the successful enrollment of patients and the completion of clinical trial milestones. In accruing service fees, we estimate the time period over which services will be performed and the level of effort to be expended in each period. If the actual timing of the performance of services or the level of effort varies from our estimate, we adjust the accrual accordingly. Although we do not expect our estimates to be materially different from amounts actually incurred, if our estimates of the status and timing of services performed differ from the actual status and timing of services performed, we may report amounts that are too high or too low in any particular period. To date, we have not experienced any significant adjustments to our estimates.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years ended December 31, 2025 and 2024:</w:t>
      </w:r>
    </w:p>
    <w:p>
      <w:pPr>
        <w:pStyle w:val="TextBody"/>
        <w:bidi w:val="0"/>
        <w:spacing w:before="240" w:after="283"/>
        <w:jc w:val="left"/>
        <w:rPr/>
      </w:pPr>
      <w:r>
        <w:rPr/>
        <w:t> </w:t>
      </w:r>
    </w:p>
    <w:tbl>
      <w:tblPr>
        <w:tblW w:w="8421" w:type="dxa"/>
        <w:jc w:val="left"/>
        <w:tblInd w:w="0" w:type="dxa"/>
        <w:tblLayout w:type="fixed"/>
        <w:tblCellMar>
          <w:top w:w="28" w:type="dxa"/>
          <w:left w:w="28" w:type="dxa"/>
          <w:bottom w:w="28" w:type="dxa"/>
          <w:right w:w="28" w:type="dxa"/>
        </w:tblCellMar>
      </w:tblPr>
      <w:tblGrid>
        <w:gridCol w:w="3516"/>
        <w:gridCol w:w="146"/>
        <w:gridCol w:w="211"/>
        <w:gridCol w:w="841"/>
        <w:gridCol w:w="166"/>
        <w:gridCol w:w="146"/>
        <w:gridCol w:w="211"/>
        <w:gridCol w:w="841"/>
        <w:gridCol w:w="166"/>
        <w:gridCol w:w="146"/>
        <w:gridCol w:w="344"/>
        <w:gridCol w:w="1276"/>
        <w:gridCol w:w="411"/>
      </w:tblGrid>
      <w:tr>
        <w:trPr/>
        <w:tc>
          <w:tcPr>
            <w:tcW w:w="3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2025 - 2024 Increase</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Milestone, license, and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82,084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66,588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(33,252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33,336</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Net product revenue</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In November 2024, we began to generate product revenue from sales of Revuforj in the United States. Net product revenue from sales of Revuforj was $124.8 million and $7.7 million for the years ended December 31, 2025 and 2024, respectively.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Collaboration revenue, net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Collaboration revenue, net, representing our share of net profits in connection with commercialization of Niktimvo, for the year ended December 31, 2025 was $42.4 million. We generated no collaboration revenue for the years ended December 31, 2024, as Niktimvo launched in January 2025.</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Milestone, license, and royalty revenue</w:t>
        <w:br/>
      </w:r>
      <w:r>
        <w:rPr>
          <w:rFonts w:ascii="Times New Roman" w:hAnsi="Times New Roman"/>
          <w:color w:val="000000"/>
          <w:sz w:val="20"/>
        </w:rPr>
        <w:t> </w:t>
      </w:r>
    </w:p>
    <w:p>
      <w:pPr>
        <w:pStyle w:val="TextBody"/>
        <w:bidi w:val="0"/>
        <w:jc w:val="left"/>
        <w:rPr>
          <w:rFonts w:ascii="Times New Roman" w:hAnsi="Times New Roman"/>
          <w:color w:val="000000"/>
          <w:sz w:val="20"/>
        </w:rPr>
      </w:pPr>
      <w:r>
        <w:rPr>
          <w:rFonts w:ascii="Times New Roman" w:hAnsi="Times New Roman"/>
          <w:color w:val="000000"/>
          <w:sz w:val="20"/>
        </w:rPr>
        <w:t>Milestone, license, and royalty revenue for the fiscal year ended December 31, 2025 included $5.0 million milestone from Incyte, recognized for the achievement of $150.0 million total net sales of Niktimvo under the Incyte Collaboration Agreement, and $0.1 million of royalty revenue related to sales of entinostat.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a milestone was achieved under the Eddingpharm License Agreement for the marketing approval of entinostat in China. As a result, we recognized $3.5 million of milestone revenue in the second quarter of 2024. As the receivable remains outstanding, we have assessed the receivable as non-recoverable and recorded a full reserve against the asset.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2024, a milestone was achieved under the Incyte Collaboration Agreement for the approval of Niktimvo. As a result, we recognized $12.5 million of milestone revenue in the third quarter of 2024.</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Cost of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cost of product sales were $7.0 million and $0.8 million for the twelve months ended December 31, 2025 and 2024, respectively. The increase is a result of increased sales of Revuforj. Included in cost of product sales are royalties owed to AbbVie on Revuforj sales as part of the Vitae License Agreement.</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research and development expenses for the full years ended December 31, 2025 and 2024:</w:t>
      </w:r>
    </w:p>
    <w:p>
      <w:pPr>
        <w:pStyle w:val="TextBody"/>
        <w:bidi w:val="0"/>
        <w:spacing w:before="120" w:after="283"/>
        <w:jc w:val="left"/>
        <w:rPr/>
      </w:pPr>
      <w:r>
        <w:rPr/>
        <w:t> </w:t>
      </w:r>
    </w:p>
    <w:tbl>
      <w:tblPr>
        <w:tblW w:w="8241" w:type="dxa"/>
        <w:jc w:val="left"/>
        <w:tblInd w:w="0" w:type="dxa"/>
        <w:tblLayout w:type="fixed"/>
        <w:tblCellMar>
          <w:top w:w="28" w:type="dxa"/>
          <w:left w:w="28" w:type="dxa"/>
          <w:bottom w:w="28" w:type="dxa"/>
          <w:right w:w="28" w:type="dxa"/>
        </w:tblCellMar>
      </w:tblPr>
      <w:tblGrid>
        <w:gridCol w:w="3496"/>
        <w:gridCol w:w="146"/>
        <w:gridCol w:w="211"/>
        <w:gridCol w:w="781"/>
        <w:gridCol w:w="146"/>
        <w:gridCol w:w="146"/>
        <w:gridCol w:w="211"/>
        <w:gridCol w:w="781"/>
        <w:gridCol w:w="146"/>
        <w:gridCol w:w="146"/>
        <w:gridCol w:w="385"/>
        <w:gridCol w:w="1235"/>
        <w:gridCol w:w="4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2025 - 2024 Increase</w:t>
              <w:br/>
              <w:t>(Decrease)</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our total research and development expenses increased by $17.1 million from the prior year. The increase is primarily due to: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$4.5 million in revumenib-related costs due to the costs associated with initiation of trials evaluating revumenib in combination with standard-of-care agents in NPM1m AML and KMT2A acute leukemia in newly diagnosed patients, offset by the completion of an R/R NPM1m AML registrational trial that was ongoing in 2024 and a reduction in CMC expenses due to capitalization of inventory for commercial use. Higher development costs were also offset by a $6.0 million decrease in revumenib-related milestone expense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$1.3 million in axatilimab related costs driven by a net reduction of $5.0 million in milestone payments compared to prior year. This decrease was partially offset by higher expenses attributable to the ongoing Phase 2 IPF trial and our costs incurred in the execution of the frontline cGVHD combination trial with ruxolitinib.</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increase in other research and development program related costs of $1.6 million due to the de-prioritization of programs not pertaining to revumenib and axatilimab in the prior year period.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$16.3 million in personnel costs and other expenses, which includes salaries, overhead and related expenses to support on-going clinical trials, preparation of a supplemental New Drug Application, and medical affairs activities in support of commercialization of Revuforj and Niktimvo.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decrease of $3.9 million in stock-based compensation expense related to the recognition of performance based awards in 2024 for certain regulatory achievements, as well as certain equity modifications.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selling, general and administrative expenses for the full years ended December 31, 2025 and 2024:</w:t>
      </w:r>
    </w:p>
    <w:p>
      <w:pPr>
        <w:pStyle w:val="TextBody"/>
        <w:bidi w:val="0"/>
        <w:spacing w:before="12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911" w:type="dxa"/>
        <w:jc w:val="left"/>
        <w:tblInd w:w="0" w:type="dxa"/>
        <w:tblLayout w:type="fixed"/>
        <w:tblCellMar>
          <w:top w:w="28" w:type="dxa"/>
          <w:left w:w="28" w:type="dxa"/>
          <w:bottom w:w="28" w:type="dxa"/>
          <w:right w:w="28" w:type="dxa"/>
        </w:tblCellMar>
      </w:tblPr>
      <w:tblGrid>
        <w:gridCol w:w="4186"/>
        <w:gridCol w:w="146"/>
        <w:gridCol w:w="211"/>
        <w:gridCol w:w="781"/>
        <w:gridCol w:w="146"/>
        <w:gridCol w:w="146"/>
        <w:gridCol w:w="211"/>
        <w:gridCol w:w="781"/>
        <w:gridCol w:w="146"/>
        <w:gridCol w:w="146"/>
        <w:gridCol w:w="385"/>
        <w:gridCol w:w="1235"/>
        <w:gridCol w:w="3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2025 - 2024 Increase</w:t>
              <w:br/>
              <w:t>(Decrease)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color w:val="2E2E2E"/>
          <w:sz w:val="20"/>
        </w:rPr>
        <w:t>For the year ended December 31, 2025, our total selling, general and administrative expenses increased by $58.8 million</w:t>
      </w:r>
      <w:r>
        <w:rPr>
          <w:rFonts w:ascii="Times New Roman" w:hAnsi="Times New Roman"/>
          <w:color w:val="000000"/>
          <w:sz w:val="20"/>
        </w:rPr>
        <w:t xml:space="preserve"> from the prior year. The increase primarily is due to:</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$20.1 million in commercial related expenses of which $10.0 million of the increase is related to higher selling and marketing activities to support the launches of Revuforj and Niktimvo, and $10.0 million of the increase was driven by a milestone expense triggered by the achievement of $150.0 million in Niktimvo net sales in 2025.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$32.8 million in personnel costs and other expenses, including non-cash stock-based compensation, recognition of performance-based equity, based on certain commercial achievements. Also included are salaries, overhead and related expenses primarily due to increased headcount to support the commercialization of Revuforj and Niktimvo.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increase of $6.0 million in other SG&amp;A expenses related to increases in IT related expenses, corporate communications, legal and recruiting costs in support of commercialization and ongoing R&amp;D activities.</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Royalty Interest Expense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year ended December 31, 2025, royalty interest expense increased from the prior year due to 2025 being the first full year of accrued interest expense related to the Royalty Pharma Purchase and Sale Agreement.</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 ended December 31, 2025, interest income, net of interest expense, decreased from the comparable prior year period. The decrease of interest income was primarily due to lower interest rates and a decreased average balance on cash equivalents and short- and long-term investments.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Other (Expense)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year ended December 31, 2025, the total other (expense) income, net increased from the comparable prior year period primarily due to the increase in foreign currency losses on short- and long-term investments. </w:t>
      </w:r>
    </w:p>
    <w:p>
      <w:pPr>
        <w:pStyle w:val="TextBody"/>
        <w:bidi w:val="0"/>
        <w:spacing w:before="360" w:after="283"/>
        <w:jc w:val="left"/>
        <w:rPr>
          <w:rFonts w:ascii="Times New Roman" w:hAnsi="Times New Roman"/>
          <w:b/>
          <w:color w:val="000000"/>
          <w:sz w:val="20"/>
        </w:rPr>
      </w:pPr>
      <w:bookmarkStart w:id="15" w:name="results_of_operations_for_2018_vs_2017"/>
      <w:bookmarkEnd w:id="15"/>
      <w:r>
        <w:rPr>
          <w:rFonts w:ascii="Times New Roman" w:hAnsi="Times New Roman"/>
          <w:b/>
          <w:color w:val="000000"/>
          <w:sz w:val="20"/>
        </w:rPr>
        <w:t>Liquidity and Capital Resources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Overview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we had cash, cash equivalents and short-term investments totaling $394.1 million. Since our inception, our operations have been primarily financed by net proceeds from our public stock offerings, revenue from our license agreements, and through our purchase and sale agreement with Royalty Pharma. We believe that our cash, cash equivalents and short-term investments as of December 31, 2025, will fund our projected operating expenses and capital expenditure requirements for at least the next 12 months. In addition to our existing cash, cash equivalents, short-term investments, we are eligible to receive research and development funding and to earn milestone and other contingent payments for the achievement of defined collaboration objectives and certain development, regulatory and commercial milestones, and royalty payments under our collaboration agreements.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ability to earn these milestone and contingent payments and the timing of achieving these milestones is primarily dependent upon the outcome of our collaborators’ research and development activities and is uncertain at this time.</w:t>
      </w:r>
    </w:p>
    <w:p>
      <w:pPr>
        <w:pStyle w:val="TextBody"/>
        <w:bidi w:val="0"/>
        <w:spacing w:before="120" w:after="283"/>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Purchase and Sale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November 2024, we entered into a purchase and sale agreement with Royalty Pharma, pursuant to which Royalty Pharma purchased the right to receive a 13.8% royalty on quarterly net sales of Niktimvo in the United States of America and its respective territories, districts, commonwealths and possessions (including Guam and Puerto Rico) in exchange for an upfront payment of $350.0 million (gross) at closing, received in November 2024. Aggregate payments to Royalty Pharma pursuant to the Royalty Agreement are capped at $822.5 million or 2.35 times the funded amount.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additional details on our purchase and sale agreement with Royalty Pharma, see "Purchase and Sale Agreement" (Note 16) to our consolidated financial statements in this Annual Report.</w:t>
      </w:r>
    </w:p>
    <w:p>
      <w:pPr>
        <w:pStyle w:val="TextBody"/>
        <w:bidi w:val="0"/>
        <w:spacing w:before="36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available cash, cash equivalents, short-term investments, as well as our expected product revenues from sales of Revuforj and Niktimvo collaboration revenue, is sufficient to fund existing and planned cash requirements. Our primary uses of capital are, and we expect will continue to be, compensation and related expenses, third-party clinical research and development services, clinical costs, commercialization costs, legal and other regulatory expenses and general overhead costs. We have based our estimates on assumptions that may prove to be incorrect, and we could use our capital resources sooner than we currently expect.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Additionally, the process of testing product candidates in clinical trials is costly, and the timing, progress and outcomes in these trials is uncertain. We cannot estimate the actual amounts necessary to successfully complete the development and commercialization of our product candidates or whether, or when, we may achieve profitability.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growth rate;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initiation, progress, timing, costs and results of clinical trials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timing and cost of seeking and obtaining additional regulatory approvals from the FDA and comparable foreign regulatory authorities, including the potential for such authorities to require that we perform more trials than we currently expect;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establish, maintain, expand and defend the scope of our intellectual property portfolio, including the amount and timing of any payments we may be required to make, or that we may receive, in connection with licensing, preparing, filing, prosecuting, defending and enforcing any patents or other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acceptance of our approved products as well as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of selecting, auditing and developing manufacturing capabilities, and potentially validating manufacturing sites for commercial-scale manufacturing;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and timing for obtaining pricing and reimbursement, which may require additional trials to address pharmacoeconomic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maintaining and expanding sales, marketing and distribution capabilities for our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of acquiring, licensing or investing in additional businesses, products, product candidates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interruption of key clinical trial activities, such as clinical trial site monitoring;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disruption to our supply chain and operations, and associated delays in the manufacturing and supply of our products, which would adversely impact our ability to continue our clinical trial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 of competing technological and market developments;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need to implement additional internal systems and infrastructure, including financial and reporting systems, as we grow our company.</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to continue to support our future cash needs through a combination of product sales, equity offerings, debt financings and additional funding from license and collaboration arrangements. Except for any obligations of our collaborators to reimburse us for research and development expenses or to make milestone or royalty payments under our agreements with them, we will not have any committed external source of liquidity. </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Our material cash requirements include the following contractual obligations as of December 31, 2025, and the effects that such obligations are expected to have on our liquidity and cash flows in future periods. For additional information, see our consolidated financial statements.</w:t>
      </w:r>
    </w:p>
    <w:tbl>
      <w:tblPr>
        <w:tblW w:w="8352" w:type="dxa"/>
        <w:jc w:val="left"/>
        <w:tblInd w:w="0" w:type="dxa"/>
        <w:tblLayout w:type="fixed"/>
        <w:tblCellMar>
          <w:top w:w="28" w:type="dxa"/>
          <w:left w:w="28" w:type="dxa"/>
          <w:bottom w:w="28" w:type="dxa"/>
          <w:right w:w="28" w:type="dxa"/>
        </w:tblCellMar>
      </w:tblPr>
      <w:tblGrid>
        <w:gridCol w:w="3076"/>
        <w:gridCol w:w="146"/>
        <w:gridCol w:w="211"/>
        <w:gridCol w:w="571"/>
        <w:gridCol w:w="146"/>
        <w:gridCol w:w="146"/>
        <w:gridCol w:w="260"/>
        <w:gridCol w:w="520"/>
        <w:gridCol w:w="146"/>
        <w:gridCol w:w="146"/>
        <w:gridCol w:w="211"/>
        <w:gridCol w:w="571"/>
        <w:gridCol w:w="146"/>
        <w:gridCol w:w="146"/>
        <w:gridCol w:w="211"/>
        <w:gridCol w:w="346"/>
        <w:gridCol w:w="146"/>
        <w:gridCol w:w="146"/>
        <w:gridCol w:w="329"/>
        <w:gridCol w:w="541"/>
        <w:gridCol w:w="19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w:t>
              <w:br/>
              <w:t>1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 to 3</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3 to 5</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More than</w:t>
              <w:br/>
              <w:t>5 Years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Operating leases for office space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Capital lease for office equipment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2022, we signed a 36-month extension of the lease for the office space in New York, NY. In May 2023, we signed a 27-month lease for an additional space in New York, NY. In October 2024, we signed a 36-month extension for the New York, NY office space. The minimum lease payments above do not include any related common area maintenance charges or real estate taxes.</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we entered into two four-year non-cancelable leases for office equipment. In June 2023, we entered into one two-year non-cancelable lease for office equipment. All three leases are accounted for as a capital lease.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losses and cumulative negative cash flows from operations since our inception, excluding year ending December 31, 2021. As of December 31, 2025, we had an accumulated deficit of $1.5 billion. We anticipate that we will continue to incur significant losses for the near future.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drug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drug candidates that we would otherwise prefer to develop and market ourselves.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At-the-Market Offering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we entered into a sales agreement with TD Cowen under which we could, from time to time, issue and sell shares of our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sales agreement, shares will be sold under the shelf registration statement on Form S-3ASR (Registration No. 333-254661), which became automatically effective upon the filing on March 24, 2021. Our common stock will be sold at prevailing market prices at the time of the sale, and as a result, prices may vary. As of December 31, 2023, we sold 2,719,744 shares of common stock under the 2023 ATM Program for net proceeds of approximately $42.1 million. There was no ATM equity activity during the twelve months ended December 31, 2025 and 2024.</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summary of cash flows: </w:t>
      </w:r>
    </w:p>
    <w:tbl>
      <w:tblPr>
        <w:tblW w:w="8458" w:type="dxa"/>
        <w:jc w:val="left"/>
        <w:tblInd w:w="0" w:type="dxa"/>
        <w:tblLayout w:type="fixed"/>
        <w:tblCellMar>
          <w:top w:w="28" w:type="dxa"/>
          <w:left w:w="28" w:type="dxa"/>
          <w:bottom w:w="28" w:type="dxa"/>
          <w:right w:w="28" w:type="dxa"/>
        </w:tblCellMar>
      </w:tblPr>
      <w:tblGrid>
        <w:gridCol w:w="4321"/>
        <w:gridCol w:w="146"/>
        <w:gridCol w:w="211"/>
        <w:gridCol w:w="841"/>
        <w:gridCol w:w="166"/>
        <w:gridCol w:w="146"/>
        <w:gridCol w:w="211"/>
        <w:gridCol w:w="841"/>
        <w:gridCol w:w="166"/>
        <w:gridCol w:w="146"/>
        <w:gridCol w:w="211"/>
        <w:gridCol w:w="841"/>
        <w:gridCol w:w="211"/>
      </w:tblGrid>
      <w:tr>
        <w:trPr/>
        <w:tc>
          <w:tcPr>
            <w:tcW w:w="43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117,609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264,132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Net Cash Used in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2025, was $323.0 million and primarily consisted of our net loss of $285.4 million adjusted for non-cash items including stock-based compensation of $47.5 million, an investment increase of $10.8 million, a net increase in operating assets and liabilities of $79.3 million and non-cash operating lease expense of $0.9 million. The significant items driving the increase in operating assets and liabilities include an increase in collaboration receivable, net, of $43.0 million, an increase in accounts receivable of $30.4 million, an increase in inventory of $32.1 million, and an increase in prepaid expenses and other assets of $14.5 million. This was partially offset by an increase in accrued expense and other current liabilities of $42.2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for the year ended December 31, 2024 was $274.9 million and primarily consisted of our net loss of $318.8 million adjusted for non-cash items including stock-based compensation of $43.0 million, an investment increase of $13.5 million, a net increase in operating assets and liabilities of $13.3 million, and non-cash operating lease expense of $1.0 million. The significant items driving the increase in operating assets and liabilities include an increase in accrued expenses and other liabilities of $19.1 million, an increase in collaboration payable of $12.0 million, an increase in accounts payable of $1.7 million, and an increase in prepaid expenses and other assets of $8.3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Net Cash Provided by (Used in) 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investing activities for the year ended December 31, 2025 was $290.0 million and was due to $486.0 million in proceeds from the maturities of available-for-sale marketable securities, partially offset by the purchase of $195.8 million of available-for-sale 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investing activities for the year ended December 31, 2024 was $219.8 million due to $337.3 million in proceeds from the maturities of available-for-sale marketable securities, partially offset by the purchase of $557.1 million of available-for-sale marketable securities.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Cash Provided by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2025, was $13.7 million and was primarily due to $13.7 million of proceeds from the stock option exercises and ESPP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financing activities for the year ended December 31, 2024, was $353.4 million and was primarily due to proceeds of $343.7 million from the Royalty Pharma Purchase and Sale agreement and $9.7 million of proceeds from the stock option exercises and ESPP purchases.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Net Operating Loss and Research and Development Tax Credit Carryforwards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 December 31, 2025, we had federal and state tax net operating loss carryforwards, or NOLs, of approximately $585.3 million and $227.7 million, respectively. We have generated federal NOLs of $563.2 million and state NOLs of $8.7 million which have an indefinite carryforward period. The remaining $22.1 million of federal NOLs and the $219.0 million of state NOLs will begin to expire at various dates starting in 2026. At December 31, 2025, we had available research and development and orphan drug tax credits of approximately $9.8 million and $27.0 million, respectively. Income tax credits began to expire in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Effective January 1, 2024, we have reclassified as an active trade or business for tax purposes. This resulted in a reclass of capitalized start-up and other costs to net operating losses and valuation allowance in the 2025 tax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Utilization of the net operating losses and credits may be subject to a substantial annual limitation due to ownership change limitations provided by the Internal Revenue Code of 1986, as amended. The annual limitation may result in the expiration of our net operating losses and credits before we can use them. We have recorded a valuation allowance on all of our deferred tax assets, including our deferred tax assets related to our net operating loss and research and development tax credit carryforwards.</w:t>
      </w:r>
    </w:p>
    <w:p>
      <w:pPr>
        <w:pStyle w:val="TextBody"/>
        <w:bidi w:val="0"/>
        <w:jc w:val="left"/>
        <w:rPr/>
      </w:pPr>
      <w:r>
        <w:rPr/>
        <w:t> </w:t>
      </w:r>
    </w:p>
    <w:p>
      <w:pPr>
        <w:pStyle w:val="TextBody"/>
        <w:bidi w:val="0"/>
        <w:spacing w:before="360" w:after="283"/>
        <w:jc w:val="left"/>
        <w:rPr>
          <w:rFonts w:ascii="Times New Roman" w:hAnsi="Times New Roman"/>
          <w:sz w:val="20"/>
        </w:rPr>
      </w:pPr>
      <w:bookmarkStart w:id="16" w:name="item_7a_quantitative_qualitative_disclos"/>
      <w:bookmarkEnd w:id="16"/>
      <w:r>
        <w:rPr>
          <w:rFonts w:ascii="Times New Roman" w:hAnsi="Times New Roman"/>
          <w:b/>
          <w:color w:val="000000"/>
          <w:sz w:val="20"/>
        </w:rPr>
        <w:t>Item 7A.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market risk inherent in our financial instruments and in our financial position represents the potential loss arising from adverse changes in interest rates. As of December 31, 2025, we had cash, cash equivalents and short-term investments of $394.1 million, consisting of overnight investments, interest-bearing money market funds and highly rated federal bonds and short-term investments including commercial paper, highly rated corporate bonds and treasuries. Our primary exposure to market risk is interest rate sensitivity, which is affected by changes in the general level of U.S. interest rates. The primary objectives of our investment activities are to ensure liquidity and to preserve principal while at the same time maximizing the interest income, we receive from our marketable securities without significantly increasing risk. We have established guidelines regarding approved investments and maturities of investments, which are designed to maintain safety and liquidity. Due to the relative short-term maturities of our cash equivalents and the low risk profile of our short-term investments, an immediate 100 basis point change in interest rates would not have a material effect on the fair market value of our cash equivalents and short-term investments. We have the ability to hold our investments until maturity, and therefore, we would not expect our operating results or cash flows to be affected to any significant degree by the effect of a change in market interest rates on our investment portfolio.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believe that inflation and changing prices had a significant impact on our results of operations for any periods presented herein.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7" w:name="item_8_financial_statements_supplementar"/>
      <w:bookmarkEnd w:id="17"/>
      <w:r>
        <w:rPr>
          <w:rFonts w:ascii="Times New Roman" w:hAnsi="Times New Roman"/>
          <w:b/>
          <w:color w:val="000000"/>
          <w:sz w:val="20"/>
        </w:rPr>
        <w:t>Item 8. Financial Statements and Supplementary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consolidated financial statements, together with the report of our independent registered public accounting firm, appear in this Annual Report beginning on page F-1. </w:t>
      </w:r>
    </w:p>
    <w:p>
      <w:pPr>
        <w:pStyle w:val="TextBody"/>
        <w:bidi w:val="0"/>
        <w:spacing w:before="240" w:after="283"/>
        <w:jc w:val="left"/>
        <w:rPr>
          <w:rFonts w:ascii="Times New Roman" w:hAnsi="Times New Roman"/>
          <w:sz w:val="20"/>
        </w:rPr>
      </w:pPr>
      <w:bookmarkStart w:id="18" w:name="item_9_changes_in_disagreements_with_acc"/>
      <w:bookmarkEnd w:id="18"/>
      <w:r>
        <w:rPr>
          <w:rFonts w:ascii="Times New Roman" w:hAnsi="Times New Roman"/>
          <w:b/>
          <w:color w:val="000000"/>
          <w:sz w:val="20"/>
        </w:rPr>
        <w:t>Item 9. Changes in and Disagreements with Accountants on Accounting and Financial Disclosure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left"/>
        <w:rPr>
          <w:rFonts w:ascii="Times New Roman" w:hAnsi="Times New Roman"/>
          <w:sz w:val="20"/>
        </w:rPr>
      </w:pPr>
      <w:bookmarkStart w:id="19" w:name="item_9a_controls_procedures"/>
      <w:bookmarkEnd w:id="19"/>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Evaluation of our Disclosure Controls and Procedures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principal executive officer and our principal financial officer, evaluated the effectiveness of our disclosure controls and procedures as of December 31, 2025.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are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an evaluation of our disclosure controls and procedures as of December 31, 2025, our principal executive officer and principal financial officer concluded that, as of such date, our disclosure controls and procedures were effective at the reasonable assurance level. </w:t>
      </w:r>
    </w:p>
    <w:p>
      <w:pPr>
        <w:pStyle w:val="TextBody"/>
        <w:bidi w:val="0"/>
        <w:spacing w:before="240" w:after="283"/>
        <w:jc w:val="left"/>
        <w:rPr>
          <w:rFonts w:ascii="Times New Roman" w:hAnsi="Times New Roman"/>
          <w:sz w:val="20"/>
        </w:rPr>
      </w:pPr>
      <w:r>
        <w:rPr>
          <w:rFonts w:ascii="Times New Roman" w:hAnsi="Times New Roman"/>
          <w:b/>
          <w:color w:val="000000"/>
          <w:sz w:val="20"/>
        </w:rPr>
        <w:t>Management’s Annual Report on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as such term is defined in Rules 13a-15(f) and 15d-15(f) promulgated under the Exchange Act as a process designed by, or under the supervision of, the company’s principal executive and principal financial officers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Therefore, even those systems determined to be effective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Our management assessed the effectiveness of our internal control over financial reporting as of December 31, 2025. In making this assessment, management used the criteria set forth by the Committee of Sponsoring Organizations of the Treadway Commission (COSO) in Internal Control – </w:t>
      </w:r>
      <w:r>
        <w:rPr>
          <w:rFonts w:ascii="Times New Roman" w:hAnsi="Times New Roman"/>
          <w:i/>
          <w:color w:val="000000"/>
          <w:sz w:val="20"/>
        </w:rPr>
        <w:t>Integrated Framework (2013)</w:t>
      </w:r>
      <w:r>
        <w:rPr>
          <w:rFonts w:ascii="Times New Roman" w:hAnsi="Times New Roman"/>
          <w:color w:val="000000"/>
          <w:sz w:val="20"/>
        </w:rPr>
        <w:t xml:space="preserve">. Based on that assessment, our management concluded that, as of December 31, 2025, our internal control over financial reporting was effective.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Attestation Report of the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Deloitte &amp; Touche LLP, the independent registered public accounting firm that audited the consolidated financial statements included in this Annual Report, has issued an attestation report on the effectiveness of internal control over financial reporting as of December 31, 2025, included herein.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No change in our internal control over financial reporting (as defined in Rules 13a-15(f) and 15d-15(f) under the Exchange Act) occurred during the fiscal quarter ended December 31, 2025 that has materially affected, or is reasonably likely to materially affect, our internal control over financial reporting.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REPORT OF INDEPENDENT REGISTERED PUBLIC ACCOUNTING FIRM</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 xml:space="preserve">To the stockholders and the Board of Directors of Syndax Pharmaceuticals, Inc. </w:t>
      </w:r>
    </w:p>
    <w:p>
      <w:pPr>
        <w:pStyle w:val="TextBody"/>
        <w:bidi w:val="0"/>
        <w:spacing w:before="40" w:after="200"/>
        <w:jc w:val="left"/>
        <w:rPr>
          <w:rFonts w:ascii="Times New Roman" w:hAnsi="Times New Roman"/>
          <w:b/>
          <w:color w:val="000000"/>
          <w:sz w:val="20"/>
        </w:rPr>
      </w:pPr>
      <w:r>
        <w:rPr>
          <w:rFonts w:ascii="Times New Roman" w:hAnsi="Times New Roman"/>
          <w:b/>
          <w:color w:val="000000"/>
          <w:sz w:val="20"/>
        </w:rPr>
        <w:t>Opinion on Internal Control over Financial Reporting</w:t>
      </w:r>
    </w:p>
    <w:p>
      <w:pPr>
        <w:pStyle w:val="TextBody"/>
        <w:bidi w:val="0"/>
        <w:spacing w:before="40" w:after="200"/>
        <w:jc w:val="left"/>
        <w:rPr>
          <w:rFonts w:ascii="Times New Roman" w:hAnsi="Times New Roman"/>
          <w:sz w:val="20"/>
        </w:rPr>
      </w:pPr>
      <w:r>
        <w:rPr>
          <w:rFonts w:ascii="Times New Roman" w:hAnsi="Times New Roman"/>
          <w:color w:val="000000"/>
          <w:sz w:val="20"/>
        </w:rPr>
        <w:t xml:space="preserve">We have audited the internal control over financial reporting of Syndax Pharmaceuticals, Inc. and subsidiaries (the “Company”)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 w:hAnsi="Times New Roman"/>
          <w:i/>
          <w:color w:val="000000"/>
          <w:sz w:val="20"/>
        </w:rPr>
        <w:t>Internal Control — Integrated Framework (2013)</w:t>
      </w:r>
      <w:r>
        <w:rPr>
          <w:rFonts w:ascii="Times New Roman" w:hAnsi="Times New Roman"/>
          <w:color w:val="000000"/>
          <w:sz w:val="20"/>
        </w:rPr>
        <w:t xml:space="preserve"> issued by COSO.</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consolidated financial statements as of and for the year ended December 31, 2025, of the Company and our report dated February 26, 2026, expressed an unqualified opinion on those financial statements.</w:t>
      </w:r>
    </w:p>
    <w:p>
      <w:pPr>
        <w:pStyle w:val="TextBody"/>
        <w:bidi w:val="0"/>
        <w:spacing w:before="4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40" w:after="200"/>
        <w:jc w:val="left"/>
        <w:rPr>
          <w:rFonts w:ascii="Times New Roman" w:hAnsi="Times New Roman"/>
          <w:b/>
          <w:color w:val="000000"/>
          <w:sz w:val="20"/>
        </w:rPr>
      </w:pPr>
      <w:r>
        <w:rPr>
          <w:rFonts w:ascii="Times New Roman" w:hAnsi="Times New Roman"/>
          <w:b/>
          <w:color w:val="000000"/>
          <w:sz w:val="20"/>
        </w:rPr>
        <w:t>Definition and Limitations of Internal Control over Financial Reporting</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40" w:after="200"/>
        <w:jc w:val="left"/>
        <w:rPr>
          <w:rFonts w:ascii="Times New Roman" w:hAnsi="Times New Roman"/>
          <w:color w:val="000000"/>
          <w:sz w:val="20"/>
        </w:rPr>
      </w:pPr>
      <w:r>
        <w:rPr>
          <w:rFonts w:ascii="Times New Roman" w:hAnsi="Times New Roman"/>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00"/>
        <w:jc w:val="left"/>
        <w:rPr>
          <w:rFonts w:ascii="Times New Roman" w:hAnsi="Times New Roman"/>
          <w:color w:val="000000"/>
          <w:sz w:val="20"/>
        </w:rPr>
      </w:pPr>
      <w:r>
        <w:rPr>
          <w:rFonts w:ascii="Times New Roman" w:hAnsi="Times New Roman"/>
          <w:color w:val="000000"/>
          <w:sz w:val="20"/>
        </w:rPr>
        <w:t>inadequate because of changes in conditions, or that the degree of compliance with the policies or procedures may deteriorate.</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Boston, Massachusetts </w:t>
        <w:br/>
        <w:t>February 26, 2026</w:t>
      </w:r>
    </w:p>
    <w:p>
      <w:pPr>
        <w:pStyle w:val="TextBody"/>
        <w:bidi w:val="0"/>
        <w:jc w:val="left"/>
        <w:rPr/>
      </w:pPr>
      <w:r>
        <w:rPr/>
        <w:t> </w:t>
      </w:r>
    </w:p>
    <w:p>
      <w:pPr>
        <w:pStyle w:val="TextBody"/>
        <w:bidi w:val="0"/>
        <w:jc w:val="left"/>
        <w:rPr>
          <w:rFonts w:ascii="Times New Roman" w:hAnsi="Times New Roman"/>
          <w:b/>
          <w:color w:val="000000"/>
          <w:sz w:val="20"/>
        </w:rPr>
      </w:pPr>
      <w:bookmarkStart w:id="20" w:name="item_9b_otherinformation"/>
      <w:bookmarkEnd w:id="20"/>
      <w:r>
        <w:rPr>
          <w:rFonts w:ascii="Times New Roman" w:hAnsi="Times New Roman"/>
          <w:b/>
          <w:color w:val="000000"/>
          <w:sz w:val="20"/>
        </w:rPr>
        <w:t>Item 9B. Other 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Trading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our last fiscal quarter, none of our directors and officers (as defined in Rule 16a-1(f) under the Exchange Act) adopted or terminated a “Rule 10b5-1 trading arrangement” or a “non-Rule 10b5-1 trading arrangement,” as defined in Regulation S-K Item 408 for the purchase or sale of our securities. </w:t>
      </w:r>
    </w:p>
    <w:p>
      <w:pPr>
        <w:pStyle w:val="TextBody"/>
        <w:bidi w:val="0"/>
        <w:spacing w:before="240" w:after="283"/>
        <w:jc w:val="left"/>
        <w:rPr>
          <w:rFonts w:ascii="Times New Roman" w:hAnsi="Times New Roman"/>
          <w:b/>
          <w:color w:val="000000"/>
          <w:sz w:val="20"/>
        </w:rPr>
      </w:pPr>
      <w:bookmarkStart w:id="21" w:name="item_9c_disclosure_regarding_foreign_jur"/>
      <w:bookmarkEnd w:id="21"/>
      <w:r>
        <w:rPr>
          <w:rFonts w:ascii="Times New Roman" w:hAnsi="Times New Roman"/>
          <w:b/>
          <w:color w:val="000000"/>
          <w:sz w:val="20"/>
        </w:rPr>
        <w:t>Item 9C. Disclosure Regarding Foreign Jurisdictions that Prevent Inspections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part_iii"/>
      <w:bookmarkEnd w:id="22"/>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information required by Part III is omitted from this Annual Report because we will file with the SEC a definitive proxy statement pursuant to Regulation 14A, or the 2026 Proxy Statement, no later than 120 days after the end of our fiscal year ended December 31, 2025, and certain information included therein is incorporated herein by reference. </w:t>
      </w:r>
    </w:p>
    <w:p>
      <w:pPr>
        <w:pStyle w:val="TextBody"/>
        <w:bidi w:val="0"/>
        <w:spacing w:before="240" w:after="283"/>
        <w:jc w:val="left"/>
        <w:rPr>
          <w:rFonts w:ascii="Times New Roman" w:hAnsi="Times New Roman"/>
          <w:sz w:val="20"/>
        </w:rPr>
      </w:pPr>
      <w:bookmarkStart w:id="23" w:name="item_10_directors_executive_ficers_corpo"/>
      <w:bookmarkEnd w:id="23"/>
      <w:r>
        <w:rPr>
          <w:rFonts w:ascii="Times New Roman" w:hAnsi="Times New Roman"/>
          <w:b/>
          <w:color w:val="000000"/>
          <w:sz w:val="20"/>
        </w:rPr>
        <w:t>Item 10. Directors, Executive Officers, and Corporate Governance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“Information About Our Board of Directors,” “Executive Officers” and “The Board of Directors and Its Committees” and “Delinquent Section 16(a) Reports,” if applicable, in our 2026 Proxy Statement. </w:t>
      </w:r>
    </w:p>
    <w:p>
      <w:pPr>
        <w:pStyle w:val="TextBody"/>
        <w:bidi w:val="0"/>
        <w:spacing w:before="360" w:after="283"/>
        <w:jc w:val="left"/>
        <w:rPr>
          <w:rFonts w:ascii="Times New Roman" w:hAnsi="Times New Roman"/>
          <w:sz w:val="20"/>
        </w:rPr>
      </w:pPr>
      <w:bookmarkStart w:id="24" w:name="item_11_executive_compensation"/>
      <w:bookmarkEnd w:id="24"/>
      <w:r>
        <w:rPr>
          <w:rFonts w:ascii="Times New Roman" w:hAnsi="Times New Roman"/>
          <w:b/>
          <w:color w:val="000000"/>
          <w:sz w:val="20"/>
        </w:rPr>
        <w:t>Item 11. Executive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“Compensation Discussion and Analysis”, “Executive Officer” and “Director Compensation”, “Pay Versus Performance” and “The Board of Directors and Its Committees - Compensation Committee Interlocks and Insider Participation” in our 2026 Proxy Statement.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promptly disclose on our website or in a Current Report on Form 8-K in the future (i) the date and nature of any amendment (other than technical, administrative or other non-substantive amendments) to the Code of Conduct that applies to our principal executive officer, principal financial officer, principal accounting officer or controller or persons performing similar functions and relates to any element of the code of ethics definition enumerated in Item 406(b) of Regulation S-K and (ii) the nature of any waiver, including an implicit waiver, from a provision of the Code of Conduct that is granted to one of these specified individuals that relates to one or more of the elements of the code of ethics definition enumerated in Item 406(b) of Regulation S-K, the name of such person who is granted the waiver and the date of the waiver. The full text of our Code of Conduct is available at the investors section of our website at www.syndax.com. The reference to our website address does not constitute incorporation by reference of the information contained at or available through our website, and you should not consider it to be a part of this Annual Report.</w:t>
      </w:r>
    </w:p>
    <w:p>
      <w:pPr>
        <w:pStyle w:val="TextBody"/>
        <w:bidi w:val="0"/>
        <w:spacing w:before="360" w:after="283"/>
        <w:jc w:val="left"/>
        <w:rPr>
          <w:rFonts w:ascii="Times New Roman" w:hAnsi="Times New Roman"/>
          <w:sz w:val="20"/>
        </w:rPr>
      </w:pPr>
      <w:bookmarkStart w:id="25" w:name="item_12_security_ownership_certain_benef"/>
      <w:bookmarkEnd w:id="25"/>
      <w:r>
        <w:rPr>
          <w:rFonts w:ascii="Times New Roman" w:hAnsi="Times New Roman"/>
          <w:b/>
          <w:color w:val="000000"/>
          <w:sz w:val="20"/>
        </w:rPr>
        <w:t>Item 12. 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 titled “Security Ownership of Certain Beneficial Owners and Management and Related Stockholder Matters” and “Securities Authorized for Issuance Under Equity Compensation Plans” in our 2026 Proxy Statement. </w:t>
      </w:r>
    </w:p>
    <w:p>
      <w:pPr>
        <w:pStyle w:val="TextBody"/>
        <w:bidi w:val="0"/>
        <w:spacing w:before="360" w:after="283"/>
        <w:jc w:val="left"/>
        <w:rPr>
          <w:rFonts w:ascii="Times New Roman" w:hAnsi="Times New Roman"/>
          <w:sz w:val="20"/>
        </w:rPr>
      </w:pPr>
      <w:bookmarkStart w:id="26" w:name="item_13_certain_relationships_related_tr"/>
      <w:bookmarkEnd w:id="26"/>
      <w:r>
        <w:rPr>
          <w:rFonts w:ascii="Times New Roman" w:hAnsi="Times New Roman"/>
          <w:b/>
          <w:color w:val="000000"/>
          <w:sz w:val="20"/>
        </w:rPr>
        <w:t>Item 13. Certain Relationships and Related Transactions and Director Independence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“The Board of Directors and Its Committees – Board Independence” and “Certain Relationships and Related Party Transactions” in our 2026 Proxy Statement. </w:t>
      </w:r>
    </w:p>
    <w:p>
      <w:pPr>
        <w:pStyle w:val="TextBody"/>
        <w:bidi w:val="0"/>
        <w:spacing w:before="360" w:after="283"/>
        <w:jc w:val="left"/>
        <w:rPr>
          <w:rFonts w:ascii="Times New Roman" w:hAnsi="Times New Roman"/>
          <w:sz w:val="20"/>
        </w:rPr>
      </w:pPr>
      <w:bookmarkStart w:id="27" w:name="item_14_principal_accountant_fees_servic"/>
      <w:bookmarkEnd w:id="27"/>
      <w:r>
        <w:rPr>
          <w:rFonts w:ascii="Times New Roman" w:hAnsi="Times New Roman"/>
          <w:b/>
          <w:color w:val="000000"/>
          <w:sz w:val="20"/>
        </w:rPr>
        <w:t>Item 14. Principal Accountant Fees and Services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information required by this item is incorporated by reference to the information set forth in the sections titled “Independent Registered Public Accounting Firm Fees” and “Pre-Approval Policies and Procedures” contained in the proposal titled “Ratification of Selection of Independent Registered Public Accounting Firm” in our 2026 Proxy Statement.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8" w:name="part_iv"/>
      <w:bookmarkEnd w:id="28"/>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IV</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29" w:name="item_15_exhibits_financial_statements_sc"/>
      <w:bookmarkEnd w:id="29"/>
      <w:r>
        <w:rPr>
          <w:rFonts w:ascii="Times New Roman" w:hAnsi="Times New Roman"/>
          <w:b/>
          <w:color w:val="000000"/>
          <w:sz w:val="20"/>
        </w:rPr>
        <w:t>Item 15. Exhibits and Financial</w:t>
      </w:r>
      <w:r>
        <w:rPr>
          <w:rFonts w:ascii="Times New Roman" w:hAnsi="Times New Roman"/>
          <w:color w:val="000000"/>
          <w:sz w:val="20"/>
        </w:rPr>
        <w:t xml:space="preserve"> </w:t>
      </w:r>
      <w:r>
        <w:rPr>
          <w:rFonts w:ascii="Times New Roman" w:hAnsi="Times New Roman"/>
          <w:b/>
          <w:color w:val="000000"/>
          <w:sz w:val="20"/>
        </w:rPr>
        <w:t>Statement Schedules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(a)(1) Financial Statements. </w:t>
      </w:r>
    </w:p>
    <w:tbl>
      <w:tblPr>
        <w:tblW w:w="9347" w:type="dxa"/>
        <w:jc w:val="left"/>
        <w:tblInd w:w="0" w:type="dxa"/>
        <w:tblLayout w:type="fixed"/>
        <w:tblCellMar>
          <w:top w:w="28" w:type="dxa"/>
          <w:left w:w="28" w:type="dxa"/>
          <w:bottom w:w="28" w:type="dxa"/>
          <w:right w:w="28" w:type="dxa"/>
        </w:tblCellMar>
      </w:tblPr>
      <w:tblGrid>
        <w:gridCol w:w="8701"/>
        <w:gridCol w:w="646"/>
      </w:tblGrid>
      <w:tr>
        <w:trPr/>
        <w:tc>
          <w:tcPr>
            <w:tcW w:w="870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Pages</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 (PCAOB ID 34)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F-2</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F-4</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F-5</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F-6</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Consolidated Statements of Stockholders’ Equity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F-7</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F-8</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F-10</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(a)(2) Financial Statement Schedules.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schedules have been omitted because they are not required or because the required information is given in the Consolidated Financial Statements or Notes thereto.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(a)(3) Exhibits.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Certificate of Incorporation of the Company (incorporated herein by reference to Exhibit 3.1 to the Company’s Current Report on Form 8-K (File No. 001-37708), as filed with the SEC on March 8,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Certificate of Amendment to the Amended and Restated Certificate of Incorporation of the Company (incorporated herein by reference to Exhibit 3.1 to the Company’s Current Report on Form 8-K (File No. 001-37708), as filed with the SEC on May 18, 2023).</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Amended and Restated Bylaws of the Company (incorporated herein by reference to Exhibit 3.2 to the Company’s Current Report on Form 8-K (File No. 001-37708), as filed with the SEC on March 8,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Specimen Common Stock Certificate of the Company (incorporated herein by reference to Exhibit 4.1 to the Company’s Registration Statement on Form S-1/A (File No. 333-208861), as filed with the SEC on February 20,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Form of Pre-Funded Warrant issued pursuant to the securities purchase agreement between the Company and Certain Purchasers, dated December 16, 2021 (incorporated by reference to Exhibit 4.1 to the Company’s Current Report on Form 8-K (File No. 001-37708), as filed with the SEC on December 17,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Description of Capital Stock (incorporated herein by reference to Exhibit 4.3 to the Company’s Annual Report on Form 10-K (File No. 001-37708), as filed with the SEC on March 3,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2007 Stock Plan (incorporated herein by reference to Exhibit 10.3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2007 Stock Plan Amendment, dated as of March 8, 2013 (incorporated herein by reference to Exhibit 10.4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2007 Stock Plan Amendment, dated as of July 10, 2013 (incorporated herein by reference to Exhibit 10.5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3"/>
        <w:gridCol w:w="146"/>
        <w:gridCol w:w="9396"/>
      </w:tblGrid>
      <w:tr>
        <w:trPr/>
        <w:tc>
          <w:tcPr>
            <w:tcW w:w="66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96" w:type="dxa"/>
            <w:tcBorders/>
            <w:shd w:fill="FFFFFF" w:val="clear"/>
            <w:vAlign w:val="center"/>
          </w:tcPr>
          <w:p>
            <w:pPr>
              <w:pStyle w:val="TableContents"/>
              <w:bidi w:val="0"/>
              <w:spacing w:before="0" w:after="283"/>
              <w:jc w:val="left"/>
              <w:rPr>
                <w:sz w:val="4"/>
                <w:szCs w:val="4"/>
              </w:rPr>
            </w:pPr>
            <w:r>
              <w:rPr>
                <w:sz w:val="4"/>
                <w:szCs w:val="4"/>
              </w:rPr>
            </w:r>
          </w:p>
        </w:tc>
      </w:tr>
      <w:tr>
        <w:trPr/>
        <w:tc>
          <w:tcPr>
            <w:tcW w:w="66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2007 Stock Plan Amendment, dated as of January 23, 2014 (incorporated herein by reference to Exhibit 10.6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2007 Stock Plan Amendment, dated as of December 17, 2014 (incorporated herein by reference to Exhibit 10.7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2007 Stock Plan Amendment, dated as of May 28, 2015 (incorporated herein by reference to Exhibit 10.8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2007 Stock Plan Amendment, dated as of August 20, 2015 (incorporated herein by reference to Exhibit 10.9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Form of Incentive Stock Option Agreement under 2007 Stock Plan (incorporated herein by reference to Exhibit 10.10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Form of Non-Statutory Stock Option Agreement under 2007 Stock Plan (incorporated herein by reference to Exhibit 10.11 to the Company’s Registration Statement on Form S-1 (File No. 333-208861),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2015 Omnibus Incentive Plan (incorporated herein by reference to Exhibit 10.12 to the Company’s Registration Statement on Form S-8 (File No. 333-210412), as filed with the SEC on March 25,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Form of Incentive Stock Option Agreement under 2015 Omnibus Incentive Plan (incorporated herein by reference to Exhibit 4.13 to the Company’s Registration Statement on Form S-8 (File No. 333-210412), as filed with the SEC on January 4,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Form of Non-Qualified Option Agreement under 2015 Omnibus Incentive Plan (incorporated herein by reference to Exhibit 10.14 to the Company’s Registration Statement on Form S-1 (File No. 333-208861), as filed with the SEC on March 25,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Stock Unit Agreement under 2015 Omnibus Incentive Plan (incorporated herein by reference to Exhibit 10.1 to the Company’s Quarterly Report on Form 10-Q (File No. 001-37708), as filed with the SEC on August 6, 2020).</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Deferred Settlement Stock Unit Agreement under 2015 Omnibus Incentive Plan (incorporated herein by reference to Exhibit 10.14 to the Company’s Annual Report on Form 10-K (file No. 001-37708), as filed with the SEC on March 12, 2021).</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2015 Employee Stock Purchase Plan (incorporated herein by reference to Exhibit 4.16 to the Company’s Registration Statement on Form S-8 (File No. 333-210412), as filed with the SEC on March 25, 2016).</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Syndax Pharmaceuticals, Inc. 2023 Inducement Plan, as amended (incorporated herein by reference to Exhibit 10.16 to the Company’s Annual Report on Form 10-K (filed No. 001-37708), as filed with the SEC on March 3, 2025).</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Option Agreement pursuant to the Syndax Pharmaceuticals, Inc. 2023 Inducement Plan (incorporated herein by reference to Exhibit 10.2 to the Company’s Current Report on Form 8-K (File No. 001-37708), as filed with the SEC on February 8, 2023).</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Form of Restricted Stock Unit Agreement pursuant to the Syndax Pharmaceuticals, Inc. 2023 Inducement Plan (incorporated herein by reference to Exhibit 10.2 to the Company’s Quarterly Report on Form 10-Q (File No. 001-37708), as filed with the SEC on May 8, 2023).</w:t>
              </w:r>
            </w:hyperlink>
          </w:p>
        </w:tc>
      </w:tr>
      <w:tr>
        <w:trPr/>
        <w:tc>
          <w:tcPr>
            <w:tcW w:w="663"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0"/>
        <w:gridCol w:w="146"/>
        <w:gridCol w:w="9399"/>
      </w:tblGrid>
      <w:tr>
        <w:trPr/>
        <w:tc>
          <w:tcPr>
            <w:tcW w:w="66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99" w:type="dxa"/>
            <w:tcBorders/>
            <w:shd w:fill="FFFFFF" w:val="clear"/>
            <w:vAlign w:val="center"/>
          </w:tcPr>
          <w:p>
            <w:pPr>
              <w:pStyle w:val="TableContents"/>
              <w:bidi w:val="0"/>
              <w:spacing w:before="0" w:after="283"/>
              <w:jc w:val="left"/>
              <w:rPr>
                <w:sz w:val="4"/>
                <w:szCs w:val="4"/>
              </w:rPr>
            </w:pPr>
            <w:r>
              <w:rPr>
                <w:sz w:val="4"/>
                <w:szCs w:val="4"/>
              </w:rPr>
            </w:r>
          </w:p>
        </w:tc>
      </w:tr>
      <w:tr>
        <w:trPr/>
        <w:tc>
          <w:tcPr>
            <w:tcW w:w="66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99"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Amended and Restated Executive Employment Agreement by and between the Company and Michael A. Metzger, dated as of February 2, 2022 (incorporated herein by reference to Exhibit 10.17 to the Company's Annual Report on Form 10-K (File No. 001-37708), as filed with the SEC on March 1, 2022).</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Amendment to Amended and Restated Executive Employment by and between the Company and Michael A. Metzger, dated as of February 26, 2024 (incorporated herein by reference to Exhibit 10.20 to the Company's Annual Report on Form 10-K (File No. 001-37708), as filed with the SEC on February 27,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Amended and Restated Executive Employment Agreement by and between the Company and Luke J. Albrecht, dated as of April 27, 2020 (incorporated herein by reference to Exhibit 10.22 to the Company's Annual Report on Form 10-K (File No. 001-37708), as filed with the SEC on February 27,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Amendment to Amended and Restated Executive Employment by and between the Company and Luke J. Albrecht, dated as of February 26, 2024 (incorporated herein by reference to Exhibit 10.23 to the Company's Annual Report on Form 10-K (File No. 001-37708), as filed with the SEC on February 27,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Executive Employment Agreement by and between the Company and Keith A. Goldan, dated as of June 8, 2022 (incorporated herein by reference to Exhibit 10.1 to the Company’s Current Report on Form 8-K (File No. 001-37708), as filed with the SEC on June 13, 2022).</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Amendment to Executive Employment by and between the Company and Keith A. Goldan, dated as of February 26, 2024 (incorporated herein by reference to Exhibit 10.27 to the Company's Annual Report on Form 10-K (File No. 001-37708), as filed with the SEC on February 27,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Executive Employment Agreement by and between the Company and Neil Gallagher, M.D., Ph.D., dated as of March 30, 2023 (incorporated herein by reference to Exhibit 10.1 to the Company’s Current Report on Form 8-K (File No. 001-37708), as filed with the SEC on March 30, 2023).</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Amendment to Executive Employment by and between the Company and Neil Gallagher, M.D., Ph.D., dated as of February 26, 2024 (incorporated herein by reference to Exhibit 10.30 to the Company's Annual Report on Form 10-K (File No. 001-37708), as filed with the SEC on February 27,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Executive Employment Agreement by and between the Company and Steven Closter, dated as of March 18, 2024 (incorporated herein by reference to Exhibit 10.1 to the Company’s Current Report on Form 8-K (File No. 001-37708), as filed with the SEC on March 18, 2024).</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8">
              <w:r>
                <w:rPr>
                  <w:rStyle w:val="InternetLink"/>
                  <w:rFonts w:ascii="Times New Roman" w:hAnsi="Times New Roman"/>
                  <w:color w:val="0000FF"/>
                  <w:sz w:val="20"/>
                  <w:u w:val="single"/>
                </w:rPr>
                <w:t>Executive Employment Agreement, dated May 12, 2025, by and between the Company and Dr. Nicholas Botwood (incorporated herein by reference to Exhibit 10.1 to the Company’s Current Report on Form 8-K (File No. 001-37708, as filed with the SEC on May 16, 2025).</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Non-employee Director Compensation Policy, as amended, dated as of February 5, 2025 (incorporated herein by reference to Exhibit 10.28 to the Company's Annual Report on Form 10-K (File No. 001-37708), as filed with the SEC on March 3, 2025).</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w:anchor="sndx-ex10_30.htm">
              <w:r>
                <w:rPr>
                  <w:rStyle w:val="InternetLink"/>
                  <w:rFonts w:ascii="Times New Roman" w:hAnsi="Times New Roman"/>
                  <w:color w:val="0000FF"/>
                  <w:sz w:val="20"/>
                  <w:u w:val="single"/>
                </w:rPr>
                <w:t>Non-employee Director Compensation Policy, as amended, dated as of February 4, 2026.</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Form of Indemnification Agreement by and between the company and each of its directors and officers (incorporated herein by reference to Exhibit 10.21 to the Company’s Registration Statement on Form S-1 (File No. 333-208861), as filed with the SEC on January 4, 2016).</w:t>
              </w:r>
            </w:hyperlink>
          </w:p>
        </w:tc>
      </w:tr>
      <w:tr>
        <w:trPr/>
        <w:tc>
          <w:tcPr>
            <w:tcW w:w="66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6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99"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License, Development and Commercialization Agreement by and between the company and Bayer Schering Pharma AG, dated as of March 26, 2007 (incorporated herein by reference to Exhibit 10.22 to the Company’s Registration Statement on Form S-1 (File No. 333-208861), as filed with the SEC on January 4, 2016).</w:t>
              </w:r>
            </w:hyperlink>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46"/>
        <w:gridCol w:w="146"/>
        <w:gridCol w:w="9413"/>
      </w:tblGrid>
      <w:tr>
        <w:trPr/>
        <w:tc>
          <w:tcPr>
            <w:tcW w:w="64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413" w:type="dxa"/>
            <w:tcBorders/>
            <w:shd w:fill="FFFFFF" w:val="clear"/>
            <w:vAlign w:val="center"/>
          </w:tcPr>
          <w:p>
            <w:pPr>
              <w:pStyle w:val="TableContents"/>
              <w:bidi w:val="0"/>
              <w:spacing w:before="0" w:after="283"/>
              <w:jc w:val="left"/>
              <w:rPr>
                <w:sz w:val="4"/>
                <w:szCs w:val="4"/>
              </w:rPr>
            </w:pPr>
            <w:r>
              <w:rPr>
                <w:sz w:val="4"/>
                <w:szCs w:val="4"/>
              </w:rPr>
            </w:r>
          </w:p>
        </w:tc>
      </w:tr>
      <w:tr>
        <w:trPr/>
        <w:tc>
          <w:tcPr>
            <w:tcW w:w="6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41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First Amendment to the License, Development and Commercialization Agreement by and between the company and Bayer Pharma AG, dated as of October 13, 2012 (incorporated herein by reference to Exhibit 10.23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Second Amendment to the License, Development and Commercialization Agreement by and between the company and Bayer Pharma AG, dated as of February 1, 2013 (incorporated herein by reference to Exhibit 10.24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Third Amendment to the License, Development and Commercialization Agreement by and between the company and Bayer Pharma AG, dated as of October 9, 2013 (incorporated herein by reference to Exhibit 10.25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5">
              <w:r>
                <w:rPr>
                  <w:rStyle w:val="InternetLink"/>
                  <w:rFonts w:ascii="Times New Roman" w:hAnsi="Times New Roman"/>
                  <w:color w:val="0000FF"/>
                  <w:sz w:val="20"/>
                  <w:u w:val="single"/>
                </w:rPr>
                <w:t>Letter Agreement by and between the company and Bayer Pharma AG, dated as of September 18, 2014 (incorporated herein by reference to Exhibit 10.26 to the Company’s Registration Statement on Form S-1 (File No. 333-208861), as filed with the SEC on January 4,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6">
              <w:r>
                <w:rPr>
                  <w:rStyle w:val="InternetLink"/>
                  <w:rFonts w:ascii="Times New Roman" w:hAnsi="Times New Roman"/>
                  <w:color w:val="0000FF"/>
                  <w:sz w:val="20"/>
                  <w:u w:val="single"/>
                </w:rPr>
                <w:t>License Agreement by and between the Company and UCB Biopharma Sprl, dated as of July 1, 2016 (incorporated herein by reference to Exhibit 10.1 to the Company’s Current Report on Form 8-K (File No. 001- 37708), as filed with the SEC on October 7, 2016).</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7">
              <w:r>
                <w:rPr>
                  <w:rStyle w:val="InternetLink"/>
                  <w:rFonts w:ascii="Times New Roman" w:hAnsi="Times New Roman"/>
                  <w:color w:val="0000FF"/>
                  <w:sz w:val="20"/>
                  <w:u w:val="single"/>
                </w:rPr>
                <w:t>Side Agreement by and between the Company and UCB Biopharma Sprl, dated March 8, 2017 (incorporated herein by reference to Exhibit 10.4 to the Company’s Quarterly Report on Form 10-Q (File No. 001-37708), as filed with the SEC on May 9, 2017).</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10.39</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8">
              <w:r>
                <w:rPr>
                  <w:rStyle w:val="InternetLink"/>
                  <w:rFonts w:ascii="Times New Roman" w:hAnsi="Times New Roman"/>
                  <w:color w:val="0000FF"/>
                  <w:sz w:val="20"/>
                  <w:u w:val="single"/>
                </w:rPr>
                <w:t>Amendment No. 1 to License Agreement by and between the Company and UCB Biopharma Sprl, dated as of July 9, 2019 (incorporated herein by reference to Exhibit 10.2 to the Company’s Quarterly Report on Form 10-Q (File No. 001-37708), as filed with the SEC on November 7, 2019).</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10.40</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49">
              <w:r>
                <w:rPr>
                  <w:rStyle w:val="InternetLink"/>
                  <w:rFonts w:ascii="Times New Roman" w:hAnsi="Times New Roman"/>
                  <w:color w:val="0000FF"/>
                  <w:sz w:val="20"/>
                  <w:u w:val="single"/>
                </w:rPr>
                <w:t>Mutual Release and Settlement Agreement by and between the Company and UCB Biopharma SRL, dated as of June 6, 2022 (incorporated herein by reference to Exhibit 10.1 to the Company’s Quarterly Report on Form 10-Q (File No. 001-37708), as filed with the SEC on August 8, 2022).</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0">
              <w:r>
                <w:rPr>
                  <w:rStyle w:val="InternetLink"/>
                  <w:rFonts w:ascii="Times New Roman" w:hAnsi="Times New Roman"/>
                  <w:color w:val="0000FF"/>
                  <w:sz w:val="20"/>
                  <w:u w:val="single"/>
                </w:rPr>
                <w:t>License Agreement by and between the Company and Vitae Pharmaceuticals, Inc., dated as of October 13, 2017 (incorporated herein by reference to Exhibit 10.47 to the Company’s Annual Report on Form 10-K (File No. 001-37708), as filed with the SEC on March 8, 2018).</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1">
              <w:r>
                <w:rPr>
                  <w:rStyle w:val="InternetLink"/>
                  <w:rFonts w:ascii="Times New Roman" w:hAnsi="Times New Roman"/>
                  <w:color w:val="0000FF"/>
                  <w:sz w:val="20"/>
                  <w:u w:val="single"/>
                </w:rPr>
                <w:t>Amendment No. 1 to License Agreement by and between the Company and Vitae Pharmaceuticals, Inc., dated as of January 25, 2019 (incorporated herein by reference to Exhibit 10.1 to the Company’s Quarterly Report on Form 10-Q (File No. 001-37708), as filed with the SEC on May 8, 2019).</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2">
              <w:r>
                <w:rPr>
                  <w:rStyle w:val="InternetLink"/>
                  <w:rFonts w:ascii="Times New Roman" w:hAnsi="Times New Roman"/>
                  <w:color w:val="0000FF"/>
                  <w:sz w:val="20"/>
                  <w:u w:val="single"/>
                </w:rPr>
                <w:t>Collaboration and License Agreement by and between the Company and Incyte Corporation, dated as of September 24, 2021 (incorporated herein by reference to Exhibit 10.1 to the Company’s Quarterly Report on Form 10-Q (File No. 001-37708), as filed with the SEC on November 15,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3">
              <w:r>
                <w:rPr>
                  <w:rStyle w:val="InternetLink"/>
                  <w:rFonts w:ascii="Times New Roman" w:hAnsi="Times New Roman"/>
                  <w:color w:val="0000FF"/>
                  <w:sz w:val="20"/>
                  <w:u w:val="single"/>
                </w:rPr>
                <w:t>Purchase Agreement by and between the Company and Incyte Corporation, dated as of September 24, 2021 (incorporated herein by reference to Exhibit 10.2 to the Company’s Quarterly Report on Form 10-Q (File No. 001-37708), as filed with the SEC on November 15, 2021).</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r:id="rId54">
              <w:r>
                <w:rPr>
                  <w:rStyle w:val="InternetLink"/>
                  <w:rFonts w:ascii="Times New Roman" w:hAnsi="Times New Roman"/>
                  <w:color w:val="0000FF"/>
                  <w:sz w:val="20"/>
                  <w:u w:val="single"/>
                </w:rPr>
                <w:t>Purchase and Sale Agreement by and between the Company and with Royalty Pharma Development Funding, LLC, dated November 4, 2024 (incorporated herein by reference to Exhibit 10.43 to the Company’s Annual Report on Form 10-K (filed No. 001-37708), as filed with the SEC on March 3, 2025).</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hyperlink w:anchor="sndx-ex19_1.htm">
              <w:r>
                <w:rPr>
                  <w:rStyle w:val="InternetLink"/>
                  <w:rFonts w:ascii="Times New Roman" w:hAnsi="Times New Roman"/>
                  <w:color w:val="0000FF"/>
                  <w:sz w:val="20"/>
                  <w:u w:val="single"/>
                </w:rPr>
                <w:t>Insider Trading Policy.</w:t>
              </w:r>
            </w:hyperlink>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13"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8"/>
        <w:gridCol w:w="146"/>
        <w:gridCol w:w="9321"/>
      </w:tblGrid>
      <w:tr>
        <w:trPr/>
        <w:tc>
          <w:tcPr>
            <w:tcW w:w="73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321" w:type="dxa"/>
            <w:tcBorders/>
            <w:shd w:fill="FFFFFF" w:val="clear"/>
            <w:vAlign w:val="center"/>
          </w:tcPr>
          <w:p>
            <w:pPr>
              <w:pStyle w:val="TableContents"/>
              <w:bidi w:val="0"/>
              <w:spacing w:before="0" w:after="283"/>
              <w:jc w:val="left"/>
              <w:rPr>
                <w:sz w:val="4"/>
                <w:szCs w:val="4"/>
              </w:rPr>
            </w:pPr>
            <w:r>
              <w:rPr>
                <w:sz w:val="4"/>
                <w:szCs w:val="4"/>
              </w:rPr>
            </w:r>
          </w:p>
        </w:tc>
      </w:tr>
      <w:tr>
        <w:trPr/>
        <w:tc>
          <w:tcPr>
            <w:tcW w:w="73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Exhibit</w:t>
              <w:br/>
              <w:t>No.</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3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Description</w:t>
            </w:r>
            <w:r>
              <w:rPr>
                <w:rFonts w:ascii="Times New Roman" w:hAnsi="Times New Roman"/>
                <w:color w:val="000000"/>
                <w:sz w:val="16"/>
              </w:rPr>
              <w:t xml:space="preserve"> </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sndx-ex21_subsidiaries.htm">
              <w:r>
                <w:rPr>
                  <w:rStyle w:val="InternetLink"/>
                  <w:rFonts w:ascii="Times New Roman" w:hAnsi="Times New Roman"/>
                  <w:color w:val="000080"/>
                  <w:sz w:val="20"/>
                  <w:u w:val="single"/>
                </w:rPr>
                <w:t>Subsidiaries of the Registrant</w:t>
              </w:r>
            </w:hyperlink>
            <w:hyperlink w:anchor="sndx-ex21_subsidiaries.htm">
              <w:r>
                <w:rPr>
                  <w:rStyle w:val="InternetLink"/>
                  <w:rFonts w:ascii="Times New Roman" w:hAnsi="Times New Roman"/>
                  <w:color w:val="000080"/>
                  <w:sz w:val="20"/>
                  <w:u w:val="single"/>
                </w:rPr>
                <w:t>.</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sndx-ex23_1.htm">
              <w:r>
                <w:rPr>
                  <w:rStyle w:val="InternetLink"/>
                  <w:rFonts w:ascii="Times New Roman" w:hAnsi="Times New Roman"/>
                  <w:color w:val="0000FF"/>
                  <w:sz w:val="20"/>
                  <w:u w:val="single"/>
                </w:rPr>
                <w:t>Consent of Independent Registered Public Accounting Firm.</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power_attorney">
              <w:r>
                <w:rPr>
                  <w:rStyle w:val="InternetLink"/>
                  <w:rFonts w:ascii="Times New Roman" w:hAnsi="Times New Roman"/>
                  <w:color w:val="0000FF"/>
                  <w:sz w:val="20"/>
                  <w:u w:val="single"/>
                </w:rPr>
                <w:t>Power of Attorney (included on the signature page to this report).</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sndx-ex31_1.htm">
              <w:r>
                <w:rPr>
                  <w:rStyle w:val="InternetLink"/>
                  <w:rFonts w:ascii="Times New Roman" w:hAnsi="Times New Roman"/>
                  <w:color w:val="0000FF"/>
                  <w:sz w:val="20"/>
                  <w:u w:val="single"/>
                </w:rPr>
                <w:t>Certification of the Principal Executive Officer pursuant to Rule 13a-14(a) or 15d-14(a) of the Securities Exchange Act of 1934.</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sndx-ex31_2.htm">
              <w:r>
                <w:rPr>
                  <w:rStyle w:val="InternetLink"/>
                  <w:rFonts w:ascii="Times New Roman" w:hAnsi="Times New Roman"/>
                  <w:color w:val="0000FF"/>
                  <w:sz w:val="20"/>
                  <w:u w:val="single"/>
                </w:rPr>
                <w:t>Certification of the Principal Financial Officer and Principal Accounting Officer pursuant to Rule 13a-14(a) or 15d-14(a) of the Securities Exchange Act of 1934.</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w:anchor="sndx-ex32_1.htm">
              <w:r>
                <w:rPr>
                  <w:rStyle w:val="InternetLink"/>
                  <w:rFonts w:ascii="Times New Roman" w:hAnsi="Times New Roman"/>
                  <w:color w:val="0000FF"/>
                  <w:sz w:val="20"/>
                  <w:u w:val="single"/>
                </w:rPr>
                <w:t>Certification of Principal Executive Officer and Principal Financial Officer pursuant to Rule 13a-14(b) or 15d-14(b) of the Exchange Act and 18 U.S.C. Section 1350, as adopted pursuant to Section 906 of the Sarbanes-Oxley Act of 2002.</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hyperlink r:id="rId55">
              <w:r>
                <w:rPr>
                  <w:rStyle w:val="InternetLink"/>
                  <w:rFonts w:ascii="Times New Roman" w:hAnsi="Times New Roman"/>
                  <w:color w:val="0000FF"/>
                  <w:sz w:val="20"/>
                  <w:u w:val="single"/>
                </w:rPr>
                <w:t>Incentive Compensation Recoupment Policy (incorporated herein by reference to Exhibit 97 to the Company's Annual Report on Form 10-K (File No. 001-37708), as filed with the SEC on March 3, 2025).</w:t>
              </w:r>
            </w:hyperlink>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w:t>
            </w:r>
          </w:p>
        </w:tc>
      </w:tr>
      <w:tr>
        <w:trPr/>
        <w:tc>
          <w:tcPr>
            <w:tcW w:w="738"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3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 Indicates a management contract or compensatory plan. </w:t>
      </w:r>
    </w:p>
    <w:p>
      <w:pPr>
        <w:pStyle w:val="TextBody"/>
        <w:bidi w:val="0"/>
        <w:jc w:val="left"/>
        <w:rPr>
          <w:rFonts w:ascii="Times New Roman" w:hAnsi="Times New Roman"/>
          <w:color w:val="000000"/>
          <w:sz w:val="20"/>
        </w:rPr>
      </w:pPr>
      <w:r>
        <w:rPr>
          <w:rFonts w:ascii="Times New Roman" w:hAnsi="Times New Roman"/>
          <w:color w:val="000000"/>
          <w:sz w:val="20"/>
        </w:rPr>
        <w:t xml:space="preserve">+ Furnished herewith and not deemed to be “filed” for purposes of Section 18 of the Securities Exchange Act of 1934, as amended (the “Exchange Act”), and shall not be deemed to be incorporated by reference into any filing under the Securities Act of 1933, as amended, or the Exchange Act. </w:t>
      </w:r>
    </w:p>
    <w:p>
      <w:pPr>
        <w:pStyle w:val="TextBody"/>
        <w:bidi w:val="0"/>
        <w:jc w:val="left"/>
        <w:rPr>
          <w:rFonts w:ascii="Times New Roman" w:hAnsi="Times New Roman"/>
          <w:color w:val="000000"/>
          <w:sz w:val="20"/>
        </w:rPr>
      </w:pPr>
      <w:r>
        <w:rPr>
          <w:rFonts w:ascii="Times New Roman" w:hAnsi="Times New Roman"/>
          <w:color w:val="000000"/>
          <w:sz w:val="20"/>
        </w:rPr>
        <w:t> Confidential treatment has been granted for certain portions of this exhibit. These portions have been omitted and filed separately with the SEC.</w:t>
      </w:r>
    </w:p>
    <w:p>
      <w:pPr>
        <w:pStyle w:val="TextBody"/>
        <w:bidi w:val="0"/>
        <w:spacing w:before="360" w:after="283"/>
        <w:jc w:val="left"/>
        <w:rPr>
          <w:rFonts w:ascii="Times New Roman" w:hAnsi="Times New Roman"/>
          <w:sz w:val="20"/>
        </w:rPr>
      </w:pPr>
      <w:bookmarkStart w:id="30" w:name="item_16_form_10k_summary"/>
      <w:bookmarkEnd w:id="30"/>
      <w:r>
        <w:rPr>
          <w:rFonts w:ascii="Times New Roman" w:hAnsi="Times New Roman"/>
          <w:b/>
          <w:color w:val="000000"/>
          <w:sz w:val="20"/>
        </w:rPr>
        <w:t>Item 16. Form 10-K Summary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Section 13 of 15(d) of the Securities Exchange Act of 1934, the registrant has duly caused this report to be signed on its behalf by the undersigned, thereunto duly authorized. </w:t>
      </w:r>
    </w:p>
    <w:tbl>
      <w:tblPr>
        <w:tblW w:w="5667" w:type="dxa"/>
        <w:jc w:val="left"/>
        <w:tblInd w:w="0" w:type="dxa"/>
        <w:tblLayout w:type="fixed"/>
        <w:tblCellMar>
          <w:top w:w="28" w:type="dxa"/>
          <w:left w:w="28" w:type="dxa"/>
          <w:bottom w:w="28" w:type="dxa"/>
          <w:right w:w="28" w:type="dxa"/>
        </w:tblCellMar>
      </w:tblPr>
      <w:tblGrid>
        <w:gridCol w:w="2086"/>
        <w:gridCol w:w="146"/>
        <w:gridCol w:w="566"/>
        <w:gridCol w:w="2869"/>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SYNDAX PHARMACEUTICALS, INC.</w:t>
            </w:r>
          </w:p>
        </w:tc>
      </w:tr>
      <w:tr>
        <w:trPr/>
        <w:tc>
          <w:tcPr>
            <w:tcW w:w="20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February 26, 2026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69"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20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Chief Executive Officer</w:t>
            </w:r>
          </w:p>
        </w:tc>
      </w:tr>
    </w:tbl>
    <w:p>
      <w:pPr>
        <w:pStyle w:val="TextBody"/>
        <w:bidi w:val="0"/>
        <w:spacing w:before="480" w:after="283"/>
        <w:jc w:val="center"/>
        <w:rPr>
          <w:rFonts w:ascii="Times New Roman" w:hAnsi="Times New Roman"/>
          <w:sz w:val="20"/>
        </w:rPr>
      </w:pPr>
      <w:bookmarkStart w:id="31" w:name="power_attorney"/>
      <w:bookmarkEnd w:id="31"/>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person whose individual signature appears below hereby authorizes and appoints Michael A. Metzger and Luke J. Albrecht,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or her substitute or substitutes may lawfully do or cause to be done by virtue thereof.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9100" w:type="dxa"/>
        <w:jc w:val="left"/>
        <w:tblInd w:w="0" w:type="dxa"/>
        <w:tblLayout w:type="fixed"/>
        <w:tblCellMar>
          <w:top w:w="28" w:type="dxa"/>
          <w:left w:w="28" w:type="dxa"/>
          <w:bottom w:w="28" w:type="dxa"/>
          <w:right w:w="28" w:type="dxa"/>
        </w:tblCellMar>
      </w:tblPr>
      <w:tblGrid>
        <w:gridCol w:w="2971"/>
        <w:gridCol w:w="386"/>
        <w:gridCol w:w="3961"/>
        <w:gridCol w:w="146"/>
        <w:gridCol w:w="1636"/>
      </w:tblGrid>
      <w:tr>
        <w:trPr/>
        <w:tc>
          <w:tcPr>
            <w:tcW w:w="2971" w:type="dxa"/>
            <w:tcBorders/>
            <w:shd w:fill="FFFFFF" w:val="clear"/>
            <w:vAlign w:val="center"/>
          </w:tcPr>
          <w:p>
            <w:pPr>
              <w:pStyle w:val="TableContents"/>
              <w:bidi w:val="0"/>
              <w:spacing w:before="0" w:after="283"/>
              <w:jc w:val="left"/>
              <w:rPr>
                <w:sz w:val="4"/>
                <w:szCs w:val="4"/>
              </w:rPr>
            </w:pPr>
            <w:r>
              <w:rPr>
                <w:sz w:val="4"/>
                <w:szCs w:val="4"/>
              </w:rPr>
            </w:r>
          </w:p>
        </w:tc>
        <w:tc>
          <w:tcPr>
            <w:tcW w:w="386" w:type="dxa"/>
            <w:tcBorders/>
            <w:shd w:fill="FFFFFF" w:val="clear"/>
            <w:vAlign w:val="center"/>
          </w:tcPr>
          <w:p>
            <w:pPr>
              <w:pStyle w:val="TableContents"/>
              <w:bidi w:val="0"/>
              <w:spacing w:before="0" w:after="283"/>
              <w:jc w:val="left"/>
              <w:rPr>
                <w:sz w:val="4"/>
                <w:szCs w:val="4"/>
              </w:rPr>
            </w:pPr>
            <w:r>
              <w:rPr>
                <w:sz w:val="4"/>
                <w:szCs w:val="4"/>
              </w:rPr>
            </w:r>
          </w:p>
        </w:tc>
        <w:tc>
          <w:tcPr>
            <w:tcW w:w="396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636" w:type="dxa"/>
            <w:tcBorders/>
            <w:shd w:fill="FFFFFF" w:val="clear"/>
            <w:vAlign w:val="center"/>
          </w:tcPr>
          <w:p>
            <w:pPr>
              <w:pStyle w:val="TableContents"/>
              <w:bidi w:val="0"/>
              <w:spacing w:before="0" w:after="283"/>
              <w:jc w:val="left"/>
              <w:rPr>
                <w:sz w:val="4"/>
                <w:szCs w:val="4"/>
              </w:rPr>
            </w:pPr>
            <w:r>
              <w:rPr>
                <w:sz w:val="4"/>
                <w:szCs w:val="4"/>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Signature</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6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6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w:t>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Michael A. Metzger</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color w:val="000000"/>
                <w:sz w:val="20"/>
              </w:rPr>
            </w:pPr>
            <w:r>
              <w:rPr>
                <w:rFonts w:ascii="Times New Roman" w:hAnsi="Times New Roman"/>
                <w:color w:val="000000"/>
                <w:sz w:val="20"/>
              </w:rPr>
              <w:t>Chief Executive Officer and Director</w:t>
            </w:r>
          </w:p>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Michael A. Metzger</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Keith A. Goldan</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ind w:left="0" w:right="0" w:firstLine="24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February 26, 2026</w:t>
            </w:r>
          </w:p>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Keith A. Goldan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Dennis G. Podlesak</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Dennis G. Podlesak</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Martin H. Huber, M.D.</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26, 2026</w:t>
            </w:r>
          </w:p>
        </w:tc>
      </w:tr>
      <w:tr>
        <w:trPr/>
        <w:tc>
          <w:tcPr>
            <w:tcW w:w="29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Martin H. Huber, M.D.</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Jennifer Jarrett</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February 26, 2026</w:t>
            </w:r>
          </w:p>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Jennifer Jarrett</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Keith A. Katkin</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February 26, 2026</w:t>
            </w:r>
          </w:p>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Keith A. Katkin</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Pierre Legault</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February 26, 2026</w:t>
            </w:r>
          </w:p>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Pierre Legault</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r>
        <w:trPr/>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c>
          <w:tcPr>
            <w:tcW w:w="386" w:type="dxa"/>
            <w:tcBorders/>
            <w:tcMar>
              <w:top w:w="0" w:type="dxa"/>
              <w:left w:w="0" w:type="dxa"/>
              <w:bottom w:w="0" w:type="dxa"/>
              <w:right w:w="0" w:type="dxa"/>
            </w:tcMar>
            <w:vAlign w:val="center"/>
          </w:tcPr>
          <w:p>
            <w:pPr>
              <w:pStyle w:val="TableContents"/>
              <w:bidi w:val="0"/>
              <w:spacing w:before="0" w:after="283"/>
              <w:jc w:val="left"/>
              <w:rPr/>
            </w:pPr>
            <w:r>
              <w:rPr/>
              <w:t> </w:t>
            </w:r>
          </w:p>
        </w:tc>
        <w:tc>
          <w:tcPr>
            <w:tcW w:w="39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/s/ Aleksandra Rizo, M.D., Ph.D.</w:t>
            </w:r>
          </w:p>
        </w:tc>
        <w:tc>
          <w:tcPr>
            <w:tcW w:w="386" w:type="dxa"/>
            <w:tcBorders>
              <w:bottom w:val="single" w:sz="4" w:space="0" w:color="000000"/>
            </w:tcBorders>
            <w:tcMar>
              <w:top w:w="0" w:type="dxa"/>
              <w:left w:w="0" w:type="dxa"/>
              <w:right w:w="0" w:type="dxa"/>
            </w:tcMar>
            <w:vAlign w:val="center"/>
          </w:tcPr>
          <w:p>
            <w:pPr>
              <w:pStyle w:val="TableContents"/>
              <w:bidi w:val="0"/>
              <w:spacing w:before="0" w:after="283"/>
              <w:ind w:left="0" w:right="0" w:firstLine="240"/>
              <w:jc w:val="center"/>
              <w:rPr/>
            </w:pPr>
            <w:r>
              <w:rPr/>
              <w:t> </w:t>
            </w:r>
          </w:p>
        </w:tc>
        <w:tc>
          <w:tcPr>
            <w:tcW w:w="3961" w:type="dxa"/>
            <w:vMerge w:val="restart"/>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restart"/>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February 26, 2026</w:t>
            </w:r>
          </w:p>
          <w:p>
            <w:pPr>
              <w:pStyle w:val="TableContents"/>
              <w:bidi w:val="0"/>
              <w:spacing w:before="0" w:after="283"/>
              <w:jc w:val="left"/>
              <w:rPr/>
            </w:pPr>
            <w:r>
              <w:rPr/>
              <w:t> </w:t>
            </w:r>
          </w:p>
        </w:tc>
      </w:tr>
      <w:tr>
        <w:trPr/>
        <w:tc>
          <w:tcPr>
            <w:tcW w:w="2971" w:type="dxa"/>
            <w:tcBorders/>
            <w:tcMar>
              <w:top w:w="0" w:type="dxa"/>
              <w:left w:w="0" w:type="dxa"/>
              <w:bottom w:w="0" w:type="dxa"/>
              <w:right w:w="0" w:type="dxa"/>
            </w:tcMar>
            <w:vAlign w:val="center"/>
          </w:tcPr>
          <w:p>
            <w:pPr>
              <w:pStyle w:val="TableContents"/>
              <w:bidi w:val="0"/>
              <w:spacing w:before="0" w:after="283"/>
              <w:ind w:left="0" w:right="0" w:firstLine="240"/>
              <w:jc w:val="center"/>
              <w:rPr>
                <w:rFonts w:ascii="Times New Roman" w:hAnsi="Times New Roman"/>
                <w:color w:val="000000"/>
                <w:sz w:val="20"/>
              </w:rPr>
            </w:pPr>
            <w:r>
              <w:rPr>
                <w:rFonts w:ascii="Times New Roman" w:hAnsi="Times New Roman"/>
                <w:color w:val="000000"/>
                <w:sz w:val="20"/>
              </w:rPr>
              <w:t>Aleksandra Rizo, M.D., Ph.D.</w:t>
            </w:r>
          </w:p>
        </w:tc>
        <w:tc>
          <w:tcPr>
            <w:tcW w:w="386" w:type="dxa"/>
            <w:tcBorders/>
            <w:tcMar>
              <w:top w:w="0" w:type="dxa"/>
              <w:left w:w="0" w:type="dxa"/>
              <w:bottom w:w="0" w:type="dxa"/>
              <w:right w:w="0" w:type="dxa"/>
            </w:tcMar>
            <w:vAlign w:val="center"/>
          </w:tcPr>
          <w:p>
            <w:pPr>
              <w:pStyle w:val="TableContents"/>
              <w:bidi w:val="0"/>
              <w:spacing w:before="0" w:after="283"/>
              <w:ind w:left="0" w:right="0" w:firstLine="240"/>
              <w:jc w:val="center"/>
              <w:rPr/>
            </w:pPr>
            <w:r>
              <w:rPr/>
              <w:t> </w:t>
            </w:r>
          </w:p>
        </w:tc>
        <w:tc>
          <w:tcPr>
            <w:tcW w:w="396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36"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Index to Consolidated Financial Statements</w:t>
      </w:r>
      <w:r>
        <w:rPr>
          <w:rFonts w:ascii="Times New Roman" w:hAnsi="Times New Roman"/>
          <w:color w:val="000000"/>
          <w:sz w:val="20"/>
        </w:rPr>
        <w:t xml:space="preserve"> </w:t>
      </w:r>
    </w:p>
    <w:p>
      <w:pPr>
        <w:pStyle w:val="TextBody"/>
        <w:bidi w:val="0"/>
        <w:spacing w:before="120" w:after="283"/>
        <w:jc w:val="center"/>
        <w:rPr/>
      </w:pPr>
      <w:r>
        <w:rPr/>
        <w:t> </w:t>
      </w:r>
    </w:p>
    <w:tbl>
      <w:tblPr>
        <w:tblW w:w="9347" w:type="dxa"/>
        <w:jc w:val="left"/>
        <w:tblInd w:w="0" w:type="dxa"/>
        <w:tblLayout w:type="fixed"/>
        <w:tblCellMar>
          <w:top w:w="28" w:type="dxa"/>
          <w:left w:w="28" w:type="dxa"/>
          <w:bottom w:w="28" w:type="dxa"/>
          <w:right w:w="28" w:type="dxa"/>
        </w:tblCellMar>
      </w:tblPr>
      <w:tblGrid>
        <w:gridCol w:w="8701"/>
        <w:gridCol w:w="646"/>
      </w:tblGrid>
      <w:tr>
        <w:trPr/>
        <w:tc>
          <w:tcPr>
            <w:tcW w:w="870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Pages</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FF"/>
                <w:sz w:val="20"/>
                <w:u w:val="single"/>
              </w:rPr>
            </w:pPr>
            <w:r>
              <w:rPr>
                <w:rFonts w:ascii="Times New Roman" w:hAnsi="Times New Roman"/>
                <w:color w:val="0000FF"/>
                <w:sz w:val="20"/>
                <w:u w:val="single"/>
              </w:rPr>
              <w:t>Report of Independent Registered Public Accounting Firm (PCAOB ID 34)</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F-2</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2025 and 2024</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F-4</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Consolidated Statements of Operations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F-5</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Consolidated Statements of Comprehensive Loss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F-6</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Consolidated Statements of Stockholders’ Equity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F-7</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2025, 2024 and 2023</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F-8</w:t>
            </w:r>
          </w:p>
        </w:tc>
      </w:tr>
      <w:tr>
        <w:trPr/>
        <w:tc>
          <w:tcPr>
            <w:tcW w:w="87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6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F-10</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32" w:name="report_of_public_accounting_firm"/>
      <w:bookmarkEnd w:id="32"/>
      <w:r>
        <w:rPr>
          <w:rFonts w:ascii="Times New Roman" w:hAnsi="Times New Roman"/>
          <w:b/>
          <w:color w:val="000000"/>
          <w:sz w:val="20"/>
        </w:rPr>
        <w:t>REPORT OF INDEPENDENT REGISTERED PUBLIC ACCOUNTING FIRM</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To the stockholders and Board of Directors of Syndax Pharmaceuticals, Inc.</w:t>
      </w:r>
    </w:p>
    <w:p>
      <w:pPr>
        <w:pStyle w:val="TextBody"/>
        <w:bidi w:val="0"/>
        <w:spacing w:before="24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Opinion on the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audited the accompanying consolidated balance sheets of Syndax Pharmaceuticals, Inc. and subsidiaries (the "Company") as of December 31, 2025 and 2024, the related consolidated statements of operations, comprehensive loss, stockholders' equity, and cash flows, for each of the three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also audited, in accordance with the standards of the Public Company Accounting Oversight Board (United States) (PCAOB), the Company's internal control over financial reporting as of December 31, 2025, based on criteria established in Internal Control — Integrated Framework (2013) issued by the Committee of Sponsoring Organizations of the Treadway Commission and our report dated February 26, 2026, expressed an unqualified opinion on the Company's internal control over financial reporting.</w:t>
      </w:r>
    </w:p>
    <w:p>
      <w:pPr>
        <w:pStyle w:val="TextBody"/>
        <w:bidi w:val="0"/>
        <w:jc w:val="left"/>
        <w:rPr/>
      </w:pPr>
      <w:r>
        <w:rPr/>
        <w:t> </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Basis for Opinion</w:t>
      </w:r>
    </w:p>
    <w:p>
      <w:pPr>
        <w:pStyle w:val="TextBody"/>
        <w:bidi w:val="0"/>
        <w:jc w:val="left"/>
        <w:rPr>
          <w:rFonts w:ascii="Times New Roman" w:hAnsi="Times New Roman"/>
          <w:color w:val="000000"/>
          <w:sz w:val="20"/>
        </w:rPr>
      </w:pPr>
      <w:r>
        <w:rPr>
          <w:rFonts w:ascii="Times New Roman" w:hAnsi="Times New Roman"/>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jc w:val="left"/>
        <w:rPr>
          <w:rFonts w:ascii="Times New Roman" w:hAnsi="Times New Roman"/>
          <w:color w:val="000000"/>
          <w:sz w:val="20"/>
        </w:rPr>
      </w:pPr>
      <w:r>
        <w:rPr>
          <w:rFonts w:ascii="Times New Roman" w:hAnsi="Times New Roman"/>
          <w:color w:val="000000"/>
          <w:sz w:val="20"/>
        </w:rPr>
        <w:b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jc w:val="left"/>
        <w:rPr/>
      </w:pPr>
      <w:r>
        <w:rPr/>
        <w:t> </w:t>
      </w:r>
    </w:p>
    <w:p>
      <w:pPr>
        <w:pStyle w:val="TextBody"/>
        <w:bidi w:val="0"/>
        <w:spacing w:before="240" w:after="200"/>
        <w:jc w:val="left"/>
        <w:rPr>
          <w:rFonts w:ascii="Times New Roman" w:hAnsi="Times New Roman"/>
          <w:b/>
          <w:color w:val="000000"/>
          <w:sz w:val="20"/>
        </w:rPr>
      </w:pPr>
      <w:r>
        <w:rPr>
          <w:rFonts w:ascii="Times New Roman" w:hAnsi="Times New Roman"/>
          <w:b/>
          <w:color w:val="000000"/>
          <w:sz w:val="20"/>
        </w:rPr>
        <w:t>Critical Audit Matter</w:t>
      </w:r>
    </w:p>
    <w:p>
      <w:pPr>
        <w:pStyle w:val="TextBody"/>
        <w:bidi w:val="0"/>
        <w:jc w:val="left"/>
        <w:rPr>
          <w:rFonts w:ascii="Times New Roman" w:hAnsi="Times New Roman"/>
          <w:color w:val="000000"/>
          <w:sz w:val="20"/>
        </w:rPr>
      </w:pPr>
      <w:r>
        <w:rPr>
          <w:rFonts w:ascii="Times New Roman" w:hAnsi="Times New Roman"/>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jc w:val="left"/>
        <w:rPr/>
      </w:pPr>
      <w:r>
        <w:rPr/>
        <w:t> </w:t>
      </w:r>
    </w:p>
    <w:p>
      <w:pPr>
        <w:pStyle w:val="TextBody"/>
        <w:bidi w:val="0"/>
        <w:spacing w:before="240" w:after="240"/>
        <w:jc w:val="left"/>
        <w:rPr>
          <w:rFonts w:ascii="Times New Roman" w:hAnsi="Times New Roman"/>
          <w:b/>
          <w:i/>
          <w:color w:val="000000"/>
          <w:sz w:val="20"/>
        </w:rPr>
      </w:pPr>
      <w:r>
        <w:rPr>
          <w:rFonts w:ascii="Times New Roman" w:hAnsi="Times New Roman"/>
          <w:b/>
          <w:i/>
          <w:color w:val="000000"/>
          <w:sz w:val="20"/>
        </w:rPr>
        <w:t>Prepaid and Accrued Clinical Costs— Refer to Notes 3 and 13 to the financial statements</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Critical Audit Matter Description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recognizes research and development expenses as incurred, which include costs relating to clinical trial and clinical study activities performed by the contract research organizations ("CROs"). Expenses related to clinical trials and studies are based on estimates of the services received and efforts expended pursuant to contracts with each of the CROs. Tracking the progress of the clinical study and trial activities, including payments made by the Company and by the CROs, allows the Company to record the appropriate expense, prepayments, and accruals under the terms of the agreements with the CROs.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identified the estimates for research and development accrued and prepaid CRO expenses, including costs incurred by CROs as a critical audit matter due to the judgments necessary for management to estimate the level of services provided and the costs incurred for the service when the Company has not yet been invoiced or otherwise notified of actual costs. Prepaid CRO expenses are recorded within the balance of short-term deposits on the consolidated balance sheet, while accrued CRO expenses are recorded within the balance of accrued expenses and other current liabilities on the consolidated balance sheet. This required a high degree of auditor judgment and an increased extent of effort when performing audit procedures to audit management's estimates of such accrued and prepaid CRO expenses. </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How the Critical Audit Matter Was Addressed in the Audit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Our audit procedures related to prepaid and accrued clinical costs included the following, among others: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tested the effectiveness of internal controls over the estimation of accrued CRO and prepaid CRO expense calculations, including management’s controls over the assessment and estimation of the costs incurred for significant research and development activities performed by CROs.</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For a sample of contracts, we read the related contracts, purchase orders, statements of work and other contractual documentation. We tested the completeness and accuracy of the information used to develop the estimates and evaluated the significant assumptions used by management to estimate the recorded amounts by performing the following:</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Performed corroborating inquiries with the Company’s research and development personnel to understand the nature and progress of the studies conducted by the CROs.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Inspected information from third-party service provider CRO.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Obtained corresponding invoices and evidence of payment to third-party service provider CROs.</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Boston, Massachusetts </w:t>
        <w:br/>
        <w:t>February 26,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served as the Company’s auditor since 2008.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3" w:name="consolidated_balance_sheets"/>
      <w:bookmarkEnd w:id="33"/>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share and per share data)</w:t>
      </w:r>
    </w:p>
    <w:tbl>
      <w:tblPr>
        <w:tblW w:w="9934" w:type="dxa"/>
        <w:jc w:val="left"/>
        <w:tblInd w:w="0" w:type="dxa"/>
        <w:tblLayout w:type="fixed"/>
        <w:tblCellMar>
          <w:top w:w="28" w:type="dxa"/>
          <w:left w:w="28" w:type="dxa"/>
          <w:bottom w:w="28" w:type="dxa"/>
          <w:right w:w="28" w:type="dxa"/>
        </w:tblCellMar>
      </w:tblPr>
      <w:tblGrid>
        <w:gridCol w:w="6681"/>
        <w:gridCol w:w="146"/>
        <w:gridCol w:w="211"/>
        <w:gridCol w:w="991"/>
        <w:gridCol w:w="166"/>
        <w:gridCol w:w="146"/>
        <w:gridCol w:w="211"/>
        <w:gridCol w:w="991"/>
        <w:gridCol w:w="391"/>
      </w:tblGrid>
      <w:tr>
        <w:trPr/>
        <w:tc>
          <w:tcPr>
            <w:tcW w:w="6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603,057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payable,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royalty interest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right-of-use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capital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103,549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financing, less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331,565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Right-of-use liability,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344,960</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99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333,143</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436,692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10,000,000 shares authorized;</w:t>
              <w:br/>
              <w:t>   0 shares outstanding at December 31,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200,000,000 shares authorized at </w:t>
              <w:br/>
              <w:t xml:space="preserve">December 31, 2025 and December 31, 2024, respectively; 87,405,979 and </w:t>
              <w:br/>
              <w:t xml:space="preserve">85,694,443 shares outstanding at December 31, 2025 and December 31, 2024, </w:t>
              <w:br/>
              <w:t>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1,509,110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(1,506,580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(1,221,158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529,706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724,816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4" w:name="consolidated_statements_operations"/>
      <w:bookmarkEnd w:id="34"/>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9813" w:type="dxa"/>
        <w:jc w:val="left"/>
        <w:tblInd w:w="0" w:type="dxa"/>
        <w:tblLayout w:type="fixed"/>
        <w:tblCellMar>
          <w:top w:w="28" w:type="dxa"/>
          <w:left w:w="28" w:type="dxa"/>
          <w:bottom w:w="28" w:type="dxa"/>
          <w:right w:w="28" w:type="dxa"/>
        </w:tblCellMar>
      </w:tblPr>
      <w:tblGrid>
        <w:gridCol w:w="4891"/>
        <w:gridCol w:w="146"/>
        <w:gridCol w:w="211"/>
        <w:gridCol w:w="1036"/>
        <w:gridCol w:w="166"/>
        <w:gridCol w:w="146"/>
        <w:gridCol w:w="211"/>
        <w:gridCol w:w="1036"/>
        <w:gridCol w:w="166"/>
        <w:gridCol w:w="146"/>
        <w:gridCol w:w="211"/>
        <w:gridCol w:w="1036"/>
        <w:gridCol w:w="411"/>
      </w:tblGrid>
      <w:tr>
        <w:trPr/>
        <w:tc>
          <w:tcPr>
            <w:tcW w:w="4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 revenue,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Milestone, license, and royalty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241,647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163,032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120,879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66,922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445,436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(339,672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(229,954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interest (expense)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20,594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used in calculating: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86,625,610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85,622,065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70,370,519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loss per share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85,622,065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70,370,519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5" w:name="consolidated_statements_comprehensive_lo"/>
      <w:bookmarkEnd w:id="35"/>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p>
    <w:p>
      <w:pPr>
        <w:pStyle w:val="TextBody"/>
        <w:bidi w:val="0"/>
        <w:jc w:val="center"/>
        <w:rPr>
          <w:rFonts w:ascii="Times New Roman" w:hAnsi="Times New Roman"/>
          <w:sz w:val="20"/>
        </w:rPr>
      </w:pPr>
      <w:r>
        <w:rPr>
          <w:rFonts w:ascii="Times New Roman" w:hAnsi="Times New Roman"/>
          <w:i/>
          <w:color w:val="000000"/>
          <w:sz w:val="20"/>
        </w:rPr>
        <w:t>(In thousands)</w:t>
      </w:r>
      <w:r>
        <w:rPr>
          <w:rFonts w:ascii="Times New Roman" w:hAnsi="Times New Roman"/>
          <w:color w:val="000000"/>
          <w:sz w:val="20"/>
        </w:rPr>
        <w:t xml:space="preserve"> </w:t>
      </w:r>
    </w:p>
    <w:p>
      <w:pPr>
        <w:pStyle w:val="TextBody"/>
        <w:bidi w:val="0"/>
        <w:jc w:val="left"/>
        <w:rPr/>
      </w:pPr>
      <w:r>
        <w:rPr/>
        <w:t> </w:t>
      </w:r>
    </w:p>
    <w:tbl>
      <w:tblPr>
        <w:tblW w:w="9273" w:type="dxa"/>
        <w:jc w:val="left"/>
        <w:tblInd w:w="0" w:type="dxa"/>
        <w:tblLayout w:type="fixed"/>
        <w:tblCellMar>
          <w:top w:w="28" w:type="dxa"/>
          <w:left w:w="28" w:type="dxa"/>
          <w:bottom w:w="28" w:type="dxa"/>
          <w:right w:w="28" w:type="dxa"/>
        </w:tblCellMar>
      </w:tblPr>
      <w:tblGrid>
        <w:gridCol w:w="4956"/>
        <w:gridCol w:w="146"/>
        <w:gridCol w:w="211"/>
        <w:gridCol w:w="841"/>
        <w:gridCol w:w="166"/>
        <w:gridCol w:w="146"/>
        <w:gridCol w:w="211"/>
        <w:gridCol w:w="841"/>
        <w:gridCol w:w="166"/>
        <w:gridCol w:w="146"/>
        <w:gridCol w:w="211"/>
        <w:gridCol w:w="841"/>
        <w:gridCol w:w="391"/>
      </w:tblGrid>
      <w:tr>
        <w:trPr/>
        <w:tc>
          <w:tcPr>
            <w:tcW w:w="4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9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marketable securities,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(285,133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(208,336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60" w:after="283"/>
        <w:jc w:val="center"/>
        <w:rPr>
          <w:rFonts w:ascii="Times New Roman" w:hAnsi="Times New Roman"/>
          <w:sz w:val="20"/>
        </w:rPr>
      </w:pPr>
      <w:bookmarkStart w:id="36" w:name="consolidated_statements_convertible_pref"/>
      <w:bookmarkEnd w:id="36"/>
      <w:r>
        <w:rPr>
          <w:rFonts w:ascii="Times New Roman" w:hAnsi="Times New Roman"/>
          <w:b/>
          <w:color w:val="000000"/>
          <w:sz w:val="20"/>
        </w:rPr>
        <w:t>CONSOLIDATED STATEMENTS OF</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STOCKHOLDERS’ EQUITY</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i/>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169"/>
        <w:gridCol w:w="146"/>
        <w:gridCol w:w="146"/>
        <w:gridCol w:w="766"/>
        <w:gridCol w:w="146"/>
        <w:gridCol w:w="146"/>
        <w:gridCol w:w="196"/>
        <w:gridCol w:w="375"/>
        <w:gridCol w:w="146"/>
        <w:gridCol w:w="146"/>
        <w:gridCol w:w="181"/>
        <w:gridCol w:w="691"/>
        <w:gridCol w:w="146"/>
        <w:gridCol w:w="146"/>
        <w:gridCol w:w="299"/>
        <w:gridCol w:w="722"/>
        <w:gridCol w:w="151"/>
        <w:gridCol w:w="146"/>
        <w:gridCol w:w="181"/>
        <w:gridCol w:w="736"/>
        <w:gridCol w:w="151"/>
        <w:gridCol w:w="146"/>
        <w:gridCol w:w="207"/>
        <w:gridCol w:w="724"/>
        <w:gridCol w:w="196"/>
      </w:tblGrid>
      <w:tr>
        <w:trPr/>
        <w:tc>
          <w:tcPr>
            <w:tcW w:w="31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Common Stock</w:t>
              <w:br/>
              <w:t>$0.0001</w:t>
              <w:br/>
              <w:t>Par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w:t>
              <w:br/>
              <w:t>Stockholders'</w:t>
              <w:br/>
              <w:t>Equity</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(Loss)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(Deficit)</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Balance—January 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68,111,385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1,161,288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(693,040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467,449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direct offering, net of $14,044</w:t>
            </w:r>
            <w:r>
              <w:rPr>
                <w:rFonts w:ascii="Times New Roman" w:hAnsi="Times New Roman"/>
                <w:color w:val="000000"/>
                <w:sz w:val="20"/>
              </w:rPr>
              <w:t> </w:t>
            </w:r>
            <w:r>
              <w:rPr>
                <w:rFonts w:ascii="Times New Roman" w:hAnsi="Times New Roman"/>
                <w:color w:val="000000"/>
                <w:sz w:val="14"/>
              </w:rPr>
              <w:t>offering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12,432,431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215,955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4"/>
              </w:rPr>
              <w:t>Proceeds from at-the-market offerings, net of $1,086</w:t>
            </w:r>
            <w:r>
              <w:rPr>
                <w:rFonts w:ascii="Times New Roman" w:hAnsi="Times New Roman"/>
                <w:color w:val="000000"/>
                <w:sz w:val="20"/>
              </w:rPr>
              <w:t> </w:t>
            </w:r>
            <w:r>
              <w:rPr>
                <w:rFonts w:ascii="Times New Roman" w:hAnsi="Times New Roman"/>
                <w:color w:val="000000"/>
                <w:sz w:val="14"/>
              </w:rPr>
              <w:t>offering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2,719,744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42,139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30,951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Pre-funded warrant cashless exercise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857,131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662,042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5,128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(209,360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(209,360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84,826,632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1,456,370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(902,400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554,196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43,026</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loss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64,903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1,715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717,413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8,000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(318,758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(318,758</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85,694,443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1,509,110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(1,221,158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288,124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47,963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Unrealized gain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Employee withholdings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Vesting of RSU</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410,707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1,135,977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12,138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(285,422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(285,422</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31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Balance—December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87,405,979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3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1,570,749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(1,506,580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7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64,630</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 xml:space="preserve">The accompanying notes are an integral part of these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7" w:name="consolidated_statements_cash_flows"/>
      <w:bookmarkEnd w:id="3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043" w:type="dxa"/>
        <w:jc w:val="left"/>
        <w:tblInd w:w="0" w:type="dxa"/>
        <w:tblLayout w:type="fixed"/>
        <w:tblCellMar>
          <w:top w:w="28" w:type="dxa"/>
          <w:left w:w="28" w:type="dxa"/>
          <w:bottom w:w="28" w:type="dxa"/>
          <w:right w:w="28" w:type="dxa"/>
        </w:tblCellMar>
      </w:tblPr>
      <w:tblGrid>
        <w:gridCol w:w="5641"/>
        <w:gridCol w:w="146"/>
        <w:gridCol w:w="196"/>
        <w:gridCol w:w="751"/>
        <w:gridCol w:w="166"/>
        <w:gridCol w:w="146"/>
        <w:gridCol w:w="196"/>
        <w:gridCol w:w="751"/>
        <w:gridCol w:w="166"/>
        <w:gridCol w:w="146"/>
        <w:gridCol w:w="196"/>
        <w:gridCol w:w="751"/>
        <w:gridCol w:w="791"/>
      </w:tblGrid>
      <w:tr>
        <w:trPr/>
        <w:tc>
          <w:tcPr>
            <w:tcW w:w="56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(285,422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(318,758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(209,360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Adjustments to reconcile net loss to net cash (used in) provided by</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Accretion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(14,803</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43,026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30,951</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Amortization of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Provision for credit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Inventory reserves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(30,394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676</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Collaboration (payable)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11,999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10,706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(6,436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4,954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5,611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19,139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14,867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7"/>
              </w:rPr>
            </w:pPr>
            <w:r>
              <w:rPr>
                <w:rFonts w:ascii="Times New Roman" w:hAnsi="Times New Roman"/>
                <w:color w:val="000000"/>
                <w:sz w:val="17"/>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(322,980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(274,903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(160,601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Purchases of short and 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(195,807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(557,052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(354,606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maturities of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486,030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337,277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472,215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cash provided by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290,036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(219,775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117,609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 xml:space="preserve">Proceeds from issuance of common stock in follow on public </w:t>
              <w:br/>
              <w:t>    offerings,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215,955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 xml:space="preserve">Proceeds from issuance of common stock in at-the-market </w:t>
              <w:br/>
              <w:t>    offering,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42,139</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Purchase and Sale agreement,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343,652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7"/>
              </w:rPr>
            </w:pPr>
            <w:r>
              <w:rPr>
                <w:rFonts w:ascii="Times New Roman" w:hAnsi="Times New Roman"/>
                <w:color w:val="000000"/>
                <w:sz w:val="17"/>
              </w:rPr>
              <w:t>Proceeds from stock option exercises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8,000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5,128</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7"/>
              </w:rPr>
            </w:pPr>
            <w:r>
              <w:rPr>
                <w:rFonts w:ascii="Times New Roman" w:hAnsi="Times New Roman"/>
                <w:color w:val="000000"/>
                <w:sz w:val="17"/>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353,367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264,132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(DECREASE) INCREASE IN CASH, CASH EQUIVALENTS</w:t>
              <w:br/>
              <w:t>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(19,268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(141,311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221,140</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CASH—beginning of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154,300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295,611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74,471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154,300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295,611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Supplemental Schedule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paid for royalty interest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costs in 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250</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Lease assets recognized upon lease remeasurement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a reconciliation of cash, cash equivalents, and restricted cash equivalents reported within the consolidated balance sheets that sum to the total of the amounts shown in the consolidated statements of cash flows:</w:t>
      </w:r>
    </w:p>
    <w:p>
      <w:pPr>
        <w:pStyle w:val="TextBody"/>
        <w:bidi w:val="0"/>
        <w:jc w:val="left"/>
        <w:rPr/>
      </w:pPr>
      <w:r>
        <w:rPr/>
        <w:t> </w:t>
      </w:r>
    </w:p>
    <w:tbl>
      <w:tblPr>
        <w:tblW w:w="6568" w:type="dxa"/>
        <w:jc w:val="left"/>
        <w:tblInd w:w="0" w:type="dxa"/>
        <w:tblLayout w:type="fixed"/>
        <w:tblCellMar>
          <w:top w:w="28" w:type="dxa"/>
          <w:left w:w="28" w:type="dxa"/>
          <w:bottom w:w="28" w:type="dxa"/>
          <w:right w:w="28" w:type="dxa"/>
        </w:tblCellMar>
      </w:tblPr>
      <w:tblGrid>
        <w:gridCol w:w="2986"/>
        <w:gridCol w:w="146"/>
        <w:gridCol w:w="196"/>
        <w:gridCol w:w="691"/>
        <w:gridCol w:w="146"/>
        <w:gridCol w:w="146"/>
        <w:gridCol w:w="196"/>
        <w:gridCol w:w="691"/>
        <w:gridCol w:w="146"/>
        <w:gridCol w:w="146"/>
        <w:gridCol w:w="196"/>
        <w:gridCol w:w="691"/>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134,930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295,394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217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135,032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154,300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295,611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SYNDAX PHARMACEUTICALS,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38" w:name="notes_to_consolidated_financial_statemen"/>
      <w:bookmarkEnd w:id="38"/>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Syndax Pharmaceuticals, Inc., or the Company or Syndax, is a commercial-stage biopharmaceutical company developing an innovative pipeline of cancer therapies. The Company currently has two commercially approved medicines and a robust slate of clinical development programs.</w:t>
      </w:r>
    </w:p>
    <w:p>
      <w:pPr>
        <w:pStyle w:val="TextBody"/>
        <w:bidi w:val="0"/>
        <w:spacing w:before="120" w:after="160"/>
        <w:jc w:val="left"/>
        <w:rPr>
          <w:rFonts w:ascii="Times New Roman" w:hAnsi="Times New Roman"/>
          <w:sz w:val="20"/>
        </w:rPr>
      </w:pPr>
      <w:r>
        <w:rPr>
          <w:rFonts w:ascii="Times New Roman" w:hAnsi="Times New Roman"/>
          <w:color w:val="000000"/>
          <w:sz w:val="20"/>
        </w:rPr>
        <w:t>Revuforj</w:t>
      </w:r>
      <w:r>
        <w:rPr>
          <w:rFonts w:ascii="Times New Roman" w:hAnsi="Times New Roman"/>
          <w:color w:val="000000"/>
          <w:sz w:val="13"/>
        </w:rPr>
        <w:t>®</w:t>
      </w:r>
      <w:r>
        <w:rPr>
          <w:rFonts w:ascii="Times New Roman" w:hAnsi="Times New Roman"/>
          <w:color w:val="000000"/>
          <w:sz w:val="20"/>
        </w:rPr>
        <w:t xml:space="preserve"> (revumenib) is a first-in-class menin inhibitor that was FDA-approved in November 2024 for the treatment of relapsed or refractory, or R/R, acute leukemia with a lysine methyltransferase 2A gene, or KMT2A, translocation in adult and pediatric patients one year old and older. In October 2025, Revuforj received a second approval from the FDA for the treatment of R/R acute myeloid leukemia, or AML, with a susceptible nucleophosmin 1 mutation, or NPM1m, in adult and pediatric patients one year and older who have no satisfactory alternative treatment options. We are also studying revumenib in combination with standard-of-care agents in NPM1m AML or KMT2A acute leukemia across the treatment landscape, including in newly diagnosed patients. Additionally, we are exploring the potential for menin inhibition in myelofibrosis.</w:t>
      </w:r>
    </w:p>
    <w:p>
      <w:pPr>
        <w:pStyle w:val="TextBody"/>
        <w:bidi w:val="0"/>
        <w:jc w:val="left"/>
        <w:rPr>
          <w:rFonts w:ascii="Times New Roman" w:hAnsi="Times New Roman"/>
          <w:color w:val="000000"/>
          <w:sz w:val="20"/>
        </w:rPr>
      </w:pPr>
      <w:r>
        <w:rPr>
          <w:rFonts w:ascii="Times New Roman" w:hAnsi="Times New Roman"/>
          <w:color w:val="000000"/>
          <w:sz w:val="20"/>
        </w:rPr>
        <w:t>Niktimvo (axatilimab-csfr) is a first-in-class colony stimulating factor-1 receptor, or CSF-1R, blocking antibody that was FDA-approved in August 2024 for the treatment of chronic graft-versus-host disease, or cGVHD, after failure of at least two prior lines of systemic therapy in adult and pediatric patients weighing at least 40 kg. Axatilimab is in development for the treatment of newly diagnosed cGVHD patients in combination with standard of care therapies, as well for the treatment of idiopathic pulmonary fibrosis. The Company plans to continue to leverage the technical and business expertise of its management team and scientific collaborators to license, acquire and develop additional therapeutics to expand its pipeline.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is subject to risks common to companies with newly approved products and robust ongoing clinical programs, including, but not limited to, successful commercialization of its medicines, successful development of additional therapeutics, obtaining additional funding, protection of proprietary therapeutics, compliance with government regulations, fluctuations in operating results, dependence on key personnel and collaborative partners, and risks associated with industry changes. The Company’s long-term success is dependent upon its ability to successfully market its current products, develop new product candidates, expand its oncology drug pipeline, earn revenue, obtain additional capital when needed, and ultimately, achieve profitable operations. Management expects to incur substantial losses on the ongoing development of its product candidates and the Company may not achieve positive cash flow from operations in the near future, if ever. As a result, the Company may continue to require additional capital to move forward with its business plan. While certain amounts of this additional capital were raised in the past, there can be no assurance that funds necessary beyond these amounts will be available in amounts or on terms sufficient to ensure ongoing operations.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management believes that the cash, cash equivalents and short-term investments balances as of December 31, 2025, should enable the Company to maintain its planned operations for at least 12 months from the issuance date of these financial statements. The Company’s ability to fund all of its planned operations internally beyond that date, including the successful commercialization of its products and the completion of its ongoing and planned clinical trial activities, may be substantially dependent upon whether the Company can obtain sufficient funding on terms acceptable to the Company. Proceeds from additional capital transactions may allow the Company to accelerate and/or expand its planned research and development activities. In the event that sufficient funds were not available, the Company may be required to delay or reduce expenditures to conserve cash, which could involve scaling back or curtailing development and selling, general and administrative activities.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subject to challenges and risks specific to its business and ability to execute on the strategy, as well as risks and uncertainties common to companies in the pharmaceutical industry with development and commercial operations, including, without limitation, risks and uncertainties associated with: successfully launching the Company's products; obtaining regulatory approval for additional indications for the Company's products and product candidates; delays or problems in the supply of the Company’s products, loss of single source suppliers or failure to comply with manufacturing regulations; identifying, acquiring or in-licensing additional products or product candidates; pharmaceutical product development and the inherent uncertainty of clinical success; and the challenges of protecting and enhancing the Company’s intellectual property rights; complying with applicable regulatory requirements.</w:t>
      </w:r>
    </w:p>
    <w:p>
      <w:pPr>
        <w:pStyle w:val="TextBody"/>
        <w:bidi w:val="0"/>
        <w:spacing w:before="360" w:after="283"/>
        <w:jc w:val="left"/>
        <w:rPr>
          <w:rFonts w:ascii="Times New Roman" w:hAnsi="Times New Roman"/>
          <w:sz w:val="20"/>
        </w:rPr>
      </w:pPr>
      <w:r>
        <w:rPr>
          <w:rFonts w:ascii="Times New Roman" w:hAnsi="Times New Roman"/>
          <w:b/>
          <w:color w:val="000000"/>
          <w:sz w:val="20"/>
        </w:rPr>
        <w:t>2. Basis of Presentation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has prepared the accompanying consolidated financial statements in conformity with accounting principles generally accepted in the United States of America or U.S. GAAP.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Certain prior amounts reported in the accompanying consolidated financial statements and notes thereto have been reclassified to conform to the current year presentation. Specifically, the change in royalty payable presented within the consolidated balance sheet for the period ended December 31, 2024, of $0.3 million was originally reported within the caption royalty payable and had been separately presented in the comparative presentation. For the period ended December 31, 2025, the royalties payable to AbbVie and UCB, based on net sales of Revuforj and Niktimvo, respectively, is included in accrued expenses and other current liabilities. Additionally, the interest expense recognized as part of the Royalty Pharma Purchase and Sale Agreement is presented separately on the consolidated statement of operations. For the period ended December 31, 2024, this expense was reported within interest expense. Such reclassification did not affect loss from operations, total assets, total liabilities, cash used in operations, or net loss.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2011, the Company established a wholly-owned subsidiary in the United Kingdom, which the Company dissolved in June 2024. In 2014, the Company established a wholly-owned U.S. subsidiary, which the Company dissolved in July 2025. In 2021, the Company established a wholly-owned subsidiary in the Netherlands. To date, there have been no material activities for these entities. All intercompany balances and transactions have been eliminated in consolidation.</w:t>
      </w:r>
    </w:p>
    <w:p>
      <w:pPr>
        <w:pStyle w:val="TextBody"/>
        <w:bidi w:val="0"/>
        <w:spacing w:before="360" w:after="283"/>
        <w:jc w:val="left"/>
        <w:rPr>
          <w:rFonts w:ascii="Times New Roman" w:hAnsi="Times New Roman"/>
          <w:sz w:val="20"/>
        </w:rPr>
      </w:pPr>
      <w:r>
        <w:rPr>
          <w:rFonts w:ascii="Times New Roman" w:hAnsi="Times New Roman"/>
          <w:b/>
          <w:color w:val="000000"/>
          <w:sz w:val="20"/>
        </w:rPr>
        <w:t>3. 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U.S. GAAP requires management to make estimates and assumptions that affect the reported amounts of assets and liabilities and the disclosure of contingent assets and liabilities at the date of the consolidated financial statements and the reported amounts of costs and expenses during the reporting period. The Company bases estimates and assumptions on historical experience when available and on various factors that it believes to be reasonable under the circumstances. The Company evaluates its estimates and assumptions on an ongoing basis. The Company’s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Estimates and assumptions about future events and their effects cannot be determined with certainty and therefore require the exercise of judgment. As of the date of issuance of these financial statements, the Company is not aware of any specific event or circumstance that would require the Company to update its estimates, assumptions and judgments or revise the carrying value of its assets or liabilities. These estimates may change as new events occur and additional information is obtained and are recognized in the consolidated financial statements as soon as they become known. Actual results could differ from those estimates and any such differences may be material to the Company’s consolidated financial statements.</w:t>
      </w:r>
    </w:p>
    <w:p>
      <w:pPr>
        <w:pStyle w:val="TextBody"/>
        <w:bidi w:val="0"/>
        <w:spacing w:before="240" w:after="283"/>
        <w:jc w:val="left"/>
        <w:rPr>
          <w:rFonts w:ascii="Times New Roman" w:hAnsi="Times New Roman"/>
          <w:sz w:val="20"/>
        </w:rPr>
      </w:pPr>
      <w:r>
        <w:rPr>
          <w:rFonts w:ascii="Times New Roman" w:hAnsi="Times New Roman"/>
          <w:b/>
          <w:i/>
          <w:color w:val="000000"/>
          <w:sz w:val="20"/>
        </w:rPr>
        <w:t>Cash Equivalents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equivalents include all highly liquid investments maturing within 90 days or less from the date of purchase. Cash equivalents include money market funds, corporate debt securities, U.S. government agency notes, and overnight deposits.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Restricted Cash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classifies as restricted cash all cash pledged as collateral to secure long-term obligations and all cash whose use is otherwise limited by contractual provisions. Amounts are reported as non-current unless restrictions are expected to be released in the next 12 months.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Marketable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investments in marketable securities are classified as available-for-sale and are reported at fair value with unrealized gains and losses excluded from earnings and reported net of tax in accumulated other comprehensive income, which is a component of stockholders’ equity. Unrealized losses that are determined to be other-than-temporary, based on current and expected market conditions, are recognized in earnings. Declines in fair value determined to be credit related are charged to earnings. The cost of marketable securities sold is determined by the specific identification method.</w:t>
      </w:r>
    </w:p>
    <w:p>
      <w:pPr>
        <w:pStyle w:val="TextBody"/>
        <w:bidi w:val="0"/>
        <w:spacing w:before="240" w:after="283"/>
        <w:jc w:val="left"/>
        <w:rPr>
          <w:rFonts w:ascii="Times New Roman" w:hAnsi="Times New Roman"/>
          <w:sz w:val="20"/>
        </w:rPr>
      </w:pPr>
      <w:r>
        <w:rPr>
          <w:rFonts w:ascii="Times New Roman" w:hAnsi="Times New Roman"/>
          <w:b/>
          <w:i/>
          <w:color w:val="000000"/>
          <w:sz w:val="20"/>
        </w:rPr>
        <w:t>Segment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Operating segments are identified as components of an enterprise about which separate discrete financial information is available for evaluation by the chief operating decision maker, or CODM, or decision-making group, in making decisions regarding resource allocation and assessing performance. The CODM is the Company's Chief Executive Officer. The Company has one operating and reportable segment. </w:t>
      </w:r>
    </w:p>
    <w:p>
      <w:pPr>
        <w:pStyle w:val="TextBody"/>
        <w:bidi w:val="0"/>
        <w:spacing w:before="240" w:after="283"/>
        <w:jc w:val="left"/>
        <w:rPr>
          <w:rFonts w:ascii="Times New Roman" w:hAnsi="Times New Roman"/>
          <w:sz w:val="20"/>
        </w:rPr>
      </w:pPr>
      <w:r>
        <w:rPr>
          <w:rFonts w:ascii="Times New Roman" w:hAnsi="Times New Roman"/>
          <w:b/>
          <w:i/>
          <w:color w:val="000000"/>
          <w:sz w:val="20"/>
        </w:rPr>
        <w:t>Concentrations of Credit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and cash equivalents, restricted cash, and short- and long-term investments are financial instruments that potentially subject the Company to concentrations of credit risk. Substantially all of the Company’s cash, cash equivalents, and short- and long-term investments were deposited in accounts at two financial institutions, and at times, such deposits may exceed federally insured limits. The Company has not experienced any losses in such accounts, and management believes that the Company is not exposed to significant credit risk due to the financial position of the depository institutions in which those deposits are held. The Company’s available-for-sale investments primarily consist of government money market funds, corporate debt securities, commercial paper, credit card asset-backed securities and overnight deposits and potentially subject the Company to concentrations of credit risk.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Customer and Supplier Concentration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exposure to credit risk in accounts receivable from sales of Revuforj. Revuforj is sold to Specialty Distributors and Specialty Pharmacies, who subsequently sell Revuforj to pharmacies, hospitals and other customers. Four customers represented 92% of the Company's accounts receivable and net product sales as of and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Five customers represented 100% of the Company's accounts receivable and net product sales as of and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outsources the manufacturing of its products to contract manufacturers. In addition, the Company currently relies on a limited number of suppliers for the active pharmaceutical ingredients in its products. Accordingly, the Company has concentration risk associated with its commercial manufacturing.</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Accounts receivable primarily relates to amounts due from customers, which are typically due within 45 to 65 days. The Company analyzes accounts that are past due for collectability. To date, the Company has not experienced any credit losses with respect to the collection of its accounts receivable and has not recorded an allowance for credit losses as of December 31, 2025 and 2024. The Company has no financial instruments with off balance sheet risk of loss.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Inventories are stated at the lower of cost or net realizable value. Costs of inventories, which include amounts related to materials and manufacturing overhead, are determined on a first-in, first-out basis. An assessment of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recoverability of capitalized inventory is performed during each reporting period and any excess and obsolete inventories are reserved for or written down to their estimated net realizable value in the period in which the impairment is first identified. The Company has recognized prepaid inventory within prepaid expenses and other current assets for the year ended December 31, 2025, representing the cost of goods purchased in advance from vendors, which will be recognized as inventory upon delivery and acceptance to the Company's designated location.</w:t>
      </w:r>
    </w:p>
    <w:p>
      <w:pPr>
        <w:pStyle w:val="TextBody"/>
        <w:bidi w:val="0"/>
        <w:spacing w:before="240" w:after="283"/>
        <w:jc w:val="left"/>
        <w:rPr>
          <w:rFonts w:ascii="Times New Roman" w:hAnsi="Times New Roman"/>
          <w:sz w:val="20"/>
        </w:rPr>
      </w:pPr>
      <w:r>
        <w:rPr>
          <w:rFonts w:ascii="Times New Roman" w:hAnsi="Times New Roman"/>
          <w:b/>
          <w:i/>
          <w:color w:val="000000"/>
          <w:sz w:val="20"/>
        </w:rPr>
        <w:t>Property and Equipment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and equipment are recorded at cost. Depreciation is recorded using the straight-line method over the estimated useful lives of the assets (three to five years). Assets under capital leases are amortized over the shorter of their useful lives or lease term using the straight-line method. Major replacements and improvements are capitalized, while general repairs and maintenance are expensed as incurred. </w:t>
      </w:r>
    </w:p>
    <w:p>
      <w:pPr>
        <w:pStyle w:val="TextBody"/>
        <w:bidi w:val="0"/>
        <w:spacing w:before="240" w:after="283"/>
        <w:jc w:val="left"/>
        <w:rPr>
          <w:rFonts w:ascii="Times New Roman" w:hAnsi="Times New Roman"/>
          <w:sz w:val="20"/>
        </w:rPr>
      </w:pPr>
      <w:r>
        <w:rPr>
          <w:rFonts w:ascii="Times New Roman" w:hAnsi="Times New Roman"/>
          <w:b/>
          <w:i/>
          <w:color w:val="000000"/>
          <w:sz w:val="20"/>
        </w:rPr>
        <w:t>Impairment of Long-Lived Assets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Long-lived assets are reviewed for impairment whenever events or changes in circumstances indicate that the carrying amount of the asset may not be recoverable. When such events occur, the Company compares the carrying amounts of the assets to their undiscounted expected future cash flows. If this comparison indicates that there is impairment, the amount of impairment is calculated as the difference between the carrying value and fair value. To date, no such impairments have been recognized.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 Recognition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when its customer obtains control of promised goods or services, in an amount that reflects the consideration which we expect to receive in exchange for those goods or services. The Company recognize revenue following the five – step model prescribed under FASB Accounting Standards Codification (ASC 606), Revenue from Contracts with Customers: (i) identify contract(s) with customer; (ii) identify the performance obligations in the contract; (iii) determine the transaction price; (iv) allocate the transaction price to the performance obligations in the contract; and (v) recognize revenue when (or as) we satisfy the performance obligations. The Company only recognizes revenue when it is probable that it will collect the consideration to which it is entitled in exchange for the goods or services that will be transferred to the customer.</w:t>
      </w:r>
    </w:p>
    <w:p>
      <w:pPr>
        <w:pStyle w:val="TextBody"/>
        <w:bidi w:val="0"/>
        <w:spacing w:before="120" w:after="283"/>
        <w:jc w:val="left"/>
        <w:rPr>
          <w:rFonts w:ascii="Times New Roman" w:hAnsi="Times New Roman"/>
          <w:sz w:val="20"/>
        </w:rPr>
      </w:pPr>
      <w:r>
        <w:rPr>
          <w:rFonts w:ascii="Times New Roman" w:hAnsi="Times New Roman"/>
          <w:i/>
          <w:color w:val="000000"/>
          <w:sz w:val="20"/>
          <w:u w:val="single"/>
        </w:rPr>
        <w:t>Product Revenue</w:t>
      </w:r>
      <w:r>
        <w:rPr>
          <w:rFonts w:ascii="Times New Roman" w:hAnsi="Times New Roman"/>
          <w:color w:val="000000"/>
          <w:sz w:val="2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sells Revuforj to specialty distributors and specialty pharmacies, or collectively, Customers. These Customers subsequently resell Revuforj to healthcare providers, patients and other pharmacies. In addition to agreements with Customers, the Company enters into arrangements with healthcare providers and payors that provide for government-mandated and/or privately-negotiated rebates, chargebacks and discounts for the purchase of Revuforj.</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recognizes revenue from product sales at the point Customers obtain control of the product, which generally occurs upon delivery. The transaction price that is recognized as product revenue includes an estimate of variable consideration which is described below. Payment terms with Customers do not exceed one year and, therefore, the Company does not account for a financing component in its arrangements. The Company expenses incremental costs of obtaining a contract with a Customer (for example, sales commissions) when incurred as the period of benefit is less than one year. Shipping and handling costs for product shipments to Customers are recorded as 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products is recognized at the estimated net sales price (transaction price), which includes estimates of variable consideration. The Company includes estimated amounts in the transaction price to the extent it is determined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its anticipated performance and all information (historical, current and forecasted) that is reasonably available. The components of the Company's variable consideration include the following:</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Provider Chargebacks and Discounts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Chargebacks for fees and discounts to providers represent the estimated obligations resulting from contractual commitments to sell products to qualified healthcare providers at prices lower than the list prices charged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Customers who directly purchase the product from the Company. Customers charge the Company for the difference between what they pay for the product and the ultimate selling price to the qualified healthcare providers. These components of variable consideration are established in the same period that the related revenue is recognized, resulting in a reduction of product revenue and accounts receivable. These reserves are recorded as a reduction of revenue and accounts receivable in the period in which the related product revenue is recognized.</w:t>
      </w:r>
    </w:p>
    <w:p>
      <w:pPr>
        <w:pStyle w:val="TextBody"/>
        <w:bidi w:val="0"/>
        <w:jc w:val="left"/>
        <w:rPr/>
      </w:pPr>
      <w:r>
        <w:rPr/>
        <w:t>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Trade Discounts and Allowances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generally provides Customers with discounts that include incentive fees which are explicitly stated in the Company’s contracts. These discounts are recorded as a reduction of revenue and accounts receivable in the period in which the related product revenue is recognized. These reserves are recorded as a reduction of revenue and accounts receivable in the period in which the related product revenue is recognized.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Product Returns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Consistent with industry practice, the Company has a product returns policy that provides Customers a right of return for product purchased within a specified period prior to and subsequent to the product’s expiration date. The Company estimates the amount of its products that may be returned and presents this amount as a reduction of revenue in the period the related product revenue is recognized, in addition to establishing a current liability. The Company considers several factors in the estimation process, including expiration dates of product shipped to Customers, inventory levels within the distribution channel, product shelf life, prescription trends and other relevant factors. These reserves are recorded as a reduction of revenue in the period in which the related product revenue is recognized.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Government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subject to discount obligations under state Medicaid programs and Medicare. Reserves related to these discount obligations are recorded in the same period the related revenue is recognized, resulting in a reduction of product revenue and the establishment of a current liability. The Company’s liability for these rebates consists of estimates of claims for the current reporting period and estimated future claims that will be made for product that has been recognized as revenue but remains in the distribution channel inventories at the end of the reporting period. These reserves are recorded as a reduction of revenue in the period in which the related product revenue is recognized.</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Patient Assistance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programs that the Company offers include voluntary co-pay patient assistance programs intended to provide financial assistance to eligible patients with prescription drug co-payments required by payors and coupon programs for cash payors. The calculation of the current liability for this assistance is based on an estimate of claims and the cost per claim that the Company expects to receive associated with product that has been recognized as revenue but remain as in the distribution channel inventories at the end of each reporting period. These reserves are recorded as a reduction of revenue in the period in which the related product revenue is recognized.</w:t>
      </w:r>
    </w:p>
    <w:p>
      <w:pPr>
        <w:pStyle w:val="TextBody"/>
        <w:bidi w:val="0"/>
        <w:spacing w:before="120" w:after="283"/>
        <w:jc w:val="left"/>
        <w:rPr>
          <w:rFonts w:ascii="Times New Roman" w:hAnsi="Times New Roman"/>
          <w:sz w:val="20"/>
        </w:rPr>
      </w:pPr>
      <w:r>
        <w:rPr>
          <w:rFonts w:ascii="Times New Roman" w:hAnsi="Times New Roman"/>
          <w:i/>
          <w:color w:val="000000"/>
          <w:sz w:val="20"/>
        </w:rPr>
        <w:t>Distribution and Other Fees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pay distribution and other fees to certain customers in connection with the sales of our products. We record distribution and other fees paid to our customers as a reduction of revenue, unless the payment is for a distinct good or service from the customer and we can reasonably estimate the fair value of the goods or services received. If both conditions are met, we record the consideration paid to the customer as an operating expense. These costs are typically known at the time of sale, resulting in minimal adjustments subsequent to the period of sale. These reserves are recorded as a reduction of revenue in the period in which the related product revenue is recognized.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Development Milestone Payments</w:t>
      </w:r>
      <w:r>
        <w:rPr>
          <w:rFonts w:ascii="Times New Roman" w:hAnsi="Times New Roman"/>
          <w:color w:val="000000"/>
          <w:sz w:val="20"/>
        </w:rPr>
        <w:t xml:space="preserve">: The Company evaluates whether 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generally not considered probable of being achieved until those approvals are received. The transaction price is then allocated to each performance obligation on a relative stand-alone selling price basis, for which the Company recognizes revenue as or when the performance obligations under the contract are satisfied. At the end of each subsequent reporting period, the Company re-evaluates the probability of achievement of such development milestones and any related constraint, and if necessary, adjusts its estimate of the overall transaction price. Any such adjustments are recorded on a cumulative catch-up basis, which would affect license fees and earnings in the period of adjustment. </w:t>
      </w:r>
    </w:p>
    <w:p>
      <w:pPr>
        <w:pStyle w:val="TextBody"/>
        <w:bidi w:val="0"/>
        <w:spacing w:before="240" w:after="283"/>
        <w:jc w:val="left"/>
        <w:rPr>
          <w:rFonts w:ascii="Times New Roman" w:hAnsi="Times New Roman"/>
          <w:sz w:val="20"/>
        </w:rPr>
      </w:pPr>
      <w:r>
        <w:rPr>
          <w:rFonts w:ascii="Times New Roman" w:hAnsi="Times New Roman"/>
          <w:i/>
          <w:color w:val="000000"/>
          <w:sz w:val="20"/>
          <w:u w:val="single"/>
        </w:rPr>
        <w:t>Commercial Milestone Payments and Royalties</w:t>
      </w:r>
      <w:r>
        <w:rPr>
          <w:rFonts w:ascii="Times New Roman" w:hAnsi="Times New Roman"/>
          <w:color w:val="000000"/>
          <w:sz w:val="20"/>
        </w:rPr>
        <w:t xml:space="preserve">: For arrangements that include sales-based royalties, including milestone payments based on the level of commercial sales, and the license is deemed to be the predominant item to which the royalties or commercial milestones relate, the Company will recognize revenue at the later of when the related sales occur or when the performance obligation to which some or all of the royalty has been allocated has been satisfied (or partially satisfied). A $10.0 million commercial milestone expense was recognized as part of selling, general and administrative expenses in the fourth quarter of 2025 upon the achievement of $150.0 million of net sales of Niktimvo.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When no performance obligations are required of the Company, or following the completion of the performance obligation period, such amounts are recognized as revenue upon transfer of control of the goods or services to the customer. Generally, all amounts received or due other than sales-based milestones and royalties are classified as license fees.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Deferred revenue arises from amounts received in advance of the culmination of the earnings process and is recognized as revenue in future periods as performance obligations are satisfied. Deferred revenue expected to be recognized within the next twelve months is classified as a current liability. Upfront payment contract liabilities resulting from the Company’s license agreements do not represent a financing component as the payment is not financing the transfer of goods or services, and the technology underlying the licenses granted reflects research and development expenses already incurred by the Company.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For additional information on our collaboration and license arrangements, please read </w:t>
      </w:r>
      <w:r>
        <w:rPr>
          <w:rFonts w:ascii="Times New Roman" w:hAnsi="Times New Roman"/>
          <w:i/>
          <w:color w:val="000000"/>
          <w:sz w:val="20"/>
        </w:rPr>
        <w:t>Note 4, Collaborative Research and License Agreements</w:t>
      </w:r>
      <w:r>
        <w:rPr>
          <w:rFonts w:ascii="Times New Roman" w:hAnsi="Times New Roman"/>
          <w:color w:val="000000"/>
          <w:sz w:val="20"/>
        </w:rPr>
        <w:t xml:space="preserve">, to these consolidated financial statements. </w:t>
      </w:r>
    </w:p>
    <w:p>
      <w:pPr>
        <w:pStyle w:val="TextBody"/>
        <w:bidi w:val="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0"/>
        </w:rPr>
        <w:t>Advertising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expenses the costs of advertising, including promotional expenses, as incurred. Advertising expenses were $14.4 million, $7.3 million, and $6.1 million for the years ended December 31, 2025, 2024, and 2023,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costs are expensed as incurred. Research and development expenses include payroll and personnel expenses, consulting costs, external contract research and development expenses, and allocated overhead, including rent, equipment depreciation, and utilities. Research and development costs that are paid in advance of performance are capitalized as a prepaid expense and amortized over the service period as the services are provided. The Company expenses upfront license payments related to acquired technologies that have not yet reached technological feasibility and have no alternative future use.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instances where the Company enters into cost-sharing arrangements, all research and development costs reimbursed by the collaborators are accounted for as reductions to research and development expense. During the years ended December 31, 2025, 2024 and 2023 the Company has incurred external costs related to the Incyte cost-sharing collaboration.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Costs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study and trial costs are a component of research and development expenses. The Company expenses clinical trial activities performed by third parties based on an evaluation of the progress to completion of specific contract tasks using data such as patient enrollment, clinical site activations, or other information provided to us by our vendors. Depending on the progression of the contract and timing of invoicing and payment the research and development expense can be an accrued expense or a prepaid expense. Prepaid clinical study and trial costs are included in short-term deposits on the accompanying consolidated balance sheet. </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records deferred tax assets and liabilities for the expected future tax consequences of temporary differences between the Company’s financial statement carrying amounts and the tax bases of assets and liabilities and for loss and credit carryforwards using enacted tax rates expected to be in effect in the years in which the differences reverse. A valuation allowance is provided to reduce the net deferred tax assets to the amount that will more likely than not be realized. 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more-likely-than-not recognition threshold is calculated as the largest amount that is more than 50% likely of being realized upon resolution of the contingency. The Company accounts for interest and penalties related to uncertain tax positions as part of its provision for income taxes. </w:t>
      </w:r>
    </w:p>
    <w:p>
      <w:pPr>
        <w:pStyle w:val="TextBody"/>
        <w:bidi w:val="0"/>
        <w:spacing w:before="240" w:after="283"/>
        <w:jc w:val="left"/>
        <w:rPr>
          <w:rFonts w:ascii="Times New Roman" w:hAnsi="Times New Roman"/>
          <w:sz w:val="20"/>
        </w:rPr>
      </w:pPr>
      <w:r>
        <w:rPr>
          <w:rFonts w:ascii="Times New Roman" w:hAnsi="Times New Roman"/>
          <w:b/>
          <w:i/>
          <w:color w:val="000000"/>
          <w:sz w:val="20"/>
        </w:rPr>
        <w:t>Guarantees and Indemnifications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As permitted under Delaware law, the Company indemnifies its officers, directors, and employees for certain events or occurrences that happen by reason of the relationship with, or position held at, the Company. The Company has standard indemnification arrangements under office leases (as described in Note 5, </w:t>
      </w:r>
      <w:r>
        <w:rPr>
          <w:rFonts w:ascii="Times New Roman" w:hAnsi="Times New Roman"/>
          <w:i/>
          <w:color w:val="000000"/>
          <w:sz w:val="20"/>
        </w:rPr>
        <w:t>Leases</w:t>
      </w:r>
      <w:r>
        <w:rPr>
          <w:rFonts w:ascii="Times New Roman" w:hAnsi="Times New Roman"/>
          <w:color w:val="000000"/>
          <w:sz w:val="20"/>
        </w:rPr>
        <w:t xml:space="preserve"> to these consolidated financial statements) that require it to indemnify the landlord against all costs, expenses, fines, suits, claims, demands, liabilities, and actions directly resulting from any breach, violation, or nonperformance of any covenant or condition of the Company’s lease. Through December 31, 2025,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accounts for all stock option awards granted to employees and non-employees using a fair value method. Stock-based compensation is measured at the grant date fair value of the stock option grants and is recognized over the requisite service period of the awards (usually the vesting period) on a straight-line basis. For equity awards that have a performance condition, the Company recognizes compensation expense based on its assessment of the probability that the performance condition will be achieved. The Company accounts for forfeitures as they occur.</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(Loss) Earnings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Basic earnings per share is computed by dividing undistributed net income attributable to the Company by the weighted-average number of common shares outstanding during the period. Diluted earnings per share is computed based on the treasury method by dividing net income by the weighted-average number of common shares outstanding during the period plus potentially dilutive common equivalent shares outstanding.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and Adopted Accounting Pronouncements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From time to time, new accounting pronouncements are issued by the Financial Accounting Standards Board FASB or other accounting standard setting bodies that we adopt as of the specified effective date. Unless otherwise discussed below, we do not believe that the adoption of recently issued standards have or may have a material impact on our consolidated financial statements or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Accounting Standards Update (“ASU”) 2023-09, </w:t>
      </w:r>
      <w:r>
        <w:rPr>
          <w:rFonts w:ascii="Times New Roman" w:hAnsi="Times New Roman"/>
          <w:i/>
          <w:color w:val="000000"/>
          <w:sz w:val="20"/>
        </w:rPr>
        <w:t>Improvements to Income Tax Disclosures</w:t>
      </w:r>
      <w:r>
        <w:rPr>
          <w:rFonts w:ascii="Times New Roman" w:hAnsi="Times New Roman"/>
          <w:color w:val="000000"/>
          <w:sz w:val="20"/>
        </w:rPr>
        <w:t xml:space="preserve"> (“ASU 2023-09”), which intends to enhance the transparency, as well as the usefulness, of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income tax disclosures, primarily related to the rate reconciliation and income taxes paid. The Company has adopted the guidance relevant to ASU 2023-09 prospectively, expanding its applicable income tax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Statement—Reporting Comprehensive Income—Expense Disaggregation Disclosures (Subtopic 220-40): Disaggregation of Income Statement Expenses </w:t>
      </w:r>
      <w:r>
        <w:rPr>
          <w:rFonts w:ascii="Times New Roman" w:hAnsi="Times New Roman"/>
          <w:color w:val="000000"/>
          <w:sz w:val="20"/>
        </w:rPr>
        <w:t xml:space="preserve">(ASU “2024-03”). Among other items, the requirements include expanded disclosures around employee compensation and selling expenses. ASU 2024-03 will be effective for the Company for the year ending December 31, 2027. The Company is still evaluating the impact of this new guidance on its unaudited consolidated financial statements but expects the adoption to result in disclosure changes only.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Collaborative Research and License Agreements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Incyte Collaboration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2021, the Company entered into the Incyte License and Collaboration Agreement, or the Incyte License, with Incyte covering the worldwide development and commercialization of axatilimab. Also in September 2021, the Company entered into a share purchase agreement with Incyte, or the Incyte Share Purchase Agreement. These agreements are collectively referred to as the Incyte Agreements. Under the terms of the Incyte Agreements, Incyte received exclusive commercialization rights outside of the United States, subject to certain royalty payment obligations set forth below. In the United States, Incyte and the Company are co-commercializing axatilimab as Niktimvo (axatilimab-csfr), which was approved in August 2024. The Company and Incyte share equally the profits and losses from co-commercialization efforts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Incyte is responsible for leading all aspects of commercialization of axatilimab in the United States. The Company and Incyte will share equally the profits and losses from co-commercialization efforts in the United States. The Company and Incyte have agreed to co-develop axatilimab and to share development costs associated with global and U.S. – specific clinical trials, with Incyte responsible for 55% of such costs and the Company responsible for 45% of such costs. Each company will be responsible for funding any of its own independent development activities. Incyte is responsible for 100% of future development costs for trials that are specific to non-U.S. countries. All development costs related to the collaboration with Incyte will be subject to a joint development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Under the terms of the Incyte Agreements, the Company is eligible to receive up to $220.0 million in future contingent development and regulatory milestones and up to $230.0 million in commercialization milestones as well as tiered royalties ranging in the mid-teens percentage on net sales of the licensed product comprising axatilimab in Europe and Japan and low double digit percentage in the rest of the world outside of the United States. The Company's right to receive royalties in any particular country will expire upon the last to occur of (a) the expiration of licensed patent rights covering the licensed product in that particular country, (b) a specified period of time after the first post - marketing authorization sale of a licensed product in that country, and (c) the expiration of any regulatory exclusivity for that licensed product in that country.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Incyte Agreement and the Incyte Share Purchase Agreement were executed on the same date and negotiated simultaneously. Management therefore concluded that the Incyte Agreements are to be combined for accounting purposes and therefore allocated the total consideration to the units of account identified. The common stock issued to Incyte was recorded at fair value of $24.8 million.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evaluated the terms of the Incyte Agreement and determined it is within the scope of Accounting Standard Update </w:t>
      </w:r>
      <w:r>
        <w:rPr>
          <w:rFonts w:ascii="Times New Roman" w:hAnsi="Times New Roman"/>
          <w:i/>
          <w:color w:val="000000"/>
          <w:sz w:val="20"/>
        </w:rPr>
        <w:t>2018-18, Collaborative Arrangements (Topic 808)</w:t>
      </w:r>
      <w:r>
        <w:rPr>
          <w:rFonts w:ascii="Times New Roman" w:hAnsi="Times New Roman"/>
          <w:color w:val="000000"/>
          <w:sz w:val="20"/>
        </w:rPr>
        <w:t xml:space="preserve">, and has elements that are within the scope of </w:t>
      </w:r>
      <w:r>
        <w:rPr>
          <w:rFonts w:ascii="Times New Roman" w:hAnsi="Times New Roman"/>
          <w:i/>
          <w:color w:val="000000"/>
          <w:sz w:val="20"/>
        </w:rPr>
        <w:t>Topic 606</w:t>
      </w:r>
      <w:r>
        <w:rPr>
          <w:rFonts w:ascii="Times New Roman" w:hAnsi="Times New Roman"/>
          <w:color w:val="000000"/>
          <w:sz w:val="20"/>
        </w:rPr>
        <w:t xml:space="preserve"> and </w:t>
      </w:r>
      <w:r>
        <w:rPr>
          <w:rFonts w:ascii="Times New Roman" w:hAnsi="Times New Roman"/>
          <w:i/>
          <w:color w:val="000000"/>
          <w:sz w:val="20"/>
        </w:rPr>
        <w:t>Topic 808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identified the following promises in the Incyte Agreements that were evaluated under the scope of </w:t>
      </w:r>
      <w:r>
        <w:rPr>
          <w:rFonts w:ascii="Times New Roman" w:hAnsi="Times New Roman"/>
          <w:i/>
          <w:color w:val="000000"/>
          <w:sz w:val="20"/>
        </w:rPr>
        <w:t>Topic 606</w:t>
      </w:r>
      <w:r>
        <w:rPr>
          <w:rFonts w:ascii="Times New Roman" w:hAnsi="Times New Roman"/>
          <w:color w:val="000000"/>
          <w:sz w:val="20"/>
        </w:rPr>
        <w:t xml:space="preserve">: (i) delivery of a license for axatilimab to develop, commercialize, and conduct medical affairs and (ii) services to be performed in accordance with the development plan. The Company also evaluated whether certain options outlined within the Incyte Agreements represented material rights that would give rise to a performance obligation and concluded that none of the options convey a material right to Incyte and therefore are not considered separate performance obligations within the Incyte Agreements.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assessed the above promises and determined that the license for axatilimab represents the only performance obligation within the scope of </w:t>
      </w:r>
      <w:r>
        <w:rPr>
          <w:rFonts w:ascii="Times New Roman" w:hAnsi="Times New Roman"/>
          <w:i/>
          <w:color w:val="000000"/>
          <w:sz w:val="20"/>
        </w:rPr>
        <w:t>Topic 606</w:t>
      </w:r>
      <w:r>
        <w:rPr>
          <w:rFonts w:ascii="Times New Roman" w:hAnsi="Times New Roman"/>
          <w:color w:val="000000"/>
          <w:sz w:val="20"/>
        </w:rPr>
        <w:t xml:space="preserve">. The license for axatilimab is considered functional intellectual property and distinct from other promises under the contract as Incyte can benefit from the license on its own or together with other readily available resources. The license represents a separate performance obligation within a contract with a customer under the scope of </w:t>
      </w:r>
      <w:r>
        <w:rPr>
          <w:rFonts w:ascii="Times New Roman" w:hAnsi="Times New Roman"/>
          <w:i/>
          <w:color w:val="000000"/>
          <w:sz w:val="20"/>
        </w:rPr>
        <w:t>Topic 606</w:t>
      </w:r>
      <w:r>
        <w:rPr>
          <w:rFonts w:ascii="Times New Roman" w:hAnsi="Times New Roman"/>
          <w:color w:val="000000"/>
          <w:sz w:val="20"/>
        </w:rPr>
        <w:t xml:space="preserve"> at contract inception.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considers the collaborative research and development activities and manufacturing activities to be separate units of account within the scope of </w:t>
      </w:r>
      <w:r>
        <w:rPr>
          <w:rFonts w:ascii="Times New Roman" w:hAnsi="Times New Roman"/>
          <w:i/>
          <w:color w:val="000000"/>
          <w:sz w:val="20"/>
        </w:rPr>
        <w:t>Topic 808</w:t>
      </w:r>
      <w:r>
        <w:rPr>
          <w:rFonts w:ascii="Times New Roman" w:hAnsi="Times New Roman"/>
          <w:color w:val="000000"/>
          <w:sz w:val="20"/>
        </w:rPr>
        <w:t xml:space="preserve"> and are not deliverables under </w:t>
      </w:r>
      <w:r>
        <w:rPr>
          <w:rFonts w:ascii="Times New Roman" w:hAnsi="Times New Roman"/>
          <w:i/>
          <w:color w:val="000000"/>
          <w:sz w:val="20"/>
        </w:rPr>
        <w:t>Topic 606</w:t>
      </w:r>
      <w:r>
        <w:rPr>
          <w:rFonts w:ascii="Times New Roman" w:hAnsi="Times New Roman"/>
          <w:color w:val="000000"/>
          <w:sz w:val="20"/>
        </w:rPr>
        <w:t>. The Company and Incyte are both active participants in the activities and are exposed to significant risks and rewards that are dependent on the commercial success of the activities in the arrangement.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used the most likely amount method to estimate variable consideration and estimated that the most likely amount for each potential preclinical, development, and regulatory variable consideration milestone payment under this agreement is zero, as achievement of those milestones is uncertain and highly susceptible to factors outside the Company’s control. Accordingly, all such milestone payments were excluded from the transaction price. Management will reevaluate the transaction price at the end of each reporting period and as uncertain events are resolved or other changes in circumstances occur, will adjust the transaction price as necessary. Sales based royalties, including milestones based on the level of sales, were also excluded from the transaction price, as the license is deemed to be the predominant item to which the royalties relate. The Company will recognize such revenue at the later of (i) when the related sales occur, or (ii) when the performance obligation to which some or all of the royalty has been allocated has been satisfied (or partially satisfied).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considers the collaborative research and development activities and manufacturing activities to be separate units of account within the scope of </w:t>
      </w:r>
      <w:r>
        <w:rPr>
          <w:rFonts w:ascii="Times New Roman" w:hAnsi="Times New Roman"/>
          <w:i/>
          <w:color w:val="000000"/>
          <w:sz w:val="20"/>
        </w:rPr>
        <w:t>Topic 808</w:t>
      </w:r>
      <w:r>
        <w:rPr>
          <w:rFonts w:ascii="Times New Roman" w:hAnsi="Times New Roman"/>
          <w:color w:val="000000"/>
          <w:sz w:val="20"/>
        </w:rPr>
        <w:t xml:space="preserve"> and are not deliverables under </w:t>
      </w:r>
      <w:r>
        <w:rPr>
          <w:rFonts w:ascii="Times New Roman" w:hAnsi="Times New Roman"/>
          <w:i/>
          <w:color w:val="000000"/>
          <w:sz w:val="20"/>
        </w:rPr>
        <w:t>Topic 606</w:t>
      </w:r>
      <w:r>
        <w:rPr>
          <w:rFonts w:ascii="Times New Roman" w:hAnsi="Times New Roman"/>
          <w:color w:val="000000"/>
          <w:sz w:val="20"/>
        </w:rPr>
        <w:t>. The Company and Incyte are both active participants in the activities and are exposed to significant risks and rewards that are dependent on the commercial success of the activities in the arrangement.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2024, the U.S. Food and Drug Administration, or FDA, approved Niktimvo for the treatment of cGVHD after failure of at least two prior lines of systemic therapy in adult and pediatric patients weighing at least 40 kg (88.2 lbs). As a result of the approval of Niktimvo, the Company earned a revenue milestone of $12.5 million, which was received in the third quarter of 2024. A $5.0 million milestone receivable was recognized in the fourth quarter of 2025 upon the achievement of $150.0 million of net sales of Niktimvo.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has recorded $28.1 million as a collaboration receivable due from Incyte related to the Company's portion of the profit share, commercialization and development costs under the Incyte Agreements and has recorded approximately $4.4 million as a collaboration payable due to Incyte for development and commercialization costs incurred by Incyte as of December 31,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Leases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Leases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Company accounts for leases in accordance with </w:t>
      </w:r>
      <w:r>
        <w:rPr>
          <w:rFonts w:ascii="Times New Roman" w:hAnsi="Times New Roman"/>
          <w:i/>
          <w:color w:val="000000"/>
          <w:sz w:val="20"/>
        </w:rPr>
        <w:t>ASC 842, Leases</w:t>
      </w:r>
      <w:r>
        <w:rPr>
          <w:rFonts w:ascii="Times New Roman" w:hAnsi="Times New Roman"/>
          <w:color w:val="000000"/>
          <w:sz w:val="20"/>
        </w:rPr>
        <w:t>, and determines whether an arrangement is a lease at inception. Operating lease right-of-use, or ROU, assets and lease liabilities are recognized based on the present value of the future minimum lease payments over the lease term at commencement date. Lease agreements with lease and non-lease components are accounted for separately. For leases that do not provide an implicit rate, the Company uses the incremental borrowing rate based on the information available at commencement date in determining the present value of future payments. The ROU asset also includes any lease payments made and excludes lease incentives and initial direct costs incurred. The lease terms may include options to extend or terminate the lease when it is reasonably certain that the Company will exercise that option. Leases with an initial term of 12 months or less are not recorded on the balance sheet as the Company has elected to apply the short-term lease exemption. Lease expense for minimum lease payments is recognized on a straight-line basis over the lease term.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identified three existing building leases under ASC 842 that are classified as operating leases. In September 2016, the Company entered into a five-year operating lease for 12,207 square feet of office space in Waltham, MA, with a lease commencement date of March 1, 2017. On August 17, 2021, the Company signed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36-month extension to the lease for the Waltham, MA office with aggregate payments of $1.6 million, with a lease commencement date of March 1, 2022. As of December 31, 2025, the lease term has 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2015, the Company entered into a 62-month operating lease for 4,039 square feet of space in New York, NY, which commenced on January 1, 2016. In February 2021, the Company signed an 18-month extension to the lease for the New York office, which commenced on March 1, 2021. In August 2022, the Company signed a 36-month extension to the lease for the New York office, with aggregate payments of $0.7 million, with a lease commencement date of September 1, 2022. As of December 31, 2025, the lease term has ended.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May 2023, the Company entered into a 27-month operating lease for an additional 12,217 square feet of space in New York, NY, with aggregate payments of $1.6 million, with a lease commencement date of June 1, 2023. In October 2024, the Company signed a 36-month extension to the lease for the New York office, with aggregate payments of $2.5 million, with a lease commencement date of October 23, 2024. The Company recognized $1.5 million of ROU asset and lease liability upon the remeasurement of the lease as a result of the extension. The remaining lease term as of December 31, 2025 was 32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2025, the consolidated balance sheet includes a $1.3 million operating lease ROU asset and a $1.5 million ROU liability. The Company used an incremental borrowing rate of 10%-14% to calculate its lease obligations, and an increase or decrease in the rate does not have a significant impact on the ROU asset or ROU liability. The ROU asset is amortized on a straight-line basis over the remainder of the lease term. For the year ended December 31, 2025, the Company recorded approximately $0.9 million in operating lease expense and made approximately $0.8 million in lease payments.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Future minimum lease payments under the Company’s operating leases, were as follows:</w:t>
      </w:r>
    </w:p>
    <w:tbl>
      <w:tblPr>
        <w:tblW w:w="5004" w:type="dxa"/>
        <w:jc w:val="left"/>
        <w:tblInd w:w="0" w:type="dxa"/>
        <w:tblLayout w:type="fixed"/>
        <w:tblCellMar>
          <w:top w:w="28" w:type="dxa"/>
          <w:left w:w="28" w:type="dxa"/>
          <w:bottom w:w="28" w:type="dxa"/>
          <w:right w:w="28" w:type="dxa"/>
        </w:tblCellMar>
      </w:tblPr>
      <w:tblGrid>
        <w:gridCol w:w="2776"/>
        <w:gridCol w:w="146"/>
        <w:gridCol w:w="465"/>
        <w:gridCol w:w="1260"/>
        <w:gridCol w:w="166"/>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Maturity of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i/>
                <w:color w:val="000000"/>
                <w:sz w:val="20"/>
              </w:rPr>
            </w:pPr>
            <w:r>
              <w:rPr>
                <w:rFonts w:ascii="Times New Roman" w:hAnsi="Times New Roman"/>
                <w:b/>
                <w:i/>
                <w:color w:val="000000"/>
                <w:sz w:val="20"/>
              </w:rPr>
              <w:t>(in thousands)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Future minimum lease payments under the Company’s capital leases as of December 31, 2025 and 2024, were $2,244 and $9,435, respectively.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6. Loss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and diluted loss per share are calculated as follows (in 000s except share data): </w:t>
      </w:r>
    </w:p>
    <w:tbl>
      <w:tblPr>
        <w:tblW w:w="10183" w:type="dxa"/>
        <w:jc w:val="left"/>
        <w:tblInd w:w="0" w:type="dxa"/>
        <w:tblLayout w:type="fixed"/>
        <w:tblCellMar>
          <w:top w:w="28" w:type="dxa"/>
          <w:left w:w="28" w:type="dxa"/>
          <w:bottom w:w="28" w:type="dxa"/>
          <w:right w:w="28" w:type="dxa"/>
        </w:tblCellMar>
      </w:tblPr>
      <w:tblGrid>
        <w:gridCol w:w="5461"/>
        <w:gridCol w:w="146"/>
        <w:gridCol w:w="211"/>
        <w:gridCol w:w="1036"/>
        <w:gridCol w:w="166"/>
        <w:gridCol w:w="146"/>
        <w:gridCol w:w="211"/>
        <w:gridCol w:w="1036"/>
        <w:gridCol w:w="166"/>
        <w:gridCol w:w="146"/>
        <w:gridCol w:w="211"/>
        <w:gridCol w:w="1036"/>
        <w:gridCol w:w="21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Numerator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Denominator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86,625,610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85,622,065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70,370,519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potentially dilutive securities have been excluded from the computation of diluted weighted-average shares outstanding because such securities have an antidilutive impact due to losses reported (in common stock equivalent shares, in 000s):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148" w:type="dxa"/>
        <w:jc w:val="left"/>
        <w:tblInd w:w="0" w:type="dxa"/>
        <w:tblLayout w:type="fixed"/>
        <w:tblCellMar>
          <w:top w:w="28" w:type="dxa"/>
          <w:left w:w="28" w:type="dxa"/>
          <w:bottom w:w="28" w:type="dxa"/>
          <w:right w:w="28" w:type="dxa"/>
        </w:tblCellMar>
      </w:tblPr>
      <w:tblGrid>
        <w:gridCol w:w="2761"/>
        <w:gridCol w:w="146"/>
        <w:gridCol w:w="146"/>
        <w:gridCol w:w="676"/>
        <w:gridCol w:w="146"/>
        <w:gridCol w:w="146"/>
        <w:gridCol w:w="146"/>
        <w:gridCol w:w="676"/>
        <w:gridCol w:w="146"/>
        <w:gridCol w:w="146"/>
        <w:gridCol w:w="146"/>
        <w:gridCol w:w="676"/>
        <w:gridCol w:w="19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color w:val="000000"/>
          <w:sz w:val="20"/>
        </w:rPr>
        <w:t xml:space="preserve">For additional information related to the Company's common stock see </w:t>
      </w:r>
      <w:r>
        <w:rPr>
          <w:rFonts w:ascii="Times New Roman" w:hAnsi="Times New Roman"/>
          <w:i/>
          <w:color w:val="000000"/>
          <w:sz w:val="20"/>
        </w:rPr>
        <w:t>Note 14, Common Stock</w:t>
      </w:r>
      <w:r>
        <w:rPr>
          <w:rFonts w:ascii="Times New Roman" w:hAnsi="Times New Roman"/>
          <w:color w:val="000000"/>
          <w:sz w:val="20"/>
        </w:rPr>
        <w:t xml:space="preserve"> to these consolidated financial statements. </w:t>
      </w:r>
    </w:p>
    <w:p>
      <w:pPr>
        <w:pStyle w:val="TextBody"/>
        <w:bidi w:val="0"/>
        <w:spacing w:before="360" w:after="283"/>
        <w:jc w:val="left"/>
        <w:rPr>
          <w:rFonts w:ascii="Times New Roman" w:hAnsi="Times New Roman"/>
          <w:sz w:val="20"/>
        </w:rPr>
      </w:pPr>
      <w:r>
        <w:rPr>
          <w:rFonts w:ascii="Times New Roman" w:hAnsi="Times New Roman"/>
          <w:b/>
          <w:color w:val="000000"/>
          <w:sz w:val="20"/>
        </w:rPr>
        <w:t>7. Significant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Vitae Pharmaceuticals, Inc.</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2017, the Company entered into a license agreement, or the Vitae License Agreement, with Vitae Pharmaceuticals, Inc., a subsidiary of AbbVie, or AbbVie, under which Vitae granted the Company an exclusive, sublicensable, worldwide license to a portfolio of preclinical, orally available, small molecule inhibitors of the interaction of menin with Mixed Lineage Leukemia, or MLL, protein, or the Menin Assets. The Company made a nonrefundable upfront payment of $5.0 million to Vitae in the fourth quarter of 2017. Additionally, subject to the achievement of certain milestone events, the Company may be required to pay AbbVie up to $99.0 million in one-time development and regulatory milestone payments over the term of the Vitae License Agreement. In the event that the Company or any of its affiliates or sublicensees commercializes the Menin Assets, the Company will also be obligated to pay AbbVie low single to low double-digit percentage royalties on sales, subject to reduction in certain circumstances, as well as up to an aggregate of $70.0 million in potential one-time, sales-based milestone payments based on achievement of certain annual sales thresholds. Under certain circumstances, the Company may be required to share a percentage of non-royalty income from sublicensees, subject to certain deductions, with AbbVie. The Company is solely responsible for the development and commercialization of the Menin Assets. Each party may terminate the Vitae License Agreement for the other party’s uncured material breach or insolvency; and the Company may terminate the Vitae License Agreement at will at any time upon advance written notice to AbbVie. AbbVie may terminate the Vitae License Agreement if the Company or any of its affiliates or sublicensees institutes a legal challenge to the validity, enforceability, or patentability of the licensed patent rights. Unless terminated earlier in accordance with its terms, the Vitae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the date of the Vitae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As a result, in 2017, the upfront payment of $5.0 million was recorded as research and development expense in the consolidated statements of operations. Since the inception of the agreement, the Company achieved certain development and regulatory milestones resulting in $38.0 million in expense, which includes an $18.0 million milestone expense in 2024 and a $12.0 million expense in 2025, related to the submission of a supplemental New Drug Application, or sNDA, for Revuforj and the first United States sale of Revuforj in its second indication.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UCB Biopharma Sprl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2016, the Company entered into a license agreement, or the UCB License Agreement, with UCB Biopharma Sprl, or UCB, under which UCB granted to the Company a worldwide, sublicensable, exclusive license to UCB6352, which the Company refers to as axatilimab, an Investigational New Drug Application-ready anti-CSF-1R monoclonal antibody. The Company made a nonrefundable upfront payment of $5.0 million to UCB in the third quarter of 2016. Additionally, subject to the achievement of certain milestone events, the Company may be required to pay UCB up to $119.5 million in one-time development and regulatory milestone payments over the term of the UCB License Agreement. In the event that the Company or any of its affiliates or sublicensees commercializes axatilimab, the Company will also be obligated to pay UCB low double-digit percentage royalties on sales, subject to reduction in certain circumstances, as well as up to an aggregate of $250.0 million in potential one-time, sales-based milestone payments based on achievement of certain annual sales thresholds. Under certain circumstances, the Company may be required to share a percentage of non-royalty income from sublicensees, subject to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deductions, with UCB. The Company will be solely responsible for the development and commercialization of axatilimab, except that UCB is performing a limited set of transitional chemistry, manufacturing and control tasks related to axatilimab. Each party may terminate the UCB License Agreement for the other party’s uncured material breach or insolvency; and the Company may terminate the UCB License Agreement at will at any time upon advance written notice to UCB. UCB may terminate the UCB License Agreement if the Company or any of its affiliates or sublicensees institutes a legal challenge to the validity, enforceability, or patentability of the licensed patent rights. Unless terminated earlier in accordance with its terms, the UCB License Agreement will continue on a country-by-country and product-by-product basis until the later of: (i) the expiration of all of the licensed patent rights in such country; (ii) the expiration of all regulatory exclusivity applicable to the product in such country; and (iii) 10 years from the date of the first commercial sale of the product in such country. </w:t>
      </w:r>
    </w:p>
    <w:p>
      <w:pPr>
        <w:pStyle w:val="TextBody"/>
        <w:bidi w:val="0"/>
        <w:jc w:val="left"/>
        <w:rPr>
          <w:rFonts w:ascii="Times New Roman" w:hAnsi="Times New Roman"/>
          <w:color w:val="000000"/>
          <w:sz w:val="20"/>
        </w:rPr>
      </w:pPr>
      <w:r>
        <w:rPr>
          <w:rFonts w:ascii="Times New Roman" w:hAnsi="Times New Roman"/>
          <w:color w:val="000000"/>
          <w:sz w:val="20"/>
        </w:rPr>
        <w:t xml:space="preserve">As of the date of the UCB License Agreement, the asset acquired had no alternative future use nor had it reached a stage of technological feasibility. As the processes or activities that were acquired along with the license do not constitute a “business,” the transaction has been accounted for as an asset acquisition. In connection with its most recent amendment of the UCB License Agreement, in the second quarter of 2022 the Company paid UCB $5.8 million, which was recognized as a milestone expense. Since the effective date of the license agreement, the Company achieved certain development and regulatory milestones and has recorded $41.0 million as research and development expense, which includes a $15.0 million milestone paid during the third quarter of 2024 upon the approval of Niktimvo, a $10 million milestone recognized in the first quarter of 2025 for the first patient dosed in a Phase III study with the compound in a combination with another agent. The Company has also recognized a $10.0 million commercial milestone expense in the fourth quarter of 2025 upon the achievement of $150.0 million net sales of Niktimvo.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Bayer Pharma AG (formerly known as Bayer Schering Pharma AG)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March 2007, the Company entered into a license agreement, or the Bayer Agreement, with Bayer Schering Pharma AG, or Bayer, for a worldwide, exclusive license to develop and commercialize entinostat and any other products containing the same active ingredient. Under the terms of the Bayer Agreement, the Company paid a nonrefundable up-front license fee of $2.0 million and is responsible for the development and marketing of entinostat. The Company recorded the $2.0 million license fee as research and development expense during the year ended December 31, 2007, as it had no alternative future use. The Company will pay Bayer royalties on a sliding scale based on net sales, if any, and make future milestone payments to Bayer of up to $150.0 million in the event that certain specified development and regulatory goals and sales levels are achieved.</w:t>
      </w:r>
    </w:p>
    <w:p>
      <w:pPr>
        <w:pStyle w:val="TextBody"/>
        <w:bidi w:val="0"/>
        <w:spacing w:before="120" w:after="283"/>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8. Other Receivables,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2024, entinostat received marketing approval in China, and as a result, the Company recorded $3.5 million of milestone revenue in 2024. As of December 31, 2025, the Company had recorded a $3.7 million receivable related to milestones (plus accrued interest) under the license, development, and commercialization agreement, or the Eddingpharm License Agreement, with Eddingpharm Investment Company Limited, or Eddingpharm. As the receivable remains outstanding and the Company has assessed the amount as non-recoverable, the Company has recorded a full reserve against the asset as a selling, general and administrative expense as of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April 2025, the Company submitted an sNDA for Revuforj with the FDA. In October 2025, the Company paid a $1.3 million Prescription Drug User Fee Act (PDUFA) fee, while awaiting an FDA-decision on its submitted waiver of such fee. As Revuforj is an orphan drug, it is exempt from the PDUFA fee. As of December 2025, the Company has recorded a $1.3 million receivable for the fee refund, and in February 2026, the refund was received from the FDA.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2025, the Company recorded $5.0 million of milestone revenue as a result of achieving $150.0 million of Niktimvo net sales. As of December 31, 2025, the Company had recorded $5.0 million in milestone receivable under the Incyte Collaboration and License Agreement.</w:t>
      </w:r>
    </w:p>
    <w:p>
      <w:pPr>
        <w:pStyle w:val="TextBody"/>
        <w:bidi w:val="0"/>
        <w:spacing w:before="120" w:after="283"/>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9. Inventory, net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Inventory consisted of the following (in thousands):</w:t>
      </w:r>
    </w:p>
    <w:p>
      <w:pPr>
        <w:pStyle w:val="TextBody"/>
        <w:bidi w:val="0"/>
        <w:jc w:val="left"/>
        <w:rPr/>
      </w:pPr>
      <w:r>
        <w:rPr/>
        <w:t> </w:t>
      </w:r>
    </w:p>
    <w:tbl>
      <w:tblPr>
        <w:tblW w:w="3604" w:type="dxa"/>
        <w:jc w:val="left"/>
        <w:tblInd w:w="0" w:type="dxa"/>
        <w:tblLayout w:type="fixed"/>
        <w:tblCellMar>
          <w:top w:w="28" w:type="dxa"/>
          <w:left w:w="28" w:type="dxa"/>
          <w:bottom w:w="28" w:type="dxa"/>
          <w:right w:w="28" w:type="dxa"/>
        </w:tblCellMar>
      </w:tblPr>
      <w:tblGrid>
        <w:gridCol w:w="1456"/>
        <w:gridCol w:w="146"/>
        <w:gridCol w:w="211"/>
        <w:gridCol w:w="676"/>
        <w:gridCol w:w="146"/>
        <w:gridCol w:w="146"/>
        <w:gridCol w:w="211"/>
        <w:gridCol w:w="421"/>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are stated at the lower of cost or net realizable value, as determined on a first-in, first-out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Prior to the FDA's approval of Revuforj in November 2024, all costs for the manufacturing of product to support clinical development and commercial launch, including pre-launch inventory, were expensed as research and development costs. The pre-launch inventory will continue to be used in commercial production until it is depleted.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have recorded a reserve of $0.2 million for inventory expected to expire in the first quarter of 2026. This reserve is reflected as a reduction of the carrying value of inventory.</w:t>
      </w:r>
    </w:p>
    <w:p>
      <w:pPr>
        <w:pStyle w:val="TextBody"/>
        <w:bidi w:val="0"/>
        <w:spacing w:before="360" w:after="283"/>
        <w:jc w:val="left"/>
        <w:rPr>
          <w:rFonts w:ascii="Times New Roman" w:hAnsi="Times New Roman"/>
          <w:sz w:val="20"/>
        </w:rPr>
      </w:pPr>
      <w:r>
        <w:rPr>
          <w:rFonts w:ascii="Times New Roman" w:hAnsi="Times New Roman"/>
          <w:b/>
          <w:color w:val="000000"/>
          <w:sz w:val="20"/>
        </w:rPr>
        <w:t>10. Property and Equipment, net</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tbl>
      <w:tblPr>
        <w:tblW w:w="4984" w:type="dxa"/>
        <w:jc w:val="left"/>
        <w:tblInd w:w="0" w:type="dxa"/>
        <w:tblLayout w:type="fixed"/>
        <w:tblCellMar>
          <w:top w:w="28" w:type="dxa"/>
          <w:left w:w="28" w:type="dxa"/>
          <w:bottom w:w="28" w:type="dxa"/>
          <w:right w:w="28" w:type="dxa"/>
        </w:tblCellMar>
      </w:tblPr>
      <w:tblGrid>
        <w:gridCol w:w="2751"/>
        <w:gridCol w:w="146"/>
        <w:gridCol w:w="211"/>
        <w:gridCol w:w="481"/>
        <w:gridCol w:w="166"/>
        <w:gridCol w:w="146"/>
        <w:gridCol w:w="211"/>
        <w:gridCol w:w="481"/>
        <w:gridCol w:w="391"/>
      </w:tblGrid>
      <w:tr>
        <w:trPr/>
        <w:tc>
          <w:tcPr>
            <w:tcW w:w="27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and 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7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color w:val="000000"/>
          <w:sz w:val="20"/>
        </w:rPr>
      </w:pPr>
      <w:r>
        <w:rPr>
          <w:rFonts w:ascii="Times New Roman" w:hAnsi="Times New Roman"/>
          <w:color w:val="000000"/>
          <w:sz w:val="20"/>
        </w:rPr>
        <w:t>Depreciation expense was $6,000 and $8,000 for the years ended December 31, 2025 and 2024, respectively.</w:t>
      </w:r>
    </w:p>
    <w:p>
      <w:pPr>
        <w:pStyle w:val="TextBody"/>
        <w:bidi w:val="0"/>
        <w:spacing w:before="240" w:after="283"/>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11.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carrying amounts of cash and cash equivalents, restricted cash, accounts payable, and accrued expenses approximated their estimated fair values due to the short-term nature of these financial instruments.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are performed in a manner to maximize the use of observable inputs and minimize the use of unobservable inputs.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accounting standard describes a fair value hierarchy based on three levels of inputs, of which the first two are considered observable and the last unobservable, that may be used to measure fair value, which are the following: </w:t>
      </w:r>
    </w:p>
    <w:p>
      <w:pPr>
        <w:pStyle w:val="TextBody"/>
        <w:bidi w:val="0"/>
        <w:spacing w:before="120" w:after="283"/>
        <w:jc w:val="left"/>
        <w:rPr>
          <w:rFonts w:ascii="Times New Roman" w:hAnsi="Times New Roman"/>
          <w:sz w:val="20"/>
        </w:rPr>
      </w:pPr>
      <w:r>
        <w:rPr>
          <w:rFonts w:ascii="Times New Roman" w:hAnsi="Times New Roman"/>
          <w:i/>
          <w:color w:val="000000"/>
          <w:sz w:val="20"/>
        </w:rPr>
        <w:t>Level 1—</w:t>
      </w:r>
      <w:r>
        <w:rPr>
          <w:rFonts w:ascii="Times New Roman" w:hAnsi="Times New Roman"/>
          <w:color w:val="000000"/>
          <w:sz w:val="20"/>
        </w:rPr>
        <w:t>Quoted prices (unadjusted) in active markets that are accessible at the market date for identical unrestricted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Inputs other than Level 1 that are observable, either directly or indirectly, such as quoted prices for similar assets or liabilities; quoted prices in markets that are not active; or other inputs for which all significant inputs are observable or can be corroborated by observable market data for substantially the full term of the assets or liabilities.</w:t>
      </w:r>
    </w:p>
    <w:p>
      <w:pPr>
        <w:pStyle w:val="TextBody"/>
        <w:bidi w:val="0"/>
        <w:spacing w:before="120" w:after="283"/>
        <w:jc w:val="left"/>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Unobservable inputs that are supported by little or no market activity and that are significant to the fair value of the assets or liabilities.</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 xml:space="preserve">The table below presents information about the Company’s assets and liabilities that are regularly measured and carried at fair value and indicate the level within the fair value hierarchy of valuation techniques the Company utilized to determine such fair values (in thousands): </w:t>
      </w:r>
    </w:p>
    <w:tbl>
      <w:tblPr>
        <w:tblW w:w="7881" w:type="dxa"/>
        <w:jc w:val="left"/>
        <w:tblInd w:w="0" w:type="dxa"/>
        <w:tblLayout w:type="fixed"/>
        <w:tblCellMar>
          <w:top w:w="28" w:type="dxa"/>
          <w:left w:w="28" w:type="dxa"/>
          <w:bottom w:w="28" w:type="dxa"/>
          <w:right w:w="28" w:type="dxa"/>
        </w:tblCellMar>
      </w:tblPr>
      <w:tblGrid>
        <w:gridCol w:w="2196"/>
        <w:gridCol w:w="146"/>
        <w:gridCol w:w="211"/>
        <w:gridCol w:w="781"/>
        <w:gridCol w:w="146"/>
        <w:gridCol w:w="146"/>
        <w:gridCol w:w="211"/>
        <w:gridCol w:w="781"/>
        <w:gridCol w:w="146"/>
        <w:gridCol w:w="146"/>
        <w:gridCol w:w="211"/>
        <w:gridCol w:w="781"/>
        <w:gridCol w:w="146"/>
        <w:gridCol w:w="146"/>
        <w:gridCol w:w="415"/>
        <w:gridCol w:w="681"/>
        <w:gridCol w:w="591"/>
      </w:tblGrid>
      <w:tr>
        <w:trPr/>
        <w:tc>
          <w:tcPr>
            <w:tcW w:w="2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6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Using</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Quoted</w:t>
              <w:br/>
              <w:t>Prices</w:t>
              <w:br/>
              <w:t>in Active</w:t>
              <w:br/>
              <w:t>Markets</w:t>
              <w:b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Other</w:t>
              <w:br/>
              <w:t>Observable</w:t>
              <w:br/>
              <w:t>Inputs</w:t>
              <w:b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Significant</w:t>
              <w:br/>
              <w:t>Unobservable</w:t>
              <w:br/>
              <w:t>Inputs</w:t>
              <w:b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374,498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563,217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There have been no material impairments of our assets measured and carried at fair value during the years ended December 31, 2025, and 2024. In addition, there have been no changes in valuation techniques during the years ended December 31, 2025, and 2024. The fair value of Level 1 instruments classified as cash equivalents are valued using quoted market prices in active markets. The fair value of Level 2 instruments classified as cash equivalents, short- and long-term investments and Royalty interest financing was determined other than quoted prices in active markets, which are either directly or indirectly observable as of the reporting date and fair value is determined using models or other valuation methodologies.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short- and long-term investments are classified as available-for-sale securities. As of December 31, 2025, the remaining contractual maturities of the available-for-sale securities were 1 to 12 months, and the balance in the Company’s accumulated other comprehensive income was comprised solely of activity related to the Company’s available-for-sale securities. There were no realized gains or losses recognized on the sale or maturity of available-for-sale securities during the three years ended December 31, 2025. As a result, the Company did not reclassify any amounts out of accumulated other comprehensive income for the same periods. The Company has a limited number of available-for-sale securities in insignificant loss positions as of December 31, 2025, which the Company does not intend to sell and has concluded will not be required to sell before recovery of the amortized cost for the investment at maturity.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available-for-sale securities (in thousands): </w:t>
      </w:r>
    </w:p>
    <w:p>
      <w:pPr>
        <w:pStyle w:val="TextBody"/>
        <w:bidi w:val="0"/>
        <w:jc w:val="left"/>
        <w:rPr/>
      </w:pPr>
      <w:r>
        <w:rPr/>
        <w:t> </w:t>
      </w:r>
    </w:p>
    <w:tbl>
      <w:tblPr>
        <w:tblW w:w="6995" w:type="dxa"/>
        <w:jc w:val="left"/>
        <w:tblInd w:w="0" w:type="dxa"/>
        <w:tblLayout w:type="fixed"/>
        <w:tblCellMar>
          <w:top w:w="28" w:type="dxa"/>
          <w:left w:w="28" w:type="dxa"/>
          <w:bottom w:w="28" w:type="dxa"/>
          <w:right w:w="28" w:type="dxa"/>
        </w:tblCellMar>
      </w:tblPr>
      <w:tblGrid>
        <w:gridCol w:w="1806"/>
        <w:gridCol w:w="146"/>
        <w:gridCol w:w="211"/>
        <w:gridCol w:w="781"/>
        <w:gridCol w:w="146"/>
        <w:gridCol w:w="146"/>
        <w:gridCol w:w="295"/>
        <w:gridCol w:w="591"/>
        <w:gridCol w:w="146"/>
        <w:gridCol w:w="146"/>
        <w:gridCol w:w="318"/>
        <w:gridCol w:w="568"/>
        <w:gridCol w:w="166"/>
        <w:gridCol w:w="146"/>
        <w:gridCol w:w="211"/>
        <w:gridCol w:w="781"/>
        <w:gridCol w:w="391"/>
      </w:tblGrid>
      <w:tr>
        <w:trPr/>
        <w:tc>
          <w:tcPr>
            <w:tcW w:w="18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144,802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259,140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263,896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40,261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234,164</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8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538,158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538,321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12. Prepaid Expenses and Other Current Assets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tbl>
      <w:tblPr>
        <w:tblW w:w="6229" w:type="dxa"/>
        <w:jc w:val="left"/>
        <w:tblInd w:w="0" w:type="dxa"/>
        <w:tblLayout w:type="fixed"/>
        <w:tblCellMar>
          <w:top w:w="28" w:type="dxa"/>
          <w:left w:w="28" w:type="dxa"/>
          <w:bottom w:w="28" w:type="dxa"/>
          <w:right w:w="28" w:type="dxa"/>
        </w:tblCellMar>
      </w:tblPr>
      <w:tblGrid>
        <w:gridCol w:w="3931"/>
        <w:gridCol w:w="146"/>
        <w:gridCol w:w="211"/>
        <w:gridCol w:w="676"/>
        <w:gridCol w:w="146"/>
        <w:gridCol w:w="146"/>
        <w:gridCol w:w="211"/>
        <w:gridCol w:w="571"/>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receivable on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subscriptions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state and local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13. Accrued Expenses and Other Current Liabilities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tbl>
      <w:tblPr>
        <w:tblW w:w="6694" w:type="dxa"/>
        <w:jc w:val="left"/>
        <w:tblInd w:w="0" w:type="dxa"/>
        <w:tblLayout w:type="fixed"/>
        <w:tblCellMar>
          <w:top w:w="28" w:type="dxa"/>
          <w:left w:w="28" w:type="dxa"/>
          <w:bottom w:w="28" w:type="dxa"/>
          <w:right w:w="28" w:type="dxa"/>
        </w:tblCellMar>
      </w:tblPr>
      <w:tblGrid>
        <w:gridCol w:w="4186"/>
        <w:gridCol w:w="146"/>
        <w:gridCol w:w="211"/>
        <w:gridCol w:w="781"/>
        <w:gridCol w:w="146"/>
        <w:gridCol w:w="146"/>
        <w:gridCol w:w="211"/>
        <w:gridCol w:w="676"/>
        <w:gridCol w:w="191"/>
      </w:tblGrid>
      <w:tr>
        <w:trPr/>
        <w:tc>
          <w:tcPr>
            <w:tcW w:w="4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revenue allowances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study and trial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selling,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milestone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royalty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60,096</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60" w:after="283"/>
        <w:jc w:val="left"/>
        <w:rPr>
          <w:rFonts w:ascii="Times New Roman" w:hAnsi="Times New Roman"/>
          <w:sz w:val="20"/>
        </w:rPr>
      </w:pPr>
      <w:r>
        <w:rPr>
          <w:rFonts w:ascii="Times New Roman" w:hAnsi="Times New Roman"/>
          <w:b/>
          <w:color w:val="000000"/>
          <w:sz w:val="20"/>
        </w:rPr>
        <w:t>14.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authorized to issue 200,000,000 shares of common stock. The holders of each share of common stock are entitled to one vote per share held and are entitled to receive dividends, if and when declared by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and to share ratably in the Company’s assets available for distribution to stockholders, in the event of liquidation.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the Company entered into a sales agreement with TD Cowen under which the Company could, from time to time, issue and sell shares of its common stock having aggregate sales proceeds of up to $200.0 million, in a series of one or more ATM equity offerings, or the 2023 ATM Program. TD Cowen is not required to sell any specific share amounts but acts as the Company’s sales agent, using commercially reasonable efforts consistent with its normal trading and sales practices. Pursuant to the new sales agreement, shares will be sold pursuant to the previous shelf registration statement on Form S-3ASR (Registration No. 333-254661), which became automatically effective upon filing on March 24, 2021. The Company’s common stock will be sold at prevailing market prices at the time of the sale, and as a result, prices may vary. In the year ended December 31, 2023, the Company sold 2,719,744 common shares of common stock under the 2023 ATM Program, with net proceeds of approximately $42.1 million.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2021, the Company issued 3,802,144 shares of common stock and pre-funded warrants to purchase 1,142,856 shares of common stock. The offering price for the securities was $17.50 per share or $17.4999 for each Pre-Funded Warrant, with net proceeds of approximately $81.2 million. On January 24, 2023, 86,000 pre-funded warrants were exercised for 85,998 shares of common stock, under a cashless exercise. On April 12, 2023, 273,000 pre-funded warrants were exercised for 272,996 shares of common stock, under a cashless exercise. On May 9, 2023, 498,142 pre-funded warrants were exercised for 498,137 shares of common stock, under a cashless exercise. As of December 31, 2025, 285,714 pre-funded warrants were considered issued and outstanding.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December 2023, the Company issued 12,432,431 shares of common stock. The offering price for the securities was $18.50 per share, with gross proceeds of approximately $230.0 million, offset by $14.0 million of issuance cost.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 xml:space="preserve">The Company has reserved for future issuance the following shares of common stock pursuant to the following outstanding securities or equity plans: </w:t>
      </w:r>
    </w:p>
    <w:tbl>
      <w:tblPr>
        <w:tblW w:w="5907" w:type="dxa"/>
        <w:jc w:val="left"/>
        <w:tblInd w:w="0" w:type="dxa"/>
        <w:tblLayout w:type="fixed"/>
        <w:tblCellMar>
          <w:top w:w="28" w:type="dxa"/>
          <w:left w:w="28" w:type="dxa"/>
          <w:bottom w:w="28" w:type="dxa"/>
          <w:right w:w="28" w:type="dxa"/>
        </w:tblCellMar>
      </w:tblPr>
      <w:tblGrid>
        <w:gridCol w:w="4216"/>
        <w:gridCol w:w="185"/>
        <w:gridCol w:w="1315"/>
        <w:gridCol w:w="191"/>
      </w:tblGrid>
      <w:tr>
        <w:trPr/>
        <w:tc>
          <w:tcPr>
            <w:tcW w:w="4216"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3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issuable under pre-funded warrants</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At-the-market program</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7,280,256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and Options to purchase common stock</w:t>
            </w:r>
          </w:p>
        </w:tc>
        <w:tc>
          <w:tcPr>
            <w:tcW w:w="1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15,745,868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plans</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5,021,284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2015 Employee Stock Purchase Plan (the “ESPP”)</w:t>
            </w:r>
          </w:p>
        </w:tc>
        <w:tc>
          <w:tcPr>
            <w:tcW w:w="1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2,002,859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30,335,981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sz w:val="20"/>
        </w:rPr>
      </w:pPr>
      <w:r>
        <w:rPr>
          <w:rFonts w:ascii="Times New Roman" w:hAnsi="Times New Roman"/>
          <w:b/>
          <w:color w:val="000000"/>
          <w:sz w:val="20"/>
        </w:rPr>
        <w:t>15.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2015, the Company’s board of directors adopted its 2015 Omnibus Incentive Plan, or 2015 Plan, which was subsequently approved by its stockholders and became effective upon the closing of the IPO on March 8, 2016. The 2015 Plan replaced the 2007 Stock Plan, or 2007 Plan and allows for the granting of incentive stock options, nonqualified stock options, stock appreciation rights, restricted stock, unrestricted stock, stock units, dividend equivalent rights, performance awards, annual incentive awards, and other equity-based awards to the Company’s executives and other employees, non-employee members of the board of directors, and consultants of the Company. Any options or awards outstanding under the Company’s 2007 Plan remain outstanding and continue to govern the terms of any equity grants that remain outstanding under the 2007 Plan. Any shares of common stock related to awards outstanding under the 2007 Plan that thereafter terminate by expiration, forfeiture, cancellation or otherwise without the issuance of such shares will be added to, and included in, the 2015 Plan reserve amount. The Company initially reserved 1,750,000 shares of its common stock for the issuance of awards under the 2015 Plan. The 2015 Plan provides that the number of shares reserved and available for issuance under the 2015 Plan will automatically increase each January 1, beginning on January 1, 2017, by 4% of the outstanding number of shares of common stock on the immediately preceding December 31 or such lesser number of shares as determined by the Company’s board of directors. On January 1, 2026, the shares available for issuance under the 2015 Plan was increased to 3,496,239. The 2015 Plan will expire in March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2023, the Company's board of directors adopted its 2023 Inducement Plan, or the 2023 Inducement Plan, which became effective March 1, 2023. The 2023 Inducement Plan allows for the granting of nonqualified stock options, restricted stock units, and other awards under the 2023 Inducement Plan to persons not previously an employee or director of the Company, or following a bona fide period of non-employment, an inducement material to such persons entering into employment with the Company. The Company initially reserved 1,900,000 shares of its common stock for the issuance of awards under the 2023 Inducement Plan. In December 2024 and 2023, the Company's board of directors approved the increase of the reserve by 1,200,000 and 1,100,000 shares respectively, effective the following year. There is no increase to the 2023 plan in January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were 4,452,162 shares available for issuance under the 2015 Plan and 569,122 shares available for issuance under the 2023 Inducement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recognized stock-based compensation expense related to the issuance of stock option awards to employees and non-employees and related to the Employee Stock Purchase Plan in the consolidated statements of operations as follows (in thousands): </w:t>
      </w:r>
    </w:p>
    <w:tbl>
      <w:tblPr>
        <w:tblW w:w="6538" w:type="dxa"/>
        <w:jc w:val="left"/>
        <w:tblInd w:w="0" w:type="dxa"/>
        <w:tblLayout w:type="fixed"/>
        <w:tblCellMar>
          <w:top w:w="28" w:type="dxa"/>
          <w:left w:w="28" w:type="dxa"/>
          <w:bottom w:w="28" w:type="dxa"/>
          <w:right w:w="28" w:type="dxa"/>
        </w:tblCellMar>
      </w:tblPr>
      <w:tblGrid>
        <w:gridCol w:w="2956"/>
        <w:gridCol w:w="146"/>
        <w:gridCol w:w="211"/>
        <w:gridCol w:w="676"/>
        <w:gridCol w:w="146"/>
        <w:gridCol w:w="146"/>
        <w:gridCol w:w="211"/>
        <w:gridCol w:w="676"/>
        <w:gridCol w:w="146"/>
        <w:gridCol w:w="146"/>
        <w:gridCol w:w="211"/>
        <w:gridCol w:w="676"/>
        <w:gridCol w:w="191"/>
      </w:tblGrid>
      <w:tr>
        <w:trPr/>
        <w:tc>
          <w:tcPr>
            <w:tcW w:w="29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4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Stock Options and Restricted Stock Units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2025, there was $78.7 million of unrecognized compensation cost related to employee and non-employee unvested stock options and RSUs granted under the 2015 Plan and the 2023 Inducement Plan, which is expected to be recognized over a weighted-average remaining service period of 2.4 years. For the years ended December 31, 2025, and 2024, the Company capitalized $460 and $53 of stock compensation expense to inventory. There was no stock based compensation capitalized for the year ended December 31, 2023.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Company's stock-based awards are subject to either service or performance-based vesting conditions. Compensation expense related to awards to employees, directors and non-employees with service-based vesting conditions is recognized on a straight-line basis based on the grant date fair value over the associated service period of the award, which is generally the vesting term. Compensation expense related to awards to employees with performance-based vesting conditions is recognized based on the grant date fair value over the requisite service period using the straight-line method to the extent achievement of the performance condition is probable.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2022, the Company granted to certain employees 140,000 performance-based stock options, or 2022 Performance Awards, primarily related to the achievement of certain regulatory development milestones related to product candidates. Recognition of stock-based compensation expense associated with these performance-based stock options commences when the performance condition is considered probable of achievement, using management’s best estimates, which consider the inherent risk and uncertainty regarding the future outcomes of the milestones.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2022, management estimated one of the milestones, for the 2022 Performance Awards, was probable of achievement. The second performance milestone was achieved in November 2024 and 40,000 options were vested. The Company recorded no stock compensation expense in the year ended December 31, 2025, and $0.4 million, and $0.3 million of stock compensation expense for these awards for the years ended December 31, 2024, and 2023, respectively. As of December 31, 2025, 40,000 stock options outstanding were unvested, and 60,000 options had been cancelled related to employee terminations.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second quarter of 2023, the Company granted to certain employees 129,550 performance-based RSUs, or 2023 Performance Awards, primarily related to the achievement of certain regulatory development milestones related to product candidates. The Company recorded approximately $0.8 million and $1.0 million of stock compensation related to the achievement of the performance milestones during the year ended December 31, 2025, and 2024, respectively. The Company recorded no stock compensation expense for these awards in the year ended December 31, 2023. As of December 31, 2025, these awards are fully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2024, the Company granted to certain employees 35,500 performance-based RSUs, or 2024 Performance Awards, primarily related to the achievement of certain regulatory development milestones related to product candidates. The Company recorded approximately $0.1 million and $0.5 million of stock compensation related to the achievement of the performance milestones during the years ended December 31, 2025, and 2024, respectively. As of December 31, 2025, these awards are fully vested.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the first quarter of 2024, the Company granted to certain executives 141,725 performance-based RSUs, or 2024 Executive Performance Awards, primarily related to the achievement of revenue targets for Revuforj. The Company recorded approximately $1.5 million of stock compensation related to the achievement of the performance milestones during the year ended December 31, 2025. The Company recorded no stock compensation expense for these awards in the year ended December 31, 2024. The remaining awards will vest upon the first and second year anniversaries of the performance target being achieved.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first quarter of 2025, the Company granted to certain executives 252,800 performance-based RSUs , or 2024 Executive Performance Awards, related to the achievement of revenue targets and regulatory development milestones for Revuforj. The Company recorded approximately $0.3 million of stock compensation related to the achievement of the performance milestones during the year ended December 31, 2025. The awards will vest upon compensation committee approval in February 2028. As of December 31, 2025, it is probable that two thirds of these awards will vest and are being expensed as such.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termination of eight employees in 2024 and five employees in 2025, the Company entered into severance and consulting agreements. Under these agreements, the Company extended the vesting term for unvested options, which would not have otherwise vested, and extended the exercise period of the vested options post termination of the consulting agreement. For one employee, the Company accelerated the vesting of unvested options that otherwise would have vested in the following twelve month period and extended the exercise period of the vested options post termination of employment. The Company accounted for the change as a modification of an equity award under ASC 718. As a result of the modifications, the Company recognized approximately $1.1 million and $1.2 million of incremental stock compensation expense in the years ended December 31, 2025, and 2024, respectively.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each option award is estimated on the date of grant using the Black-Scholes option-pricing model with the weighted-average assumptions noted in the table below. Expected volatility for the Company’s common stock was determined based on an average of the historical volatility of the Company's public stock price. The Company estimated the expected term of its employee stock options using the “simplified” method, whereby, the expected term equals the average of the vesting term and the original contractual term of the option.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contractual life of the option was used for the estimated life of the non-employee grants. The assumed dividend yield is based upon the Company’s expectation of not paying dividends in the foreseeable future. The risk-free interest rate for periods within the expected life of the option is based upon the U.S. Treasury yield curve in effect at the time of grant. The Company accounts for forfeitures when they occur. The grant date fair values of options issued to employees and non-employees were estimated using the Black-Scholes option-pricing model with the following assumptions: </w:t>
      </w:r>
    </w:p>
    <w:tbl>
      <w:tblPr>
        <w:tblW w:w="5578" w:type="dxa"/>
        <w:jc w:val="left"/>
        <w:tblInd w:w="0" w:type="dxa"/>
        <w:tblLayout w:type="fixed"/>
        <w:tblCellMar>
          <w:top w:w="28" w:type="dxa"/>
          <w:left w:w="28" w:type="dxa"/>
          <w:bottom w:w="28" w:type="dxa"/>
          <w:right w:w="28" w:type="dxa"/>
        </w:tblCellMar>
      </w:tblPr>
      <w:tblGrid>
        <w:gridCol w:w="2131"/>
        <w:gridCol w:w="146"/>
        <w:gridCol w:w="146"/>
        <w:gridCol w:w="571"/>
        <w:gridCol w:w="271"/>
        <w:gridCol w:w="146"/>
        <w:gridCol w:w="146"/>
        <w:gridCol w:w="571"/>
        <w:gridCol w:w="271"/>
        <w:gridCol w:w="146"/>
        <w:gridCol w:w="146"/>
        <w:gridCol w:w="571"/>
        <w:gridCol w:w="316"/>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85"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Volatility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employee and non-employee option activity under the Company’s equity award plans is presented below (in thousands, except share data): </w:t>
      </w:r>
    </w:p>
    <w:tbl>
      <w:tblPr>
        <w:tblW w:w="7985" w:type="dxa"/>
        <w:jc w:val="left"/>
        <w:tblInd w:w="0" w:type="dxa"/>
        <w:tblLayout w:type="fixed"/>
        <w:tblCellMar>
          <w:top w:w="28" w:type="dxa"/>
          <w:left w:w="28" w:type="dxa"/>
          <w:bottom w:w="28" w:type="dxa"/>
          <w:right w:w="28" w:type="dxa"/>
        </w:tblCellMar>
      </w:tblPr>
      <w:tblGrid>
        <w:gridCol w:w="2896"/>
        <w:gridCol w:w="146"/>
        <w:gridCol w:w="146"/>
        <w:gridCol w:w="1036"/>
        <w:gridCol w:w="166"/>
        <w:gridCol w:w="146"/>
        <w:gridCol w:w="214"/>
        <w:gridCol w:w="582"/>
        <w:gridCol w:w="146"/>
        <w:gridCol w:w="146"/>
        <w:gridCol w:w="285"/>
        <w:gridCol w:w="706"/>
        <w:gridCol w:w="146"/>
        <w:gridCol w:w="146"/>
        <w:gridCol w:w="211"/>
        <w:gridCol w:w="676"/>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 xml:space="preserve">Intrinsic </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11,688,079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3,976,819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(1,135,977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 forfeited or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(1,400,615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13,128,306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7,525,866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The weighted-average grant date fair value of options granted during the years ended December 31, 2025, 2024 and 2023, was $8.74, $14.37, and $16.20 per share, respectively. The fair value is being expensed over the vesting period of the options (usually three to four years) on a straight-line basis as the services are being provided.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1,135,977 options exercised for the year ended December 31, 2025, resulting in total proceeds of $12.1 million; 717,413 options exercised for the year ended December 31, 2024, resulting in total proceeds of $8.0 million; and 662,042 options exercised for the year ended December 31, 2023, resulting in total proceeds of $5.1 million. The intrinsic value of options exercised during the years ended December 31, 2025, 2024 and 2023 was $6.8 million, $7.2 million, and $9.5 million, respectively. In accordance with the Company’s policy, the shares were issued from a pool of shares reserved for issuance under the 2015 Plan and 2023 Inducement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RSUs awarded to Board of Directors or employees vest on either i) one – year anniversary date of the related grant or ii) 25% on each anniversary for 4 years. The following table summarizes our RSU activity:</w:t>
      </w:r>
    </w:p>
    <w:p>
      <w:pPr>
        <w:pStyle w:val="TextBody"/>
        <w:bidi w:val="0"/>
        <w:spacing w:before="120" w:after="283"/>
        <w:jc w:val="left"/>
        <w:rPr/>
      </w:pPr>
      <w:r>
        <w:rPr/>
        <w:t> </w:t>
      </w:r>
    </w:p>
    <w:tbl>
      <w:tblPr>
        <w:tblW w:w="6298" w:type="dxa"/>
        <w:jc w:val="left"/>
        <w:tblInd w:w="0" w:type="dxa"/>
        <w:tblLayout w:type="fixed"/>
        <w:tblCellMar>
          <w:top w:w="28" w:type="dxa"/>
          <w:left w:w="28" w:type="dxa"/>
          <w:bottom w:w="28" w:type="dxa"/>
          <w:right w:w="28" w:type="dxa"/>
        </w:tblCellMar>
      </w:tblPr>
      <w:tblGrid>
        <w:gridCol w:w="2656"/>
        <w:gridCol w:w="146"/>
        <w:gridCol w:w="146"/>
        <w:gridCol w:w="931"/>
        <w:gridCol w:w="166"/>
        <w:gridCol w:w="146"/>
        <w:gridCol w:w="476"/>
        <w:gridCol w:w="1294"/>
        <w:gridCol w:w="146"/>
        <w:gridCol w:w="19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2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Number</w:t>
            </w:r>
            <w:r>
              <w:rPr>
                <w:rFonts w:ascii="Times New Roman" w:hAnsi="Times New Roman"/>
                <w:color w:val="000000"/>
                <w:sz w:val="16"/>
              </w:rPr>
              <w:t xml:space="preserve"> </w:t>
            </w:r>
            <w:r>
              <w:rPr>
                <w:rFonts w:ascii="Times New Roman" w:hAnsi="Times New Roman"/>
                <w:b/>
                <w:color w:val="000000"/>
                <w:sz w:val="16"/>
              </w:rPr>
              <w:t>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Grant 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Granted </w:t>
            </w:r>
            <w:r>
              <w:rPr>
                <w:rFonts w:ascii="Times New Roman" w:hAnsi="Times New Roman"/>
                <w:color w:val="000000"/>
                <w:sz w:val="14"/>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2,001,335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Cancelled/Forfeited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2,617,562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t> </w:t>
      </w:r>
    </w:p>
    <w:p>
      <w:pPr>
        <w:pStyle w:val="TextBody"/>
        <w:bidi w:val="0"/>
        <w:jc w:val="left"/>
        <w:rPr>
          <w:rFonts w:ascii="Times New Roman" w:hAnsi="Times New Roman"/>
          <w:sz w:val="20"/>
        </w:rPr>
      </w:pPr>
      <w:r>
        <w:rPr>
          <w:rFonts w:ascii="Times New Roman" w:hAnsi="Times New Roman"/>
          <w:color w:val="000000"/>
          <w:sz w:val="17"/>
        </w:rPr>
        <w:t>(1)</w:t>
      </w:r>
      <w:r>
        <w:rPr>
          <w:rFonts w:ascii="Times New Roman" w:hAnsi="Times New Roman"/>
          <w:color w:val="000000"/>
          <w:sz w:val="20"/>
        </w:rPr>
        <w:t xml:space="preserve"> RSUs granted in 2025 and 2024 had a weighted average grant date fair value of $13.37</w:t>
      </w:r>
      <w:r>
        <w:rPr>
          <w:rFonts w:ascii="Times New Roman" w:hAnsi="Times New Roman"/>
          <w:color w:val="FF0000"/>
          <w:sz w:val="20"/>
        </w:rPr>
        <w:t xml:space="preserve"> </w:t>
      </w:r>
      <w:r>
        <w:rPr>
          <w:rFonts w:ascii="Times New Roman" w:hAnsi="Times New Roman"/>
          <w:color w:val="000000"/>
          <w:sz w:val="20"/>
        </w:rPr>
        <w:t>and $18.80, respectively. The fair values of RSUs vested in 2025 and 2024 totaled $8.8 million and $1.8 million,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September 2015, the Company’s Board adopted the ESPP, which was subsequently approved by the Company’s stockholders and became effective in 2016. The ESPP authorized the initial issuance of up to a total of 250,000 shares of common stock to the Company’s employees. The number of shares of common stock available under the ESPP will automatically increase on January 1st of each year, continuing until the expiration of the ESPP, in an amount equal to the lesser of (a) 1% of the total number of shares of common stock outstanding on December 31st of the preceding calendar year, or (b) 250,000 shares. On January 1, 2026, the shares of common stock reserved for issuance under the ESPP was increased to 2,252,859. Under the terms of the ESPP, eligible employees can elect to acquire shares of the Company’s common stock through periodic payroll deductions during a series of six-month offering periods. Purchases under the ESPP are affected on the last business day of each offering period at a 15% discount to the lower of closing price on that day or the closing price on the first day of the offering period. The Company issued 164,852 and 64,903 shares during 2025 and 2024, respectively. The ESPP plan will expire in March 2026.</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ESPP is considered a compensatory plan with the related compensation cost expensed over the six-month offering period. For the years ended December 31, 2025, 2024 and 2023 the Company recorded stock-based compensation expense related to the ESPP of $0.8 million, $0.6 million, and $0.3 million respectively.</w:t>
      </w:r>
    </w:p>
    <w:p>
      <w:pPr>
        <w:pStyle w:val="TextBody"/>
        <w:bidi w:val="0"/>
        <w:spacing w:before="360" w:after="283"/>
        <w:jc w:val="left"/>
        <w:rPr>
          <w:rFonts w:ascii="Times New Roman" w:hAnsi="Times New Roman"/>
          <w:sz w:val="20"/>
        </w:rPr>
      </w:pPr>
      <w:r>
        <w:rPr>
          <w:rFonts w:ascii="Times New Roman" w:hAnsi="Times New Roman"/>
          <w:b/>
          <w:i/>
          <w:color w:val="000000"/>
          <w:sz w:val="20"/>
        </w:rPr>
        <w:t>Employee Benefit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Section 401(k) defined contribution savings plan for its employees. The plan covers substantially all employees who meet minimum age and service requirements and allows participants to defer a portion of their annual compensation on a pre- and after-tax basis, subject to legal limitations. Company contributions to the plan may be made at the discretion of the Board. For the years ended December 31, 2025, 2024 and 2023, the Company made $3.2 million, $2.7 million, and $1.3 million contributions to the plan, respectively.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Purchase and Sale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November 4, 2024, the Company entered into a Purchase and Sale Agreement, or the Purchase and Sale Agreement with Royalty Pharma Development Funding, LLC, or Royalty Pharma, pursuant to which Royalty Pharma purchased rights to certain revenue streams from net sales of products comprising or containing axatilimab (including Niktimvo) by the Company, its affiliates and its licensees in the United States and its respective territories, districts, commonwealths and possessions (including Guam and Puerto Rico) in exchange for an upfront fee of $350.0 million.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Purchase and Sale Agreement, Royalty Pharma purchased the right to receive a percentage of net sales equal to a royalty rate of 13.8% on quarterly net sales of Niktimvo in the United States and its respective territories; provided that the royalty rate is subject to certain adjustments based on future aggregate net sales of the Product in the Territory, or the Revenue Participation Right. Aggregate payments made to Royalty Pharma in respect of the Revenue Participation Right will be capped at $822.5 million, or the Royalty Cap. </w:t>
      </w:r>
    </w:p>
    <w:p>
      <w:pPr>
        <w:pStyle w:val="TextBody"/>
        <w:bidi w:val="0"/>
        <w:jc w:val="left"/>
        <w:rPr>
          <w:rFonts w:ascii="Times New Roman" w:hAnsi="Times New Roman"/>
          <w:color w:val="000000"/>
          <w:sz w:val="20"/>
        </w:rPr>
      </w:pPr>
      <w:r>
        <w:rPr>
          <w:rFonts w:ascii="Times New Roman" w:hAnsi="Times New Roman"/>
          <w:color w:val="000000"/>
          <w:sz w:val="20"/>
        </w:rPr>
        <w:t xml:space="preserve">The Purchase and Sale Agreement contains customary representations, warranties and indemnities of the Company and Royalty Pharma and customary covenants relating to the royalty payments, including the grant of a back-up security interest in the purchased royalties and certain assets related to the Product and restrictions on the incurrence of additional indebtedness and on the existence of liens on the Company’s assets related to the Product. </w:t>
      </w:r>
    </w:p>
    <w:p>
      <w:pPr>
        <w:pStyle w:val="TextBody"/>
        <w:bidi w:val="0"/>
        <w:jc w:val="left"/>
        <w:rPr>
          <w:rFonts w:ascii="Times New Roman" w:hAnsi="Times New Roman"/>
          <w:color w:val="000000"/>
          <w:sz w:val="20"/>
        </w:rPr>
      </w:pPr>
      <w:r>
        <w:rPr>
          <w:rFonts w:ascii="Times New Roman" w:hAnsi="Times New Roman"/>
          <w:color w:val="000000"/>
          <w:sz w:val="20"/>
        </w:rPr>
        <w:t xml:space="preserve">Upon a change of control, the Company will have the right, but not the obligation, to repurchase the Revenue Participation Right at a repurchase price set forth in the Purchase and Sale Agreement. In addition, the Purchase and Sale Agreement provides that if certain events of default occur, including certain bankruptcy events or certain termination events with respect to the Company’s license agreement with UCB Biopharma Srl, Royalty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Pharma may require the Company to repurchase Royalty Pharma’s interests in the Revenue Participation Right at a repurchase price equal to the Royalty Cap.</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assessed the Purchase and Sale Agreement and identified it as a sale of future revenue in the form of a debt instrument to be accounted for as debt under ASC 470. The Company has elected to use the prospective method in its calculation of its effective interest rate and will update this calculation quarterly when there are changes in the projected sales. The debt is allocated on the balance sheet as short term and long term. The short term portion represents the royalty payments owed over the next 12 months. The long term portion is recorded on the balance sheet as net of issuance costs. Issuance costs pursuance to the Purchase and Sale Agreement consisted primarily of bank and legal fees and totaled $6.3 million. These issuance costs were recorded as a direct deduction to the carrying amount of the liability and will be amortized under the effective interest method over the estimated period the liability will be repaid. As of December 31, 2025, the royalty interest financing balance is equal to its fair value, based on the adjusted quarterly interest rate calculation. The balance is a level 2 classified fair value. For the year ended December 31, 2025, the Company estimated an effective annual interest rate of approximately 13.02%. Over the course of the Purchase and Sale agreement, the annual interest rate will be affected by the amount and timing of net Niktimvo revenue recognized and change in timing of forecasted net Niktimvo revenue. On a quarterly basis, the Company reassesses the expected timing of the net Niktimvo revenue, recalculates the amortization and effective interest rate, and adjusts the accounting prospectively, as needed. The Company recognized interest expense of $33.8 million and $5.0 million in the years ended December 31, 2025, and 2024, respectively, related to the Purchase and Sale Agreement. The Company made $13.2 million of payments on the Purchase and Sale agreement during the year ended December 31, 2025.</w:t>
      </w:r>
    </w:p>
    <w:tbl>
      <w:tblPr>
        <w:tblW w:w="6554" w:type="dxa"/>
        <w:jc w:val="left"/>
        <w:tblInd w:w="0" w:type="dxa"/>
        <w:tblLayout w:type="fixed"/>
        <w:tblCellMar>
          <w:top w:w="28" w:type="dxa"/>
          <w:left w:w="28" w:type="dxa"/>
          <w:bottom w:w="28" w:type="dxa"/>
          <w:right w:w="28" w:type="dxa"/>
        </w:tblCellMar>
      </w:tblPr>
      <w:tblGrid>
        <w:gridCol w:w="3901"/>
        <w:gridCol w:w="146"/>
        <w:gridCol w:w="211"/>
        <w:gridCol w:w="781"/>
        <w:gridCol w:w="166"/>
        <w:gridCol w:w="146"/>
        <w:gridCol w:w="211"/>
        <w:gridCol w:w="781"/>
        <w:gridCol w:w="21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royalty interest financing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financing, less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Royalty interest financing,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343,909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343,681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17. Income Taxes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years ending December 31, 2025, and December 31, 2024, the Company recognized current state income tax expense of $0.4 million and $0.3 million, respectively, recorded under selling, general and administrative expense. The Company’s current year profit and historical losses before income tax for the periods presented was generated entirely in the United States.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Reconciliation of the differences between the effective income tax rate and federal statutory rate for the year ended December 31, 2025 (in thousands):</w:t>
      </w:r>
    </w:p>
    <w:p>
      <w:pPr>
        <w:pStyle w:val="TextBody"/>
        <w:bidi w:val="0"/>
        <w:jc w:val="both"/>
        <w:rPr/>
      </w:pPr>
      <w:r>
        <w:rPr/>
        <w:t> </w:t>
      </w:r>
    </w:p>
    <w:tbl>
      <w:tblPr>
        <w:tblW w:w="6430" w:type="dxa"/>
        <w:jc w:val="left"/>
        <w:tblInd w:w="0" w:type="dxa"/>
        <w:tblLayout w:type="fixed"/>
        <w:tblCellMar>
          <w:top w:w="28" w:type="dxa"/>
          <w:left w:w="28" w:type="dxa"/>
          <w:bottom w:w="28" w:type="dxa"/>
          <w:right w:w="28" w:type="dxa"/>
        </w:tblCellMar>
      </w:tblPr>
      <w:tblGrid>
        <w:gridCol w:w="3781"/>
        <w:gridCol w:w="146"/>
        <w:gridCol w:w="211"/>
        <w:gridCol w:w="736"/>
        <w:gridCol w:w="166"/>
        <w:gridCol w:w="146"/>
        <w:gridCol w:w="146"/>
        <w:gridCol w:w="526"/>
        <w:gridCol w:w="166"/>
        <w:gridCol w:w="40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Orphan drug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Nontaxable or Nondeductible items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 option deduction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Non-deductible officer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7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433</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(0.2</w:t>
            </w:r>
          </w:p>
        </w:tc>
        <w:tc>
          <w:tcPr>
            <w:tcW w:w="16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406"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b/>
                <w:color w:val="000000"/>
                <w:sz w:val="20"/>
              </w:rPr>
              <w:t>%</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previously disclosed for the years ended December 31, 2024, and 2023, prior to the adoption of ASU 2023-09, the following is a reconciliation of the difference between the effective income tax rate and the federal statutory rate:</w:t>
      </w:r>
    </w:p>
    <w:p>
      <w:pPr>
        <w:pStyle w:val="TextBody"/>
        <w:bidi w:val="0"/>
        <w:jc w:val="left"/>
        <w:rPr/>
      </w:pPr>
      <w:r>
        <w:rPr/>
        <w:t> </w:t>
      </w:r>
    </w:p>
    <w:tbl>
      <w:tblPr>
        <w:tblW w:w="6297" w:type="dxa"/>
        <w:jc w:val="left"/>
        <w:tblInd w:w="0" w:type="dxa"/>
        <w:tblLayout w:type="fixed"/>
        <w:tblCellMar>
          <w:top w:w="28" w:type="dxa"/>
          <w:left w:w="28" w:type="dxa"/>
          <w:bottom w:w="28" w:type="dxa"/>
          <w:right w:w="28" w:type="dxa"/>
        </w:tblCellMar>
      </w:tblPr>
      <w:tblGrid>
        <w:gridCol w:w="3781"/>
        <w:gridCol w:w="146"/>
        <w:gridCol w:w="170"/>
        <w:gridCol w:w="614"/>
        <w:gridCol w:w="316"/>
        <w:gridCol w:w="170"/>
        <w:gridCol w:w="170"/>
        <w:gridCol w:w="614"/>
        <w:gridCol w:w="316"/>
      </w:tblGrid>
      <w:tr>
        <w:trPr/>
        <w:tc>
          <w:tcPr>
            <w:tcW w:w="3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computed at federal statutory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business credit carryovers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Non-deductible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true up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significant components of the Company’s deferred tax are as follows (in thousands): </w:t>
      </w:r>
    </w:p>
    <w:p>
      <w:pPr>
        <w:pStyle w:val="TextBody"/>
        <w:bidi w:val="0"/>
        <w:jc w:val="left"/>
        <w:rPr/>
      </w:pPr>
      <w:r>
        <w:rPr/>
        <w:t> </w:t>
      </w:r>
    </w:p>
    <w:tbl>
      <w:tblPr>
        <w:tblW w:w="7424" w:type="dxa"/>
        <w:jc w:val="left"/>
        <w:tblInd w:w="0" w:type="dxa"/>
        <w:tblLayout w:type="fixed"/>
        <w:tblCellMar>
          <w:top w:w="28" w:type="dxa"/>
          <w:left w:w="28" w:type="dxa"/>
          <w:bottom w:w="28" w:type="dxa"/>
          <w:right w:w="28" w:type="dxa"/>
        </w:tblCellMar>
      </w:tblPr>
      <w:tblGrid>
        <w:gridCol w:w="4271"/>
        <w:gridCol w:w="146"/>
        <w:gridCol w:w="211"/>
        <w:gridCol w:w="841"/>
        <w:gridCol w:w="166"/>
        <w:gridCol w:w="146"/>
        <w:gridCol w:w="211"/>
        <w:gridCol w:w="841"/>
        <w:gridCol w:w="591"/>
      </w:tblGrid>
      <w:tr>
        <w:trPr/>
        <w:tc>
          <w:tcPr>
            <w:tcW w:w="4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w:t>
              <w:br/>
              <w:t>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43,362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16,074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Orphan drug credits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start-up and other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Capitalized research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97,780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Disallowed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temporary differences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Deferred tax assets before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258,638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(339,706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(258,638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Supplemental disclosure of cash paid during the period for income taxes (net of refunds received):</w:t>
      </w:r>
    </w:p>
    <w:p>
      <w:pPr>
        <w:pStyle w:val="TextBody"/>
        <w:bidi w:val="0"/>
        <w:jc w:val="left"/>
        <w:rPr/>
      </w:pPr>
      <w:r>
        <w:rPr/>
        <w:t> </w:t>
      </w:r>
    </w:p>
    <w:tbl>
      <w:tblPr>
        <w:tblW w:w="6233" w:type="dxa"/>
        <w:jc w:val="left"/>
        <w:tblInd w:w="0" w:type="dxa"/>
        <w:tblLayout w:type="fixed"/>
        <w:tblCellMar>
          <w:top w:w="28" w:type="dxa"/>
          <w:left w:w="28" w:type="dxa"/>
          <w:bottom w:w="28" w:type="dxa"/>
          <w:right w:w="28" w:type="dxa"/>
        </w:tblCellMar>
      </w:tblPr>
      <w:tblGrid>
        <w:gridCol w:w="3901"/>
        <w:gridCol w:w="146"/>
        <w:gridCol w:w="621"/>
        <w:gridCol w:w="1374"/>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Tennessee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New York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Massachusetts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taxes paid, net of refunds received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374"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0.15</w:t>
            </w:r>
          </w:p>
        </w:tc>
        <w:tc>
          <w:tcPr>
            <w:tcW w:w="191" w:type="dxa"/>
            <w:tcBorders>
              <w:bottom w:val="single" w:sz="18"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One Big Beautiful Bill Act, or OBBBA, was signed into law on July 4, 2025. The OBBBA includes significant changes affecting business taxpayers, with various effective dates. Among the provisions impacting the Company is Section 174A, which permits current expensing of domestic research and experimental, or R&amp;E, expenditures. The Company elected to currently deduct domestic R&amp;E costs incurred during the year and did not elect to accelerate deductions for domestic R&amp;E costs capitalized in prior years. Foreign R&amp;E expenditures continue to be amortized over 15 years under Section 174.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fiscal year ended December 31, 2025, the Company was subject to the Section 163(j) business interest expense limitation based on its average annual gross receipts (as determined under Section 448(c)). For tax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years beginning after December 31, 2024, the OBBBA modifies the Section 163(j) Adjusted Taxable Income (“ATI”) calculation to allow an add-back for depreciation and amortization.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has provided a valuation allowance for the full amount of the net deferred tax assets as the realization of the deferred tax assets is not determined to be more likely than not. The valuation allowance increased by $81.1 million in 2025 due to the increase in deferred tax assets, primarily driven by the generation of net operating losses, and capitalized research expenses. The valuation allowance increased by $52.7 million in 2024 due to the increase in deferred tax assets, primarily driven by the generation of net operating losses and capitalized research expenses, and capitalized start-up costs.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approximately $585.3 million and $227.7 million in federal and state net operating losses, or NOLs, respectively, which may be available to offset future taxable income. The Company has generated federal NOLs of $563.2 million and state NOLs of $8.7 million which have indefinite carryforward period. The remaining $22.1 million of federal NOLs and $219.0 million the Company’s state NOLs will begin to expire at various dates starting in 2026. Effective January 1, 2024, the Company has been reclassified as an active trade or business for tax purposes. This resulted in a reclassification of capitalized start-up and other costs to net operating losses and valuation allowance in the 2025 tax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December 31, 2025, the Company had available research and development and orphan drug tax credits of approximately $9.8 million and $27.0 million, respectively. Income tax credits began to expire in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Realization of future tax benefits is dependent on many factors, including the Company’s ability to generate taxable income within the net operating loss carryforward period. Under the Internal Revenue Code provisions, certain substantial changes in the Company’s ownership, including the sale of the Company or significant changes in ownership due to sales of equity, may have limited, or may limit in the future, the amount of net operating loss carryforwards which could be used annually to offset future taxable income. The Company last completed an analysis from January 1, 2023 through December 31, 2023 and determined that no ownership changes had occurred in that period. Prior analyses determined that on March 30, 2007, August 21, 2015 and May 4, 2020, ownership changes had occurred. The Company may also experience ownership changes in the future as a result of subsequent shifts in our stock ownership, some of which may be outside of our control. As a result, its ability to use its pre- change NOLs to offset U.S. federal taxable income may be subject to limitations, which could potentially result in increased future tax liability. In addition, at the state level, there may be periods during which the use of NOLs is suspended or otherwise limited, which could accelerate or permanently increase state taxes owed.</w:t>
      </w:r>
    </w:p>
    <w:p>
      <w:pPr>
        <w:pStyle w:val="TextBody"/>
        <w:bidi w:val="0"/>
        <w:jc w:val="left"/>
        <w:rPr>
          <w:rFonts w:ascii="Times New Roman" w:hAnsi="Times New Roman"/>
          <w:color w:val="000000"/>
          <w:sz w:val="20"/>
        </w:rPr>
      </w:pPr>
      <w:r>
        <w:rPr>
          <w:rFonts w:ascii="Times New Roman" w:hAnsi="Times New Roman"/>
          <w:color w:val="000000"/>
          <w:sz w:val="20"/>
        </w:rPr>
        <w:t xml:space="preserve">As of December 31, 2025, and 2024, the Company had uncertain tax positions of $0.1 million related to research and development credits, which reduce the deferred tax assets with a corresponding decrease to the valuation allowance. The Company has elected to recognize interest and penalties related to income tax matters as a component of income tax expense, of which no interest or penalties were recorded for the years ended December 31, 2025 and 2024. The Company expects none of the unrecognized tax benefits to decrease within the next 12 months related to expired statutes or settlement with the taxing authorities. Due to the Company’s valuation allowance as of December 31, 2025, none of the Company’s unrecognized tax benefits, if recognized, would affect the effective tax rate.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reconciliation of the Company’s unrecognized tax benefits is as follows (in thousands): </w:t>
      </w:r>
    </w:p>
    <w:p>
      <w:pPr>
        <w:pStyle w:val="TextBody"/>
        <w:bidi w:val="0"/>
        <w:jc w:val="left"/>
        <w:rPr/>
      </w:pPr>
      <w:r>
        <w:rPr/>
        <w:t> </w:t>
      </w:r>
    </w:p>
    <w:tbl>
      <w:tblPr>
        <w:tblW w:w="6553" w:type="dxa"/>
        <w:jc w:val="left"/>
        <w:tblInd w:w="0" w:type="dxa"/>
        <w:tblLayout w:type="fixed"/>
        <w:tblCellMar>
          <w:top w:w="28" w:type="dxa"/>
          <w:left w:w="28" w:type="dxa"/>
          <w:bottom w:w="28" w:type="dxa"/>
          <w:right w:w="28" w:type="dxa"/>
        </w:tblCellMar>
      </w:tblPr>
      <w:tblGrid>
        <w:gridCol w:w="3736"/>
        <w:gridCol w:w="146"/>
        <w:gridCol w:w="211"/>
        <w:gridCol w:w="421"/>
        <w:gridCol w:w="146"/>
        <w:gridCol w:w="146"/>
        <w:gridCol w:w="211"/>
        <w:gridCol w:w="421"/>
        <w:gridCol w:w="146"/>
        <w:gridCol w:w="146"/>
        <w:gridCol w:w="211"/>
        <w:gridCol w:w="421"/>
        <w:gridCol w:w="191"/>
      </w:tblGrid>
      <w:tr>
        <w:trPr/>
        <w:tc>
          <w:tcPr>
            <w:tcW w:w="37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prior period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Unrecognized tax benefit--end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files tax returns in the U.S. and various states. All tax years since inception (October 11, 2005) remain open to examination by major tax jurisdictions to which the Company is subject, as carryforward attributes generated in years past may still be adjusted upon examination by the Internal Revenue Service or state tax authorities if they have or will be used in a future period. The Company is currently not under examination by the Internal Revenue Service or any other jurisdictions for any tax years.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18.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License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2013, the Company entered into Eddingpharm License Agreement and a Series B-1 purchase agreement with Eddingpharm. Under the terms of the Eddingpharm License Agreement, Eddingpharm, in exchange for rights to develop and commercialize entinostat in China and certain other Asian countries, purchased $5.0 million of Series B-1 and agreed to make certain contingent milestone and royalty payments based on revenue targets. In certain cases, the Company is required to assist Eddingpharm, and Eddingpharm is required to reimburse the Company for any out-of-pocket expenses incurred in providing this assistance, including reimbursement for person-hours above a certain cap.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is obligated to pay royalties pursuant to the Vitae License Agreement, as a percentage of net product sales for direct licensed products, such as Revuforj. The obligation to pay royalties expires, on a country-by-country basis and licensed product-by-licensed product basis until the later of expiration of the last valid claim of a patent right, the expiration of the applicable regulatory exclusivity for such licensed product in such county, or 10 years from the first commercial sale of a licensed product in each country. These fees were recorded as cost of product sales.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From time to time, the Company may be subject to various claims and proceedings in the ordinary course of business. If the potential loss from any claim, asserted or unasserted, or proceeding is considered probable and the amount is reasonably estimable, the Company will accrue a liability for the estimated loss. There were no contingent liabilities recorded as of December 31, 2025, or 2024.</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19. Segment Reporting</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manages its business activities on a consolidated basis and operate as a single operating and reportable segment: Syndax Pharmaceuticals. The Company derives revenue in the United States through milestone revenue and product sales on the recently approved products, Revuforj and Niktimvo. The accounting policies of the segment are the same as those described in Note 3 – Summary of Significant Accounting Policies.</w:t>
        <w:b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assess performance, the Company's Chief Operating Decision Maker, or CODM, the Chief Executive Officer, or CEO, Michael Metzger, uses consolidated net loss as the segment's measure of segment profit or loss. The CODM uses net loss in the budget and forecasting process and considers budget-to actual variances on a quarterly bases when making decisions about the allocation of operating and capital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provides the operating financial results of our biopharmaceutical cancer therapeutics segment:</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8313" w:type="dxa"/>
        <w:jc w:val="left"/>
        <w:tblInd w:w="0" w:type="dxa"/>
        <w:tblLayout w:type="fixed"/>
        <w:tblCellMar>
          <w:top w:w="28" w:type="dxa"/>
          <w:left w:w="28" w:type="dxa"/>
          <w:bottom w:w="28" w:type="dxa"/>
          <w:right w:w="28" w:type="dxa"/>
        </w:tblCellMar>
      </w:tblPr>
      <w:tblGrid>
        <w:gridCol w:w="3796"/>
        <w:gridCol w:w="146"/>
        <w:gridCol w:w="211"/>
        <w:gridCol w:w="841"/>
        <w:gridCol w:w="166"/>
        <w:gridCol w:w="146"/>
        <w:gridCol w:w="211"/>
        <w:gridCol w:w="841"/>
        <w:gridCol w:w="166"/>
        <w:gridCol w:w="146"/>
        <w:gridCol w:w="211"/>
        <w:gridCol w:w="841"/>
        <w:gridCol w:w="5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8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Significant and other segment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Revumenib-related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Axatilimab-related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32,114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R&amp;D programs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Commercial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Personnel cost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SG&amp;A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14,105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30,951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Royalty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(20,955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Segment 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(285,422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(209,360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39" w:name="sndx-ex10_30.htm"/>
      <w:bookmarkStart w:id="40" w:name="kssndxex10_30"/>
      <w:bookmarkEnd w:id="39"/>
      <w:bookmarkEnd w:id="40"/>
      <w:r>
        <w:rPr>
          <w:rFonts w:ascii="Times New Roman" w:hAnsi="Times New Roman"/>
          <w:b/>
          <w:color w:val="000000"/>
          <w:sz w:val="20"/>
        </w:rPr>
        <w:t>Exhibit 10.30</w:t>
      </w:r>
      <w:r>
        <w:br w:type="page"/>
      </w:r>
    </w:p>
    <w:p>
      <w:pPr>
        <w:pStyle w:val="Heading1"/>
        <w:bidi w:val="0"/>
        <w:jc w:val="center"/>
        <w:rPr>
          <w:rFonts w:ascii="Times New Roman" w:hAnsi="Times New Roman"/>
          <w:color w:val="000000"/>
          <w:sz w:val="22"/>
        </w:rPr>
      </w:pPr>
      <w:r>
        <w:rPr>
          <w:rFonts w:ascii="Times New Roman" w:hAnsi="Times New Roman"/>
          <w:color w:val="000000"/>
          <w:sz w:val="22"/>
        </w:rPr>
        <w:t>SYNDAX PHARMACEUTICALS, INC.</w:t>
      </w:r>
    </w:p>
    <w:p>
      <w:pPr>
        <w:pStyle w:val="Heading1"/>
        <w:bidi w:val="0"/>
        <w:jc w:val="center"/>
        <w:rPr/>
      </w:pPr>
      <w:r>
        <w:rPr/>
        <w:t> </w:t>
      </w:r>
    </w:p>
    <w:p>
      <w:pPr>
        <w:pStyle w:val="Heading1"/>
        <w:bidi w:val="0"/>
        <w:jc w:val="center"/>
        <w:rPr>
          <w:rFonts w:ascii="Times New Roman" w:hAnsi="Times New Roman"/>
          <w:color w:val="000000"/>
          <w:sz w:val="22"/>
        </w:rPr>
      </w:pPr>
      <w:r>
        <w:rPr>
          <w:rFonts w:ascii="Times New Roman" w:hAnsi="Times New Roman"/>
          <w:color w:val="000000"/>
          <w:sz w:val="22"/>
        </w:rPr>
        <w:t>AMENDED &amp; RESTATED</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NON-EMPLOYEE DIRECTOR COMPENSATION POLICY</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Effective: February 4, 2026</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who is not also serving as an employee of Syndax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or any of its subsidiaries will receive the compensation described in this Amended and Restated Non-Employee Director Compensation Policy for his or her Board service. This policy may be amended at any time in the sole discretion of the Board.</w:t>
      </w:r>
    </w:p>
    <w:p>
      <w:pPr>
        <w:pStyle w:val="TextBody"/>
        <w:bidi w:val="0"/>
        <w:jc w:val="both"/>
        <w:rPr>
          <w:rFonts w:ascii="Times New Roman" w:hAnsi="Times New Roman"/>
          <w:sz w:val="20"/>
        </w:rPr>
      </w:pPr>
      <w:r>
        <w:rPr>
          <w:rFonts w:ascii="Times New Roman" w:hAnsi="Times New Roman"/>
          <w:color w:val="000000"/>
          <w:sz w:val="22"/>
        </w:rPr>
        <w:t>Each non-employee director serving on the Board of the Company will receive an annual base cash fee for his or her services of $52,000. Each non-employee director other than the non-executive chairperson of the Board (the “</w:t>
      </w:r>
      <w:r>
        <w:rPr>
          <w:rFonts w:ascii="Times New Roman" w:hAnsi="Times New Roman"/>
          <w:b/>
          <w:i/>
          <w:color w:val="000000"/>
          <w:sz w:val="22"/>
        </w:rPr>
        <w:t>Chair</w:t>
      </w:r>
      <w:r>
        <w:rPr>
          <w:rFonts w:ascii="Times New Roman" w:hAnsi="Times New Roman"/>
          <w:color w:val="000000"/>
          <w:sz w:val="20"/>
        </w:rPr>
        <w:t>”</w:t>
      </w:r>
      <w:r>
        <w:rPr>
          <w:rFonts w:ascii="Times New Roman" w:hAnsi="Times New Roman"/>
          <w:color w:val="000000"/>
          <w:sz w:val="22"/>
        </w:rPr>
        <w:t>) shall also receive an annual award of deferred settlement restricted stock units to purchase 24,000 shares and the Chair shall also receive an annual award of deferred settlement restricted stock units to purchase 48,000 shares (each as adjusted for stock splits, stock dividends, recapitalization and similar events) of the Company’s common stock on the same date that the Board awards annual stock option grants to the Company’s executive officers (each an “</w:t>
      </w:r>
      <w:r>
        <w:rPr>
          <w:rFonts w:ascii="Times New Roman" w:hAnsi="Times New Roman"/>
          <w:b/>
          <w:i/>
          <w:color w:val="000000"/>
          <w:sz w:val="22"/>
        </w:rPr>
        <w:t>Annual Option Award</w:t>
      </w:r>
      <w:r>
        <w:rPr>
          <w:rFonts w:ascii="Times New Roman" w:hAnsi="Times New Roman"/>
          <w:color w:val="000000"/>
          <w:sz w:val="20"/>
        </w:rPr>
        <w:t>”</w:t>
      </w:r>
      <w:r>
        <w:rPr>
          <w:rFonts w:ascii="Times New Roman" w:hAnsi="Times New Roman"/>
          <w:color w:val="000000"/>
          <w:sz w:val="22"/>
        </w:rPr>
        <w:t>). Each Annual Option Award will vest on the one-year anniversary of the date of grant, subject to the director’s continued service to the Company.</w:t>
      </w:r>
    </w:p>
    <w:p>
      <w:pPr>
        <w:pStyle w:val="TextBody"/>
        <w:bidi w:val="0"/>
        <w:jc w:val="both"/>
        <w:rPr>
          <w:rFonts w:ascii="Times New Roman" w:hAnsi="Times New Roman"/>
          <w:sz w:val="20"/>
        </w:rPr>
      </w:pPr>
      <w:r>
        <w:rPr>
          <w:rFonts w:ascii="Times New Roman" w:hAnsi="Times New Roman"/>
          <w:color w:val="000000"/>
          <w:sz w:val="22"/>
        </w:rPr>
        <w:t>Newly appointed non-employee directors will receive at the time of his or her appointment to the Board, a one-time initial award of options to purchase 35,000 shares (as adjusted for stock splits, stock dividends, recapitalization and similar events) of the Company’s common stock (the “</w:t>
      </w:r>
      <w:r>
        <w:rPr>
          <w:rFonts w:ascii="Times New Roman" w:hAnsi="Times New Roman"/>
          <w:b/>
          <w:i/>
          <w:color w:val="000000"/>
          <w:sz w:val="22"/>
        </w:rPr>
        <w:t>New Director Award</w:t>
      </w:r>
      <w:r>
        <w:rPr>
          <w:rFonts w:ascii="Times New Roman" w:hAnsi="Times New Roman"/>
          <w:color w:val="000000"/>
          <w:sz w:val="20"/>
        </w:rPr>
        <w:t>”</w:t>
      </w:r>
      <w:r>
        <w:rPr>
          <w:rFonts w:ascii="Times New Roman" w:hAnsi="Times New Roman"/>
          <w:color w:val="000000"/>
          <w:sz w:val="22"/>
        </w:rPr>
        <w:t>). Each New Director Award will vest monthly over a three-year period.</w:t>
      </w:r>
    </w:p>
    <w:p>
      <w:pPr>
        <w:pStyle w:val="TextBody"/>
        <w:bidi w:val="0"/>
        <w:jc w:val="both"/>
        <w:rPr>
          <w:rFonts w:ascii="Times New Roman" w:hAnsi="Times New Roman"/>
          <w:color w:val="000000"/>
          <w:sz w:val="22"/>
        </w:rPr>
      </w:pPr>
      <w:r>
        <w:rPr>
          <w:rFonts w:ascii="Times New Roman" w:hAnsi="Times New Roman"/>
          <w:color w:val="000000"/>
          <w:sz w:val="22"/>
        </w:rPr>
        <w:t>The Chair will also receive an annual cash retainer of $89,250 for his or her service in such role.</w:t>
      </w:r>
    </w:p>
    <w:p>
      <w:pPr>
        <w:pStyle w:val="TextBody"/>
        <w:bidi w:val="0"/>
        <w:jc w:val="both"/>
        <w:rPr>
          <w:rFonts w:ascii="Times New Roman" w:hAnsi="Times New Roman"/>
          <w:color w:val="000000"/>
          <w:sz w:val="22"/>
        </w:rPr>
      </w:pPr>
      <w:r>
        <w:rPr>
          <w:rFonts w:ascii="Times New Roman" w:hAnsi="Times New Roman"/>
          <w:color w:val="000000"/>
          <w:sz w:val="22"/>
        </w:rPr>
        <w:t>Each non-employee director, other than the chairperson of such committee, who serves on the following committees will receive an annual cash retainer, for each committee on which he or she serves, as listed below:</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Audit committee – $13,125</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Compensation committee – $10,500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Science &amp; Technology committee – $10,500</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Nominating and corporate governance committee – $7,875</w:t>
      </w:r>
    </w:p>
    <w:p>
      <w:pPr>
        <w:pStyle w:val="TextBody"/>
        <w:bidi w:val="0"/>
        <w:jc w:val="both"/>
        <w:rPr>
          <w:rFonts w:ascii="Times New Roman" w:hAnsi="Times New Roman"/>
          <w:color w:val="000000"/>
          <w:sz w:val="22"/>
        </w:rPr>
      </w:pPr>
      <w:r>
        <w:rPr>
          <w:rFonts w:ascii="Times New Roman" w:hAnsi="Times New Roman"/>
          <w:color w:val="000000"/>
          <w:sz w:val="22"/>
        </w:rPr>
        <w:t>Each chairperson of the audit, compensation, nominating and corporate governance and science and technology committees will receive an additional annual cash retainer as follows: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Audit committee – $26,250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Compensation committee – $21,000</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Science &amp; Technology committee – $18,375</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Nominating and corporate governance committee – $12,600</w:t>
      </w:r>
    </w:p>
    <w:p>
      <w:pPr>
        <w:pStyle w:val="TextBody"/>
        <w:bidi w:val="0"/>
        <w:jc w:val="both"/>
        <w:rPr>
          <w:rFonts w:ascii="Times New Roman" w:hAnsi="Times New Roman"/>
          <w:color w:val="000000"/>
          <w:sz w:val="22"/>
        </w:rPr>
      </w:pPr>
      <w:r>
        <w:rPr>
          <w:rFonts w:ascii="Times New Roman" w:hAnsi="Times New Roman"/>
          <w:color w:val="000000"/>
          <w:sz w:val="22"/>
        </w:rPr>
        <w:t>The Company will also reimburse each of the directors for his or her travel expenses incurred in connection with his or her attendance at Board and committee meetings. All cash retainers will be paid in equal quarterly installments.</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sndx-ex19_1.htm"/>
      <w:bookmarkStart w:id="42" w:name="kssndxex19_1"/>
      <w:bookmarkEnd w:id="41"/>
      <w:bookmarkEnd w:id="42"/>
      <w:r>
        <w:rPr>
          <w:rFonts w:ascii="Times New Roman" w:hAnsi="Times New Roman"/>
          <w:b/>
          <w:color w:val="000000"/>
          <w:sz w:val="20"/>
        </w:rPr>
        <w:t>Exhibit 19.1</w:t>
      </w:r>
      <w:r>
        <w:br w:type="page"/>
      </w:r>
    </w:p>
    <w:p>
      <w:pPr>
        <w:pStyle w:val="TextBody"/>
        <w:bidi w:val="0"/>
        <w:spacing w:before="0" w:after="240"/>
        <w:jc w:val="center"/>
        <w:rPr>
          <w:rFonts w:ascii="Times New Roman" w:hAnsi="Times New Roman"/>
          <w:b/>
          <w:smallCaps/>
          <w:color w:val="000000"/>
          <w:sz w:val="22"/>
        </w:rPr>
      </w:pPr>
      <w:r>
        <w:rPr>
          <w:rFonts w:ascii="Times New Roman" w:hAnsi="Times New Roman"/>
          <w:b/>
          <w:smallCaps/>
          <w:color w:val="000000"/>
          <w:sz w:val="22"/>
        </w:rPr>
        <w:t>Syndax Pharmaceuticals, Inc.</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Insider Trading Policy</w:t>
      </w:r>
    </w:p>
    <w:p>
      <w:pPr>
        <w:pStyle w:val="TextBody"/>
        <w:pBdr>
          <w:bottom w:val="single" w:sz="4" w:space="1" w:color="000000"/>
        </w:pBdr>
        <w:bidi w:val="0"/>
        <w:jc w:val="center"/>
        <w:rPr/>
      </w:pPr>
      <w:r>
        <w:rPr/>
        <w:t> </w:t>
      </w:r>
    </w:p>
    <w:p>
      <w:pPr>
        <w:pStyle w:val="TextBody"/>
        <w:bidi w:val="0"/>
        <w:spacing w:before="120" w:after="240"/>
        <w:jc w:val="both"/>
        <w:rPr>
          <w:rFonts w:ascii="Times New Roman" w:hAnsi="Times New Roman"/>
          <w:b/>
          <w:smallCaps/>
          <w:color w:val="000000"/>
          <w:sz w:val="22"/>
        </w:rPr>
      </w:pPr>
      <w:r>
        <w:rPr>
          <w:rFonts w:ascii="Times New Roman" w:hAnsi="Times New Roman"/>
          <w:b/>
          <w:smallCaps/>
          <w:color w:val="000000"/>
          <w:sz w:val="22"/>
        </w:rPr>
        <w:t>Policy Principles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Employees, directors, other applicable members of management and designated consultants (each a “</w:t>
      </w:r>
      <w:r>
        <w:rPr>
          <w:rFonts w:ascii="Times New Roman" w:hAnsi="Times New Roman"/>
          <w:b/>
          <w:i/>
          <w:color w:val="000000"/>
          <w:sz w:val="22"/>
        </w:rPr>
        <w:t>Covered Person</w:t>
      </w:r>
      <w:r>
        <w:rPr>
          <w:rFonts w:ascii="Times New Roman" w:hAnsi="Times New Roman"/>
          <w:color w:val="000000"/>
          <w:sz w:val="22"/>
        </w:rPr>
        <w:t>,” and collectively, “</w:t>
      </w:r>
      <w:r>
        <w:rPr>
          <w:rFonts w:ascii="Times New Roman" w:hAnsi="Times New Roman"/>
          <w:b/>
          <w:i/>
          <w:color w:val="000000"/>
          <w:sz w:val="22"/>
        </w:rPr>
        <w:t>Covered Persons</w:t>
      </w:r>
      <w:r>
        <w:rPr>
          <w:color w:val="000000"/>
        </w:rPr>
        <w:t>”</w:t>
      </w:r>
      <w:r>
        <w:rPr>
          <w:rFonts w:ascii="Times New Roman" w:hAnsi="Times New Roman"/>
          <w:color w:val="000000"/>
          <w:sz w:val="22"/>
        </w:rPr>
        <w:t>) of Syndax Pharmaceuticals, Inc. and its subsidiaries (together, the “</w:t>
      </w:r>
      <w:r>
        <w:rPr>
          <w:rFonts w:ascii="Times New Roman" w:hAnsi="Times New Roman"/>
          <w:b/>
          <w:i/>
          <w:color w:val="000000"/>
          <w:sz w:val="22"/>
        </w:rPr>
        <w:t>Company</w:t>
      </w:r>
      <w:r>
        <w:rPr>
          <w:color w:val="000000"/>
        </w:rPr>
        <w:t>”</w:t>
      </w:r>
      <w:r>
        <w:rPr>
          <w:rFonts w:ascii="Times New Roman" w:hAnsi="Times New Roman"/>
          <w:color w:val="000000"/>
          <w:sz w:val="22"/>
        </w:rPr>
        <w:t xml:space="preserve">) are responsible for understanding the obligations that come with having access to material nonpublic information and wanting to transact in the Company’s securities.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Covered Persons who are aware of material nonpublic information relating to the Company may not directly or indirectly engage in transactions in the Company’s securities, except as permitted by this Insider Trading Policy (this “</w:t>
      </w:r>
      <w:r>
        <w:rPr>
          <w:rFonts w:ascii="Times New Roman" w:hAnsi="Times New Roman"/>
          <w:b/>
          <w:i/>
          <w:color w:val="000000"/>
          <w:sz w:val="22"/>
        </w:rPr>
        <w:t>Policy</w:t>
      </w:r>
      <w:r>
        <w:rPr>
          <w:color w:val="000000"/>
        </w:rPr>
        <w:t>”</w:t>
      </w:r>
      <w:r>
        <w:rPr>
          <w:rFonts w:ascii="Times New Roman" w:hAnsi="Times New Roman"/>
          <w:color w:val="000000"/>
          <w:sz w:val="22"/>
        </w:rPr>
        <w:t>) and applicable law.</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Covered Persons may not disclose material nonpublic information outside of the Company unless the disclosure is made in accordance with a specific Company policy that authorizes such disclosure.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Persons may not disclose material nonpublic information to persons within the Company whose jobs do not require them to have that information.</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Persons may not recommend the purchase or sale of any Company’s securities.</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Covered Persons may not directly or indirectly assist anyone engaged in the above activities.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Times New Roman" w:hAnsi="Times New Roman"/>
          <w:color w:val="000000"/>
          <w:sz w:val="22"/>
        </w:rPr>
        <w:t>Changes to this Policy require approval by the Company’s Board of Directors (the “</w:t>
      </w:r>
      <w:r>
        <w:rPr>
          <w:rFonts w:ascii="Times New Roman" w:hAnsi="Times New Roman"/>
          <w:b/>
          <w:i/>
          <w:color w:val="000000"/>
          <w:sz w:val="22"/>
        </w:rPr>
        <w:t>Board</w:t>
      </w:r>
      <w:r>
        <w:rPr>
          <w:color w:val="000000"/>
        </w:rPr>
        <w:t>”</w:t>
      </w:r>
      <w:r>
        <w:rPr>
          <w:rFonts w:ascii="Times New Roman" w:hAnsi="Times New Roman"/>
          <w:color w:val="000000"/>
          <w:sz w:val="22"/>
        </w:rPr>
        <w:t>) or a duly appointed committee of the Board.</w:t>
      </w:r>
    </w:p>
    <w:p>
      <w:pPr>
        <w:pStyle w:val="TextBody"/>
        <w:bidi w:val="0"/>
        <w:spacing w:before="0" w:after="240"/>
        <w:jc w:val="both"/>
        <w:rPr>
          <w:rFonts w:ascii="Times New Roman" w:hAnsi="Times New Roman"/>
          <w:b/>
          <w:smallCaps/>
          <w:color w:val="000000"/>
          <w:sz w:val="22"/>
        </w:rPr>
      </w:pPr>
      <w:r>
        <w:rPr>
          <w:rFonts w:ascii="Times New Roman" w:hAnsi="Times New Roman"/>
          <w:b/>
          <w:smallCaps/>
          <w:color w:val="000000"/>
          <w:sz w:val="22"/>
        </w:rPr>
        <w:t>Policy Q&amp;A</w:t>
      </w:r>
    </w:p>
    <w:p>
      <w:pPr>
        <w:pStyle w:val="TextBody"/>
        <w:bidi w:val="0"/>
        <w:spacing w:before="0" w:after="240"/>
        <w:jc w:val="both"/>
        <w:rPr>
          <w:rFonts w:ascii="Times New Roman" w:hAnsi="Times New Roman"/>
          <w:sz w:val="20"/>
        </w:rPr>
      </w:pPr>
      <w:r>
        <w:rPr>
          <w:rFonts w:ascii="Times New Roman" w:hAnsi="Times New Roman"/>
          <w:b/>
          <w:color w:val="000000"/>
          <w:sz w:val="22"/>
        </w:rPr>
        <w:t>Policy Scope and Purpose</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do we have an insider trading policy?</w:t>
      </w:r>
    </w:p>
    <w:p>
      <w:pPr>
        <w:pStyle w:val="TextBody"/>
        <w:bidi w:val="0"/>
        <w:spacing w:before="0" w:after="240"/>
        <w:jc w:val="both"/>
        <w:rPr>
          <w:rFonts w:ascii="Times New Roman" w:hAnsi="Times New Roman"/>
          <w:sz w:val="20"/>
        </w:rPr>
      </w:pPr>
      <w:r>
        <w:rPr>
          <w:rFonts w:ascii="Times New Roman" w:hAnsi="Times New Roman"/>
          <w:color w:val="000000"/>
          <w:sz w:val="22"/>
        </w:rPr>
        <w:t>A: During the course of your relationship with the Company, you may receive material information that is not yet publicly available (“</w:t>
      </w:r>
      <w:r>
        <w:rPr>
          <w:rFonts w:ascii="Times New Roman" w:hAnsi="Times New Roman"/>
          <w:b/>
          <w:i/>
          <w:color w:val="000000"/>
          <w:sz w:val="22"/>
        </w:rPr>
        <w:t>material nonpublic information</w:t>
      </w:r>
      <w:r>
        <w:rPr>
          <w:rFonts w:ascii="Times New Roman" w:hAnsi="Times New Roman"/>
          <w:color w:val="000000"/>
          <w:sz w:val="20"/>
        </w:rPr>
        <w:t>”</w:t>
      </w:r>
      <w:r>
        <w:rPr>
          <w:rFonts w:ascii="Times New Roman" w:hAnsi="Times New Roman"/>
          <w:color w:val="000000"/>
          <w:sz w:val="22"/>
        </w:rPr>
        <w:t>) about the Company or other publicly traded companies with which the Company has business relationships. Material nonpublic information may give you, or someone to whom you pass that information, an advantage over others when deciding whether to buy, sell or otherwise transact in the Company’s securities or the securities of another publicly traded company. This Policy sets forth guidelines with respect to transactions in Company securities by persons subject to this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is subject to this Policy?</w:t>
      </w:r>
    </w:p>
    <w:p>
      <w:pPr>
        <w:pStyle w:val="TextBody"/>
        <w:bidi w:val="0"/>
        <w:spacing w:before="0" w:after="240"/>
        <w:jc w:val="both"/>
        <w:rPr>
          <w:rFonts w:ascii="Times New Roman" w:hAnsi="Times New Roman"/>
          <w:sz w:val="20"/>
        </w:rPr>
      </w:pPr>
      <w:r>
        <w:rPr>
          <w:rFonts w:ascii="Times New Roman" w:hAnsi="Times New Roman"/>
          <w:color w:val="000000"/>
          <w:sz w:val="22"/>
        </w:rPr>
        <w:t>A: This Policy applies to you and all other Covered Persons. This Policy also applies to members of your immediate family, persons with whom you share a household, persons who are your economic dependents, and, unless otherwise determined by the Company, any other individuals or entities whose transactions in securities you influence, direct, or control (including, e.g., a venture or other investment fund, if you influence, direct, or control transactions by the fund). The foregoing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persons who are deemed subject to this Policy are referred to in this Policy as “</w:t>
      </w:r>
      <w:r>
        <w:rPr>
          <w:rFonts w:ascii="Times New Roman" w:hAnsi="Times New Roman"/>
          <w:b/>
          <w:i/>
          <w:color w:val="000000"/>
          <w:sz w:val="22"/>
        </w:rPr>
        <w:t>Related Persons</w:t>
      </w:r>
      <w:r>
        <w:rPr>
          <w:rFonts w:ascii="Times New Roman" w:hAnsi="Times New Roman"/>
          <w:color w:val="000000"/>
          <w:sz w:val="22"/>
        </w:rPr>
        <w:t>.” You are responsible for making sure that your Related Persons comply with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In addition, if you are an officer or director of the Company, or an employee or designated consultant of the Company described on </w:t>
      </w:r>
      <w:r>
        <w:rPr>
          <w:rFonts w:ascii="Times New Roman" w:hAnsi="Times New Roman"/>
          <w:b/>
          <w:color w:val="000000"/>
          <w:sz w:val="22"/>
        </w:rPr>
        <w:t>Appendix A</w:t>
      </w:r>
      <w:r>
        <w:rPr>
          <w:rFonts w:ascii="Times New Roman" w:hAnsi="Times New Roman"/>
          <w:color w:val="000000"/>
          <w:sz w:val="20"/>
        </w:rPr>
        <w:t xml:space="preserve"> </w:t>
      </w:r>
      <w:r>
        <w:rPr>
          <w:rFonts w:ascii="Times New Roman" w:hAnsi="Times New Roman"/>
          <w:color w:val="000000"/>
          <w:sz w:val="22"/>
        </w:rPr>
        <w:t>(“</w:t>
      </w:r>
      <w:r>
        <w:rPr>
          <w:rFonts w:ascii="Times New Roman" w:hAnsi="Times New Roman"/>
          <w:b/>
          <w:i/>
          <w:color w:val="000000"/>
          <w:sz w:val="22"/>
        </w:rPr>
        <w:t>Specified Persons</w:t>
      </w:r>
      <w:r>
        <w:rPr>
          <w:rFonts w:ascii="Times New Roman" w:hAnsi="Times New Roman"/>
          <w:color w:val="000000"/>
          <w:sz w:val="20"/>
        </w:rPr>
        <w:t>”</w:t>
      </w:r>
      <w:r>
        <w:rPr>
          <w:rFonts w:ascii="Times New Roman" w:hAnsi="Times New Roman"/>
          <w:color w:val="000000"/>
          <w:sz w:val="22"/>
        </w:rPr>
        <w:t>), you and your Related Persons are subject to the quarterly trading blackout periods described below.</w:t>
      </w:r>
    </w:p>
    <w:p>
      <w:pPr>
        <w:pStyle w:val="TextBody"/>
        <w:bidi w:val="0"/>
        <w:spacing w:before="0" w:after="240"/>
        <w:jc w:val="both"/>
        <w:rPr>
          <w:rFonts w:ascii="Times New Roman" w:hAnsi="Times New Roman"/>
          <w:sz w:val="20"/>
        </w:rPr>
      </w:pPr>
      <w:r>
        <w:rPr>
          <w:rFonts w:ascii="Times New Roman" w:hAnsi="Times New Roman"/>
          <w:color w:val="000000"/>
          <w:sz w:val="22"/>
        </w:rPr>
        <w:t>This Policy does not apply to any entity that invests in securities in the ordinary course of its business (e.g., a venture or other investment fund) if (and only if) such entity has established its own insider trading controls and procedures in compliance with applicable securities laws with respect to trading in the Company’s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Whose responsibility is it to comply with this Policy?</w:t>
      </w:r>
    </w:p>
    <w:p>
      <w:pPr>
        <w:pStyle w:val="TextBody"/>
        <w:bidi w:val="0"/>
        <w:spacing w:before="0" w:after="240"/>
        <w:jc w:val="both"/>
        <w:rPr>
          <w:rFonts w:ascii="Times New Roman" w:hAnsi="Times New Roman"/>
          <w:sz w:val="20"/>
        </w:rPr>
      </w:pPr>
      <w:r>
        <w:rPr>
          <w:rFonts w:ascii="Times New Roman" w:hAnsi="Times New Roman"/>
          <w:color w:val="000000"/>
          <w:sz w:val="22"/>
        </w:rPr>
        <w:t>A: Covered Persons subject to this Policy have ethical and legal obligations to maintain the confidentiality of information about the Company and to not engage in transactions in the Company’s securities while aware of material nonpublic information. Each individual is responsible for making sure that he or she and his or her Related Persons comply with this Policy. In all cases, the responsibility for determining whether an individual is aware of material nonpublic information rests with that individual, and any action on the part of the Company or any Covered Persons pursuant to this Policy (or otherwise) does not in any way constitute legal advice or insulate an individual from liability under applicable securities laws. You could be subject to severe legal penalties and disciplinary action by the Company for any conduct prohibited by this Policy or applicable securities laws.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transactions are subject to this Policy?</w:t>
      </w:r>
    </w:p>
    <w:p>
      <w:pPr>
        <w:pStyle w:val="TextBody"/>
        <w:bidi w:val="0"/>
        <w:spacing w:before="0" w:after="240"/>
        <w:jc w:val="both"/>
        <w:rPr>
          <w:rFonts w:ascii="Times New Roman" w:hAnsi="Times New Roman"/>
          <w:sz w:val="20"/>
        </w:rPr>
      </w:pPr>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This Policy applies to all transactions in securities issued by the Company, as well as derivative securities that are not issued by the Company, such as exchange-traded put or call options or swaps relating to the Company’s securities. Accordingly, for purposes of this Policy, the terms “</w:t>
      </w:r>
      <w:r>
        <w:rPr>
          <w:rFonts w:ascii="Times New Roman" w:hAnsi="Times New Roman"/>
          <w:b/>
          <w:i/>
          <w:color w:val="000000"/>
          <w:sz w:val="22"/>
        </w:rPr>
        <w:t>trade</w:t>
      </w:r>
      <w:r>
        <w:rPr>
          <w:rFonts w:ascii="Times New Roman" w:hAnsi="Times New Roman"/>
          <w:color w:val="000000"/>
          <w:sz w:val="22"/>
        </w:rPr>
        <w:t>,” “</w:t>
      </w:r>
      <w:r>
        <w:rPr>
          <w:rFonts w:ascii="Times New Roman" w:hAnsi="Times New Roman"/>
          <w:b/>
          <w:i/>
          <w:color w:val="000000"/>
          <w:sz w:val="22"/>
        </w:rPr>
        <w:t>trading</w:t>
      </w:r>
      <w:r>
        <w:rPr>
          <w:rFonts w:ascii="Times New Roman" w:hAnsi="Times New Roman"/>
          <w:color w:val="000000"/>
          <w:sz w:val="22"/>
        </w:rPr>
        <w:t>,” and “</w:t>
      </w:r>
      <w:r>
        <w:rPr>
          <w:rFonts w:ascii="Times New Roman" w:hAnsi="Times New Roman"/>
          <w:b/>
          <w:i/>
          <w:color w:val="000000"/>
          <w:sz w:val="22"/>
        </w:rPr>
        <w:t>transactions</w:t>
      </w:r>
      <w:r>
        <w:rPr>
          <w:rFonts w:ascii="Times New Roman" w:hAnsi="Times New Roman"/>
          <w:color w:val="000000"/>
          <w:sz w:val="20"/>
        </w:rPr>
        <w:t xml:space="preserve">” </w:t>
      </w:r>
      <w:r>
        <w:rPr>
          <w:rFonts w:ascii="Times New Roman" w:hAnsi="Times New Roman"/>
          <w:color w:val="000000"/>
          <w:sz w:val="22"/>
        </w:rPr>
        <w:t>include not only purchases and sales of the Company’s common stock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Insider Trading and Material Nonpublic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insider trading?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Generally speaking, insider trading is the buying or selling of stocks, bonds, futures or other securities by someone who possesses or is otherwise aware of material nonpublic information about the securities or the issuer of the securities. Insider trading also includes trading in derivatives (such as put or call options) where the price is linked to the underlying price of a company’s stock. It does not matter whether the decision to buy or sell was influenced by the material nonpublic information, how many shares you buy or sell, or whether it has an effect on the stock price. </w:t>
      </w:r>
      <w:r>
        <w:rPr>
          <w:rFonts w:ascii="Times New Roman" w:hAnsi="Times New Roman"/>
          <w:color w:val="000000"/>
          <w:sz w:val="22"/>
          <w:u w:val="single"/>
        </w:rPr>
        <w:t>Bottom line</w:t>
      </w:r>
      <w:r>
        <w:rPr>
          <w:rFonts w:ascii="Times New Roman" w:hAnsi="Times New Roman"/>
          <w:color w:val="000000"/>
          <w:sz w:val="22"/>
        </w:rPr>
        <w:t xml:space="preserve">: If you are aware of material nonpublic information about the Company and you trade in the Company’s securities, you have broken the law </w:t>
      </w:r>
      <w:r>
        <w:rPr>
          <w:rFonts w:ascii="Times New Roman" w:hAnsi="Times New Roman"/>
          <w:color w:val="000000"/>
          <w:sz w:val="22"/>
          <w:u w:val="single"/>
        </w:rPr>
        <w:t>and violated our insider trading policy</w:t>
      </w:r>
      <w:r>
        <w:rPr>
          <w:rFonts w:ascii="Times New Roman" w:hAnsi="Times New Roman"/>
          <w:color w:val="000000"/>
          <w:sz w:val="22"/>
        </w:rPr>
        <w:t>. In addition, our insider trading policy provides that if in the course of your relationship with the Company, you learn of any confidential information that is material to another publicly traded company with which the Company does business, including a partner or collaborator of the Company, you may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 trade in that other company’s securities until the information becomes public or is no longer material to that other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is insider trading illegal?</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company insiders are able to use their confidential knowledge to their financial advantage, other investors would not have confidence in the fairness and integrity of the market. This ensures that there is an even playing field by requiring those who are aware of material nonpublic information to refrain from trading.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A: It is not always easy to figure out whether you are aware of material nonpublic information. There is one important factor to determine whether nonpublic information you know about a public company is material: whether the information could be expected to affect the market price of that company’s securities or to be considered important by investors who are considering trading that company’s securities. If the information makes you want to trade, it would likely have the same effect on others. Keep in mind that both positive and negative information can be material. Information is nonpublic if it has not yet been publicly disseminated within the meaning of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examples of material information?</w:t>
      </w:r>
    </w:p>
    <w:p>
      <w:pPr>
        <w:pStyle w:val="TextBody"/>
        <w:bidi w:val="0"/>
        <w:spacing w:before="0" w:after="240"/>
        <w:jc w:val="both"/>
        <w:rPr>
          <w:rFonts w:ascii="Times New Roman" w:hAnsi="Times New Roman"/>
          <w:sz w:val="20"/>
        </w:rPr>
      </w:pPr>
      <w:r>
        <w:rPr>
          <w:rFonts w:ascii="Times New Roman" w:hAnsi="Times New Roman"/>
          <w:color w:val="000000"/>
          <w:sz w:val="22"/>
        </w:rPr>
        <w:t>A: There is no bright-line standard for assessing materiality; rather, materiality is based on an assessment of all of the facts and circumstances, and is often evaluated by relevant enforcement authorities with the benefit of hindsight. Depending on the specific details, the following items may be considered material nonpublic information until publicly disclosed within the meaning of this Policy. There may be other types of information that would qualify as material information as well; use this list merely as a non-exhaustive guide:</w:t>
      </w:r>
      <w:r>
        <w:rPr>
          <w:rFonts w:ascii="Times New Roman" w:hAnsi="Times New Roman"/>
          <w:color w:val="000000"/>
          <w:sz w:val="20"/>
        </w:rPr>
        <w:t xml:space="preserve">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results or forecasts;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status of product or product candidate development or regulatory approvals;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preclinical and clinical data relating to products or product candidates;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timelines for clinical trials;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acquisitions, dispositions or other strategic transactions;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events regarding the Company’s securities (e.g., repurchase plans, stock splits, public or private equity or debt offerings, or changes in the Company’s dividend policies or amounts);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gain or loss of a significant licensor, licensee or supplier;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changes or new corporate partner relationships or collaborations;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regulatory developments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top management or control changes;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financial restatements or significant write-offs;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employee layoffs;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a disruption in the Company’s operations or breach or unauthorized access of its property or assets, including its facilities or information technology infrastructure;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tender offers or proxy fights; </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2"/>
        </w:rPr>
        <w:t>actual or threatened major litigation, U.S. Securities and Exchange Commission (“</w:t>
      </w:r>
      <w:r>
        <w:rPr>
          <w:rFonts w:ascii="Times New Roman" w:hAnsi="Times New Roman"/>
          <w:b/>
          <w:i/>
          <w:color w:val="000000"/>
          <w:sz w:val="22"/>
        </w:rPr>
        <w:t>SEC</w:t>
      </w:r>
      <w:r>
        <w:rPr>
          <w:color w:val="000000"/>
        </w:rPr>
        <w:t>”</w:t>
      </w:r>
      <w:r>
        <w:rPr>
          <w:rFonts w:ascii="Times New Roman" w:hAnsi="Times New Roman"/>
          <w:color w:val="000000"/>
          <w:sz w:val="22"/>
        </w:rPr>
        <w:t xml:space="preserve">) or other investigations, or a major development in or the resolution of any such litigation or investigation;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impending bankruptcy;</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2"/>
        </w:rPr>
      </w:pPr>
      <w:r>
        <w:rPr>
          <w:rFonts w:ascii="Times New Roman" w:hAnsi="Times New Roman"/>
          <w:color w:val="000000"/>
          <w:sz w:val="22"/>
        </w:rPr>
        <w:t xml:space="preserve">communications with government agencies; and </w:t>
      </w:r>
    </w:p>
    <w:p>
      <w:pPr>
        <w:pStyle w:val="TextBody"/>
        <w:bidi w:val="0"/>
        <w:spacing w:before="0" w:after="240"/>
        <w:jc w:val="both"/>
        <w:rPr>
          <w:color w:val="000000"/>
        </w:rPr>
      </w:pPr>
      <w:r>
        <w:rPr>
          <w:color w:val="000000"/>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notice of issuance or denial of patents.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When is information considered public?</w:t>
      </w:r>
    </w:p>
    <w:p>
      <w:pPr>
        <w:pStyle w:val="TextBody"/>
        <w:bidi w:val="0"/>
        <w:spacing w:before="0" w:after="240"/>
        <w:jc w:val="both"/>
        <w:rPr>
          <w:rFonts w:ascii="Times New Roman" w:hAnsi="Times New Roman"/>
          <w:sz w:val="20"/>
        </w:rPr>
      </w:pPr>
      <w:r>
        <w:rPr>
          <w:rFonts w:ascii="Times New Roman" w:hAnsi="Times New Roman"/>
          <w:color w:val="000000"/>
          <w:sz w:val="22"/>
        </w:rPr>
        <w:t>A: The prohibition on trading when you have material nonpublic information lifts once that information becomes publicly disseminated. But for information to be considered publicly disseminated, it must be widely disseminated through a press release, a filing with the SEC or other widely disseminated announcement. Once information is publicly disseminated, it is still necessary to afford the investing public with sufficient time to absorb the information. Generally speaking, information will be considered publicly disseminated for purposes of this Policy only after one (1) full trading day has elapsed since the information was publicly disclosed. For example, if we announce material nonpublic information before trading begins on Wednesday, then the information would be considered to be publicly disseminated by the time trading begins on Friday. If we announce material nonpublic information after trading ends on Wednesday, then information would be considered to be publicly disseminated by the time trading ends on Friday. Depending on the particular circumstances, the Company may determine that a longer or shorter waiting period should apply to the release of specific material nonpublic information. Any disclosure of nonpublic information, material or otherwise, must be done in accordance with the Company’s Corporate Disclosure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can be guilty of insider trading?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Anyone who buys or sells a security while aware of material nonpublic information, or provides material nonpublic information that someone else uses to buy or sell a security, may be guilty of insider trading. This applies to all individuals, including officers, directors, and others who do not even work at the Company. Regardless of who you are, if you know something material about the value of a security that not everyone knows and you trade (or convince someone else to trade) in that security, you may be found guilty of insider trading.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am aware of material nonpublic information when I trade, but the reason I trade is because of something else, like to pay medical bills?</w:t>
      </w:r>
    </w:p>
    <w:p>
      <w:pPr>
        <w:pStyle w:val="TextBody"/>
        <w:bidi w:val="0"/>
        <w:spacing w:before="0" w:after="240"/>
        <w:jc w:val="both"/>
        <w:rPr>
          <w:rFonts w:ascii="Times New Roman" w:hAnsi="Times New Roman"/>
          <w:sz w:val="20"/>
        </w:rPr>
      </w:pPr>
      <w:r>
        <w:rPr>
          <w:rFonts w:ascii="Times New Roman" w:hAnsi="Times New Roman"/>
          <w:color w:val="000000"/>
          <w:sz w:val="22"/>
        </w:rPr>
        <w:t>A: The prohibition against insider trading is absolute. It applies even if the decision to trade is not based on such material nonpublic information. It also applies to transactions that may be necessary or justifiable for independent reasons (such as the need to raise money for an emergency expenditure) and also to very small transactions. All that matters is whether you are aware of any material nonpublic information relating to the Company at the time of the transaction.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 the U.S. securities laws take into account mitigating circumstance, like avoiding a loss or planning a transaction before I had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A: No. The U.S. federal securities laws do not recognize any mitigating circumstances to insider trading. In addition, even the appearance of an improper transaction must be avoided to preserve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 Company’s reputation for adhering to the highest standards of conduct. In some circumstances, you may need to forgo a planned transaction even if you planned it before becoming aware of the material nonpublic information. So, even if you believe you may suffer an economic loss or sacrifice an anticipated profit by waiting to trade, you must wait.</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do not buy or sell anything, but I tell someone else material nonpublic information and he or she buys or sells?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That is called “tipping.” The laws prohibiting insider trading are not limited to trading by the insider alone; advising others to trade on the basis of material nonpublic information is illegal and squarely prohibited by this Policy. In this situation, you are the “tipper” and the other person is called the “tippee.” If the tippee buys or sells based on that material nonpublic information, both you and the “tippee” could be found guilty of insider trading. In fact, if you tell family members who tell others and those people then trade on the information, those family members and the “tippee” might be found guilty of insider trading too. To prevent this, you may not discuss material nonpublic information about the Company with anyone outside the Company, including spouses, family members, friends, or business associates (unless the disclosure is made in accordance with the Company’s policies regarding the protection or authorized external disclosure of information regarding the Company). This includes anonymous discussions on the internet about the Company or companies with which the Company does business.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You can be held liable for your own transactions, as well as the transactions by a tippee and even the transactions of a tippee’s tippee. </w:t>
      </w:r>
      <w:r>
        <w:rPr>
          <w:rFonts w:ascii="Times New Roman" w:hAnsi="Times New Roman"/>
          <w:b/>
          <w:i/>
          <w:color w:val="000000"/>
          <w:sz w:val="22"/>
        </w:rPr>
        <w:t>For these and other reasons, no Covered Person (or any other person subject to this Policy) may either (a) recommend to another person that they buy, hold or sell the Company’s securities at any time or (b) disclose material nonpublic information to persons within the Company whose jobs do not require them to have that material nonpublic information, or outside of the Company to other persons (unless the disclosure is made in accordance with the Company’s policies regarding the protection or authorized external disclosure of information regarding the Company).</w:t>
      </w:r>
    </w:p>
    <w:p>
      <w:pPr>
        <w:pStyle w:val="TextBody"/>
        <w:bidi w:val="0"/>
        <w:spacing w:before="0" w:after="240"/>
        <w:jc w:val="both"/>
        <w:rPr>
          <w:rFonts w:ascii="Times New Roman" w:hAnsi="Times New Roman"/>
          <w:sz w:val="20"/>
        </w:rPr>
      </w:pPr>
      <w:r>
        <w:rPr>
          <w:rFonts w:ascii="Times New Roman" w:hAnsi="Times New Roman"/>
          <w:b/>
          <w:color w:val="000000"/>
          <w:sz w:val="22"/>
        </w:rPr>
        <w:t>Q: What if I do not tell someone inside information; I just tell him or her whether to buy or sell?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That is still tipping and you can still be responsible for insider trading. You may never recommend to another person that they buy, hold or sell the Company’s common stock or any derivative security related to the Company’s common stock, since that could be a form of tipping.</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Does this Policy or the insider trading laws apply to me if I work outside the U.S.?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Yes.</w:t>
      </w:r>
      <w:r>
        <w:rPr>
          <w:rFonts w:ascii="Times New Roman" w:hAnsi="Times New Roman"/>
          <w:color w:val="000000"/>
          <w:sz w:val="20"/>
        </w:rPr>
        <w:t xml:space="preserve"> </w:t>
      </w:r>
      <w:r>
        <w:rPr>
          <w:rFonts w:ascii="Times New Roman" w:hAnsi="Times New Roman"/>
          <w:color w:val="000000"/>
          <w:sz w:val="22"/>
        </w:rPr>
        <w:t>The same rules apply to U.S. and foreign employees and consultants. The SEC (the U.S. government agency in charge of investor protection) and the Financial Industry Regulatory Authority (a private regulator that oversees U.S. securities exchanges) routinely investigate trading in a company’s securities conducted by individuals and firms based abroad. In addition, as a Covered Person, our policies apply to you no matter where you work.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restricted from trading securities of any publicly traded companies other than the Company, for example a partner, collaborator or competitor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Possibly. U.S. insider trading laws generally restrict everyone aware of material nonpublic information about a publicly traded company from trading in that company’s securities, regardless of whether the person is directly connected with that company, except in limited circumstances. Therefore, if you have material nonpublic information about another publicly traded company, you should not trade in that company’s securities. You should be particularly conscious of this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restriction if, through your position at the Company, you sometimes obtain sensitive, material information about other companies and their business dealings with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So if I do not trade Company securities when I have material nonpublic information, and I don’t “tip” other people, I am in the clear, right?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Not necessarily. Even if you do not violate U.S. law, you may still violate our policies. For example, employees and consultants may violate our policies by breaching their confidentiality obligations or by recommending Company stock as an investment, even if these actions do not violate securities laws. Our policies are stricter than the law requires so that we and our employees and consultants can avoid even the appearance of wrongdoing. Therefore, please review this Policy carefully.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So when can I buy or sell my Company securities?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If you are aware of material nonpublic information, you may not buy or sell common stock of the Company until one (1) full trading day has elapsed since the information was publicly disclosed. At that point, the information is considered publicly disseminated for purposes of this Policy. For example, if we announce material nonpublic information before trading begins on Wednesday, then you may execute a transaction in securities of the Company on Thursday; if we announce material nonpublic information after trading ends on Wednesday, then you may execute a transaction in securities of the Company on Friday. </w:t>
      </w:r>
      <w:r>
        <w:rPr>
          <w:rFonts w:ascii="Times New Roman" w:hAnsi="Times New Roman"/>
          <w:b/>
          <w:color w:val="000000"/>
          <w:sz w:val="22"/>
        </w:rPr>
        <w:t>As discussed further below, even if you are not aware of any material nonpublic information, you may not trade common stock of the Company during any trading “blackout” period that applies to you</w:t>
      </w:r>
      <w:r>
        <w:rPr>
          <w:rFonts w:ascii="Times New Roman" w:hAnsi="Times New Roman"/>
          <w:color w:val="000000"/>
          <w:sz w:val="22"/>
        </w:rPr>
        <w:t>. This Policy describes the quarterly trading blackout period, and additional event-driven trading blackout periods (which may apply to you even if the quarterly trading blackout periods do not) may be announced by email.</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Blackout Periods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a quarterly trading blackout period?</w:t>
      </w:r>
    </w:p>
    <w:p>
      <w:pPr>
        <w:pStyle w:val="TextBody"/>
        <w:bidi w:val="0"/>
        <w:spacing w:before="0" w:after="240"/>
        <w:jc w:val="both"/>
        <w:rPr>
          <w:rFonts w:ascii="Times New Roman" w:hAnsi="Times New Roman"/>
          <w:sz w:val="20"/>
        </w:rPr>
      </w:pPr>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 xml:space="preserve">To minimize the appearance of insider trading by the Company’s officers, directors, Specified Persons, and their Related Persons, we have established “quarterly trading blackout periods” during which they—regardless of whether they are aware of material nonpublic information or not—may not conduct any trades in Company securities. That means that, except as described in this Policy, all officers, directors, Specified Persons, and their Related Persons will be able to trade in Company securities </w:t>
      </w:r>
      <w:r>
        <w:rPr>
          <w:rFonts w:ascii="Times New Roman" w:hAnsi="Times New Roman"/>
          <w:color w:val="000000"/>
          <w:sz w:val="22"/>
          <w:u w:val="single"/>
        </w:rPr>
        <w:t>only</w:t>
      </w:r>
      <w:r>
        <w:rPr>
          <w:rFonts w:ascii="Times New Roman" w:hAnsi="Times New Roman"/>
          <w:color w:val="000000"/>
          <w:sz w:val="20"/>
        </w:rPr>
        <w:t xml:space="preserve"> </w:t>
      </w:r>
      <w:r>
        <w:rPr>
          <w:rFonts w:ascii="Times New Roman" w:hAnsi="Times New Roman"/>
          <w:color w:val="000000"/>
          <w:sz w:val="22"/>
        </w:rPr>
        <w:t>during limited open trading window periods that generally will begin after one (1) full trading day has elapsed since the public dissemination of the Company’s annual or quarterly financial results and end at the beginning of the next quarterly trading blackout period. Of course, even during an open trading window period, you may not (unless an exception applies) conduct any trades in Company securities if you are otherwise in possession of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Company’s quarterly trading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A: Each “</w:t>
      </w:r>
      <w:r>
        <w:rPr>
          <w:rFonts w:ascii="Times New Roman" w:hAnsi="Times New Roman"/>
          <w:b/>
          <w:i/>
          <w:color w:val="000000"/>
          <w:sz w:val="22"/>
        </w:rPr>
        <w:t>quarterly trading blackout period</w:t>
      </w:r>
      <w:r>
        <w:rPr>
          <w:rFonts w:ascii="Times New Roman" w:hAnsi="Times New Roman"/>
          <w:color w:val="000000"/>
          <w:sz w:val="20"/>
        </w:rPr>
        <w:t xml:space="preserve">” </w:t>
      </w:r>
      <w:r>
        <w:rPr>
          <w:rFonts w:ascii="Times New Roman" w:hAnsi="Times New Roman"/>
          <w:color w:val="000000"/>
          <w:sz w:val="22"/>
        </w:rPr>
        <w:t>will generally begin at the end of the day that is the fifteenth (15</w:t>
      </w:r>
      <w:r>
        <w:rPr>
          <w:rFonts w:ascii="Times New Roman" w:hAnsi="Times New Roman"/>
          <w:color w:val="000000"/>
          <w:sz w:val="15"/>
        </w:rPr>
        <w:t>th</w:t>
      </w:r>
      <w:r>
        <w:rPr>
          <w:rFonts w:ascii="Times New Roman" w:hAnsi="Times New Roman"/>
          <w:color w:val="000000"/>
          <w:sz w:val="22"/>
        </w:rPr>
        <w:t>) day of the third month of each fiscal quarter and end after one (1) full trading day has elapsed since the public dissemination of the Company’s financial results for that quarter.</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the Company’s quarterly trading blackout periods change?</w:t>
      </w:r>
    </w:p>
    <w:p>
      <w:pPr>
        <w:pStyle w:val="TextBody"/>
        <w:bidi w:val="0"/>
        <w:spacing w:before="0" w:after="240"/>
        <w:jc w:val="both"/>
        <w:rPr>
          <w:rFonts w:ascii="Times New Roman" w:hAnsi="Times New Roman"/>
          <w:sz w:val="20"/>
        </w:rPr>
      </w:pPr>
      <w:r>
        <w:rPr>
          <w:rFonts w:ascii="Times New Roman" w:hAnsi="Times New Roman"/>
          <w:color w:val="000000"/>
          <w:sz w:val="22"/>
        </w:rPr>
        <w:t>A. The quarterly trading blackout period may commence early or may be extended if, in the judgment of the Chief Financial Officer or General Counsel, there exists undisclosed information that would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make trades by Company officers, directors, Specified Persons or their Related Persons inappropriate. It is important to note that the fact that the quarterly trading blackout period has commenced early or has been extended should be considered material nonpublic information that should not be communicated to any other person.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Does the Company have blackout periods other than quarterly trading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A: Yes. From time to time, an event may occur that is material to the Company and is known by only a few officers, directors and/or employees. So long as the event remains material and nonpublic, the persons designated by the Chief Financial Officer or General Counsel may not trade in the Company’s securities. In that situation, the Company will notify the designated individuals that neither they nor their Related Persons may trade in the Company’s securities. The existence of an event-specific trading blackout should also be considered material nonpublic information and should not be communicated to any other person. Even if you have not been designated as a person who should not trade due to an event-specific trading blackout, you should not trade while aware of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If I am subject to a blackout period and I have an open order to buy or sell the Company securities on the date a blackout period commences, can I leave it to my broker to cancel the open order and avoid executing the trade?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unless it is in connection with a 10b5-1 Trading Plan (as defined below). If you have any open orders when a blackout period commences other than in connection with a 10b5-1 Trading Plan, it is your responsibility to cancel these orders with your broker. If you have an open order and it executes after a blackout period commences not in connection with a 10b5-1 Trading Plan, you will have violated this Policy and may also have violated insider trading laws.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subject to trading blackout periods if I am no longer an employee, director or consultant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It depends. If your employment with the Company ends during a trading blackout period, you will be subject to the remainder of that trading blackout period. If your employment with the Company ends on a day that the trading window is open, you will not be subject to the next trading blackout period. However, even if you are not subject to the trading blackout period after you leave the Company, you should not trade in the Company’s securities or the securities of other public companies if you are aware of material nonpublic information. That restriction stays with you as long as the information you possess is material and not publicly disseminated within the meaning of this Policy.</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there any exceptions to this Policy?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There are no exceptions to this Policy, except as specifically noted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exercise options granted to me by the Company, or participate in a Company employee stock purchase plan (“ESPP”), during a trading blackout period or when I possess material nonpublic information?</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Yes. You may purchase shares by exercising your options for cash or, where permitted under the option, by a net exercise transaction with the Company or by delivery to the Company of already-owned Company stock. You may not sell shares of Company stock (even to pay the exercise price or any taxes due) during a trading blackout period or any time that you are aware of material nonpublic information. To be clear, you may </w:t>
      </w:r>
      <w:r>
        <w:rPr>
          <w:rFonts w:ascii="Times New Roman" w:hAnsi="Times New Roman"/>
          <w:color w:val="000000"/>
          <w:sz w:val="22"/>
          <w:u w:val="single"/>
        </w:rPr>
        <w:t>not</w:t>
      </w:r>
      <w:r>
        <w:rPr>
          <w:rFonts w:ascii="Times New Roman" w:hAnsi="Times New Roman"/>
          <w:color w:val="000000"/>
          <w:sz w:val="20"/>
        </w:rPr>
        <w:t xml:space="preserve"> </w:t>
      </w:r>
      <w:r>
        <w:rPr>
          <w:rFonts w:ascii="Times New Roman" w:hAnsi="Times New Roman"/>
          <w:color w:val="000000"/>
          <w:sz w:val="22"/>
        </w:rPr>
        <w:t>effect a broker-assisted cashless exercise (because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these cashless exercise transactions include a market sale) during a trading blackout period or any time that you are aware of material nonpublic information. This Policy does however apply to an employee’s initial election to participate in the ESPP, changes to an employee’s election to participate in the ESPP for any enrollment period, and to the subsequent sale of the stock acquired pursuant to the ESPP.</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Q: What tax withholding transactions are not restricted by this Policy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This Policy does not apply to the surrender of shares directly to the Company to satisfy tax withholding obligations as a result of the issuance of shares upon exercise of options or settlement of restricted stock units issued by the Company. Of course, any market sale of the stock received upon exercise or settlement of any such equity awards remains subject to all provisions of this Policy whether or not for the purpose of generating the cash needed to pay the exercise price or pay taxes.</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mutual funds holding Company common stock subject to the trading blackout periods?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You may trade in mutual funds holding Company stock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rules that apply to 10b5-1 Automatic Trading Programs?</w:t>
      </w:r>
    </w:p>
    <w:p>
      <w:pPr>
        <w:pStyle w:val="TextBody"/>
        <w:bidi w:val="0"/>
        <w:spacing w:before="0" w:after="240"/>
        <w:jc w:val="both"/>
        <w:rPr>
          <w:rFonts w:ascii="Times New Roman" w:hAnsi="Times New Roman"/>
          <w:sz w:val="20"/>
        </w:rPr>
      </w:pPr>
      <w:r>
        <w:rPr>
          <w:rFonts w:ascii="Times New Roman" w:hAnsi="Times New Roman"/>
          <w:color w:val="000000"/>
          <w:sz w:val="22"/>
        </w:rPr>
        <w:t>A: Under Rule 10b5-1 of the Securities Exchange Act of 1934, as amended (the “</w:t>
      </w:r>
      <w:r>
        <w:rPr>
          <w:rFonts w:ascii="Times New Roman" w:hAnsi="Times New Roman"/>
          <w:b/>
          <w:i/>
          <w:color w:val="000000"/>
          <w:sz w:val="22"/>
        </w:rPr>
        <w:t>Exchange Act</w:t>
      </w:r>
      <w:r>
        <w:rPr>
          <w:rFonts w:ascii="Times New Roman" w:hAnsi="Times New Roman"/>
          <w:color w:val="000000"/>
          <w:sz w:val="20"/>
        </w:rPr>
        <w:t>”</w:t>
      </w:r>
      <w:r>
        <w:rPr>
          <w:rFonts w:ascii="Times New Roman" w:hAnsi="Times New Roman"/>
          <w:color w:val="000000"/>
          <w:sz w:val="22"/>
        </w:rPr>
        <w:t>), any person may establish a trading plan under which a broker is instructed to buy and sell Company securities based on pre-determined criteria (a “</w:t>
      </w:r>
      <w:r>
        <w:rPr>
          <w:rFonts w:ascii="Times New Roman" w:hAnsi="Times New Roman"/>
          <w:b/>
          <w:i/>
          <w:color w:val="000000"/>
          <w:sz w:val="22"/>
        </w:rPr>
        <w:t>10b5-1 Trading Plan</w:t>
      </w:r>
      <w:r>
        <w:rPr>
          <w:rFonts w:ascii="Times New Roman" w:hAnsi="Times New Roman"/>
          <w:color w:val="000000"/>
          <w:sz w:val="20"/>
        </w:rPr>
        <w:t>”</w:t>
      </w:r>
      <w:r>
        <w:rPr>
          <w:rFonts w:ascii="Times New Roman" w:hAnsi="Times New Roman"/>
          <w:color w:val="000000"/>
          <w:sz w:val="22"/>
        </w:rPr>
        <w:t>). So long as a 10b5-1 Trading Plan is properly established, purchases and sales of Company securities pursuant to that 10b5-1 Trading Plan are not subject to this Policy. To be properly established, a person’s 10b5-1 Trading Plan must be established in compliance with the requirements of Rule 10b5-1 of the Exchange Act and any applicable 10b5-1 trading plan guidelines of the Company at a time when they were not aware of any material nonpublic information relating to the Company and when you were not otherwise subject to a trading blackout period. Moreover, all 10b5-1 Trading Plans to be adopted by officers, directors, Specified Persons and their Related Persons must be reviewed and approved by the Company before being established to confirm that the 10b5-1 Trading Plan complies with all pertinent company policies and applicable securities laws. See “Pre-Clearance of Transactions in Company Stock” below.</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gift stock while I possess material nonpublic information or during a trading blackout period?</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purchases of Company stock in a 401(k) plan allowed by this Policy?</w:t>
      </w:r>
    </w:p>
    <w:p>
      <w:pPr>
        <w:pStyle w:val="TextBody"/>
        <w:bidi w:val="0"/>
        <w:spacing w:before="0" w:after="240"/>
        <w:jc w:val="both"/>
        <w:rPr>
          <w:rFonts w:ascii="Times New Roman" w:hAnsi="Times New Roman"/>
          <w:sz w:val="20"/>
        </w:rPr>
      </w:pPr>
      <w:r>
        <w:rPr>
          <w:rFonts w:ascii="Times New Roman" w:hAnsi="Times New Roman"/>
          <w:b/>
          <w:color w:val="000000"/>
          <w:sz w:val="22"/>
        </w:rPr>
        <w:t>A</w:t>
      </w:r>
      <w:r>
        <w:rPr>
          <w:rFonts w:ascii="Times New Roman" w:hAnsi="Times New Roman"/>
          <w:color w:val="000000"/>
          <w:sz w:val="22"/>
        </w:rPr>
        <w:t>: This Policy does not apply to purchases of the Company’s securities in the Company’s 401(k) plan resulting from your periodic contribution of money to the plan pursuant to your payroll deduction election. This Policy does apply, however, to certain elections you may make under the 401(k) plan, including: (a) an election to increase or decrease the percentage of your periodic contributions that will be allocated to the Company stock fund; (b) an election to make an intra-plan transfer of an existing account balance into or out of the Company stock fund; (c) an election to borrow money against your 401(k) plan account if the loan will result in a liquidation of some or all of the balance of your Company stock fund; and (d) an election to pre-pay a plan loan if the pre-payment will result in allocation of loan proceeds to the Company stock fund.</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Margin Accounts, Pledging Shares, Hedging and Other Speculation in Company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purchase Company securities on margin or hold them in a margin account?</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“Purchasing on margin” is the use of borrowed money from a brokerage firm to purchase Company securities. Holding the Company’s securities in a margin account includes holding the securities in an account in which the shares can be sold to pay a loan to the brokerage firm. You may not purchase Company common stock on margin or hold it in a margin account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pledge my Company shares as collateral for a loan?</w:t>
      </w:r>
    </w:p>
    <w:p>
      <w:pPr>
        <w:pStyle w:val="TextBody"/>
        <w:bidi w:val="0"/>
        <w:spacing w:before="0" w:after="240"/>
        <w:jc w:val="both"/>
        <w:rPr>
          <w:rFonts w:ascii="Times New Roman" w:hAnsi="Times New Roman"/>
          <w:sz w:val="20"/>
        </w:rPr>
      </w:pPr>
      <w:r>
        <w:rPr>
          <w:rFonts w:ascii="Times New Roman" w:hAnsi="Times New Roman"/>
          <w:color w:val="000000"/>
          <w:sz w:val="22"/>
        </w:rPr>
        <w:t>A: No. Pledging your shares as collateral for a loan could cause the pledgee to transfer your shares during a trading blackout period or when you are otherwise aware of material nonpublic information. As a result, you may not pledge your shares as collateral for a loan.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problematic about margin accounts and pledged securities?</w:t>
      </w:r>
    </w:p>
    <w:p>
      <w:pPr>
        <w:pStyle w:val="TextBody"/>
        <w:bidi w:val="0"/>
        <w:spacing w:before="0" w:after="240"/>
        <w:jc w:val="both"/>
        <w:rPr>
          <w:rFonts w:ascii="Times New Roman" w:hAnsi="Times New Roman"/>
          <w:sz w:val="20"/>
        </w:rPr>
      </w:pPr>
      <w:r>
        <w:rPr>
          <w:rFonts w:ascii="Times New Roman" w:hAnsi="Times New Roman"/>
          <w:color w:val="000000"/>
          <w:sz w:val="22"/>
        </w:rPr>
        <w:t>A: Securities held in a margin account as collateral for a margin loan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otherwise is not permitted to trade in the Company’s securities, Covered Persons are prohibited from holding Company securities in a margin account or otherwise pledging Company’s securities as collateral for a loan.</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Can I hedge my ownership position in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 Hedging or monetization transactions, including through the use of financial instruments such as prepaid variable forwards, equity swaps, collars and exchange funds are prohibited by this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are hedging transactions prohibited?</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Such transactions may permit a person subject to this Policy to continue to own Company securities obtained through employee benefit plans or otherwise, but without the full risks and rewards of ownership. When that occurs, the person may no longer have the same objectives as the Company’s other stockholders. Therefore, all persons subject to this Policy are prohibited from engaging in any such transactions.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Am I allowed to trade derivative securities of Company common stock?</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No. You may not trade in derivative securities related to the Company common stock, which include publicly traded call and put options. In addition, you may not engage in short selling of Company common stock or in any other inherently speculative transactions with respect to the Company’s stock at any time.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derivative securities?</w:t>
      </w:r>
    </w:p>
    <w:p>
      <w:pPr>
        <w:pStyle w:val="TextBody"/>
        <w:bidi w:val="0"/>
        <w:spacing w:before="0" w:after="240"/>
        <w:jc w:val="both"/>
        <w:rPr>
          <w:rFonts w:ascii="Times New Roman" w:hAnsi="Times New Roman"/>
          <w:sz w:val="20"/>
        </w:rPr>
      </w:pPr>
      <w:r>
        <w:rPr>
          <w:rFonts w:ascii="Times New Roman" w:hAnsi="Times New Roman"/>
          <w:color w:val="000000"/>
          <w:sz w:val="22"/>
        </w:rPr>
        <w:t>A: “Derivative securities” are securities other than common stock that are speculative in nature because they permit a person to leverage their investment using a relatively small amount of money. Examples of derivative securities include “put options” and “call options.” These are different from</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employee options and other equity awards granted under the Company’s equity compensation plans, which are not derivative securities for purposes of this Policy.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short selling?</w:t>
      </w:r>
    </w:p>
    <w:p>
      <w:pPr>
        <w:pStyle w:val="TextBody"/>
        <w:bidi w:val="0"/>
        <w:spacing w:before="0" w:after="240"/>
        <w:jc w:val="both"/>
        <w:rPr>
          <w:rFonts w:ascii="Times New Roman" w:hAnsi="Times New Roman"/>
          <w:sz w:val="20"/>
        </w:rPr>
      </w:pPr>
      <w:r>
        <w:rPr>
          <w:rFonts w:ascii="Times New Roman" w:hAnsi="Times New Roman"/>
          <w:color w:val="000000"/>
          <w:sz w:val="22"/>
        </w:rPr>
        <w:t>A: “Short selling” is profiting when you expect the price of the stock to decline and includes transactions in which you borrow stock from a broker, sell it, and eventually buy it back on the market to return the borrowed shares to the broker. Profit is realized if the stock price decreases during the period of borrowing.</w:t>
      </w:r>
      <w:r>
        <w:rPr>
          <w:rFonts w:ascii="Times New Roman" w:hAnsi="Times New Roman"/>
          <w:color w:val="000000"/>
          <w:sz w:val="20"/>
        </w:rPr>
        <w:t xml:space="preserve">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Why does the Company prohibit trading in derivative securities and short selling?</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Many companies with volatile stock prices have adopted similar policies because of the temptation it represents to try to benefit from a relatively low-cost method of trading on short-term swings in stock prices, without actually holding the underlying common stock, and encourages speculative trading. The Company is dedicated to building stockholder value; short selling the Company’s common stock conflicts with its values and would not be well-received by its stockholders.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if I purchased publicly traded options or other derivative securities before I became subject to this Policy?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The same rules apply as for employee stock options. You may exercise the publicly traded options at any time, but you may not sell the securities during a trading blackout period or at any time that you are aware of material nonpublic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2"/>
        </w:rPr>
        <w:t>Q: What are the concerns about standing and limit orders?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Standing and limit orders (except standing and limit orders under approved Trading Plans, as discussed above) create heightened risks for insider trading violations similar to the use of margin accounts. There is no control over the timing of purchases or sales that result from standing instructions to a broker, and as a result the broker could execute a transaction when a Covered Person is in possession of material nonpublic information. The Company therefore discourages placing standing or limit orders on the Company’s securities. If a person subject to this Policy determines that they must use a standing order or limit order (other than under an approved Trading Plan as discussed above), the order should be limited to short duration and the person using such standing order or limit order is required to cancel such instructions immediately in the event restrictions are imposed on their ability to trade pursuant to the “Quarterly Trading Blackouts” and “Event-Specific Trading Blackouts” provisions above.</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Pre-Clearance of Transactions in Company Stock</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is required to pre-clear and provide advance notice of transactions?</w:t>
      </w:r>
    </w:p>
    <w:p>
      <w:pPr>
        <w:pStyle w:val="TextBody"/>
        <w:bidi w:val="0"/>
        <w:spacing w:before="0" w:after="240"/>
        <w:jc w:val="both"/>
        <w:rPr>
          <w:rFonts w:ascii="Times New Roman" w:hAnsi="Times New Roman"/>
          <w:sz w:val="20"/>
        </w:rPr>
      </w:pPr>
      <w:bookmarkStart w:id="43" w:name="x6in1rg"/>
      <w:bookmarkEnd w:id="43"/>
      <w:r>
        <w:rPr>
          <w:rFonts w:ascii="Times New Roman" w:hAnsi="Times New Roman"/>
          <w:smallCaps/>
          <w:color w:val="000000"/>
          <w:sz w:val="22"/>
        </w:rPr>
        <w:t>A:</w:t>
      </w:r>
      <w:r>
        <w:rPr>
          <w:rFonts w:ascii="Times New Roman" w:hAnsi="Times New Roman"/>
          <w:smallCaps/>
          <w:color w:val="000000"/>
          <w:sz w:val="20"/>
        </w:rPr>
        <w:t xml:space="preserve"> </w:t>
      </w:r>
      <w:r>
        <w:rPr>
          <w:rFonts w:ascii="Times New Roman" w:hAnsi="Times New Roman"/>
          <w:color w:val="000000"/>
          <w:sz w:val="22"/>
        </w:rPr>
        <w:t>In addition to the requirements above, officers, directors and other applicable employees who have been notified that they are subject to pre-clearance requirements face a further restriction: Even during an open trading window, they may not engage in any transaction in the Company’s securities without first obtaining pre-clearance of the transaction from the Company’s General Counsel (the “</w:t>
      </w:r>
      <w:r>
        <w:rPr>
          <w:rFonts w:ascii="Times New Roman" w:hAnsi="Times New Roman"/>
          <w:b/>
          <w:i/>
          <w:color w:val="000000"/>
          <w:sz w:val="22"/>
        </w:rPr>
        <w:t>Compliance Officer</w:t>
      </w:r>
      <w:r>
        <w:rPr>
          <w:rFonts w:ascii="Times New Roman" w:hAnsi="Times New Roman"/>
          <w:color w:val="000000"/>
          <w:sz w:val="20"/>
        </w:rPr>
        <w:t>”</w:t>
      </w:r>
      <w:r>
        <w:rPr>
          <w:rFonts w:ascii="Times New Roman" w:hAnsi="Times New Roman"/>
          <w:color w:val="000000"/>
          <w:sz w:val="22"/>
        </w:rPr>
        <w:t>) in advance of the proposed transaction. The Compliance Officer will determine whether the transaction may proceed and, if so, will help comply with any required reporting requirements under Section 16(a) of the Exchange Act. Pre-cleared transactions (other than gifts) not completed within five (5) business days will require new pre-clearance. The Company may choose to shorten this period.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Are individuals subject to pre-clearance required to provide advanced notice of stock option exercises?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Yes. Persons subject to pre-clearance must also give advance notice of their plans to exercise an outstanding stock option to the Compliance Officer. Once any transaction takes place, the officer, director or applicable member of management must immediately notify the Compliance Officer so that the Company may assist in any Section 16 reporting obligations.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additional requirements apply to individuals subject to Section 16?</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Officers and directors, who are subject to the reporting obligations under Section 16 of the Exchange Act, should take care to avoid short-swing transactions (within the meaning of Section 16(b) of the Exchange Act) and the restrictions on sales by control persons (Rule 144 under the Securities Act of 1933, as amended), and should file all appropriate Section 16(a) reports (Forms 3, 4, and 5 and any notices of sale required by Rule 144.</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Sanctions and Other Information</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happens if I violate this Policy?</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Violating the Company’s policies may result in disciplinary action, which may include termination of your employment or other relationship with the Company.</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are the sanctions if I trade on material nonpublic information or tip off someone else?</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In addition to disciplinary action by the Company—which may include termination of employment—you may be liable for civil sanctions for trading on material nonpublic information. The sanctions may include return of any profit made or loss avoided as well as penalties of up to three times any profit made or any loss avoided. Persons found liable for tipping material nonpublic information, even if they did not trade themselves, may be liable for the amount of any profit gained or loss avoided by everyone in the chain of tippees as well as a penalty of up to three times that amount. In addition, anyone convicted of criminal insider trading could face prison and additional fines.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What is “loss avoided”?</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If you sell common stock or a related derivative security before negative news is publicly announced, and as a result of the announcement the stock price declines, you have avoided the loss caused by the negative news.</w:t>
      </w:r>
    </w:p>
    <w:p>
      <w:pPr>
        <w:pStyle w:val="TextBody"/>
        <w:bidi w:val="0"/>
        <w:spacing w:before="0" w:after="240"/>
        <w:jc w:val="both"/>
        <w:rPr>
          <w:rFonts w:ascii="Times New Roman" w:hAnsi="Times New Roman"/>
          <w:b/>
          <w:color w:val="000000"/>
          <w:sz w:val="22"/>
        </w:rPr>
      </w:pPr>
      <w:r>
        <w:rPr>
          <w:rFonts w:ascii="Times New Roman" w:hAnsi="Times New Roman"/>
          <w:b/>
          <w:color w:val="000000"/>
          <w:sz w:val="22"/>
        </w:rPr>
        <w:t>Q: Who should I contact if I have questions about this Policy or specific trades?</w:t>
      </w:r>
    </w:p>
    <w:p>
      <w:pPr>
        <w:pStyle w:val="TextBody"/>
        <w:bidi w:val="0"/>
        <w:spacing w:before="0" w:after="240"/>
        <w:jc w:val="both"/>
        <w:rPr>
          <w:rFonts w:ascii="Times New Roman" w:hAnsi="Times New Roman"/>
          <w:sz w:val="20"/>
        </w:rPr>
      </w:pPr>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You should email the Compliance Officer at lalbrecht@syndax.com.</w:t>
      </w:r>
    </w:p>
    <w:p>
      <w:pPr>
        <w:pStyle w:val="TextBody"/>
        <w:bidi w:val="0"/>
        <w:spacing w:before="0" w:after="240"/>
        <w:jc w:val="both"/>
        <w:rPr>
          <w:rFonts w:ascii="Times New Roman" w:hAnsi="Times New Roman"/>
          <w:sz w:val="20"/>
        </w:rPr>
      </w:pPr>
      <w:r>
        <w:rPr>
          <w:rFonts w:ascii="Times New Roman" w:hAnsi="Times New Roman"/>
          <w:b/>
          <w:color w:val="000000"/>
          <w:sz w:val="22"/>
        </w:rPr>
        <w:t>Q: Do changes to this Policy require approval by the Board?</w:t>
      </w:r>
      <w:r>
        <w:rPr>
          <w:rFonts w:ascii="Times New Roman" w:hAnsi="Times New Roman"/>
          <w:color w:val="000000"/>
          <w:sz w:val="20"/>
        </w:rPr>
        <w:t xml:space="preserve"> </w:t>
      </w:r>
    </w:p>
    <w:p>
      <w:pPr>
        <w:pStyle w:val="Heading2"/>
        <w:bidi w:val="0"/>
        <w:spacing w:before="0" w:after="240"/>
        <w:jc w:val="both"/>
        <w:rPr>
          <w:rFonts w:ascii="Times New Roman" w:hAnsi="Times New Roman"/>
          <w:b w:val="false"/>
          <w:color w:val="000000"/>
          <w:sz w:val="22"/>
        </w:rPr>
      </w:pPr>
      <w:r>
        <w:rPr>
          <w:rFonts w:ascii="Times New Roman" w:hAnsi="Times New Roman"/>
          <w:b w:val="false"/>
          <w:color w:val="000000"/>
          <w:sz w:val="22"/>
        </w:rPr>
        <w:t>A: Yes. Changes to this Policy require approval by the Board or a duly appointed committee of the Board.</w:t>
      </w:r>
    </w:p>
    <w:p>
      <w:pPr>
        <w:pStyle w:val="TextBody"/>
        <w:bidi w:val="0"/>
        <w:jc w:val="both"/>
        <w:rPr>
          <w:rFonts w:ascii="Times New Roman" w:hAnsi="Times New Roman"/>
          <w:b/>
          <w:color w:val="000000"/>
          <w:sz w:val="22"/>
        </w:rPr>
      </w:pPr>
      <w:r>
        <w:rPr>
          <w:rFonts w:ascii="Times New Roman" w:hAnsi="Times New Roman"/>
          <w:b/>
          <w:color w:val="000000"/>
          <w:sz w:val="22"/>
        </w:rPr>
        <w:t>Effective: February 3, 2021</w:t>
      </w:r>
    </w:p>
    <w:p>
      <w:pPr>
        <w:pStyle w:val="TextBody"/>
        <w:bidi w:val="0"/>
        <w:jc w:val="both"/>
        <w:rPr>
          <w:rFonts w:ascii="Times New Roman" w:hAnsi="Times New Roman"/>
          <w:b/>
          <w:color w:val="000000"/>
          <w:sz w:val="22"/>
        </w:rPr>
      </w:pPr>
      <w:r>
        <w:rPr>
          <w:rFonts w:ascii="Times New Roman" w:hAnsi="Times New Roman"/>
          <w:b/>
          <w:color w:val="000000"/>
          <w:sz w:val="22"/>
        </w:rPr>
        <w:t>Amended: May 11, 2022, September 8, 2023, September 10, 2025</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Heading2"/>
        <w:bidi w:val="0"/>
        <w:spacing w:before="0" w:after="240"/>
        <w:jc w:val="center"/>
        <w:rPr>
          <w:rFonts w:ascii="Times New Roman" w:hAnsi="Times New Roman"/>
          <w:color w:val="000000"/>
          <w:sz w:val="22"/>
        </w:rPr>
      </w:pPr>
      <w:r>
        <w:rPr>
          <w:rFonts w:ascii="Times New Roman" w:hAnsi="Times New Roman"/>
          <w:color w:val="000000"/>
          <w:sz w:val="22"/>
        </w:rPr>
        <w:t>Appendix A</w:t>
      </w:r>
    </w:p>
    <w:p>
      <w:pPr>
        <w:pStyle w:val="TextBody"/>
        <w:bidi w:val="0"/>
        <w:jc w:val="center"/>
        <w:rPr>
          <w:rFonts w:ascii="Times New Roman" w:hAnsi="Times New Roman"/>
          <w:b/>
          <w:color w:val="000000"/>
          <w:sz w:val="22"/>
        </w:rPr>
      </w:pPr>
      <w:r>
        <w:rPr>
          <w:rFonts w:ascii="Times New Roman" w:hAnsi="Times New Roman"/>
          <w:b/>
          <w:color w:val="000000"/>
          <w:sz w:val="22"/>
        </w:rPr>
        <w:t>Specified Persons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2"/>
        </w:rPr>
        <w:t>(Non-Officer Employees and Designated Consultants</w:t>
      </w:r>
      <w:r>
        <w:rPr>
          <w:rFonts w:ascii="Times New Roman" w:hAnsi="Times New Roman"/>
          <w:color w:val="000000"/>
          <w:sz w:val="20"/>
        </w:rPr>
        <w:t xml:space="preserve"> </w:t>
      </w:r>
    </w:p>
    <w:p>
      <w:pPr>
        <w:pStyle w:val="TextBody"/>
        <w:bidi w:val="0"/>
        <w:jc w:val="center"/>
        <w:rPr>
          <w:rFonts w:ascii="Times New Roman" w:hAnsi="Times New Roman"/>
          <w:b/>
          <w:color w:val="000000"/>
          <w:sz w:val="22"/>
        </w:rPr>
      </w:pPr>
      <w:r>
        <w:rPr>
          <w:rFonts w:ascii="Times New Roman" w:hAnsi="Times New Roman"/>
          <w:b/>
          <w:color w:val="000000"/>
          <w:sz w:val="22"/>
        </w:rPr>
        <w:t>Subject to Quarterly Trading Blackout Periods)</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All employees and consultants.</w:t>
      </w:r>
    </w:p>
    <w:p>
      <w:pPr>
        <w:pStyle w:val="TextBody"/>
        <w:bidi w:val="0"/>
        <w:jc w:val="center"/>
        <w:rPr>
          <w:rFonts w:ascii="Times New Roman" w:hAnsi="Times New Roman"/>
          <w:color w:val="000000"/>
          <w:sz w:val="22"/>
        </w:rPr>
      </w:pPr>
      <w:r>
        <w:rPr>
          <w:rFonts w:ascii="Times New Roman" w:hAnsi="Times New Roman"/>
          <w:color w:val="000000"/>
          <w:sz w:val="22"/>
        </w:rPr>
        <w:t>A-1</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Times New Roman" w:hAnsi="Times New Roman"/>
          <w:b/>
          <w:color w:val="000000"/>
          <w:sz w:val="20"/>
        </w:rPr>
      </w:pPr>
      <w:bookmarkStart w:id="44" w:name="sndx-ex21_subsidiaries.htm"/>
      <w:bookmarkStart w:id="45" w:name="kssndxex21_subsidiaries"/>
      <w:bookmarkEnd w:id="44"/>
      <w:bookmarkEnd w:id="45"/>
      <w:r>
        <w:rPr>
          <w:rFonts w:ascii="Times New Roman" w:hAnsi="Times New Roman"/>
          <w:b/>
          <w:color w:val="000000"/>
          <w:sz w:val="20"/>
        </w:rPr>
        <w:t>Exhibit 21.1</w:t>
      </w:r>
      <w:r>
        <w:br w:type="page"/>
      </w:r>
    </w:p>
    <w:p>
      <w:pPr>
        <w:pStyle w:val="TextBody"/>
        <w:bidi w:val="0"/>
        <w:jc w:val="right"/>
        <w:rPr/>
      </w:pPr>
      <w:r>
        <w:rPr/>
        <w:t> </w:t>
      </w:r>
    </w:p>
    <w:p>
      <w:pPr>
        <w:pStyle w:val="TextBody"/>
        <w:bidi w:val="0"/>
        <w:spacing w:before="0" w:after="160"/>
        <w:jc w:val="center"/>
        <w:rPr/>
      </w:pPr>
      <w:r>
        <w:rPr/>
        <w:t> </w:t>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SUBSIDIARIES OF SYNDAX PHARMACEUTICALS, INC.</w:t>
      </w:r>
    </w:p>
    <w:p>
      <w:pPr>
        <w:pStyle w:val="TextBody"/>
        <w:bidi w:val="0"/>
        <w:spacing w:before="0" w:after="160"/>
        <w:jc w:val="center"/>
        <w:rPr/>
      </w:pPr>
      <w:r>
        <w:rPr/>
        <w:t> </w:t>
      </w:r>
    </w:p>
    <w:tbl>
      <w:tblPr>
        <w:tblW w:w="5057" w:type="dxa"/>
        <w:jc w:val="left"/>
        <w:tblInd w:w="0" w:type="dxa"/>
        <w:tblLayout w:type="fixed"/>
        <w:tblCellMar>
          <w:top w:w="28" w:type="dxa"/>
          <w:left w:w="28" w:type="dxa"/>
          <w:bottom w:w="28" w:type="dxa"/>
          <w:right w:w="28" w:type="dxa"/>
        </w:tblCellMar>
      </w:tblPr>
      <w:tblGrid>
        <w:gridCol w:w="2056"/>
        <w:gridCol w:w="3001"/>
      </w:tblGrid>
      <w:tr>
        <w:trPr/>
        <w:tc>
          <w:tcPr>
            <w:tcW w:w="2056" w:type="dxa"/>
            <w:tcBorders/>
            <w:vAlign w:val="center"/>
          </w:tcPr>
          <w:p>
            <w:pPr>
              <w:pStyle w:val="TableContents"/>
              <w:bidi w:val="0"/>
              <w:spacing w:before="0" w:after="283"/>
              <w:jc w:val="left"/>
              <w:rPr>
                <w:sz w:val="4"/>
                <w:szCs w:val="4"/>
              </w:rPr>
            </w:pPr>
            <w:r>
              <w:rPr>
                <w:sz w:val="4"/>
                <w:szCs w:val="4"/>
              </w:rPr>
            </w:r>
          </w:p>
        </w:tc>
        <w:tc>
          <w:tcPr>
            <w:tcW w:w="3001" w:type="dxa"/>
            <w:tcBorders/>
            <w:vAlign w:val="center"/>
          </w:tcPr>
          <w:p>
            <w:pPr>
              <w:pStyle w:val="TableContents"/>
              <w:bidi w:val="0"/>
              <w:spacing w:before="0" w:after="283"/>
              <w:jc w:val="left"/>
              <w:rPr>
                <w:sz w:val="4"/>
                <w:szCs w:val="4"/>
              </w:rPr>
            </w:pPr>
            <w:r>
              <w:rPr>
                <w:sz w:val="4"/>
                <w:szCs w:val="4"/>
              </w:rPr>
            </w:r>
          </w:p>
        </w:tc>
      </w:tr>
      <w:tr>
        <w:trPr/>
        <w:tc>
          <w:tcPr>
            <w:tcW w:w="20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Name</w:t>
            </w:r>
          </w:p>
        </w:tc>
        <w:tc>
          <w:tcPr>
            <w:tcW w:w="30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Jurisdiction of Incorporation</w:t>
            </w:r>
          </w:p>
        </w:tc>
      </w:tr>
      <w:tr>
        <w:trPr/>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Syndax Europe B.V.</w:t>
            </w:r>
          </w:p>
        </w:tc>
        <w:tc>
          <w:tcPr>
            <w:tcW w:w="30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Netherlands</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6" w:name="sndx-ex23_1.htm"/>
      <w:bookmarkStart w:id="47" w:name="kssndxex23_1"/>
      <w:bookmarkEnd w:id="46"/>
      <w:bookmarkEnd w:id="47"/>
      <w:r>
        <w:rPr>
          <w:rFonts w:ascii="Times New Roman" w:hAnsi="Times New Roman"/>
          <w:b/>
          <w:color w:val="000000"/>
          <w:sz w:val="20"/>
        </w:rPr>
        <w:t>Exhibit 23.1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consent to the incorporation by reference in Registration Statement No. 333-277424 on Form S-3 and Registration Statement Nos. 333-210412, 333-220172, 333-226678, 333-233083, 333-241654, 333-258628, 333-263185, 333-270093, 333-277423, and 333-285529 on Form S-8 of our reports dated February 26, 2026, relating to the financial statements of Syndax Pharmaceuticals, Inc. and subsidiaries and the effectiveness of Syndax Pharmaceuticals, Inc. and subsidiaries’ internal control over financial reporting appearing in this Annual Report on Form 10-K for the year ended December 31, 2025.</w:t>
      </w:r>
    </w:p>
    <w:p>
      <w:pPr>
        <w:pStyle w:val="TextBody"/>
        <w:bidi w:val="0"/>
        <w:jc w:val="left"/>
        <w:rPr>
          <w:rFonts w:ascii="Times New Roman" w:hAnsi="Times New Roman"/>
          <w:color w:val="000000"/>
          <w:sz w:val="20"/>
        </w:rPr>
      </w:pPr>
      <w:r>
        <w:rPr>
          <w:rFonts w:ascii="Times New Roman" w:hAnsi="Times New Roman"/>
          <w:color w:val="000000"/>
          <w:sz w:val="20"/>
        </w:rPr>
        <w:t>/s/ Deloitte &amp; Touche LLP</w:t>
      </w:r>
    </w:p>
    <w:p>
      <w:pPr>
        <w:pStyle w:val="TextBody"/>
        <w:bidi w:val="0"/>
        <w:jc w:val="left"/>
        <w:rPr>
          <w:rFonts w:ascii="Times New Roman" w:hAnsi="Times New Roman"/>
          <w:color w:val="000000"/>
          <w:sz w:val="20"/>
        </w:rPr>
      </w:pPr>
      <w:r>
        <w:rPr>
          <w:rFonts w:ascii="Times New Roman" w:hAnsi="Times New Roman"/>
          <w:color w:val="000000"/>
          <w:sz w:val="20"/>
        </w:rPr>
        <w:t>Boston, Massachusetts</w:t>
      </w:r>
    </w:p>
    <w:p>
      <w:pPr>
        <w:pStyle w:val="TextBody"/>
        <w:bidi w:val="0"/>
        <w:jc w:val="left"/>
        <w:rPr>
          <w:rFonts w:ascii="Times New Roman" w:hAnsi="Times New Roman"/>
          <w:color w:val="000000"/>
          <w:sz w:val="20"/>
        </w:rPr>
      </w:pPr>
      <w:r>
        <w:rPr>
          <w:rFonts w:ascii="Times New Roman" w:hAnsi="Times New Roman"/>
          <w:color w:val="000000"/>
          <w:sz w:val="20"/>
        </w:rPr>
        <w:t>February 26, 2026</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8" w:name="sndx-ex31_1.htm"/>
      <w:bookmarkStart w:id="49" w:name="kssndxex31_1"/>
      <w:bookmarkEnd w:id="48"/>
      <w:bookmarkEnd w:id="49"/>
      <w:r>
        <w:rPr>
          <w:rFonts w:ascii="Times New Roman" w:hAnsi="Times New Roman"/>
          <w:b/>
          <w:color w:val="000000"/>
          <w:sz w:val="20"/>
        </w:rPr>
        <w:t>Exhibit 31.1</w:t>
      </w:r>
      <w:r>
        <w:br w:type="page"/>
      </w:r>
    </w:p>
    <w:p>
      <w:pPr>
        <w:pStyle w:val="TextBody"/>
        <w:bidi w:val="0"/>
        <w:spacing w:before="12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Michael A. Metzger,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tbl>
      <w:tblPr>
        <w:tblW w:w="3006" w:type="dxa"/>
        <w:jc w:val="left"/>
        <w:tblInd w:w="0" w:type="dxa"/>
        <w:tblLayout w:type="fixed"/>
        <w:tblCellMar>
          <w:top w:w="28" w:type="dxa"/>
          <w:left w:w="28" w:type="dxa"/>
          <w:bottom w:w="28" w:type="dxa"/>
          <w:right w:w="28" w:type="dxa"/>
        </w:tblCellMar>
      </w:tblPr>
      <w:tblGrid>
        <w:gridCol w:w="421"/>
        <w:gridCol w:w="109"/>
        <w:gridCol w:w="247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spacing w:before="0" w:after="1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0" w:name="sndx-ex31_2.htm"/>
      <w:bookmarkStart w:id="51" w:name="kssndxex31_2"/>
      <w:bookmarkEnd w:id="50"/>
      <w:bookmarkEnd w:id="51"/>
      <w:r>
        <w:rPr>
          <w:rFonts w:ascii="Times New Roman" w:hAnsi="Times New Roman"/>
          <w:b/>
          <w:color w:val="000000"/>
          <w:sz w:val="20"/>
        </w:rPr>
        <w:t>Exhibit 31.2</w:t>
      </w:r>
      <w:r>
        <w:br w:type="page"/>
      </w:r>
    </w:p>
    <w:p>
      <w:pPr>
        <w:pStyle w:val="TextBody"/>
        <w:bidi w:val="0"/>
        <w:spacing w:before="120" w:after="283"/>
        <w:jc w:val="center"/>
        <w:rPr>
          <w:rFonts w:ascii="Times New Roman" w:hAnsi="Times New Roman"/>
          <w:sz w:val="20"/>
        </w:rPr>
      </w:pPr>
      <w:r>
        <w:rPr>
          <w:rFonts w:ascii="Times New Roman" w:hAnsi="Times New Roman"/>
          <w:b/>
          <w:color w:val="000000"/>
          <w:sz w:val="20"/>
        </w:rPr>
        <w:t>CERTIFICATIONS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Keith A. Goldan,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1. I have reviewed this Annual Report on Form 10-K of Syndax Pharmaceuticals, Inc.;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 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Any fraud, whether or not material, that involves management or other employees who have a significant role in the registrant’s internal control over financial reporting.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tbl>
      <w:tblPr>
        <w:tblW w:w="2946" w:type="dxa"/>
        <w:jc w:val="left"/>
        <w:tblInd w:w="0" w:type="dxa"/>
        <w:tblLayout w:type="fixed"/>
        <w:tblCellMar>
          <w:top w:w="28" w:type="dxa"/>
          <w:left w:w="28" w:type="dxa"/>
          <w:bottom w:w="28" w:type="dxa"/>
          <w:right w:w="28" w:type="dxa"/>
        </w:tblCellMar>
      </w:tblPr>
      <w:tblGrid>
        <w:gridCol w:w="421"/>
        <w:gridCol w:w="109"/>
        <w:gridCol w:w="2416"/>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Keith A. Goldan</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Keith A. Goldan</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52" w:name="sndx-ex32_1.htm"/>
      <w:bookmarkStart w:id="53" w:name="kssndxex32_1"/>
      <w:bookmarkEnd w:id="52"/>
      <w:bookmarkEnd w:id="53"/>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CERTIFICATIONS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 set forth in Rule 13a-14(b) of the Securities Exchange Act of 1934, as amended (the “Exchange Act”), and Section 1350 of Chapter 63 of Title 18 of the United States Code (18 U.S.C. § 1350), Michael A. Metzger, Chief Executive Officer and Director of Syndax Pharmaceuticals, Inc. (the “Company”), and Keith A. Goldan, Chief Financial Officer and Treasurer of the Company, each hereby certifies that, to the best of his knowledge: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The Company’s Annual Report on Form 10-K, for the year ended December 31, 2025, to which this Certification is attached as Exhibit 32.1 (the “Annual Report”), fully complies with the requirements of Section 13(a) or 15(d) of the Securities Exchange Act of 1934, as amended; and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(2) The information contained in the Annual Report fairly presents, in all material respects, the financial condition and results of operations of the Company for the period covered by the Annual Report.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tbl>
      <w:tblPr>
        <w:tblW w:w="2541" w:type="dxa"/>
        <w:jc w:val="left"/>
        <w:tblInd w:w="0" w:type="dxa"/>
        <w:tblLayout w:type="fixed"/>
        <w:tblCellMar>
          <w:top w:w="28" w:type="dxa"/>
          <w:left w:w="28" w:type="dxa"/>
          <w:bottom w:w="28" w:type="dxa"/>
          <w:right w:w="28" w:type="dxa"/>
        </w:tblCellMar>
      </w:tblPr>
      <w:tblGrid>
        <w:gridCol w:w="361"/>
        <w:gridCol w:w="109"/>
        <w:gridCol w:w="2071"/>
      </w:tblGrid>
      <w:tr>
        <w:trPr/>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 February 26, 2026</w:t>
      </w:r>
    </w:p>
    <w:p>
      <w:pPr>
        <w:pStyle w:val="TextBody"/>
        <w:bidi w:val="0"/>
        <w:jc w:val="left"/>
        <w:rPr/>
      </w:pPr>
      <w:r>
        <w:rPr/>
        <w:t> </w:t>
      </w:r>
    </w:p>
    <w:tbl>
      <w:tblPr>
        <w:tblW w:w="3735" w:type="dxa"/>
        <w:jc w:val="left"/>
        <w:tblInd w:w="0" w:type="dxa"/>
        <w:tblLayout w:type="fixed"/>
        <w:tblCellMar>
          <w:top w:w="28" w:type="dxa"/>
          <w:left w:w="28" w:type="dxa"/>
          <w:bottom w:w="28" w:type="dxa"/>
          <w:right w:w="28" w:type="dxa"/>
        </w:tblCellMar>
      </w:tblPr>
      <w:tblGrid>
        <w:gridCol w:w="361"/>
        <w:gridCol w:w="223"/>
        <w:gridCol w:w="3151"/>
      </w:tblGrid>
      <w:tr>
        <w:trPr/>
        <w:tc>
          <w:tcPr>
            <w:tcW w:w="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1" w:type="dxa"/>
            <w:tcBorders/>
            <w:vAlign w:val="center"/>
          </w:tcPr>
          <w:p>
            <w:pPr>
              <w:pStyle w:val="TableContents"/>
              <w:bidi w:val="0"/>
              <w:spacing w:before="0" w:after="283"/>
              <w:jc w:val="left"/>
              <w:rPr>
                <w:sz w:val="4"/>
                <w:szCs w:val="4"/>
              </w:rPr>
            </w:pPr>
            <w:r>
              <w:rPr>
                <w:sz w:val="4"/>
                <w:szCs w:val="4"/>
              </w:rPr>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By</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1"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/s/ Keith A. Goldan</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315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Keith A. Goldan</w:t>
            </w:r>
          </w:p>
        </w:tc>
      </w:tr>
      <w:tr>
        <w:trPr/>
        <w:tc>
          <w:tcPr>
            <w:tcW w:w="36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3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This certification accompanies the Annual Report, to which it relates, is not deemed filed with the Securities and Exchange Commission and is not to be incorporated by reference into any filing of the Company under the Securities Act of 1933, as amended, or the Securities Exchange Act of 1934, as amended (whether made before or after the date of the Annual Report), irrespective of any general incorporation language contained in such</w:t>
      </w:r>
    </w:p>
    <w:p>
      <w:pPr>
        <w:pStyle w:val="TextBody"/>
        <w:bidi w:val="0"/>
        <w:jc w:val="left"/>
        <w:rPr>
          <w:rFonts w:ascii="Times New Roman" w:hAnsi="Times New Roman"/>
          <w:color w:val="000000"/>
          <w:sz w:val="20"/>
        </w:rPr>
      </w:pPr>
      <w:r>
        <w:rPr>
          <w:rFonts w:ascii="Times New Roman" w:hAnsi="Times New Roman"/>
          <w:color w:val="000000"/>
          <w:sz w:val="20"/>
        </w:rPr>
        <w:t>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hyperlink" Target="https://www.sec.gov/Archives/edgar/data/1395937/000119312516496764/d119516dex31.htm" TargetMode="External"/><Relationship Id="rId6" Type="http://schemas.openxmlformats.org/officeDocument/2006/relationships/hyperlink" Target="https://www.sec.gov/Archives/edgar/data/1395937/000095017023022802/sndx-ex3_1.htm" TargetMode="External"/><Relationship Id="rId7" Type="http://schemas.openxmlformats.org/officeDocument/2006/relationships/hyperlink" Target="https://www.sec.gov/Archives/edgar/data/1395937/000119312516496764/d119516dex32.htm" TargetMode="External"/><Relationship Id="rId8" Type="http://schemas.openxmlformats.org/officeDocument/2006/relationships/hyperlink" Target="https://www.sec.gov/Archives/edgar/data/1395937/000119312516457615/d117131dex41.htm" TargetMode="External"/><Relationship Id="rId9" Type="http://schemas.openxmlformats.org/officeDocument/2006/relationships/hyperlink" Target="https://www.sec.gov/Archives/edgar/data/1395937/000119312521361105/d274870dex41.htm" TargetMode="External"/><Relationship Id="rId10" Type="http://schemas.openxmlformats.org/officeDocument/2006/relationships/hyperlink" Target="https://www.sec.gov/Archives/edgar/data/1395937/000095017025030394/sndx-ex4_3.htm" TargetMode="External"/><Relationship Id="rId11" Type="http://schemas.openxmlformats.org/officeDocument/2006/relationships/hyperlink" Target="https://www.sec.gov/Archives/edgar/data/1395937/000119312516420122/d39288dex103.htm" TargetMode="External"/><Relationship Id="rId12" Type="http://schemas.openxmlformats.org/officeDocument/2006/relationships/hyperlink" Target="https://www.sec.gov/Archives/edgar/data/1395937/000119312516420122/d39288dex104.htm" TargetMode="External"/><Relationship Id="rId13" Type="http://schemas.openxmlformats.org/officeDocument/2006/relationships/hyperlink" Target="https://www.sec.gov/Archives/edgar/data/1395937/000119312516420122/d39288dex105.htm" TargetMode="External"/><Relationship Id="rId14" Type="http://schemas.openxmlformats.org/officeDocument/2006/relationships/hyperlink" Target="https://www.sec.gov/Archives/edgar/data/1395937/000119312516420122/d39288dex106.htm" TargetMode="External"/><Relationship Id="rId15" Type="http://schemas.openxmlformats.org/officeDocument/2006/relationships/hyperlink" Target="https://www.sec.gov/Archives/edgar/data/1395937/000119312516420122/d39288dex107.htm" TargetMode="External"/><Relationship Id="rId16" Type="http://schemas.openxmlformats.org/officeDocument/2006/relationships/hyperlink" Target="https://www.sec.gov/Archives/edgar/data/1395937/000119312516420122/d39288dex108.htm" TargetMode="External"/><Relationship Id="rId17" Type="http://schemas.openxmlformats.org/officeDocument/2006/relationships/hyperlink" Target="https://www.sec.gov/Archives/edgar/data/1395937/000119312516420122/d39288dex109.htm" TargetMode="External"/><Relationship Id="rId18" Type="http://schemas.openxmlformats.org/officeDocument/2006/relationships/hyperlink" Target="https://www.sec.gov/Archives/edgar/data/1395937/000119312516420122/d39288dex1010.htm" TargetMode="External"/><Relationship Id="rId19" Type="http://schemas.openxmlformats.org/officeDocument/2006/relationships/hyperlink" Target="https://www.sec.gov/Archives/edgar/data/1395937/000119312516420122/d39288dex1011.htm" TargetMode="External"/><Relationship Id="rId20" Type="http://schemas.openxmlformats.org/officeDocument/2006/relationships/hyperlink" Target="https://www.sec.gov/Archives/edgar/data/1395937/000119312516420122/d39288dex1012.htm" TargetMode="External"/><Relationship Id="rId21" Type="http://schemas.openxmlformats.org/officeDocument/2006/relationships/hyperlink" Target="https://www.sec.gov/Archives/edgar/data/1395937/000119312516420122/d39288dex1013.htm" TargetMode="External"/><Relationship Id="rId22" Type="http://schemas.openxmlformats.org/officeDocument/2006/relationships/hyperlink" Target="https://www.sec.gov/Archives/edgar/data/1395937/000119312516420122/d39288dex1014.htm" TargetMode="External"/><Relationship Id="rId23" Type="http://schemas.openxmlformats.org/officeDocument/2006/relationships/hyperlink" Target="https://www.sec.gov/Archives/edgar/data/1395937/000156459020037777/sndx-ex101_313.htm" TargetMode="External"/><Relationship Id="rId24" Type="http://schemas.openxmlformats.org/officeDocument/2006/relationships/hyperlink" Target="https://www.sec.gov/Archives/edgar/data/1395937/000156459021012607/sndx-ex1014_191.htm" TargetMode="External"/><Relationship Id="rId25" Type="http://schemas.openxmlformats.org/officeDocument/2006/relationships/hyperlink" Target="https://www.sec.gov/Archives/edgar/data/1395937/000119312516518181/d166957dex416.htm" TargetMode="External"/><Relationship Id="rId26" Type="http://schemas.openxmlformats.org/officeDocument/2006/relationships/hyperlink" Target="https://www.sec.gov/Archives/edgar/data/1395937/000095017025030394/sndx-ex10_16.htm" TargetMode="External"/><Relationship Id="rId27" Type="http://schemas.openxmlformats.org/officeDocument/2006/relationships/hyperlink" Target="https://www.sec.gov/Archives/edgar/data/1395937/000095017023002172/sndx-ex10_2.htm" TargetMode="External"/><Relationship Id="rId28" Type="http://schemas.openxmlformats.org/officeDocument/2006/relationships/hyperlink" Target="https://www.sec.gov/Archives/edgar/data/1395937/000095017023018806/sndx-ex10_2.htm" TargetMode="External"/><Relationship Id="rId29" Type="http://schemas.openxmlformats.org/officeDocument/2006/relationships/hyperlink" Target="https://www.sec.gov/Archives/edgar/data/1395937/000156459022008112/sndx-ex1017_443.htm" TargetMode="External"/><Relationship Id="rId30" Type="http://schemas.openxmlformats.org/officeDocument/2006/relationships/hyperlink" Target="https://www.sec.gov/Archives/edgar/data/1395937/000095017024021253/sndx-ex10_20.htm" TargetMode="External"/><Relationship Id="rId31" Type="http://schemas.openxmlformats.org/officeDocument/2006/relationships/hyperlink" Target="https://www.sec.gov/Archives/edgar/data/1395937/000095017024021253/sndx-ex10_22.htm" TargetMode="External"/><Relationship Id="rId32" Type="http://schemas.openxmlformats.org/officeDocument/2006/relationships/hyperlink" Target="https://www.sec.gov/Archives/edgar/data/1395937/000095017024021253/sndx-ex10_23.htm" TargetMode="External"/><Relationship Id="rId33" Type="http://schemas.openxmlformats.org/officeDocument/2006/relationships/hyperlink" Target="https://www.sec.gov/Archives/edgar/data/1395937/000156459022023045/sndx-ex101_16.htm" TargetMode="External"/><Relationship Id="rId34" Type="http://schemas.openxmlformats.org/officeDocument/2006/relationships/hyperlink" Target="https://www.sec.gov/Archives/edgar/data/1395937/000095017024021253/sndx-ex10_27.htm" TargetMode="External"/><Relationship Id="rId35" Type="http://schemas.openxmlformats.org/officeDocument/2006/relationships/hyperlink" Target="https://www.sec.gov/Archives/edgar/data/1395937/000095017023010756/sndx-ex10_1.htm" TargetMode="External"/><Relationship Id="rId36" Type="http://schemas.openxmlformats.org/officeDocument/2006/relationships/hyperlink" Target="https://www.sec.gov/Archives/edgar/data/1395937/000095017024021253/sndx-ex10_30.htm" TargetMode="External"/><Relationship Id="rId37" Type="http://schemas.openxmlformats.org/officeDocument/2006/relationships/hyperlink" Target="https://www.sec.gov/Archives/edgar/data/1395937/000095017024032514/sndx-ex10_1.htm" TargetMode="External"/><Relationship Id="rId38" Type="http://schemas.openxmlformats.org/officeDocument/2006/relationships/hyperlink" Target="https://www.sec.gov/Archives/edgar/data/1395937/000095017025073555/sndx-ex10_1.htm" TargetMode="External"/><Relationship Id="rId39" Type="http://schemas.openxmlformats.org/officeDocument/2006/relationships/hyperlink" Target="https://www.sec.gov/Archives/edgar/data/1395937/000095017025030394/sndx-ex10_28.htm" TargetMode="External"/><Relationship Id="rId40" Type="http://schemas.openxmlformats.org/officeDocument/2006/relationships/hyperlink" Target="https://www.sec.gov/Archives/edgar/data/1395937/000119312516420122/d39288dex1021.htm" TargetMode="External"/><Relationship Id="rId41" Type="http://schemas.openxmlformats.org/officeDocument/2006/relationships/hyperlink" Target="https://www.sec.gov/Archives/edgar/data/1395937/000119312516420122/d39288dex1022.htm" TargetMode="External"/><Relationship Id="rId42" Type="http://schemas.openxmlformats.org/officeDocument/2006/relationships/hyperlink" Target="https://www.sec.gov/Archives/edgar/data/1395937/000119312516420122/d39288dex1023.htm" TargetMode="External"/><Relationship Id="rId43" Type="http://schemas.openxmlformats.org/officeDocument/2006/relationships/hyperlink" Target="https://www.sec.gov/Archives/edgar/data/1395937/000119312516420122/d39288dex1024.htm" TargetMode="External"/><Relationship Id="rId44" Type="http://schemas.openxmlformats.org/officeDocument/2006/relationships/hyperlink" Target="https://www.sec.gov/Archives/edgar/data/1395937/000119312516420122/d39288dex1025.htm" TargetMode="External"/><Relationship Id="rId45" Type="http://schemas.openxmlformats.org/officeDocument/2006/relationships/hyperlink" Target="https://www.sec.gov/Archives/edgar/data/1395937/000119312516420122/d39288dex1026.htm" TargetMode="External"/><Relationship Id="rId46" Type="http://schemas.openxmlformats.org/officeDocument/2006/relationships/hyperlink" Target="https://www.sec.gov/Archives/edgar/data/1395937/000119312516733845/d250701dex101.htm" TargetMode="External"/><Relationship Id="rId47" Type="http://schemas.openxmlformats.org/officeDocument/2006/relationships/hyperlink" Target="https://www.sec.gov/Archives/edgar/data/0001395937/000119312517163872/d380147dex104.htm" TargetMode="External"/><Relationship Id="rId48" Type="http://schemas.openxmlformats.org/officeDocument/2006/relationships/hyperlink" Target="https://www.sec.gov/Archives/edgar/data/1395937/000156459019041719/sndx-ex102_185.htm" TargetMode="External"/><Relationship Id="rId49" Type="http://schemas.openxmlformats.org/officeDocument/2006/relationships/hyperlink" Target="https://www.sec.gov/Archives/edgar/data/1395937/000095017022015523/sndx-ex10_1.htm" TargetMode="External"/><Relationship Id="rId50" Type="http://schemas.openxmlformats.org/officeDocument/2006/relationships/hyperlink" Target="https://www.sec.gov/Archives/edgar/data/1395937/000156459018004911/sndx-ex1047_509.htm" TargetMode="External"/><Relationship Id="rId51" Type="http://schemas.openxmlformats.org/officeDocument/2006/relationships/hyperlink" Target="https://www.sec.gov/Archives/edgar/data/1395937/000156459019017318/sndx-ex101_122.htm" TargetMode="External"/><Relationship Id="rId52" Type="http://schemas.openxmlformats.org/officeDocument/2006/relationships/hyperlink" Target="https://www.sec.gov/Archives/edgar/data/1395937/000156459021057004/sndx-ex101_182.htm" TargetMode="External"/><Relationship Id="rId53" Type="http://schemas.openxmlformats.org/officeDocument/2006/relationships/hyperlink" Target="https://www.sec.gov/Archives/edgar/data/1395937/000156459021057004/sndx-ex102_181.htm" TargetMode="External"/><Relationship Id="rId54" Type="http://schemas.openxmlformats.org/officeDocument/2006/relationships/hyperlink" Target="https://www.sec.gov/Archives/edgar/data/1395937/000095017025030394/sndx-ex10_43.htm" TargetMode="External"/><Relationship Id="rId55" Type="http://schemas.openxmlformats.org/officeDocument/2006/relationships/hyperlink" Target="https://www.sec.gov/Archives/edgar/data/1395937/000095017024021253/sndx-ex97.htm" TargetMode="External"/><Relationship Id="rId56" Type="http://schemas.openxmlformats.org/officeDocument/2006/relationships/fontTable" Target="fontTable.xml"/><Relationship Id="rId5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78791</Words>
  <Characters>442444</Characters>
  <CharactersWithSpaces>521813</CharactersWithSpaces>
  <Paragraphs>7389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