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dx-20260630.htm"/>
      <w:bookmarkStart w:id="1" w:name="kssndx20260630"/>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quarterly period ended June 30, 2026</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8"/>
        </w:rPr>
        <w:t>Commission File Number: 001-37708</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tbl>
      <w:tblPr>
        <w:tblW w:w="4502" w:type="dxa"/>
        <w:jc w:val="left"/>
        <w:tblInd w:w="0" w:type="dxa"/>
        <w:tblLayout w:type="fixed"/>
        <w:tblCellMar>
          <w:top w:w="28" w:type="dxa"/>
          <w:left w:w="28" w:type="dxa"/>
          <w:bottom w:w="28" w:type="dxa"/>
          <w:right w:w="28" w:type="dxa"/>
        </w:tblCellMar>
      </w:tblPr>
      <w:tblGrid>
        <w:gridCol w:w="301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32-0162505</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730 Third Avenue,</w:t>
            </w:r>
            <w:r>
              <w:rPr>
                <w:rFonts w:ascii="Times New Roman" w:hAnsi="Times New Roman"/>
                <w:color w:val="000000"/>
                <w:sz w:val="20"/>
              </w:rPr>
              <w:t xml:space="preserve"> </w:t>
            </w:r>
            <w:r>
              <w:rPr>
                <w:rFonts w:ascii="Times New Roman" w:hAnsi="Times New Roman"/>
                <w:b/>
                <w:color w:val="000000"/>
                <w:sz w:val="18"/>
              </w:rPr>
              <w:t>9th Floor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York, New York</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10017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18"/>
        </w:rPr>
        <w:t>(781) 419-1400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6498" w:type="dxa"/>
        <w:jc w:val="left"/>
        <w:tblInd w:w="0" w:type="dxa"/>
        <w:tblLayout w:type="fixed"/>
        <w:tblCellMar>
          <w:top w:w="28" w:type="dxa"/>
          <w:left w:w="28" w:type="dxa"/>
          <w:bottom w:w="28" w:type="dxa"/>
          <w:right w:w="28" w:type="dxa"/>
        </w:tblCellMar>
      </w:tblPr>
      <w:tblGrid>
        <w:gridCol w:w="1456"/>
        <w:gridCol w:w="1561"/>
        <w:gridCol w:w="3481"/>
      </w:tblGrid>
      <w:tr>
        <w:trPr/>
        <w:tc>
          <w:tcPr>
            <w:tcW w:w="14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45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14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5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SNDX</w:t>
            </w:r>
          </w:p>
        </w:tc>
        <w:tc>
          <w:tcPr>
            <w:tcW w:w="3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color w:val="000000"/>
          <w:sz w:val="18"/>
        </w:rPr>
        <w:t>Yes</w:t>
      </w:r>
      <w:r>
        <w:rPr>
          <w:rFonts w:ascii="Times New Roman" w:hAnsi="Times New Roman"/>
          <w:color w:val="000000"/>
          <w:sz w:val="20"/>
        </w:rPr>
        <w:t xml:space="preserve"> ☒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hAnsi="Times New Roman"/>
          <w:b/>
          <w:color w:val="000000"/>
          <w:sz w:val="18"/>
        </w:rPr>
        <w:t>Yes</w:t>
      </w:r>
      <w:r>
        <w:rPr>
          <w:rFonts w:ascii="Times New Roman" w:hAnsi="Times New Roman"/>
          <w:color w:val="000000"/>
          <w:sz w:val="20"/>
        </w:rPr>
        <w:t xml:space="preserve"> ☒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950" w:type="dxa"/>
        <w:jc w:val="left"/>
        <w:tblInd w:w="0" w:type="dxa"/>
        <w:tblLayout w:type="fixed"/>
        <w:tblCellMar>
          <w:top w:w="28" w:type="dxa"/>
          <w:left w:w="28" w:type="dxa"/>
          <w:bottom w:w="28" w:type="dxa"/>
          <w:right w:w="28" w:type="dxa"/>
        </w:tblCellMar>
      </w:tblPr>
      <w:tblGrid>
        <w:gridCol w:w="2101"/>
        <w:gridCol w:w="316"/>
        <w:gridCol w:w="146"/>
        <w:gridCol w:w="2026"/>
        <w:gridCol w:w="361"/>
      </w:tblGrid>
      <w:tr>
        <w:trPr/>
        <w:tc>
          <w:tcPr>
            <w:tcW w:w="21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Emerging growth company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b/>
          <w:color w:val="000000"/>
          <w:sz w:val="18"/>
        </w:rPr>
        <w:t xml:space="preserve">Yes </w:t>
      </w:r>
      <w:r>
        <w:rPr>
          <w:rFonts w:ascii="Times New Roman" w:hAnsi="Times New Roman"/>
          <w:color w:val="000000"/>
          <w:sz w:val="20"/>
        </w:rPr>
        <w:t xml:space="preserve">☐ </w:t>
      </w:r>
      <w:r>
        <w:rPr>
          <w:rFonts w:ascii="Times New Roman" w:hAnsi="Times New Roman"/>
          <w:b/>
          <w:color w:val="000000"/>
          <w:sz w:val="18"/>
        </w:rPr>
        <w:t xml:space="preserve">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As of July 31, 2026, there were 89,297,086</w:t>
      </w:r>
      <w:r>
        <w:rPr>
          <w:rFonts w:ascii="Times New Roman" w:hAnsi="Times New Roman"/>
          <w:color w:val="000000"/>
          <w:sz w:val="20"/>
        </w:rPr>
        <w:t xml:space="preserve"> </w:t>
      </w:r>
      <w:r>
        <w:rPr>
          <w:rFonts w:ascii="Times New Roman" w:hAnsi="Times New Roman"/>
          <w:color w:val="000000"/>
          <w:sz w:val="18"/>
        </w:rPr>
        <w:t>shares of the registrant’s Common Stock, par value $0.0001 per share, outstanding.</w:t>
      </w:r>
      <w:r>
        <w:rPr>
          <w:rFonts w:ascii="Times New Roman" w:hAnsi="Times New Roman"/>
          <w:color w:val="000000"/>
          <w:sz w:val="20"/>
        </w:rPr>
        <w:t xml:space="preserve"> </w:t>
      </w:r>
    </w:p>
    <w:p>
      <w:pPr>
        <w:pStyle w:val="TextBody"/>
        <w:bidi w:val="0"/>
        <w:spacing w:before="120" w:after="283"/>
        <w:jc w:val="left"/>
        <w:rPr/>
      </w:pPr>
      <w:r>
        <w:rPr/>
        <w:t> </w:t>
      </w:r>
    </w:p>
    <w:p>
      <w:pPr>
        <w:pStyle w:val="TextBody"/>
        <w:pBdr>
          <w:bottom w:val="double" w:sz="4" w:space="1" w:color="000000"/>
        </w:pBdr>
        <w:bidi w:val="0"/>
        <w:jc w:val="left"/>
        <w:rPr>
          <w:rFonts w:ascii="Times New Roman" w:hAnsi="Times New Roman"/>
          <w:color w:val="000000"/>
          <w:sz w:val="8"/>
        </w:rPr>
      </w:pPr>
      <w:r>
        <w:rPr>
          <w:rFonts w:ascii="Times New Roman" w:hAnsi="Times New Roman"/>
          <w:color w:val="000000"/>
          <w:sz w:val="8"/>
        </w:rPr>
        <w:t>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or this Quarterly Report, contains forward-looking statements and information within the meaning of Section 27A of the Securities Act of 1933, as amended, and Section 21E of the Securities Exchange Act of 1934, as amended, which are subject to the "safe harbor" created by those sections. All statements other than statements of historical fact are “forward-looking statements” for purposes of this Quarterly Report. In some cases, you can identify forward-looking statements by terminology such as “anticipate,” “believe,” “could,” “estimate,” “expects,” “intend,” “may,” “plan,” “potential,” “predict,” “project,” “should,” “will,” “would” or the negative or plural of those terms, and similar expressions.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regarding our expenses, future revenues, anticipated capital requirements and our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cost, timing, progress and results of our research and development activities,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replicate results in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safety, efficacy or clinical utility of our products and product candidates as well as the potential use of our products and product candidates to treat various cancer indications and fibrotic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for our products and product candidates and the timing or likelihood of regulatory filings and approvals for such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indebtedness as well as the ability to meet our cash payment obligations under the outstanding convertible notes from our business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operating and financial restrictions imposed on us under the Indenture related to our outstanding convertible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licenses with UCB Biopharma Sprl, and Vitae Pharmaceuticals, LLC, a subsidiary of AbbVie Inc.;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collaboration with Incyte Corporation, or Incyte, to further develop and commercialize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milestone and royalty payments under certain of our 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development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establish and maintain for intellectual property rights covering our products, product candidates and our technology;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market adoption of REVUFORJ</w:t>
      </w:r>
      <w:r>
        <w:rPr>
          <w:rFonts w:ascii="Times New Roman" w:hAnsi="Times New Roman"/>
          <w:color w:val="000000"/>
          <w:sz w:val="13"/>
        </w:rPr>
        <w:t>®</w:t>
      </w:r>
      <w:r>
        <w:rPr>
          <w:color w:val="000000"/>
        </w:rPr>
        <w:t xml:space="preserve"> </w:t>
      </w:r>
      <w:r>
        <w:rPr>
          <w:rFonts w:ascii="Times New Roman" w:hAnsi="Times New Roman"/>
          <w:color w:val="000000"/>
          <w:sz w:val="20"/>
        </w:rPr>
        <w:t>(revumenib) and NIKTIMVO (axatilimab-csfr) and our other product candidates by physicians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actions, including tariffs, wars or terrorism or the perception that hostilities may be imminent, adverse global economic conditions, terrorism, public health crises, funding shortages at governmental and regulatory agencies on which we rely,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42"/>
        <w:gridCol w:w="420"/>
        <w:gridCol w:w="8385"/>
        <w:gridCol w:w="146"/>
        <w:gridCol w:w="512"/>
      </w:tblGrid>
      <w:tr>
        <w:trPr/>
        <w:tc>
          <w:tcPr>
            <w:tcW w:w="74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Consolidated Balance Sheets as of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compre">
              <w:r>
                <w:rPr>
                  <w:rStyle w:val="InternetLink"/>
                  <w:rFonts w:ascii="Times New Roman" w:hAnsi="Times New Roman"/>
                  <w:color w:val="0000FF"/>
                  <w:sz w:val="20"/>
                  <w:u w:val="single"/>
                </w:rPr>
                <w:t>Consolidated Statements of Comprehensive Loss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solidated_soe">
              <w:r>
                <w:rPr>
                  <w:rStyle w:val="InternetLink"/>
                  <w:rFonts w:ascii="Times New Roman" w:hAnsi="Times New Roman"/>
                  <w:color w:val="0000FF"/>
                  <w:sz w:val="20"/>
                  <w:u w:val="single"/>
                </w:rPr>
                <w:t>Consolidated Statements of Changes in Stockholders' Equity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cash_f">
              <w:r>
                <w:rPr>
                  <w:rStyle w:val="InternetLink"/>
                  <w:rFonts w:ascii="Times New Roman" w:hAnsi="Times New Roman"/>
                  <w:color w:val="0000FF"/>
                  <w:sz w:val="20"/>
                  <w:u w:val="single"/>
                </w:rPr>
                <w:t>Consolidated 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hyperlink w:anchor="item_5_other_info">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8385"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jc w:val="left"/>
        <w:rPr/>
      </w:pPr>
      <w:r>
        <w:rPr/>
        <w:t> </w:t>
      </w:r>
    </w:p>
    <w:p>
      <w:pPr>
        <w:pStyle w:val="TextBody"/>
        <w:bidi w:val="0"/>
        <w:spacing w:before="240" w:after="283"/>
        <w:jc w:val="left"/>
        <w:rPr>
          <w:rFonts w:ascii="Times New Roman" w:hAnsi="Times New Roman"/>
          <w:color w:val="000000"/>
          <w:sz w:val="2"/>
        </w:rPr>
      </w:pPr>
      <w:r>
        <w:rPr>
          <w:rFonts w:ascii="Times New Roman" w:hAnsi="Times New Roman"/>
          <w:color w:val="000000"/>
          <w:sz w:val="2"/>
        </w:rPr>
        <w:t>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58"/>
        <w:gridCol w:w="146"/>
        <w:gridCol w:w="211"/>
        <w:gridCol w:w="991"/>
        <w:gridCol w:w="166"/>
        <w:gridCol w:w="146"/>
        <w:gridCol w:w="262"/>
        <w:gridCol w:w="1233"/>
        <w:gridCol w:w="392"/>
      </w:tblGrid>
      <w:tr>
        <w:trPr/>
        <w:tc>
          <w:tcPr>
            <w:tcW w:w="6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134,930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32,754</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528,081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529,706</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103,064</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right-of-use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capital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financing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343,909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344,960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465,076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Common stock, $0.0001 par value, 200,000,000 shares authorized; 89,150,619</w:t>
            </w:r>
            <w:r>
              <w:rPr>
                <w:rFonts w:ascii="Times New Roman" w:hAnsi="Times New Roman"/>
                <w:color w:val="FF0000"/>
                <w:sz w:val="20"/>
              </w:rPr>
              <w:br/>
            </w:r>
            <w:r>
              <w:rPr>
                <w:rFonts w:ascii="Times New Roman" w:hAnsi="Times New Roman"/>
                <w:color w:val="000000"/>
                <w:sz w:val="20"/>
              </w:rPr>
              <w:t>   and 87,405,979 shares issued and outstanding at June 30, 2026 and</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1,570,749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(1,506,580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529,706</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compre"/>
      <w:bookmarkEnd w:id="5"/>
      <w:r>
        <w:rPr>
          <w:rFonts w:ascii="Times New Roman" w:hAnsi="Times New Roman"/>
          <w:b/>
          <w:color w:val="000000"/>
          <w:sz w:val="20"/>
        </w:rPr>
        <w:t>CONSOLIDATED STATEMENTS 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70"/>
        <w:gridCol w:w="211"/>
        <w:gridCol w:w="1036"/>
        <w:gridCol w:w="166"/>
        <w:gridCol w:w="146"/>
        <w:gridCol w:w="211"/>
        <w:gridCol w:w="1036"/>
        <w:gridCol w:w="366"/>
        <w:gridCol w:w="346"/>
        <w:gridCol w:w="211"/>
        <w:gridCol w:w="1036"/>
        <w:gridCol w:w="166"/>
        <w:gridCol w:w="146"/>
        <w:gridCol w:w="211"/>
        <w:gridCol w:w="1036"/>
        <w:gridCol w:w="411"/>
      </w:tblGrid>
      <w:tr>
        <w:trPr/>
        <w:tc>
          <w:tcPr>
            <w:tcW w:w="3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62,227</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43,805</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107,311</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210,863</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(72,089</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in calculating:</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 attributable to common stockholders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88,991,317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86,337,237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88,625,508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86,255,020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consolidated_soe"/>
      <w:bookmarkEnd w:id="6"/>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14"/>
        <w:gridCol w:w="146"/>
        <w:gridCol w:w="146"/>
        <w:gridCol w:w="1036"/>
        <w:gridCol w:w="146"/>
        <w:gridCol w:w="146"/>
        <w:gridCol w:w="261"/>
        <w:gridCol w:w="430"/>
        <w:gridCol w:w="146"/>
        <w:gridCol w:w="146"/>
        <w:gridCol w:w="211"/>
        <w:gridCol w:w="931"/>
        <w:gridCol w:w="146"/>
        <w:gridCol w:w="146"/>
        <w:gridCol w:w="311"/>
        <w:gridCol w:w="710"/>
        <w:gridCol w:w="166"/>
        <w:gridCol w:w="146"/>
        <w:gridCol w:w="211"/>
        <w:gridCol w:w="991"/>
        <w:gridCol w:w="166"/>
        <w:gridCol w:w="146"/>
        <w:gridCol w:w="244"/>
        <w:gridCol w:w="852"/>
        <w:gridCol w:w="211"/>
      </w:tblGrid>
      <w:tr>
        <w:trPr/>
        <w:tc>
          <w:tcPr>
            <w:tcW w:w="2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9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br/>
              <w:t>$0.0001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88,543,881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89,150,619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8"/>
        <w:gridCol w:w="146"/>
        <w:gridCol w:w="146"/>
        <w:gridCol w:w="1036"/>
        <w:gridCol w:w="146"/>
        <w:gridCol w:w="146"/>
        <w:gridCol w:w="261"/>
        <w:gridCol w:w="430"/>
        <w:gridCol w:w="146"/>
        <w:gridCol w:w="146"/>
        <w:gridCol w:w="211"/>
        <w:gridCol w:w="931"/>
        <w:gridCol w:w="146"/>
        <w:gridCol w:w="146"/>
        <w:gridCol w:w="311"/>
        <w:gridCol w:w="710"/>
        <w:gridCol w:w="166"/>
        <w:gridCol w:w="146"/>
        <w:gridCol w:w="211"/>
        <w:gridCol w:w="991"/>
        <w:gridCol w:w="166"/>
        <w:gridCol w:w="146"/>
        <w:gridCol w:w="211"/>
        <w:gridCol w:w="781"/>
        <w:gridCol w:w="211"/>
      </w:tblGrid>
      <w:tr>
        <w:trPr/>
        <w:tc>
          <w:tcPr>
            <w:tcW w:w="2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94"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br/>
              <w:t>$0.0001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85,694,443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86,047,032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withholdings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86,059,077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652"/>
        <w:gridCol w:w="146"/>
        <w:gridCol w:w="211"/>
        <w:gridCol w:w="841"/>
        <w:gridCol w:w="166"/>
        <w:gridCol w:w="146"/>
        <w:gridCol w:w="211"/>
        <w:gridCol w:w="841"/>
        <w:gridCol w:w="991"/>
      </w:tblGrid>
      <w:tr>
        <w:trPr/>
        <w:tc>
          <w:tcPr>
            <w:tcW w:w="6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interest on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(11,852</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Collaboration receivable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 and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(102,251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sales and maturities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238,280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136,029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of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(45,447</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154,300</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108,853</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royalty interest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SYNDAX PHARMACEUTICALS, INC.</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8" w:name="notes_to_consolidated_financial_statemen"/>
      <w:bookmarkEnd w:id="8"/>
      <w:r>
        <w:rPr>
          <w:rFonts w:ascii="Times New Roman" w:hAnsi="Times New Roman"/>
          <w:b/>
          <w:color w:val="000000"/>
          <w:sz w:val="20"/>
        </w:rPr>
        <w:t>1. 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Syndax Pharmaceuticals, Inc. is a commercial-stage biopharmaceutical company advancing innovative cancer therapies. We currently have two commercially approved products and a robust pipeline of late- and early-stage development programs. We were incorporated in Delaware in 2005. We have operations in New York, NY, and we operate in one segment. References in these notes to unaudited consolidated financial statements to “Syndax,” “the Company,” “we,” “us” or “our” refer to Syndax Pharmaceuticals, Inc. and its wholly owned subsidiaries. </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2. Basis of Presentation </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unaudited consolidated financial statements have been prepared in conformity with U.S. generally accepted accounting principles, or U.S. GAAP. Any reference in these notes to applicable guidance is meant to refer to U.S. GAAP as found in the Accounting Standards Codification, or ASC, and Accounting Standards Updates, or ASU, of the Financial Accounting Standards Board, or FASB.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opinion of management, the accompanying unaudited interim financial statements include all normal and recurring adjustments (which consist primarily of accruals and estimates that impact the financial statements) considered necessary to present fairly the Company’s financial position as of June 30, 2026 and its results of operations for the three and six months ended June 30, 2026 and 2025 and cash flows for the six months ended June 30, 2026 and 2025. Operating results for the three and six months ended June 30, 2026 are not necessarily indicative of the results that may be expected for the year ending December 31, 2026. The unaudited interim financial statements presented herein do not contain the required disclosures under U.S. GAAP for annual financial statements. The accompanying unaudited interim financial statements should be read in conjunction with the annual audited financial statements and related notes as of and for the year ended December 31, 2025 contained in the Company’s Annual Report on Form 10-K, filed with the Securities and Exchange Commission, or SEC, on February 26,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2011, the Company established a wholly owned subsidiary in the United Kingdom, which the Company dissolved in June 2024. In 2014, the Company established a wholly owned U.S. subsidiary, which the Company dissolved in July 2025. In 2021, the Company established a wholly owned subsidiary in the Netherlands. To date, there have been no material activities for these entities. All intercompany balances and transactions have been eliminated in consolidation.</w:t>
      </w:r>
    </w:p>
    <w:p>
      <w:pPr>
        <w:pStyle w:val="TextBody"/>
        <w:bidi w:val="0"/>
        <w:spacing w:before="360" w:after="283"/>
        <w:jc w:val="left"/>
        <w:rPr>
          <w:rFonts w:ascii="Times New Roman" w:hAnsi="Times New Roman"/>
          <w:sz w:val="20"/>
        </w:rPr>
      </w:pPr>
      <w:r>
        <w:rPr>
          <w:rFonts w:ascii="Times New Roman" w:hAnsi="Times New Roman"/>
          <w:b/>
          <w:color w:val="000000"/>
          <w:sz w:val="20"/>
        </w:rPr>
        <w:t>3.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which are disclosed in the audited consolidated financial statements for the year ended December 31, 2025, and the notes thereto are included in the Company’s Annual Report on Form 10-K that was filed with the SEC on February 26, 2026. Since the date of filing, there have been no material changes to the Company’s significant accounting policies, except as noted below.</w:t>
      </w:r>
    </w:p>
    <w:p>
      <w:pPr>
        <w:pStyle w:val="TextBody"/>
        <w:bidi w:val="0"/>
        <w:spacing w:before="12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unaudited consolidated financial statements in conformity with U.S. GAAP requires management to make estimates and assumptions that affect the reported amounts of assets and liabilities and the disclosure of contingent assets and liabilities at the date of the unaudited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and assumptions about future events and their effects cannot be determined with certainty and therefore require the exercise of judgment. As of the date of issuance of these unaudited consolidated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unaudited consolidated financial statements as soon as they become known. Actual results could differ from those estimates and any such differences may be material to the Company’s unaudited consolidated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accordance with Topic ASC 270, </w:t>
      </w:r>
      <w:r>
        <w:rPr>
          <w:rFonts w:ascii="Times New Roman" w:hAnsi="Times New Roman"/>
          <w:i/>
          <w:color w:val="000000"/>
          <w:sz w:val="20"/>
        </w:rPr>
        <w:t>Interim Reporting</w:t>
      </w:r>
      <w:r>
        <w:rPr>
          <w:rFonts w:ascii="Times New Roman" w:hAnsi="Times New Roman"/>
          <w:color w:val="000000"/>
          <w:sz w:val="20"/>
        </w:rPr>
        <w:t xml:space="preserve">, and Topic ASC 740, </w:t>
      </w:r>
      <w:r>
        <w:rPr>
          <w:rFonts w:ascii="Times New Roman" w:hAnsi="Times New Roman"/>
          <w:i/>
          <w:color w:val="000000"/>
          <w:sz w:val="20"/>
        </w:rPr>
        <w:t>Income Taxes</w:t>
      </w:r>
      <w:r>
        <w:rPr>
          <w:rFonts w:ascii="Times New Roman" w:hAnsi="Times New Roman"/>
          <w:color w:val="000000"/>
          <w:sz w:val="20"/>
        </w:rPr>
        <w:t xml:space="preserve">, the Company is required at the end of each interim period to determine the best estimate of its annual effective tax rate and then apply that rate in providing for income taxes on a current year-to-date (interim period) basis. For the six months ended June 30, 2026 and 2025, the Company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recorded no tax expense or benefit due to the expected current year loss and its historical losses. As of June 30, 2026 and December 31, 2025, the Company concluded that a full valuation allowance would be necessary for all of its net deferred tax assets. The Company had no amounts recorded for uncertain tax positions, interest or penalties in the accompanying unaudited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July 4, 2025, the One Big Beautiful Bill Act, or OBBBA, was enacted in the United States. The OBBBA includes significant changes to the Internal Revenue Code of 1986, such as the permanent extension of certain expiring provisions of the Tax Cuts and Jobs Act of 2017, modifications to certain aspects of the international tax framework and the restoration of favorable tax treatment for certain business expense provisions. The OBBBA introduced several U.S. tax law changes, including the ability to immediately expense domestic research and experimental, or R&amp;E, expenditures starting in 2025, and an election to accelerate any unamortized domestic R&amp;E expenditures over a one or two year period beginning with the 2025 tax year. In accordance with ASC 740, </w:t>
      </w:r>
      <w:r>
        <w:rPr>
          <w:rFonts w:ascii="Times New Roman" w:hAnsi="Times New Roman"/>
          <w:i/>
          <w:color w:val="000000"/>
          <w:sz w:val="20"/>
        </w:rPr>
        <w:t>Accounting for Income Taxes</w:t>
      </w:r>
      <w:r>
        <w:rPr>
          <w:rFonts w:ascii="Times New Roman" w:hAnsi="Times New Roman"/>
          <w:color w:val="000000"/>
          <w:sz w:val="20"/>
        </w:rPr>
        <w:t>, the impacts of the OBBBA did not affect the Company’s U.S. deferred tax assets or liabilities, as the Company continues to maintain a full valuation allowance against those balances</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comprehensive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Comprehensive loss consists of two components, net loss and other comprehensive loss, net of tax. The Company’s other comprehensive loss, net of tax, consists of unrealized gains (losses) on the Company’s investments.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Collaboration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2021, the Company entered into the Incyte License and Collaboration Agreement, or the Incyte License, with Incyte, covering the worldwide development and commercialization of axatilimab. In August 2024, the U.S. Food and Drug Administration, or FDA, approved Niktimvo for the treatment of chronic graft-versus host disease, or cGVHD, after failure of at least two prior lines of systemic therapy in adult and pediatric patients weighing at least 40 kg (88.2 lbs). See Note 4 — Significant Collaborative Research and License Agreements — Incyte Collaboration for further details on the Incyte License and Collaboration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accordance with Topic ASC 808, </w:t>
      </w:r>
      <w:r>
        <w:rPr>
          <w:rFonts w:ascii="Times New Roman" w:hAnsi="Times New Roman"/>
          <w:i/>
          <w:color w:val="000000"/>
          <w:sz w:val="20"/>
        </w:rPr>
        <w:t>Collaboration Arrangements,</w:t>
      </w:r>
      <w:r>
        <w:rPr>
          <w:rFonts w:ascii="Times New Roman" w:hAnsi="Times New Roman"/>
          <w:color w:val="000000"/>
          <w:sz w:val="20"/>
        </w:rPr>
        <w:t xml:space="preserve"> Incyte has been identified as the principal in product sales, therefore, the Company will recognize its share of any profits or losses in the amount of net product sales less cost of goods sold and shared commercial costs, royalties and other expenses, in the period in which the underlying sales and costs are recognized. The Company’s share of net profits in connection with commercialization of products will be presented as “Collaboration revenue, net” and its share of net losses will be presented as “Collaboration loss, net” within operating expenses. The year to date “Collaboration revenue, net” or “Collaboration loss, net” will be presented as the net cumulative amount for all periods reported on in the financial statements. The Company will continue to recognize the costs associated with ongoing development services in the R&amp;D operating expense line, including any cost-sharing components with Incyte. </w:t>
      </w:r>
    </w:p>
    <w:p>
      <w:pPr>
        <w:pStyle w:val="TextBody"/>
        <w:bidi w:val="0"/>
        <w:spacing w:before="120" w:after="283"/>
        <w:jc w:val="left"/>
        <w:rPr>
          <w:rFonts w:ascii="Times New Roman" w:hAnsi="Times New Roman"/>
          <w:sz w:val="20"/>
        </w:rPr>
      </w:pPr>
      <w:r>
        <w:rPr>
          <w:rFonts w:ascii="Times New Roman" w:hAnsi="Times New Roman"/>
          <w:b/>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FASB or other accounting standard setting bodies that we adopt as of the specified effective date. Unless otherwise discussed below, we do not believe that the adoption of recently issued standards have or may have a material impact on our unaudited consolidated financial statements or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 or ASU 2024-03</w:t>
      </w:r>
      <w:r>
        <w:rPr>
          <w:rFonts w:ascii="Times New Roman" w:hAnsi="Times New Roman"/>
          <w:color w:val="000000"/>
          <w:sz w:val="20"/>
        </w:rPr>
        <w:t>. Among other items, the requirements include expanded disclosures around employee compensation and selling expenses. ASU 2024-03 will be effective for the Company for the year ending December 31, 2027. The Company is still evaluating the impact of this new guidance on its unaudited consolidated financial statements but expects the adoption to result in disclosure changes only.</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Significant Collaborative Research and License Agreements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Incyte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the Company entered into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are co-commercializing and co-promoting axatilimab as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Niktimvo (axatilimab-csfr). The Company and Incyte share equally the profits and losses from co-commercialization efforts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Incyte have agreed to continue to co-develop axatilimab and to share development costs associated with global and additional U.S.-specific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post-marketing authorization sale of a licensed product in that country, and (c) the expiration of any regulatory exclusivity for that licensed product in that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2024, the FDA approved Niktimvo for the treatment of cGVHD after failure of at least two prior lines of systemic therapy in adult and pediatric patients weighing at least 40 kg (88.2 lbs). As a result of the approval of Niktimvo, the Company earned a revenue milestone of $12.5 million, which was received in the third quarter of 2024. Upon the achievement of $150.0 million in net sales of Niktimvo, the Company recognized a $5.0 million milestone receivable in the fourth quarter of 2025, which was received in the first quarter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the Company has recognized collaboration revenue of $18.1 million and $34.0 million, respectively. For the three and six months ended June 30, 2025, the Company recognized $9.4 million and $9.1 million of collaboration revenue, respectively. As of June 30, 2026, the Company has recorded approximately $26.4 million as a collaboration receivable due from Incyte related to the Company's portion of the profit share, commercialization and development costs under the Incyte Agreements and has recorded approximately $4.0 million as a collaboration payable due to Incyte for development and commercialization costs incurred by Incyte. As of December 31, 2025, the Company has recorded $28.1 million as a collaboration receivable due from Incyte related to the Company's portion of the profit share, commercialization and development costs under the Incyte Agreements and has recorded approximately $4.4 million as a collaboration payable due to Incyte for development and commercialization costs incurred by Incyte.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share of collaboration profit or loss is based on net sales of Niktimvo and the collaborative commercialization expenses.</w:t>
      </w:r>
    </w:p>
    <w:p>
      <w:pPr>
        <w:pStyle w:val="TextBody"/>
        <w:bidi w:val="0"/>
        <w:spacing w:before="120" w:after="283"/>
        <w:jc w:val="left"/>
        <w:rPr>
          <w:rFonts w:ascii="Times New Roman" w:hAnsi="Times New Roman"/>
          <w:sz w:val="20"/>
        </w:rPr>
      </w:pPr>
      <w:r>
        <w:rPr>
          <w:rFonts w:ascii="Times New Roman" w:hAnsi="Times New Roman"/>
          <w:b/>
          <w:color w:val="000000"/>
          <w:sz w:val="20"/>
        </w:rPr>
        <w:t>Vitae Pharmaceuticals,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2017, the Company entered into a license agreement, or the Vitae License Agreement, with Vitae Pharmaceuticals, Inc., or Vitae, a subsidiary of AbbVie, Inc., or AbbVie, under which the Company was granted an exclusive, sublicensable, worldwide license to a portfolio of preclinical, orally available, small molecule inhibitors of the Menin–KMT2A binding interaction, or the Menin Assets. Upon execution of the Vitae License Agreement, the Company agreed to pay Allergan (the predecessor in interest to AbbVie) up to $99.0 million in one-time development and regulatory milestone payments over the term of the Vitae License Agreement, subject to the achievement of certain milestone events. In the event that the Company or any of its affiliates or sublicensees commercializes the Menin Assets, the Company will also be obligated to pay Vitae low single to low double-digit percentage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Vitae License Agreement for the other party’s uncured material breach or insolvency, and the Company may terminate the Vitae License Agreement at any time upon advance written notice to Vitae. Vitae may terminate the Vitae License Agreement if the Company or any of its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the Vitae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Since the inception of the Vitae License Agreement, the Company achieved certain development and regulatory milestones resulting in $38.0 million in expense, which includes an $18.0 million milestone expense in 2024 and a $12.0 million expense in 2025, related to the submission of a supplemental New Drug Application, or sNDA, for Revuforj and the first United States sale of Revuforj in its second indication.</w:t>
      </w:r>
    </w:p>
    <w:p>
      <w:pPr>
        <w:pStyle w:val="TextBody"/>
        <w:bidi w:val="0"/>
        <w:spacing w:before="240" w:after="283"/>
        <w:jc w:val="left"/>
        <w:rPr>
          <w:rFonts w:ascii="Times New Roman" w:hAnsi="Times New Roman"/>
          <w:sz w:val="20"/>
        </w:rPr>
      </w:pPr>
      <w:r>
        <w:rPr>
          <w:rFonts w:ascii="Times New Roman" w:hAnsi="Times New Roman"/>
          <w:b/>
          <w:color w:val="000000"/>
          <w:sz w:val="20"/>
        </w:rPr>
        <w:t>UCB Biopharma Sprl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Upon execution of the agreement, the Company agreed to pay UCB up to $119.5 million in one-time development and regulatory milestone payments over the term of the UCB License Agreement, subject to the achievement of certain milestone events. In the event that the Company or any of its affiliates or sublicensees commercializes axatilimab, the Company will also be obligated to pay UCB low double-digit percentage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In connection with its most recent amendment of the UCB License Agreement, in the second quarter of 2022 the Company paid UCB $5.8 million, which was recognized as a milestone expense. Since the effective date of the license agreement, the Company achieved certain development and regulatory milestones and has recorded $41.0 million as research and development expense, which includes a $15.0 million milestone paid during the third quarter of 2024 upon the approval of Niktimvo and a $10.0 million milestone recognized in the first quarter of 2025 for the first patient dosed in a Phase III study with the compound in a combination with another agent. The Company also recognized a $10.0 million commercial milestone expense in the fourth quarter of 2025 upon the achievement of $150.0 million in net sales of Niktimvo.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5. Net Loss per Share Attributable to Common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 </w:t>
      </w:r>
    </w:p>
    <w:p>
      <w:pPr>
        <w:pStyle w:val="TextBody"/>
        <w:bidi w:val="0"/>
        <w:spacing w:before="120" w:after="283"/>
        <w:jc w:val="left"/>
        <w:rPr/>
      </w:pPr>
      <w:r>
        <w:rPr/>
        <w:t> </w:t>
      </w:r>
    </w:p>
    <w:tbl>
      <w:tblPr>
        <w:tblW w:w="10141" w:type="dxa"/>
        <w:jc w:val="left"/>
        <w:tblInd w:w="0" w:type="dxa"/>
        <w:tblLayout w:type="fixed"/>
        <w:tblCellMar>
          <w:top w:w="28" w:type="dxa"/>
          <w:left w:w="28" w:type="dxa"/>
          <w:bottom w:w="28" w:type="dxa"/>
          <w:right w:w="28" w:type="dxa"/>
        </w:tblCellMar>
      </w:tblPr>
      <w:tblGrid>
        <w:gridCol w:w="4006"/>
        <w:gridCol w:w="211"/>
        <w:gridCol w:w="1036"/>
        <w:gridCol w:w="166"/>
        <w:gridCol w:w="146"/>
        <w:gridCol w:w="211"/>
        <w:gridCol w:w="1036"/>
        <w:gridCol w:w="166"/>
        <w:gridCol w:w="146"/>
        <w:gridCol w:w="211"/>
        <w:gridCol w:w="1036"/>
        <w:gridCol w:w="166"/>
        <w:gridCol w:w="146"/>
        <w:gridCol w:w="211"/>
        <w:gridCol w:w="103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share and per</w:t>
              <w:br/>
              <w:t>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Numerator—basic and diluted:</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w:t>
              <w:br/>
              <w:t>   stockholders—basic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w:t>
              <w:br/>
              <w:t>   stockholders—basic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Denominator—basic and diluted:</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number of common shares </w:t>
              <w:br/>
              <w:t>   used to compute net loss per share attributable</w:t>
              <w:br/>
              <w:t>   to common stockholders—basic and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88,991,317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86,337,237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88,625,508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86,255,020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potentially dilutive securities have been excluded from the computation of diluted weighted-average shares outstanding because such securities have an antidilutive impact due to losses reported (in common stock equivalent shares): </w:t>
      </w:r>
    </w:p>
    <w:tbl>
      <w:tblPr>
        <w:tblW w:w="6384" w:type="dxa"/>
        <w:jc w:val="left"/>
        <w:tblInd w:w="0" w:type="dxa"/>
        <w:tblLayout w:type="fixed"/>
        <w:tblCellMar>
          <w:top w:w="28" w:type="dxa"/>
          <w:left w:w="28" w:type="dxa"/>
          <w:bottom w:w="28" w:type="dxa"/>
          <w:right w:w="28" w:type="dxa"/>
        </w:tblCellMar>
      </w:tblPr>
      <w:tblGrid>
        <w:gridCol w:w="3391"/>
        <w:gridCol w:w="146"/>
        <w:gridCol w:w="146"/>
        <w:gridCol w:w="1036"/>
        <w:gridCol w:w="146"/>
        <w:gridCol w:w="146"/>
        <w:gridCol w:w="146"/>
        <w:gridCol w:w="1036"/>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13,933,003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2,577,678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related to the Company’s common stock see Note 14 — Stock Based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Other Receivables,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entinostat received marketing approval in China, and as a result, the Company recorded $3.5 million of milestone revenue in 2024. The Company had recorded a $3.7 million receivable related to milestones (plus accrued interest) under the license agreement with Eddingpharm in 2025, which remains outstanding as of June 30, 2026. As the receivable remains outstanding, and the Company has assessed the amount as non-recoverable, the Company recorded a full reserve against the asset as a selling, general and administrative expense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recorded $2.7 million in receivables related to employee stock option exercises in which the cash payment was outstanding as of June 30, 2026.</w:t>
      </w:r>
    </w:p>
    <w:p>
      <w:pPr>
        <w:pStyle w:val="TextBody"/>
        <w:bidi w:val="0"/>
        <w:spacing w:before="360" w:after="283"/>
        <w:jc w:val="left"/>
        <w:rPr>
          <w:rFonts w:ascii="Times New Roman" w:hAnsi="Times New Roman"/>
          <w:sz w:val="20"/>
        </w:rPr>
      </w:pPr>
      <w:r>
        <w:rPr>
          <w:rFonts w:ascii="Times New Roman" w:hAnsi="Times New Roman"/>
          <w:b/>
          <w:color w:val="000000"/>
          <w:sz w:val="20"/>
        </w:rPr>
        <w:t>7.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Quoted prices (unadjusted) in active markets that are accessible at the market date for identical unrestricted assets or liabilities.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Unobservable inputs that are supported by little or no market activity and that are significant to the fair value of the assets or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presents information about the Company’s assets and liabilities that are regularly measured and carried at fair value and indicate the level within the fair value hierarchy of valuation techniques the Company utilized to determine such fair values (in thousands): </w:t>
      </w:r>
    </w:p>
    <w:tbl>
      <w:tblPr>
        <w:tblW w:w="8179" w:type="dxa"/>
        <w:jc w:val="left"/>
        <w:tblInd w:w="0" w:type="dxa"/>
        <w:tblLayout w:type="fixed"/>
        <w:tblCellMar>
          <w:top w:w="28" w:type="dxa"/>
          <w:left w:w="28" w:type="dxa"/>
          <w:bottom w:w="28" w:type="dxa"/>
          <w:right w:w="28" w:type="dxa"/>
        </w:tblCellMar>
      </w:tblPr>
      <w:tblGrid>
        <w:gridCol w:w="2466"/>
        <w:gridCol w:w="146"/>
        <w:gridCol w:w="211"/>
        <w:gridCol w:w="781"/>
        <w:gridCol w:w="146"/>
        <w:gridCol w:w="146"/>
        <w:gridCol w:w="217"/>
        <w:gridCol w:w="803"/>
        <w:gridCol w:w="146"/>
        <w:gridCol w:w="146"/>
        <w:gridCol w:w="211"/>
        <w:gridCol w:w="781"/>
        <w:gridCol w:w="146"/>
        <w:gridCol w:w="146"/>
        <w:gridCol w:w="414"/>
        <w:gridCol w:w="682"/>
        <w:gridCol w:w="59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(unadjusted)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Active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material impairments of our assets measured and carried at fair value during the periods ended June 30, 2026 and 2025. In addition, there have been no changes in valuation techniques during the periods ended June 30, 2026 and 2025. The fair value of Level 1 instruments classified as cash equivalents are valued using quoted market prices in active markets. The fair value of Level 2 instruments classified as short- and long-term investments are determined based on quoted prices in active markets, which are either directly or indirectly observable as of the reporting date with fair value being determined using models or other valuation methodologies.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short and long-term investments are classified as available-for-sale securities. As of June 30, 2026, the remaining contractual maturities of the available-for-sale securities were 1 to 23 months, and the balance in the Company’s accumulated other comprehensive loss was comprised solely of activity related to the Company’s available-for-sale securities. There were no realized gains or losses recognized on the sale or maturity of available-for-sale securities, during the three and six months ended June 30, 2026 and 2025. As a result, the Company did not reclassify any amounts out of accumulated other comprehensive gain for the same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available-for-sale securities: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tbl>
      <w:tblPr>
        <w:tblW w:w="6995" w:type="dxa"/>
        <w:jc w:val="left"/>
        <w:tblInd w:w="0" w:type="dxa"/>
        <w:tblLayout w:type="fixed"/>
        <w:tblCellMar>
          <w:top w:w="28" w:type="dxa"/>
          <w:left w:w="28" w:type="dxa"/>
          <w:bottom w:w="28" w:type="dxa"/>
          <w:right w:w="28" w:type="dxa"/>
        </w:tblCellMar>
      </w:tblPr>
      <w:tblGrid>
        <w:gridCol w:w="1806"/>
        <w:gridCol w:w="146"/>
        <w:gridCol w:w="211"/>
        <w:gridCol w:w="781"/>
        <w:gridCol w:w="146"/>
        <w:gridCol w:w="146"/>
        <w:gridCol w:w="295"/>
        <w:gridCol w:w="591"/>
        <w:gridCol w:w="146"/>
        <w:gridCol w:w="146"/>
        <w:gridCol w:w="270"/>
        <w:gridCol w:w="616"/>
        <w:gridCol w:w="166"/>
        <w:gridCol w:w="146"/>
        <w:gridCol w:w="211"/>
        <w:gridCol w:w="781"/>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8. Prepaid Expenses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tbl>
      <w:tblPr>
        <w:tblW w:w="7560" w:type="dxa"/>
        <w:jc w:val="left"/>
        <w:tblInd w:w="0" w:type="dxa"/>
        <w:tblLayout w:type="fixed"/>
        <w:tblCellMar>
          <w:top w:w="28" w:type="dxa"/>
          <w:left w:w="28" w:type="dxa"/>
          <w:bottom w:w="28" w:type="dxa"/>
          <w:right w:w="28" w:type="dxa"/>
        </w:tblCellMar>
      </w:tblPr>
      <w:tblGrid>
        <w:gridCol w:w="3931"/>
        <w:gridCol w:w="146"/>
        <w:gridCol w:w="303"/>
        <w:gridCol w:w="972"/>
        <w:gridCol w:w="146"/>
        <w:gridCol w:w="146"/>
        <w:gridCol w:w="409"/>
        <w:gridCol w:w="131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subscriptions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state and local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Inventory,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Inventory, net consisted of the following (in thousands):</w:t>
      </w:r>
    </w:p>
    <w:p>
      <w:pPr>
        <w:pStyle w:val="TextBody"/>
        <w:bidi w:val="0"/>
        <w:jc w:val="left"/>
        <w:rPr/>
      </w:pPr>
      <w:r>
        <w:rPr/>
        <w:t> </w:t>
      </w:r>
    </w:p>
    <w:tbl>
      <w:tblPr>
        <w:tblW w:w="5370" w:type="dxa"/>
        <w:jc w:val="left"/>
        <w:tblInd w:w="0" w:type="dxa"/>
        <w:tblLayout w:type="fixed"/>
        <w:tblCellMar>
          <w:top w:w="28" w:type="dxa"/>
          <w:left w:w="28" w:type="dxa"/>
          <w:bottom w:w="28" w:type="dxa"/>
          <w:right w:w="28" w:type="dxa"/>
        </w:tblCellMar>
      </w:tblPr>
      <w:tblGrid>
        <w:gridCol w:w="1741"/>
        <w:gridCol w:w="146"/>
        <w:gridCol w:w="303"/>
        <w:gridCol w:w="972"/>
        <w:gridCol w:w="146"/>
        <w:gridCol w:w="146"/>
        <w:gridCol w:w="409"/>
        <w:gridCol w:w="1316"/>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are stated at the lower of cost or net realizable value, as determined on a first-in, first-out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the FDA's approval of Revuforj in November 2024, all costs for the manufacturing of product to support clinical development and commercial launch, including pre-launch inventory, were expensed as research and development costs. The pre-launch inventory will continue to be used in commercial production until it is depleted.</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tbl>
      <w:tblPr>
        <w:tblW w:w="5415" w:type="dxa"/>
        <w:jc w:val="left"/>
        <w:tblInd w:w="0" w:type="dxa"/>
        <w:tblLayout w:type="fixed"/>
        <w:tblCellMar>
          <w:top w:w="28" w:type="dxa"/>
          <w:left w:w="28" w:type="dxa"/>
          <w:bottom w:w="28" w:type="dxa"/>
          <w:right w:w="28" w:type="dxa"/>
        </w:tblCellMar>
      </w:tblPr>
      <w:tblGrid>
        <w:gridCol w:w="2751"/>
        <w:gridCol w:w="146"/>
        <w:gridCol w:w="219"/>
        <w:gridCol w:w="501"/>
        <w:gridCol w:w="166"/>
        <w:gridCol w:w="146"/>
        <w:gridCol w:w="333"/>
        <w:gridCol w:w="762"/>
        <w:gridCol w:w="39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and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Depreciation expense was $5,000 and $9,000 for the three and six months ended June 30, 2026. There was no depreciation expense for the three and six months ended June 30,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Accrued Expenses and Other Current Liabilities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7890" w:type="dxa"/>
        <w:jc w:val="left"/>
        <w:tblInd w:w="0" w:type="dxa"/>
        <w:tblLayout w:type="fixed"/>
        <w:tblCellMar>
          <w:top w:w="28" w:type="dxa"/>
          <w:left w:w="28" w:type="dxa"/>
          <w:bottom w:w="28" w:type="dxa"/>
          <w:right w:w="28" w:type="dxa"/>
        </w:tblCellMar>
      </w:tblPr>
      <w:tblGrid>
        <w:gridCol w:w="4261"/>
        <w:gridCol w:w="146"/>
        <w:gridCol w:w="303"/>
        <w:gridCol w:w="972"/>
        <w:gridCol w:w="146"/>
        <w:gridCol w:w="146"/>
        <w:gridCol w:w="367"/>
        <w:gridCol w:w="1358"/>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study and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selling, general, and administrative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milestone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 royalty interest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Royalty Interest Financing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4, 2024, the Company entered into a Purchase and Sale Agreement, or the Purchase and Sale Agreement, with Royalty Pharma Development Funding, LLC, or Royalty Pharma, pursuant to which Royalty Pharma purchased rights to certain revenue streams from net sales of products comprising or containing axatilimab (including Niktimvo) by the Company, its affiliates and its licensees in the United States and its respective territories, districts, commonwealths and possessions (including Guam and Puerto Rico) in exchange for an upfront fee of $350 million.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Purchase and Sale Agreement, Royalty Pharma purchased the right to receive a percentage of net sales equal to a royalty rate of 13.8% on quarterly net sales of Niktimvo in the United States and its respective territories; provided that the royalty rate is subject to certain adjustments based on future aggregate net sales of the product in the United States and its respective territories, or the Revenue Participation Right. Aggregate payments made to Royalty Pharma in respect of the Revenue Participation Right will be capped at $822.5 million, or the Royalty Cap. </w:t>
      </w:r>
    </w:p>
    <w:p>
      <w:pPr>
        <w:pStyle w:val="TextBody"/>
        <w:bidi w:val="0"/>
        <w:jc w:val="left"/>
        <w:rPr>
          <w:rFonts w:ascii="Times New Roman" w:hAnsi="Times New Roman"/>
          <w:color w:val="000000"/>
          <w:sz w:val="20"/>
        </w:rPr>
      </w:pPr>
      <w:r>
        <w:rPr>
          <w:rFonts w:ascii="Times New Roman" w:hAnsi="Times New Roman"/>
          <w:color w:val="000000"/>
          <w:sz w:val="20"/>
        </w:rPr>
        <w:t xml:space="preserve">The Purchase and Sale Agreement contains customary representations, warranties and indemnities of the Company and Royalty Pharma and customary covenants relating to the royalty payments, including the grant of a back-up security interest in the purchased royalties and certain assets related to the product and restrictions on the incurrence of additional indebtedness and on the existence of liens on the Company’s assets related to the product. </w:t>
      </w:r>
    </w:p>
    <w:p>
      <w:pPr>
        <w:pStyle w:val="TextBody"/>
        <w:bidi w:val="0"/>
        <w:jc w:val="left"/>
        <w:rPr>
          <w:rFonts w:ascii="Times New Roman" w:hAnsi="Times New Roman"/>
          <w:color w:val="000000"/>
          <w:sz w:val="20"/>
        </w:rPr>
      </w:pPr>
      <w:r>
        <w:rPr>
          <w:rFonts w:ascii="Times New Roman" w:hAnsi="Times New Roman"/>
          <w:color w:val="000000"/>
          <w:sz w:val="20"/>
        </w:rPr>
        <w:t>Upon a change of control, the Company will have the right, but not the obligation, to repurchase the Revenue Participation Right at a repurchase price set forth in the Purchase and Sale Agreement. In addition, the Purchase and Sale Agreement provides that if certain events of default occur, including certain bankruptcy events or certain termination events with respect to the Company’s license agreement with UCB Biopharma Srl, Royalty Pharma may require the Company to repurchase Royalty Pharma’s interests in the Revenue Participation Right at a repurchase price equal to the Royalty Cap.</w:t>
      </w:r>
    </w:p>
    <w:p>
      <w:pPr>
        <w:pStyle w:val="TextBody"/>
        <w:bidi w:val="0"/>
        <w:jc w:val="left"/>
        <w:rPr>
          <w:rFonts w:ascii="Times New Roman" w:hAnsi="Times New Roman"/>
          <w:sz w:val="20"/>
        </w:rPr>
      </w:pPr>
      <w:r>
        <w:rPr>
          <w:rFonts w:ascii="Times New Roman" w:hAnsi="Times New Roman"/>
          <w:color w:val="000000"/>
          <w:sz w:val="20"/>
        </w:rPr>
        <w:t xml:space="preserve">The Company assessed the Purchase and Sale Agreement and identified it as a sale of future revenue in the form of a debt instrument to be accounted for as a liability under Topic ASC 470, </w:t>
      </w:r>
      <w:r>
        <w:rPr>
          <w:rFonts w:ascii="Times New Roman" w:hAnsi="Times New Roman"/>
          <w:i/>
          <w:color w:val="000000"/>
          <w:sz w:val="20"/>
        </w:rPr>
        <w:t>Borrower’s Accounting for Debt Modifications</w:t>
      </w:r>
      <w:r>
        <w:rPr>
          <w:rFonts w:ascii="Times New Roman" w:hAnsi="Times New Roman"/>
          <w:color w:val="000000"/>
          <w:sz w:val="20"/>
        </w:rPr>
        <w:t xml:space="preserve">. The Company has elected to use the prospective method in its calculation of its effective interest rate and will update this calculation quarterly when there are changes in the projected sales. Issuance costs pursuant to the Purchase and Sale Agreement consisted primarily of bank and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legal fees and totaled $6.3 million. These issuance costs were recorded as a direct deduction to the carrying amount of the liability and will be amortized under the effective interest method over the estimated period the liability will be repaid. For the period ended June 30, 2026, the Company estimated an effective annual interest rate of approximately 13.02%. Over the course of the Purchase and Sale Agreement, the annual interest rate will be affected by the amount and timing of net Niktimvo revenue recognized and change in timing of forecasted net Niktimvo revenue. On a quarterly basis, the Company reassesses the expected timing of the net Niktimvo revenue, recalculates the amortization and effective interest rate, and adjusts the accounting prospectively, as needed. For the three and six months ended June 30, 2026, the Company recognized royalty interest expense of $12.1 million and $24.0 million, respectively. The Company made $15.3 million of payments pursuant to the Purchase and Sale Agreement during the six month period ended June 30, 2026.</w:t>
      </w:r>
    </w:p>
    <w:p>
      <w:pPr>
        <w:pStyle w:val="TextBody"/>
        <w:bidi w:val="0"/>
        <w:jc w:val="left"/>
        <w:rPr/>
      </w:pPr>
      <w:r>
        <w:rPr/>
        <w:t> </w:t>
      </w:r>
    </w:p>
    <w:p>
      <w:pPr>
        <w:pStyle w:val="TextBody"/>
        <w:bidi w:val="0"/>
        <w:jc w:val="left"/>
        <w:rPr/>
      </w:pPr>
      <w:r>
        <w:rPr/>
        <w:t> </w:t>
      </w:r>
    </w:p>
    <w:tbl>
      <w:tblPr>
        <w:tblW w:w="8275" w:type="dxa"/>
        <w:jc w:val="left"/>
        <w:tblInd w:w="0" w:type="dxa"/>
        <w:tblLayout w:type="fixed"/>
        <w:tblCellMar>
          <w:top w:w="28" w:type="dxa"/>
          <w:left w:w="28" w:type="dxa"/>
          <w:bottom w:w="28" w:type="dxa"/>
          <w:right w:w="28" w:type="dxa"/>
        </w:tblCellMar>
      </w:tblPr>
      <w:tblGrid>
        <w:gridCol w:w="4606"/>
        <w:gridCol w:w="146"/>
        <w:gridCol w:w="271"/>
        <w:gridCol w:w="1004"/>
        <w:gridCol w:w="166"/>
        <w:gridCol w:w="146"/>
        <w:gridCol w:w="367"/>
        <w:gridCol w:w="1358"/>
        <w:gridCol w:w="21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royalty interest 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interest financing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royalty interest financing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Convertible Notes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the Company issued $250.0 million aggregate principal amount of 2.25% Convertible Senior Notes due 2031, or the 2031 Notes, in a private placement to institutional accredited investors that are qualified institutional buyers under Rule 144A in reliance on the exemption from registration provided by Section 4(a)(2) of the Securities Act. The 2031 Notes are senior, unsecured obligations of the Company and bear interest at 2.25% per annum, payable semi-annually in arrears on June 15 and December 15, beginning December 15, 2026. The 2031 Notes mature on June 15, 2031, unless earlier converted, redeemed, or repurchased. The initial conversion rate is 40.3894 shares of common stock per $1,000 principal amount (equivalent to an initial conversion price of approximately $24.76 per share), subject to customary anti-dilution adjustments under certain circumstances in accordance with the terms of the indenture relating to the 2031 Notes. Upon conversion, the Company will pay or deliver, at its election, cash, shares of its common stock, or a combination of cash and shares of common stock. Before March 15, 2031, the 2031 Notes are convertible only upon the satisfaction of specified conditions; thereafter, the 2031 Notes are convertible at any time until the second scheduled trading day before maturity. The Company may redeem for cash all or any portion of the 2031 Notes (subject to certain limitations) on or after June 20, 2029 if the last reported sale price of its common stock exceeds 130% of the conversion price for a specified period at a redemption price equal to 100% of the principal amount of the 2031 Notes to be redeemed, plus accrued and unpaid interest to, but excluding, the redemption date. If the Company undergoes a fundamental change (as defined in the indenture governing the 2031 Notes), holders may require the Company to repurchase their 2031 Notes for cash at a price equal to 100% of the principal amount plus accrued and unpaid interest to, but excluding, the fundamental change repurchase date. Initially, a maximum of 13,631,400 shares of common stock may be issued upon conversion of the 2031 Notes based on the initial maximum conversion rate of 54.5256 shares of common stock per $1,000 principal amount of 2031 Notes, which is subject to customary anti-dilution adjustment provisions. The 2031 Notes are classified as a long-term liability under ASC 470 and are presented net of unamortized debt issuance costs, which are amortized to interest expense over the term of the 2031 Notes using the effective interest method. Accrued interest related to the 2031 Notes is recorded under the accrued expenses and other current liabilities line of the balance sheet. As of June 30, 2026, the net carrying amount of the 2031 Notes was $244.1 million, unamortized debt issuance costs were $5.9 million, and the effective interest rate was 2.733%.</w:t>
      </w:r>
    </w:p>
    <w:p>
      <w:pPr>
        <w:pStyle w:val="TextBody"/>
        <w:bidi w:val="0"/>
        <w:spacing w:before="120" w:after="283"/>
        <w:jc w:val="left"/>
        <w:rPr/>
      </w:pPr>
      <w:r>
        <w:rPr/>
        <w:t> </w:t>
      </w:r>
    </w:p>
    <w:tbl>
      <w:tblPr>
        <w:tblW w:w="5488" w:type="dxa"/>
        <w:jc w:val="left"/>
        <w:tblInd w:w="0" w:type="dxa"/>
        <w:tblLayout w:type="fixed"/>
        <w:tblCellMar>
          <w:top w:w="28" w:type="dxa"/>
          <w:left w:w="28" w:type="dxa"/>
          <w:bottom w:w="28" w:type="dxa"/>
          <w:right w:w="28" w:type="dxa"/>
        </w:tblCellMar>
      </w:tblPr>
      <w:tblGrid>
        <w:gridCol w:w="3856"/>
        <w:gridCol w:w="146"/>
        <w:gridCol w:w="271"/>
        <w:gridCol w:w="1004"/>
        <w:gridCol w:w="21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convertible note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convertible note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14.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2026, the number of shares of common stock available for issuance under the Company’s 2015 Omnibus Incentive Plan, or the 2015 Plan, was increased by 3,496,239 shares of common stock due to the automatic annual provision to increase shares of common stock available under the 2015 Plan. In March 2026, the 2015 Plan expired. In June 2026, the 2026 Equity Incentive Plan, or 2026 Plan, was approved. The maximum number of shares of the Company’s common stock that may be issued under the 2026 Plan is 17,134,916 shares, which is the sum of (i) 7,200,000 newly authorized shares, plus (ii) up to 9,934,916 shares of common stock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outstanding stock awards granted under the 2015 Plan that, on or after the 2026 Plan becomes effective, expire or otherwise terminate prior to exercise or settlement.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were 424,326 shares of common stock available for issuance under the 2023 Plan and 7,448,808 shares of common stock available for issuance under the 2026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stock-based compensation expense related to the issuance of stock option awards and restricted stock units to employees and non-employees and related to the Company’s 2015 Employee Stock Purchase Plan, or ESPP, in the consolidated statements of comprehensive loss as follows: </w:t>
      </w:r>
    </w:p>
    <w:tbl>
      <w:tblPr>
        <w:tblW w:w="7771" w:type="dxa"/>
        <w:jc w:val="left"/>
        <w:tblInd w:w="0" w:type="dxa"/>
        <w:tblLayout w:type="fixed"/>
        <w:tblCellMar>
          <w:top w:w="28" w:type="dxa"/>
          <w:left w:w="28" w:type="dxa"/>
          <w:bottom w:w="28" w:type="dxa"/>
          <w:right w:w="28" w:type="dxa"/>
        </w:tblCellMar>
      </w:tblPr>
      <w:tblGrid>
        <w:gridCol w:w="2956"/>
        <w:gridCol w:w="231"/>
        <w:gridCol w:w="741"/>
        <w:gridCol w:w="160"/>
        <w:gridCol w:w="160"/>
        <w:gridCol w:w="231"/>
        <w:gridCol w:w="741"/>
        <w:gridCol w:w="146"/>
        <w:gridCol w:w="146"/>
        <w:gridCol w:w="211"/>
        <w:gridCol w:w="677"/>
        <w:gridCol w:w="146"/>
        <w:gridCol w:w="146"/>
        <w:gridCol w:w="211"/>
        <w:gridCol w:w="677"/>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Compensation expense by type of award in the three and six months ended June 30, 2026 and 2025 was as follows: </w:t>
      </w:r>
    </w:p>
    <w:p>
      <w:pPr>
        <w:pStyle w:val="TextBody"/>
        <w:bidi w:val="0"/>
        <w:jc w:val="left"/>
        <w:rPr/>
      </w:pPr>
      <w:r>
        <w:rPr/>
        <w:t> </w:t>
      </w:r>
    </w:p>
    <w:tbl>
      <w:tblPr>
        <w:tblW w:w="6061" w:type="dxa"/>
        <w:jc w:val="left"/>
        <w:tblInd w:w="0" w:type="dxa"/>
        <w:tblLayout w:type="fixed"/>
        <w:tblCellMar>
          <w:top w:w="28" w:type="dxa"/>
          <w:left w:w="28" w:type="dxa"/>
          <w:bottom w:w="28" w:type="dxa"/>
          <w:right w:w="28" w:type="dxa"/>
        </w:tblCellMar>
      </w:tblPr>
      <w:tblGrid>
        <w:gridCol w:w="1246"/>
        <w:gridCol w:w="231"/>
        <w:gridCol w:w="741"/>
        <w:gridCol w:w="160"/>
        <w:gridCol w:w="160"/>
        <w:gridCol w:w="231"/>
        <w:gridCol w:w="741"/>
        <w:gridCol w:w="146"/>
        <w:gridCol w:w="146"/>
        <w:gridCol w:w="211"/>
        <w:gridCol w:w="677"/>
        <w:gridCol w:w="146"/>
        <w:gridCol w:w="146"/>
        <w:gridCol w:w="211"/>
        <w:gridCol w:w="677"/>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stock-based compensation expense of $0.1 million and $0.2 million was capitalized to inventory for the three and six months ended June 30, 2026, respectively, which represents the stock-based compensation expense incurred related to employees involved in the manufacturing process of finished goods and samples. For the three and six months ended June 30, 2025, $0.1 million and $0.2 million of stock compensation expense was capitalized to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were $103.4 million of unrecognized compensation costs related to employee and non-employee unvested stock options and RSUs granted under the Inducement Plan, 2015 Plan, 2026 Plan, and the Company’s 2007 Stock Plan, which are expected to be recognized over a weighted-average remaining service period of 2.67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Benefit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defined contribution 401(k) retirement plan. For the three and six months ended June 30, 2026, the Company made $0.3 million and $2.8 million, respectively, of contributions to the plan. For the three and six months ended June 30, 2025, the Company made $0.3 million and $2.6 million, respectively, of contributions to the plan. The Company’s contributions were made in cash.</w:t>
      </w:r>
    </w:p>
    <w:p>
      <w:pPr>
        <w:pStyle w:val="TextBody"/>
        <w:bidi w:val="0"/>
        <w:spacing w:before="0" w:after="160"/>
        <w:jc w:val="left"/>
        <w:rPr/>
      </w:pPr>
      <w:r>
        <w:rPr/>
        <w:t> </w:t>
      </w:r>
    </w:p>
    <w:p>
      <w:pPr>
        <w:pStyle w:val="TextBody"/>
        <w:bidi w:val="0"/>
        <w:jc w:val="left"/>
        <w:rPr>
          <w:rFonts w:ascii="Times New Roman" w:hAnsi="Times New Roman"/>
          <w:sz w:val="20"/>
        </w:rPr>
      </w:pPr>
      <w:r>
        <w:rPr>
          <w:rFonts w:ascii="Times New Roman" w:hAnsi="Times New Roman"/>
          <w:b/>
          <w:color w:val="000000"/>
          <w:sz w:val="20"/>
        </w:rPr>
        <w:t>15. Stockholders’ Equity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2021, the Company sold pre-funded warrants to purchase 1,142,856 shares of common stock. As of June 30, 2026, 285,714 pre-funded warrants were issued and outstanding. </w:t>
      </w:r>
    </w:p>
    <w:p>
      <w:pPr>
        <w:pStyle w:val="TextBody"/>
        <w:bidi w:val="0"/>
        <w:spacing w:before="2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16. Commitments and Contingencies</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obligated to pay royalties pursuant to the Vitae License Agreement and the UCB License Agreement as a percentage of net product sales for direct licensed products, such as Revuforj and Niktimvo. The obligation to pay royalties expires, on a country-by-country basis and licensed product-by-licensed product basis at the later of (i) the expiration of all of the licensed patent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rights in such country; (ii) the expiration of all regulatory exclusivity applicable to the product in such country; and (iii) 10 years from the date of the first commercial sale of the product in such country. These fees were recorded as cost of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June 30, 2026.</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Segment Reporting</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manages its business activities on a consolidated basis and operate as a single operating and reportable segment: Syndax Pharmaceuticals. The Company primarily derives revenue in the United States through milestone revenue and product sales on the approved products, Revuforj</w:t>
      </w:r>
      <w:r>
        <w:rPr>
          <w:rFonts w:ascii="Times New Roman" w:hAnsi="Times New Roman"/>
          <w:color w:val="000000"/>
          <w:sz w:val="13"/>
        </w:rPr>
        <w:t>®</w:t>
      </w:r>
      <w:r>
        <w:rPr>
          <w:rFonts w:ascii="Times New Roman" w:hAnsi="Times New Roman"/>
          <w:color w:val="000000"/>
          <w:sz w:val="20"/>
        </w:rPr>
        <w:t xml:space="preserve"> (revumenib) and Niktimvo</w:t>
      </w:r>
      <w:r>
        <w:rPr>
          <w:rFonts w:ascii="Times New Roman" w:hAnsi="Times New Roman"/>
          <w:color w:val="000000"/>
          <w:sz w:val="13"/>
        </w:rPr>
        <w:t></w:t>
      </w:r>
      <w:r>
        <w:rPr>
          <w:rFonts w:ascii="Times New Roman" w:hAnsi="Times New Roman"/>
          <w:color w:val="000000"/>
          <w:sz w:val="20"/>
        </w:rPr>
        <w:t xml:space="preserve"> (axatilimab-csfr). The accounting policies of the segment are the same as those described in Note 3 – Summary of Significant Accounting Policies.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assess performance, the Company’s Chief Operating Decision Maker, or CODM, Michael Metzger, uses consolidated net loss as the segment’s measure of segment profit or loss. The CODM uses net loss in the budget and forecasting process and considers budget-to actual variances on a quarterly basis when making decisions about the allocation of operating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the operating financial results of our biopharmaceutical cancer therapeutics segment:</w:t>
      </w:r>
    </w:p>
    <w:tbl>
      <w:tblPr>
        <w:tblW w:w="9464" w:type="dxa"/>
        <w:jc w:val="left"/>
        <w:tblInd w:w="0" w:type="dxa"/>
        <w:tblLayout w:type="fixed"/>
        <w:tblCellMar>
          <w:top w:w="28" w:type="dxa"/>
          <w:left w:w="28" w:type="dxa"/>
          <w:bottom w:w="28" w:type="dxa"/>
          <w:right w:w="28" w:type="dxa"/>
        </w:tblCellMar>
      </w:tblPr>
      <w:tblGrid>
        <w:gridCol w:w="3796"/>
        <w:gridCol w:w="146"/>
        <w:gridCol w:w="216"/>
        <w:gridCol w:w="756"/>
        <w:gridCol w:w="170"/>
        <w:gridCol w:w="149"/>
        <w:gridCol w:w="216"/>
        <w:gridCol w:w="756"/>
        <w:gridCol w:w="166"/>
        <w:gridCol w:w="146"/>
        <w:gridCol w:w="211"/>
        <w:gridCol w:w="781"/>
        <w:gridCol w:w="166"/>
        <w:gridCol w:w="146"/>
        <w:gridCol w:w="211"/>
        <w:gridCol w:w="841"/>
        <w:gridCol w:w="5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Significant and 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Revumenib-related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Axatilimab-related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R&amp;D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SG&amp;A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information should be read in conjunction with the unaudited financial information and the notes thereto included in this Quarterly Report on Form 10-Q, or the Quarterly Report, and the audited financial information and the notes thereto included in our Annual Report on Form 10-K that was filed with the Securities and Exchange Commission, or SEC, on February 26, 2026.</w:t>
      </w:r>
    </w:p>
    <w:p>
      <w:pPr>
        <w:pStyle w:val="TextBody"/>
        <w:bidi w:val="0"/>
        <w:spacing w:before="360" w:after="283"/>
        <w:jc w:val="left"/>
        <w:rPr>
          <w:rFonts w:ascii="Times New Roman" w:hAnsi="Times New Roman"/>
          <w:sz w:val="20"/>
        </w:rPr>
      </w:pPr>
      <w:r>
        <w:rPr>
          <w:rFonts w:ascii="Times New Roman" w:hAnsi="Times New Roman"/>
          <w:b/>
          <w:color w:val="000000"/>
          <w:sz w:val="20"/>
        </w:rPr>
        <w:t>Company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commercial-stage biopharmaceutical company advancing innovative cancer therapies. We currently have two commercially approved medicines, Revuforj</w:t>
      </w:r>
      <w:r>
        <w:rPr>
          <w:rFonts w:ascii="Times New Roman" w:hAnsi="Times New Roman"/>
          <w:color w:val="000000"/>
          <w:sz w:val="13"/>
        </w:rPr>
        <w:t>®</w:t>
      </w:r>
      <w:r>
        <w:rPr>
          <w:rFonts w:ascii="Times New Roman" w:hAnsi="Times New Roman"/>
          <w:color w:val="000000"/>
          <w:sz w:val="20"/>
        </w:rPr>
        <w:t xml:space="preserve"> (revumenib) and Niktimvo (axatilimab-csfr), and a robust pipeline of late- and early-stage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Revuforj is our first-in-class menin inhibitor that was approved by the U.S. Food and Drug Administration, or FDA, in November 2024 for the treatment of relapsed or refractory, or R/R, acute leukemia with a lysine methyltransferase 2A gene, or KMT2A, translocation in adult and pediatric patients one year and older. In October 2025, Revuforj received a second approval from the FDA for the treatment of R/R acute myeloid leukemia, or AML, with a susceptible nucleophosmin 1 mutation, or NPM1m, in adult and pediatric patients one year and older who have no satisfactory alternative treatment options. We are also studying revumenib in combination with standard-of-care agents in NPM1m AML or KMT2A-rearranged, or KMT2Ar, acute leukemia across the treatment landscape, including in newly diagnosed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Niktimvo is our first-in-class colony stimulating factor-1 receptor, or CSF-1R, blocking antibody that was approved by the FDA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standard-of-care therapies, and for the treatment of idiopathic pulmonary fibrosis, or IPF.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licensed the global rights to revumenib and axatilimab, the first two FDA approved medicines to emerge from our pipeline. We are leading the commercialization and further development of revumenib and working closely with our collaboration partner, Incyte, on the commercialization and further development of axatilimab. We plan to continue to leverage the technical and business expertise of our management team and scientific collaborators to license, acquire and develop additional therapeutics to expand our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2026, we announced two new pipeline assets, SNDX-4321 and SNDX-62122. SNDX-4321 is a novel, mutant-selective, allosteric epidermal growth factor receptor, or EGFR, inhibitor designed to address non-small cell lung cancer, or NSCLC, patient populations with significant unmet needs. The Company has an exclusive worldwide license to develop and commercialize SNDX-4321. SNDX-62122 is a next-generation menin inhibitor in development for myelofibrosis, or MF. SNDX-62122 is the first molecule from our library of internally developed and wholly owned next-generation menin inhibitors that we intend to advance into new areas. Our SNDX-62122 program builds off recently published revumenib preclinical data showing that menin is a novel dependency in proliferative megakaryocytes, major drivers of MF. We expect the development of SNDX-62122 to be informed and de-risked by a planned Phase 1/2 proof-of-principle trial of revumenib in MF.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our inception. While we generate product revenue from sales of Revuforj and collaboration as well as milestone revenue from sales of Niktimvo, we continue to incur significant research and development and other expenses related to our ongoing operations. Except for 2021, we have not been profitable and have incurred losses in each period since our inception in 2005. For the six months ended June 30, 2026 and 2025, we reported a net loss of $92.0 million and $156.7 million, respectively. As of June 30, 2026, we had an accumulated deficit of $1.6 billion. As of June 30, 2026, we had cash, cash equivalents and short- and long-term investments of $575.1 million.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Business Highlights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Revuforj</w:t>
      </w:r>
      <w:r>
        <w:rPr>
          <w:rFonts w:ascii="Times New Roman" w:hAnsi="Times New Roman"/>
          <w:b/>
          <w:color w:val="000000"/>
          <w:sz w:val="13"/>
        </w:rPr>
        <w:t>®</w:t>
      </w:r>
      <w:r>
        <w:rPr>
          <w:rFonts w:ascii="Times New Roman" w:hAnsi="Times New Roman"/>
          <w:b/>
          <w:color w:val="000000"/>
          <w:sz w:val="20"/>
        </w:rPr>
        <w:t>(revumenib)</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Achieved $54.7 million in Revuforj net revenue in the second quarter of 2026, a 91% increase over the second quarter of 2025 and a 12% increase over the first quarter of 2026. Total prescriptions were approximately 1,500 in the second quarter of 2026, an approximate 121% increase over the second quarter of 2025 and a 15% increase over the first quarter of 2026. The net revenue and prescription growth reflects an increasing average treatment duration, primarily driven by a growing pool of patients receiving Revuforj for an extended period in the post-transplant setting.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Advanced our scientific leadership in menin inhibition with the presentation of 16 revumenib abstracts at the 2026 American Society of Clinical Oncology, or ASCO, and the European Hematology Association, or EHA, annual meetings in June 2026. The data presented span multiple acute leukemia subtypes and settings, including frontline and post-transplant maintenance.</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Published data from the Phase 1/2 SAVE trial of an all-oral combination of revumenib, decitabine/cedazuridine, and venetoclax in R/R NPM1m, KMT2Ar, and NUP98r AML in the Journal of Clinical Oncology in June 2026. The results showed deep and durable remissions in a heavily pretreated patient population. The overall response rate was 88% (37/42), composite complete remission, or CRc, rate was 71% (30/42), and complete remission plus complete remission with partial hematologic recovery rate was 60% (25/42). 80% of evaluable CRc responders were measurable residual disease, or MRD, negative. 45% (19/42) of patients proceeded to a transplant and 63% (12/19) resumed revumenib post-transplant.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Published preclinical revumenib data showing that menin is a novel dependency in proliferative megakaryocytes, major drivers of MF, in Cancer Cell in July 2026. These data provide the basis for our plans to develop SNDX-62122, an internally developed, next-generation menin inhibitor, for MF.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expect to have a major presence at upcoming medical meetings in the second half of 2026 with the presentation of new/updated revumenib data including:</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Real-world evidence from multiple centers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Post-transplant maintenance data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Frontline data from the BEAT AML trial of revumenib in combination with venetoclax/azacitidine in NPM1m and KMT2Ar AML.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Frontline data from the Phase 1/2 SAVE trial of an all-oral combination of revumenib, decitabine/cedazuridine, and venetoclax in NPM1m, KMT2Ar, or NUP98r AML.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Frontline data from the Phase 1 trial of revumenib in combination with intensive chemotherapy in NPM1m, KMT2Ar, or NUP98r AML.</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Multiple clinical trials evaluating revumenib across the acute leukemia treatment continuum are ongoing, such as: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EVOLVE-2: A pivotal, Phase 3, randomized, double-blind, placebo-controlled trial of revumenib in combination with venetoclax and azacitidine in newly diagnosed NPM1m (primary efficacy analysis population) and KMT2Ar AML patients who are unfit for intensive chemotherapy. The trial is being conducted in collaboration with the HOVON network, a leading cooperative clinical trial group with extensive experience studying novel therapies for hematologic malignancies.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REVEAL-ND: A pivotal, Phase 3, randomized, double-blind, placebo-controlled trial of revumenib in combination with intensive chemotherapy in newly diagnosed NPM1m AML patients.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SAVE: A Phase 1/2 trial evaluating an all-oral combination of revumenib with venetoclax and decitabine/cedazuridine in pediatric and adult patients with newly diagnosed and R/R AML or mixed-lineage acute leukemia harboring either NPM1m, KMT2Ar, or NUP98r alterations. The trial is being conducted by investigators from MD Anderson Cancer Center.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Intensive chemotherapy: Two ongoing Phase 1 trials evaluating the combination of revumenib with intensive chemotherapy (7+3) in newly diagnosed NPM1m or KMT2Ar acute leukemia patients.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0"/>
        </w:rPr>
        <w:t>BEAT AML: A Phase 1 trial evaluating the combination of revumenib with venetoclax and azacitidine in newly diagnosed older adults (≥60 years) with NPM1m or KMT2Ar AML. The trial is being conducted as part of the Leukemia &amp; Lymphoma Society's Beat AML</w:t>
      </w:r>
      <w:r>
        <w:rPr>
          <w:rFonts w:ascii="Times New Roman" w:hAnsi="Times New Roman"/>
          <w:color w:val="000000"/>
          <w:sz w:val="13"/>
        </w:rPr>
        <w:t>®</w:t>
      </w:r>
      <w:r>
        <w:rPr>
          <w:color w:val="000000"/>
        </w:rPr>
        <w:t xml:space="preserve"> </w:t>
      </w:r>
      <w:r>
        <w:rPr>
          <w:rFonts w:ascii="Times New Roman" w:hAnsi="Times New Roman"/>
          <w:color w:val="000000"/>
          <w:sz w:val="20"/>
        </w:rPr>
        <w:t xml:space="preserve">Master Clinical Trial.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Post-transplant maintenance: A Phase 1 trial evaluating the safety and preliminary efficacy of revumenib as post-transplant maintenance in patients with KMT2Ar or NPM1m acute leukemia. The trial is being conducted by investigators from the City of Hope Medical Center.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0"/>
        </w:rPr>
        <w:t xml:space="preserve">Break </w:t>
      </w:r>
      <w:r>
        <w:rPr>
          <w:rFonts w:ascii="Times New Roman" w:hAnsi="Times New Roman"/>
          <w:i/>
          <w:color w:val="000000"/>
          <w:sz w:val="20"/>
        </w:rPr>
        <w:t>Through</w:t>
      </w:r>
      <w:r>
        <w:rPr>
          <w:color w:val="000000"/>
        </w:rPr>
        <w:t xml:space="preserve"> </w:t>
      </w:r>
      <w:r>
        <w:rPr>
          <w:rFonts w:ascii="Times New Roman" w:hAnsi="Times New Roman"/>
          <w:color w:val="000000"/>
          <w:sz w:val="20"/>
        </w:rPr>
        <w:t>Cancer: A Phase 2 trial studying whether the combination of revumenib and venetoclax can eliminate MRD in patients with AML and extend progression-free survival. The trial is being conducted by Break Through Cancer, a collaboration between leading U.S. cancer research centers.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INTERCEPT: A Phase 1 trial evaluating the use of novel therapies, including revumenib, to target MRD and early relapse in AML. The trial is being conducted by the Australasian Leukaemia and Lymphoma Group as part of the INTERCEPT AML master clinical trial.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expect the RAVEN trial to initiate in the second half of 2026. RAVEN is a Phase 2 collaborative trial of revumenib in combination with venetoclax and azacitidine in newly diagnosed KMT2Ar patients who would be considered eligible, or fit, for intensive chemotherapy.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expect the MenTain Phase 2 trial to initiate around the end of 2026. MenTain will be the first randomized, placebo-controlled trial specifically focused on evaluating revumenib as post-transplant maintenance.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expect to publish safety and efficacy data from R/R NUP98r acute leukemia patients treated with revumenib in the fourth quarter of 2026.</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Niktimvo (axatilimab-csfr)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Achieved $60.3 million in Niktimvo net revenue in the second quarter of 2026, a 67% increase over the second quarter of 2025 and a 9% increase over the first quarter of 2026. Syndax and Incyte are co-commercializing Niktimvo. Syndax records 50% of the Niktimvo net commercial profit, defined as net product revenue minus the cost of sales and commercial expenses. Syndax’s share of the Niktimvo product contribution, reported as collaboration revenue, was $18.1 million in the second quarter of 2026.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Two trials evaluating axatilimab in combination with standard of care therapies in newly diagnosed chronic GVHD patients are ongoing, including: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Phase 2, open-label, randomized, multicenter trial of axatilimab in combination with ruxolitinib in patients ≥ 12 years of age with newly diagnosed chronic GVHD. We anticipate topline data in the fourth quarter of 2026.</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pivotal Phase 3, randomized, double-blind, placebo-controlled, multicenter trial of axatilimab in combination with corticosteroids in patients ≥ 12 years of age with newly diagnosed chronic GVHD. We anticipate topline data in early 2028.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anticipate topline data from MAXPIRe, a Phase 2, 26-week randomized, double-blinded, placebo-controlled trial of axatilimab on top of standard of care in patients with IPF in the fourth quarter of 2026. </w:t>
      </w:r>
    </w:p>
    <w:p>
      <w:pPr>
        <w:pStyle w:val="TextBody"/>
        <w:bidi w:val="0"/>
        <w:jc w:val="left"/>
        <w:rPr>
          <w:rFonts w:ascii="Times New Roman" w:hAnsi="Times New Roman"/>
          <w:b/>
          <w:color w:val="000000"/>
          <w:sz w:val="20"/>
        </w:rPr>
      </w:pPr>
      <w:r>
        <w:rPr>
          <w:rFonts w:ascii="Times New Roman" w:hAnsi="Times New Roman"/>
          <w:b/>
          <w:color w:val="000000"/>
          <w:sz w:val="20"/>
        </w:rPr>
        <w:t>Pipeline Assets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SNDX-4321</w:t>
      </w:r>
    </w:p>
    <w:p>
      <w:pPr>
        <w:pStyle w:val="TextBody"/>
        <w:bidi w:val="0"/>
        <w:spacing w:before="120" w:after="240"/>
        <w:jc w:val="both"/>
        <w:rPr>
          <w:color w:val="000000"/>
        </w:rPr>
      </w:pPr>
      <w:r>
        <w:rPr>
          <w:color w:val="000000"/>
        </w:rPr>
        <w: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July 2026, we announced the expansion of our pipeline with SNDX-4321, a mutant-selective, CNS-penetrant, allosteric EGFR inhibitor. SNDX-4321 is in development for NSCLC patient populations with significant unmet needs, such as those with L858R mutations, CNS metastases, atypical activating mutations, or acquired resistance to current therapies. In contrast to ATP-site directed third and fourth generation EGFR inhibitors, SNDX-4321 is a novel allosteric inhibitor which binds at a pocket adjacent to the ATP site that is only accessible in the presence of L858R and certain other EGFR mutations.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expect to submit an investigational new drug (IND) application for SNDX-4321 by the end of 2026 and to initiate a Phase 1 trial in EGFRm NSCLC in 2027.</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SNDX-62122</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July 2026, we announced the selection of SNDX-62122, a next-generation menin inhibitor, for development in MF. SNDX-62122 is the first candidate from a library of internally developed, wholly owned next-generation menin inhibitors that we intend to advance into new areas.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expect to submit an IND and initiate a Phase 1 trial of SNDX-62122 in MF in 2027. The development of SNDX-62122 will be informed by a Phase 1/2 proof-of-principle trial of revumenib in MF that is expected to initiate in the fourth quarter of 2026 with initial clinical data expected in the second half of 2027.</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FDA-approved product, Revuforj, was approved by the FDA for commercial sale in the U.S. on November 15, 2024. In accordance with GAAP, we determine net product revenue for Revuforj, with specific assumptions for variable consideration components including, but not limited to, trade discounts and allowances, co-pay assistance programs and payor rebates. We record product revenue net of estimated discounts, chargebacks, rebates, product returns, and other gross-to-net revenue deductions.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2021, we entered into the Incyte License and Collaboration Agreement, or the Incyte License, with Incyte covering the worldwide development and commercialization of axatilimab. In August 2024, the FDA approved Niktimvo for the treatment of cGVHD after failure of at least two prior lines of systemic therapy in adult and pediatric patients weighing at least 40 kg (88.2 lbs).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Topic ASC 808, </w:t>
      </w:r>
      <w:r>
        <w:rPr>
          <w:rFonts w:ascii="Times New Roman" w:hAnsi="Times New Roman"/>
          <w:i/>
          <w:color w:val="000000"/>
          <w:sz w:val="20"/>
        </w:rPr>
        <w:t>Collaboration Arrangements,</w:t>
      </w:r>
      <w:r>
        <w:rPr>
          <w:rFonts w:ascii="Times New Roman" w:hAnsi="Times New Roman"/>
          <w:color w:val="000000"/>
          <w:sz w:val="20"/>
        </w:rPr>
        <w:t xml:space="preserve"> Incyte has been identified as the principal in product sales, therefore, we will recognize its 50% share of any profits or losses in the amount of net product sales less cost of goods sold and shared commercial and other expenses, in the period in which the underlying sales and costs are recognized. Our share of net profits in connection with commercialization of Niktimvo will be presented as “Collaboration revenue, net” and our share of net losses will be presented as “Collaboration loss, net” within operating expenses. Collaboration revenue or expense is made up of our share of the 50% profit with Incyte. We record collaboration revenue net of commercial expenses, including any royalties owed on license agreements. We will continue to recognize the costs associated with ongoing development services in the R&amp;D operating expense line, including any cost-sharing components with Incyte.</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Product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cost of product sales includes the cost of goods sold for Revuforj and license agreement royalties associated with its sales in the United States. Until we received regulatory approval for Revuforj in the United States in November 2024, we recorded expenses incurred for the manufacturing of pre-launch inventory that would support a U.S. launch as research and development expense. Accordingly, the cost of goods sold for a Revuforj may not include the full cost of manufacturing until the initial pre-launch, and previously expensed, inventory is depleted.</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primarily focused on our clinical development programs. Research and development expenses consist primarily of costs incurred for the development of our products and product candidates and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related to our clinical trials, including the costs for investigative sites and contract research organizations, or CROs, that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associated with our research and development activities, including salaries, benefits, travel and non-cash stock-based compensation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process-development, clinical supplies and technology-transfer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fees and milestone payments under our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consulting fees paid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allocated facilities and overhead expenses;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regulatory operations and regulatory compliance requirements.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products and product candidates. The amount of research and development expenses allocated to external spending will continue to grow, while we expect our internal spending to grow at a slower and more controlled 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difficult to determine, with certainty, the duration and completion costs of our current or future preclinical programs, research studies and clinical trials of our product candidates. The duration, costs and timing of research studies and clinical trials of our products and product candidates will depend on a variety of factors that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that participate;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additional safety monitoring or other studies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monitoring;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the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receipt of any regulatory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probability of success for each product candidate will depend on numerous factors, including competition, manufacturing capability and commercial viability. The successful development of our products and additional product candidates is highly uncertain. At this time, we cannot reasonably estimate the nature, timing or costs of the efforts that will be necessary to complete the remainder of the development of our products and additional product candidates for the period, if any, in which material net cash inflows from these potential product candidates may commence. Clinical development timelines, the probability of success and development costs can differ materially from expectations.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consist primarily of employee-related expenses, including salaries, benefits, non-cash stock-based compensation and travel expenses, for our employees in executive, finance, human resources, business development and support functions, as well as sales and marketing expenses to support the launch and commercialization of Revuforj and Niktimvo. Other selling, general and administrative expenses include facility-related costs not otherwise allocated to research and development expenses and accounting, tax, legal, information technology and consulting services.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Royalty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Royalty interest expense consists of the interest recorded related to the Royalty Pharma Purchase and Sale Agreement under the effective interest method.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Convertible Note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Convertible note interest expense consists of the interest recorded related to the convertible note liability under the effective interest method.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expense related to the interest recognized for capital leases.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income earned on our cash, cash equivalents and short- and long-term investment balances.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income, net consists of the revaluation of foreign currency related to trade payables.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discussion of new accounting pronouncements please read Note 3 - Summary of Significant Accounting Policies to our unaudited consolidated financial statements included in this Quarterly Report. </w:t>
      </w:r>
    </w:p>
    <w:p>
      <w:pPr>
        <w:pStyle w:val="TextBody"/>
        <w:bidi w:val="0"/>
        <w:spacing w:before="240" w:after="283"/>
        <w:jc w:val="left"/>
        <w:rPr>
          <w:rFonts w:ascii="Times New Roman" w:hAnsi="Times New Roman"/>
          <w:sz w:val="20"/>
        </w:rPr>
      </w:pPr>
      <w:r>
        <w:rPr>
          <w:rFonts w:ascii="Times New Roman" w:hAnsi="Times New Roman"/>
          <w:b/>
          <w:i/>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are based on our financial statements, which have been prepared in accordance with accounting principles generally accepted in the United States, or U.S. GAAP. The preparation of these financial statements requires us to make estimates, judgments and assumptions that may affect the reported amounts of assets, liabilities, equity, revenue and expenses and related disclosures of contingent assets and liabilities.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described in the “Management’s Discussion and Analysis of Financial Condition and Results of Operations” contained in our Annual Report on Form 10-K for the fiscal year ended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6"/>
        <w:gridCol w:w="146"/>
        <w:gridCol w:w="211"/>
        <w:gridCol w:w="781"/>
        <w:gridCol w:w="166"/>
        <w:gridCol w:w="146"/>
        <w:gridCol w:w="211"/>
        <w:gridCol w:w="781"/>
        <w:gridCol w:w="166"/>
        <w:gridCol w:w="146"/>
        <w:gridCol w:w="211"/>
        <w:gridCol w:w="736"/>
        <w:gridCol w:w="166"/>
        <w:gridCol w:w="146"/>
        <w:gridCol w:w="211"/>
        <w:gridCol w:w="781"/>
        <w:gridCol w:w="166"/>
        <w:gridCol w:w="146"/>
        <w:gridCol w:w="211"/>
        <w:gridCol w:w="841"/>
        <w:gridCol w:w="166"/>
        <w:gridCol w:w="146"/>
        <w:gridCol w:w="211"/>
        <w:gridCol w:w="736"/>
        <w:gridCol w:w="6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Collaboration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107,311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211,849</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210,863</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6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Royalty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Convertible note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Product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we began to generate product revenue from sales of Revuforj in the United States. Product revenue, net from sales of Revuforj for the three and six months ended June 30, 2026, was $54.7 million and $103.6 million, respectively. The increase in product revenue from the comparable prior period end was due to increased sales volume as a result of increased brand awareness.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Collaboration Revenue, net</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Collaboration revenue, net, representing our share of net profits in connection with commercialization of Niktimvo, for the three and six months ended June 30, 2026, was $18.1 million and $34.0 million, respectively. The increase in collaboration revenue from the comparable prior period end was due to increased sales volume as a result of increased brand awareness.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Product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cost of product sales increased by $1.9 million from the comparable prior year period due to increased product sales of Revuforj. Included in cost of product sales are royalties owed to AbbVie on Revuforj sales as part of the Vitae License Agreement.</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research and development expenses for the three and six months ended June 30, 2026 and 2025:</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603"/>
        <w:gridCol w:w="146"/>
        <w:gridCol w:w="218"/>
        <w:gridCol w:w="701"/>
        <w:gridCol w:w="151"/>
        <w:gridCol w:w="151"/>
        <w:gridCol w:w="218"/>
        <w:gridCol w:w="701"/>
        <w:gridCol w:w="146"/>
        <w:gridCol w:w="146"/>
        <w:gridCol w:w="211"/>
        <w:gridCol w:w="571"/>
        <w:gridCol w:w="166"/>
        <w:gridCol w:w="146"/>
        <w:gridCol w:w="211"/>
        <w:gridCol w:w="781"/>
        <w:gridCol w:w="146"/>
        <w:gridCol w:w="146"/>
        <w:gridCol w:w="211"/>
        <w:gridCol w:w="781"/>
        <w:gridCol w:w="146"/>
        <w:gridCol w:w="146"/>
        <w:gridCol w:w="211"/>
        <w:gridCol w:w="736"/>
        <w:gridCol w:w="415"/>
      </w:tblGrid>
      <w:tr>
        <w:trPr/>
        <w:tc>
          <w:tcPr>
            <w:tcW w:w="2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Revumenib-related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Axatilimab-related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our total research and development expenses increased by $5.8 million and $3.0 million from the comparable prior year periods, respectively. The changes were primarily due to: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Revumenib: An increase in the three and six months ended June 30, 2026, from the comparable prior year period, due to frontline trials evaluating revumenib in combination with standard-of-care agents in the treatment of AML;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Axatilimab: A decrease in the three months ended June 30, 2026, from the comparable prior year period due to timing of trials and a decrease in the six months ended June 30, 2026, from the comparable prior year period due to a non-recurring $10.0 million development milestone expense recognized in the first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other research and development programs for the three and six months ended June 30, 2026, from the comparable prior year period due to timing of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personnel cost and other expenses for the three months ended June 30, 2026, from the comparable prior year period due to lower headcount and an increase for the six months ended June 30, 2026, from the comparable prior year period due to costs related to the on-going support of clinical trials and medical affairs;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stock-based compensation from the comparable prior year period driven by a higher stock price.</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summarizes the selling, general and administrative expenses for the three and six months ended June 30, 2026 and 2025: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43"/>
        <w:gridCol w:w="146"/>
        <w:gridCol w:w="220"/>
        <w:gridCol w:w="706"/>
        <w:gridCol w:w="152"/>
        <w:gridCol w:w="152"/>
        <w:gridCol w:w="220"/>
        <w:gridCol w:w="706"/>
        <w:gridCol w:w="146"/>
        <w:gridCol w:w="146"/>
        <w:gridCol w:w="211"/>
        <w:gridCol w:w="631"/>
        <w:gridCol w:w="166"/>
        <w:gridCol w:w="146"/>
        <w:gridCol w:w="211"/>
        <w:gridCol w:w="676"/>
        <w:gridCol w:w="146"/>
        <w:gridCol w:w="146"/>
        <w:gridCol w:w="211"/>
        <w:gridCol w:w="676"/>
        <w:gridCol w:w="146"/>
        <w:gridCol w:w="146"/>
        <w:gridCol w:w="211"/>
        <w:gridCol w:w="631"/>
        <w:gridCol w:w="414"/>
      </w:tblGrid>
      <w:tr>
        <w:trPr/>
        <w:tc>
          <w:tcPr>
            <w:tcW w:w="2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16,298</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41,539</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our total selling, general and administrative expenses decreased by $2.3 million and $5.7 million, respectively, from the comparable prior year periods. The changes were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commercial-related expenses due to launch costs incurred in the first quarter of 2025 for Revuforj and Niktimvo that were not incurred in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other selling, general and administrative expenses from the comparable prior year period to further support corporate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personnel expenses from the comparable prior year period due to a decrease in overall headcount;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stock-based compensation for the six months ended June 30, 2026, from the comparable prior year period driven by a higher stock price.</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Interest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royalty interest expense increased from the comparable prior year period due to the interest expense recognized related to the Royalty Pharma Purchase and Sale Agreement signed in November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Note 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convertible note interest expense increased from the comparable prior year period due to the interest expense recognized as a result of the sale and issuance of the convertible notes in June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interest income decreased from the comparable prior year period. The decrease of interest income was primarily due to the fluctuation of interest rates and the average balance of cash equivalents and short and long-term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the total other expense, net decreased from the comparable prior year period primarily due to the fluctuation in foreign currency losses on short- and long-term investments.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and cash equivalents for each period set forth below: </w:t>
      </w:r>
    </w:p>
    <w:p>
      <w:pPr>
        <w:pStyle w:val="TextBody"/>
        <w:bidi w:val="0"/>
        <w:spacing w:before="120" w:after="283"/>
        <w:jc w:val="left"/>
        <w:rPr/>
      </w:pPr>
      <w:r>
        <w:rPr/>
        <w:t> </w:t>
      </w:r>
    </w:p>
    <w:tbl>
      <w:tblPr>
        <w:tblW w:w="8069" w:type="dxa"/>
        <w:jc w:val="left"/>
        <w:tblInd w:w="0" w:type="dxa"/>
        <w:tblLayout w:type="fixed"/>
        <w:tblCellMar>
          <w:top w:w="28" w:type="dxa"/>
          <w:left w:w="28" w:type="dxa"/>
          <w:bottom w:w="28" w:type="dxa"/>
          <w:right w:w="28" w:type="dxa"/>
        </w:tblCellMar>
      </w:tblPr>
      <w:tblGrid>
        <w:gridCol w:w="5356"/>
        <w:gridCol w:w="146"/>
        <w:gridCol w:w="211"/>
        <w:gridCol w:w="781"/>
        <w:gridCol w:w="166"/>
        <w:gridCol w:w="146"/>
        <w:gridCol w:w="211"/>
        <w:gridCol w:w="841"/>
        <w:gridCol w:w="211"/>
      </w:tblGrid>
      <w:tr>
        <w:trPr/>
        <w:tc>
          <w:tcPr>
            <w:tcW w:w="5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decreased from $183.0 million for the six months ended June 30, 2025 to $80.6 million for the six months ended June 30, 2026, primarily due to a decrease in operating net loss of $64.7 million, as well as decreases in accounts receivable, inventory, and prepaid expenses; offset by decreases in accounts payable and accrued expenses. </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six months ended June 30, 2026, was $21.5 million and was related to $146.8 million from the maturities of available-for-sale securities, partially offset by the purchase of $125.3 million of available-for-sale securities.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six months ended June 30, 2025, was $136.0 million and was related to $238.3 million from the maturities of available-for-sale securities, partially offset by the purchase of $102.3 million of available-for-sale securities.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increased by $259.2 million from the comparable prior year period as a result of cash raised from the sale and issuance of convertible notes in June 2026, and proceeds from exercised stock options.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 and Sale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2024, we entered into a purchase and sale agreement with Royalty Pharma, pursuant to which Royalty Pharma purchased the right to receive 13.8% on quarterly net sales of Niktimvo in the United States and its respective territories, districts, commonwealths and possessions (including Guam and Puerto Rico) in exchange for an upfront payment of $350.0 million (gross) at closing, received in November 2024. Aggregate payments to Royalty Pharma pursuant to the Royalty Agreement will be capped at $822.5 million or 2.35 times the funded amount.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details on our purchase and sale agreement with Royalty Pharma, see Note 12 - “Royalty Interest Financing Liability” to our consolidated financial statements in this Quarterly Report.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2026, we issued $250.0 million aggregate principal amount of 2.25% Convertible Senior Notes, or the 2031 Notes, due 2031 in a private placement to institutional accredited investors that were qualified institutional buyers under Rule 144A in reliance on the exemption from registration provided by Section 4(a)(2) of the Securities Act. The 2031 Notes are senior unsecured obligations of ours and bear interest at 2.25% per annum, payable semi-annually in arrears on June 15 and December 15, beginning December 15, 2026. The 2031 Notes mature on June 15, 2031, unless earlier converted, redeemed, or repurchased. The initial conversion rate is 40.3894 shares of common stock per $1,000 principal amount (equivalent to an initial conversion price of approximately $24.76 per share), subject to customary anti-dilution adjustments under certain circumstances in accordance with the terms of the indenture relating to the 2031 Notes. Upon conversion, we will pay or deliver, at our election, cash, shares of our common stock, or a combination of cash and shares of common stock. Before March 15, 2031, the 2031 Notes are convertible only upon the satisfaction of specified conditions; thereafter, the 2031 Notes are convertible at any time until the second scheduled trading day before maturity. We may redeem for cash all or any portion of the 2031 Notes, in whole or in part, on or after June 20, 2029 if the last reported sale price of our common stock exceeds 130% of the conversion price for a specified period at a redemption price equal to 100% of the principal amount of the 2031 Notes to be redeemed, plus accrued and unpaid interest to, but excluding, the redemption date. If we undergo a fundamental change (as defined in the indenture governing the 2031 notes), holders may require us to repurchase their 2031 Notes for cash at a price equal to 100% of the principal amount plus accrued and unpaid interest to, but excluding, the fundamental change repurchase date. Initially, a maximum of 13,631,400 shares of common stock may be issued upon conversion of the 2031 Notes based on the initial maximum conversion rate of 54.5256 shares of common stock per $1,000 principal amount of 2031 Notes, which is subject to customary anti-dilution adjustment provisions. The 2031 Notes are classified as a long-term liability and are presented net of unamortized debt issuance costs, which are amortized to interest expense over the term of the 2031 Notes using the effective interest method.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available cash, cash equivalents, short- and long-term investments, as well as our expected product revenues from sales of Revuforj and Niktimvo collaboration revenue, is sufficient to fund existing and planned cash requirements. Our primary uses of capital are, and we expect will continue to be, compensation and related expenses, third-party clinical research and development services, clinical costs, commercialization costs, legal and other regulatory expenses and general overhead costs. We have based our estimates on assumptions that may prove to be incorrect, and we could use our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process of testing product candidates in clinical trials is costly, and the timing, progress and outcomes in these trials is uncertain. We cannot estimate the actual amounts necessary to successfully complete the development and commercialization of our product candidates or whether, or when, we may achieve profitability.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costs and results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seeking and obtaining additional regulatory approvals from the FDA and comparable foreign regulatory authorities, including the potential for such authorities to require that we perform more trials than we currently expect;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satisfy our obligations under the indenture governing the 2031 Notes;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our approved products as well as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selecting, auditing and developing manufacturing capabilities, and potentially validating manufacturing sites for commercial-scale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for obtaining pricing and reimbursement, which may require additional trials to address pharmacoeconomic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and expanding sales, marketing and distribution capabilities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licensing or investing in additional businesses, products,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of key clinical trial activities, such as clinical trial site monitoring;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disruption to our supply chain and operations, and associated delays in the manufacturing and supply of our products, which would adversely impact our ability to continue our clinical trial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 as we grow our company.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support our future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our outstanding convertible notes, cash interest payments are payable on a semi-annual basis in arrears, which will require total funding of $5.7 million annually.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material contractual obligations and commitments as of June 30, 2026, primarily relate to our maturities of operating leases for office space and equipment and capital leases for office equipment. As of June 30, 2026, we have $0.5 million payable within 12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as disclosed above, we have no material non-cancelable purchase commitments with service providers, as we have generally contracted on a cancelable, purchase-order basis. We enter into contracts in the normal course of business with equipment and reagent vendors, CROs, contract manufacturing organizations,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losses and cumulative negative cash flows from operations since our inception, excluding the year ended December 31, 2021. As of June 30, 2026, we had an accumulated deficit of $1.6 billion. We anticipate that we will likely continue to incur significant losses for at least the next couple years.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sales agreement with Cowen and Company, LLC, or TD Cowen, under which we could, from time to time, issue and sell shares of our common stock having aggregate sales proceeds of up to $200.0 million, in a series of one or more at-the-market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333-277424), which became automatically effective upon filing on February 27, 2024. Our common stock will be sold at prevailing market prices at the time of the sale, and as a result, prices may vary. For the three and six months ended June 30, 2026, we did not sell any shares of common stock under the 2023 ATM Program. As of June 30, 2026, we had $157.9 million available under the 2023 ATM Program.</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Significant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interest rates and geo-political unrest could result in further economic uncertainty and volatility in the capital markets in the near term and, as a result, could negatively affect our operations and could make it difficult for us to obtain traditional financing on acceptable terms, if at all. Furthermore, such economic conditions have produced downward pressure on share prices. Although we do not believe that inflation has had a material impact on our financial position or results of operations to date, the return of a high inflationary environment could increase our operating costs, including our labor costs and research and development costs. These costs may also be negatively impacted due to supply chain constraints, geopolitical tensions, including tariffs, wars and terrorism, worsening macroeconomic conditions and employee availability and wage increases, which may result in additional stress on our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additional indications for our approved products;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 See the section titled “Risk Factors” located elsewhere in this report for additional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0" w:name="quantitative_and_qualitative_disclosures"/>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market risk inherent in our financial instruments and in our financial position represents the potential loss arising from adverse changes in interest rates. As of June 30, 2026, we had cash, cash equivalents and short- and long-term investments of $575.1 million consisting of $336.5 million of overnight investments, interest-bearing money market funds, short- and long-term investments of $238.6 million, consisting of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believe that inflation and changing prices had a significant impact on our results of operations for any periods presented herein.</w:t>
      </w:r>
    </w:p>
    <w:p>
      <w:pPr>
        <w:pStyle w:val="TextBody"/>
        <w:bidi w:val="0"/>
        <w:spacing w:before="36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 and Internal Control over Financial Reporting</w:t>
      </w:r>
    </w:p>
    <w:p>
      <w:pPr>
        <w:pStyle w:val="TextBody"/>
        <w:bidi w:val="0"/>
        <w:spacing w:before="120" w:after="283"/>
        <w:jc w:val="left"/>
        <w:rPr>
          <w:rFonts w:ascii="Times New Roman" w:hAnsi="Times New Roman"/>
          <w:sz w:val="20"/>
        </w:rPr>
      </w:pPr>
      <w:r>
        <w:rPr>
          <w:rFonts w:ascii="Times New Roman" w:hAnsi="Times New Roman"/>
          <w:b/>
          <w:i/>
          <w:color w:val="000000"/>
          <w:sz w:val="20"/>
        </w:rPr>
        <w:t>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Exchange Act), as of June 30, 2026. Based upon that evaluation, our principal executive officer and principal financial officer concluded that, as of the end of the period covered by this report, our disclosure controls and procedures are effective in ensuring that:</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to be disclosed by us in the reports we file or submit under the Exchange Act is recorded, processed, summarized and reported within the time periods specified in the SEC’s rules and forms;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is accumulated and communicated to our management, including our principal executive officer and principal financial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during the quarter ended June 30, 2026, that has materially affected, or is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_or_information"/>
      <w:bookmarkEnd w:id="12"/>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June 30, 2026, we were not party to any material legal or arbitration proceedings. No governmental proceedings are pending or, to our knowledge, contemplated against us.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 addition to the risk factors listed below and the other information contained elsewhere in this report, you should carefully consider the risks and uncertainties described in “Part I, Item 1A—Risk Factors” of our Annual Report on Form 10-K for the year ended December 31, 2025, or 2025 Form 10-K, filed with the Securities and Exchange Commission, or SEC, on February 26, 2026, which could materially and adversely affect our business, prospects, financial condition and results of operations. New risk factors can emerge from time to time, and it is not possible to predict the impact that any factor or combination of factors may have on our business, prospects, financial condition and results of operations. The risks listed below and described in our 2025 Form 10-K are not our only risks. Additional risks and uncertainties not currently known to us or that we currently deem to be immaterial also may materially adversely affect our business, financial condition or future results. Other than the risk factors listed below, there have been no material changes from the risk factors previously disclosed in our 2025 Form 10-K.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we had $250.0 million aggregate principal amount of indebtedness under the 2031 Notes. We may also incur additional indebtedness to meet future financing needs. Our indebtedness could have significant negative consequences for our security holders and our business, results of operations and financial condition by, among other things: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ability to obtain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the dedication of a substantial portion of our cash flow from operations to service our indebtedness, which will reduce the amount of cash available for other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to plan for, or react to, changes in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diluting the interests of our existing stockholders as a result of issuing shares of our common stock upon conversion of the 2031 Notes;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encouraging short selling by market participants because the conversion of the 2031 Notes could be used to satisfy short positions thereby depressing the price of our common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placing us at a possible competitive disadvantage with competitors that are less leveraged than us or have better access to capital.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ability to make scheduled payments of the principal of, to pay interest on or to refinance our indebtedness, including the 2031 Notes, depends on our future performance, which is subject to economic, financial, competitive and other factors beyond our control. Our business may not generate sufficient funds, and we may otherwise be unable to maintain sufficient cash reserves, to pay amounts due under our indebtedness, including the 2031 Notes, and our cash needs may increase in the future.</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not have the ability to raise the funds necessary to settle conversions of the 2031 Notes in cash, to repay the 2031 Notes at maturity or to repurchase the 2031 Notes upon a fundamental change, and our future debt may contain limitations on our ability to pay cash upon conversion or repurchase of the 2031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Holders of the 2031 Notes have the right, subject to certain conditions and limited exceptions, to require us to repurchase all or a portion of their Notes upon the occurrence of a fundamental change at a fundamental change repurchase price equal to 100% of the principal amount of the 2031 Notes to be repurchased, plus accrued and unpaid interest, if any. In addition, upon any conversion of the 2031 Notes, unless we elect to deliver solely shares of our common stock to settle such conversion (other than paying cash in lieu of delivering any fractional share), we will be required to make cash payments in respect of the 2031 Notes being converted. We may not have enough available cash or be able to obtain financing at the time we are required to make repurchases of the 2031 Notes surrendered therefor or pay cash with respect to the 2031 Notes being converted or being repaid at maturity. In addition, our ability to repurchase the 2031 Notes or to pay cash upon conversion or at maturity may be limited by law, by regulatory authority, or by agreements governing our future indebtedness. Our failure to repurchase the 2031 Notes at a time when the repurchase is required by the indenture governing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2031 Notes or to pay any cash payable on future conversions of the 2031 Notes or at maturity of the 2031 Notes, as required by the indenture, would constitute a default under the indenture. A default under the indenture or the fundamental change itself could also lead to a default under agreements governing our then-existing indebtedness. If the repayment of the related indebtedness were to be accelerated after any applicable notice or grace periods, we may not have sufficient funds to repay the indebtedness and repurchase the 2031 Notes or make cash payments upon conversions of the 2031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conditional conversion feature of the 2031 Notes, if triggered, may adversely affect our financial condition and operating results.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the conditional conversion feature of the 2031 Notes is triggered, holders of the notes will be entitled to convert their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even if holders do not elect to convert their notes, we could be required under applicable accounting rules to reclassify all or any portion of the outstanding principal of the notes as a current rather than long-term liability, which would result in a material reduction of our net working capital. Holders of the existing notes have similar conversion rights.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Certain provisions in the indenture governing the 2031 Notes may delay or prevent an otherwise beneficial takeover attempt of 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provisions in the indenture that governs the 2031 Notes may make it more difficult or expensive for a third party to acquire us. For example, the indenture that governs the 2031 Notes may require us to repurchase the 2031 Notes for cash upon the occurrence of a fundamental change and, in certain circumstances, to increase the conversion rate for a holder that converts its Notes in connection with a make-whole fundamental change. A takeover of us may trigger the requirement that we repurchase the 2031 Notes and/or increase the conversion rate, which could make it costlier for a potential acquirer to engage in such takeover. Such additional costs may have the effect of delaying or preventing a takeover of us that otherwise be beneficial to investors.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 accounting method for the 2031 Notes could adversely affect our reported financial condition and results.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accounting method for reflecting the 2031 Notes on our consolidated balance sheet, accruing interest expense for the 2031 Notes and reflecting the underlying shares of our common stock in our reported diluted earnings per share may adversely affect our reported earnings and financial condition.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In August 2020, the Financial Accounting Standards Board published Accounting Standards Update (“</w:t>
      </w:r>
      <w:r>
        <w:rPr>
          <w:rFonts w:ascii="Times New Roman" w:hAnsi="Times New Roman"/>
          <w:b/>
          <w:i/>
          <w:color w:val="000000"/>
          <w:sz w:val="20"/>
        </w:rPr>
        <w:t>ASU</w:t>
      </w:r>
      <w:r>
        <w:rPr>
          <w:rFonts w:ascii="Times New Roman" w:hAnsi="Times New Roman"/>
          <w:color w:val="000000"/>
          <w:sz w:val="20"/>
        </w:rPr>
        <w:t>”) 2020-06 (“</w:t>
      </w:r>
      <w:r>
        <w:rPr>
          <w:rFonts w:ascii="Times New Roman" w:hAnsi="Times New Roman"/>
          <w:b/>
          <w:i/>
          <w:color w:val="000000"/>
          <w:sz w:val="20"/>
        </w:rPr>
        <w:t>ASU 2020-06</w:t>
      </w:r>
      <w:r>
        <w:rPr>
          <w:rFonts w:ascii="Times New Roman" w:hAnsi="Times New Roman"/>
          <w:color w:val="000000"/>
          <w:sz w:val="20"/>
        </w:rPr>
        <w:t>”), which simplified certain of the accounting standards that apply to convertible notes. In accordance with ASU 2020-06, the 2031 Notes are reflected as a liability on our consolidated balance sheet, with the initial carrying amount equal to the principal amount of the notes, net of issuance costs. Issuance costs are treated as a debt discount for accounting purposes, which are amortized into interest expense over the term of such notes. As a result of this amortization, the interest expense that we expect to recognize for the 2031 Notes for accounting purposes will be greater than the cash interest payments we will pay on the 2031 Notes, which will result in lower reported net income or larger reported net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shares of common stock underlying the 2031 Notes are reflected in our diluted earnings per share using the “if converted” method, in accordance with ASU 2020-06, for fiscal periods in which we report net income. Under that method, diluted earnings per share would generally be calculated assuming that all the notes were converted solely into shares of common stock at the beginning of the reporting period, unless the result would be anti-dilutive. The application of the if-converted method may reduce our reported diluted earnings per share to the extent we are profitable in the future.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Furthermore, if any of the conditions to the convertibility of the 2031 Notes is satisfied, then we may be required under applicable accounting standards to reclassify the liability carrying value of such notes as a current, rather than a long-term, liability. This reclassification could be required even if no noteholders convert such notes following the occurrence of those circumstances and could materially reduce our reported working capital.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cannot be sure whether other changes may be made to the current accounting standards related to the 2031 Notes, or otherwise, that could have a material effect on our reported financial results.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bookmarkStart w:id="15" w:name="item_5_other_info"/>
      <w:bookmarkEnd w:id="15"/>
      <w:r>
        <w:rPr>
          <w:rFonts w:ascii="Times New Roman" w:hAnsi="Times New Roman"/>
          <w:b/>
          <w:color w:val="000000"/>
          <w:sz w:val="20"/>
        </w:rPr>
        <w:t>Item 5. Other Information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our directors and officers (as defined in Rule 16a-1 (f) under the Exchange Act) adopted or terminated a “Rule 10b5-1 trading arrangement” or a “non-Rule 10b5-1 trading arrangement,” as defined in Regulation S-K Item 408 for the purchase or sale of our securities as set forth in the table below.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050"/>
        <w:gridCol w:w="997"/>
        <w:gridCol w:w="1524"/>
        <w:gridCol w:w="811"/>
        <w:gridCol w:w="904"/>
        <w:gridCol w:w="284"/>
        <w:gridCol w:w="1322"/>
        <w:gridCol w:w="146"/>
        <w:gridCol w:w="850"/>
        <w:gridCol w:w="969"/>
        <w:gridCol w:w="146"/>
        <w:gridCol w:w="1202"/>
      </w:tblGrid>
      <w:tr>
        <w:trPr/>
        <w:tc>
          <w:tcPr>
            <w:tcW w:w="105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1050"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pPr>
            <w:r>
              <w:rPr/>
              <w:t> </w:t>
            </w:r>
          </w:p>
        </w:tc>
        <w:tc>
          <w:tcPr>
            <w:tcW w:w="997"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524"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1715" w:type="dxa"/>
            <w:gridSpan w:val="2"/>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Trading Arrangement</w:t>
            </w:r>
          </w:p>
        </w:tc>
        <w:tc>
          <w:tcPr>
            <w:tcW w:w="16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9" w:type="dxa"/>
            <w:gridSpan w:val="2"/>
            <w:tcBorders>
              <w:top w:val="single" w:sz="4" w:space="0" w:color="000000"/>
              <w:left w:val="single" w:sz="4" w:space="0" w:color="000000"/>
              <w:bottom w:val="single" w:sz="4" w:space="0" w:color="000000"/>
            </w:tcBorders>
            <w:shd w:fill="FFFFFF" w:val="clear"/>
            <w:tcMar>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02"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pPr>
            <w:r>
              <w:rPr/>
              <w:t> </w:t>
            </w:r>
          </w:p>
        </w:tc>
      </w:tr>
      <w:tr>
        <w:trPr/>
        <w:tc>
          <w:tcPr>
            <w:tcW w:w="105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9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52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Adoption/Termination Date</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90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 Rule 10b5-1**</w:t>
            </w:r>
          </w:p>
        </w:tc>
        <w:tc>
          <w:tcPr>
            <w:tcW w:w="16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Common Stock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9" w:type="dxa"/>
            <w:gridSpan w:val="2"/>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of Common Stock to be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105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Keith Katkin</w:t>
              <w:br/>
              <w:t>Director</w:t>
            </w:r>
          </w:p>
        </w:tc>
        <w:tc>
          <w:tcPr>
            <w:tcW w:w="997"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52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5/18/2026</w:t>
            </w:r>
          </w:p>
        </w:tc>
        <w:tc>
          <w:tcPr>
            <w:tcW w:w="81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90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5/18/2028</w:t>
            </w:r>
          </w:p>
        </w:tc>
      </w:tr>
    </w:tbl>
    <w:p>
      <w:pPr>
        <w:pStyle w:val="TextBody"/>
        <w:bidi w:val="0"/>
        <w:jc w:val="both"/>
        <w:rPr>
          <w:rFonts w:ascii="Times New Roman" w:hAnsi="Times New Roman"/>
          <w:color w:val="000000"/>
          <w:sz w:val="20"/>
        </w:rPr>
      </w:pPr>
      <w:r>
        <w:rPr>
          <w:rFonts w:ascii="Times New Roman" w:hAnsi="Times New Roman"/>
          <w:color w:val="000000"/>
          <w:sz w:val="20"/>
        </w:rPr>
        <w:t>* Contract, instructions, or written plan intended to satisfy the affirmative defense conditions of Rule 10b5-1(c) under the Exchange Act.</w:t>
        <w:br/>
        <w:t>** “Non-Rule 10b5-1 trading arrangement” as defined in Item 408(c) of Regulation S-K under the Exchange Act.</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Mr. Katkin’s plan solely includes equity grants with expiration dates prior to May 23, 2028.</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tem_6_exhibits"/>
      <w:bookmarkEnd w:id="16"/>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43"/>
        <w:gridCol w:w="254"/>
        <w:gridCol w:w="9208"/>
      </w:tblGrid>
      <w:tr>
        <w:trPr/>
        <w:tc>
          <w:tcPr>
            <w:tcW w:w="7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08" w:type="dxa"/>
            <w:tcBorders/>
            <w:vAlign w:val="center"/>
          </w:tcPr>
          <w:p>
            <w:pPr>
              <w:pStyle w:val="TableContents"/>
              <w:bidi w:val="0"/>
              <w:spacing w:before="0" w:after="283"/>
              <w:jc w:val="left"/>
              <w:rPr>
                <w:sz w:val="4"/>
                <w:szCs w:val="4"/>
              </w:rPr>
            </w:pPr>
            <w:r>
              <w:rPr>
                <w:sz w:val="4"/>
                <w:szCs w:val="4"/>
              </w:rPr>
            </w:r>
          </w:p>
        </w:tc>
      </w:tr>
      <w:tr>
        <w:trPr/>
        <w:tc>
          <w:tcPr>
            <w:tcW w:w="743"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254"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20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001-37708), as filed with the SEC on March 8, 2016).</w:t>
              </w:r>
            </w:hyperlink>
            <w:r>
              <w:rPr>
                <w:rFonts w:ascii="Times New Roman" w:hAnsi="Times New Roman"/>
                <w:color w:val="000000"/>
                <w:sz w:val="20"/>
              </w:rPr>
              <w:t xml:space="preserve">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Amended and Restated Certificate of Incorporation of the Company (incorporated herein by reference to Exhibit 3.1 to the Company’s Current Report on Form 8-K (File No. 001-37708), as filed with the SEC on May 18, 2023).</w:t>
              </w:r>
            </w:hyperlink>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Indenture, dated as of June 10, 2026, by and between Syndax Pharmaceuticals, Inc. and U.S. Bank Trust Company, National Association, as Trustee (incorporated herein by reference to Exhibit 4.1 to the Company</w:t>
              </w:r>
            </w:hyperlink>
            <w:r>
              <w:rPr>
                <w:rFonts w:ascii="Times New Roman" w:hAnsi="Times New Roman"/>
                <w:color w:val="000000"/>
                <w:sz w:val="20"/>
              </w:rPr>
              <w:t>’</w:t>
            </w:r>
            <w:hyperlink r:id="rId5">
              <w:r>
                <w:rPr>
                  <w:rStyle w:val="InternetLink"/>
                  <w:rFonts w:ascii="Times New Roman" w:hAnsi="Times New Roman"/>
                  <w:color w:val="0000FF"/>
                  <w:sz w:val="20"/>
                  <w:u w:val="single"/>
                </w:rPr>
                <w:t>s Current Report on Form 8-K (File No. 001-37708), as filed with the SEC on June 10, 2026).</w:t>
              </w:r>
            </w:hyperlink>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4.2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Global Note, representing Syndax Pharmaceuticals, Inc.</w:t>
              </w:r>
            </w:hyperlink>
            <w:r>
              <w:rPr>
                <w:rFonts w:ascii="Times New Roman" w:hAnsi="Times New Roman"/>
                <w:color w:val="000000"/>
                <w:sz w:val="20"/>
              </w:rPr>
              <w:t>’</w:t>
            </w:r>
            <w:hyperlink r:id="rId7">
              <w:r>
                <w:rPr>
                  <w:rStyle w:val="InternetLink"/>
                  <w:rFonts w:ascii="Times New Roman" w:hAnsi="Times New Roman"/>
                  <w:color w:val="0000FF"/>
                  <w:sz w:val="20"/>
                  <w:u w:val="single"/>
                </w:rPr>
                <w:t>s 2.25% Convertible Senior Notes due 2031 (included as Exhibit A to the Indenture files as Exhibit 4.1) (incorporated herein by reference to Exhibit 4.2 to the Company</w:t>
              </w:r>
            </w:hyperlink>
            <w:r>
              <w:rPr>
                <w:rFonts w:ascii="Times New Roman" w:hAnsi="Times New Roman"/>
                <w:color w:val="000000"/>
                <w:sz w:val="20"/>
              </w:rPr>
              <w:t>’</w:t>
            </w:r>
            <w:hyperlink r:id="rId8">
              <w:r>
                <w:rPr>
                  <w:rStyle w:val="InternetLink"/>
                  <w:rFonts w:ascii="Times New Roman" w:hAnsi="Times New Roman"/>
                  <w:color w:val="0000FF"/>
                  <w:sz w:val="20"/>
                  <w:u w:val="single"/>
                </w:rPr>
                <w:t>s Current Report on Form 8-K (File No. 001-37708), as filed with the SEC on June 10, 2026.</w:t>
              </w:r>
            </w:hyperlink>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Syndax Pharmaceuticals, Inc. 2026 Equity Incentive Plan (incorporated herein by reference to Exhibit 10.1 to the Company’s Current Report on Form 8-K (File No. 001-37708), as filed with the SEC on June 10, 2026).</w:t>
              </w:r>
            </w:hyperlink>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w:anchor="sndx-ex10_2.htm">
              <w:r>
                <w:rPr>
                  <w:rStyle w:val="InternetLink"/>
                  <w:rFonts w:ascii="Times New Roman" w:hAnsi="Times New Roman"/>
                  <w:color w:val="0000FF"/>
                  <w:sz w:val="20"/>
                  <w:u w:val="single"/>
                </w:rPr>
                <w:t>Forms of Stock Option Grant Notice and Stock Option Agreement pursuant to the Syndax Pharmaceuticals, Inc. 2026 Equity Incentive Plan.</w:t>
              </w:r>
            </w:hyperlink>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10.3</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w:anchor="sndx-ex10_3.htm">
              <w:r>
                <w:rPr>
                  <w:rStyle w:val="InternetLink"/>
                  <w:rFonts w:ascii="Times New Roman" w:hAnsi="Times New Roman"/>
                  <w:color w:val="0000FF"/>
                  <w:sz w:val="20"/>
                  <w:u w:val="single"/>
                </w:rPr>
                <w:t>Forms of RSU Award Grant Notice and Award Agreement pursuant to the Syndax Pharmaceuticals, Inc. 2026 Equity Incentive Plan.</w:t>
              </w:r>
            </w:hyperlink>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w:anchor="sndx-ex10_4.htm">
              <w:r>
                <w:rPr>
                  <w:rStyle w:val="InternetLink"/>
                  <w:rFonts w:ascii="Times New Roman" w:hAnsi="Times New Roman"/>
                  <w:color w:val="0000FF"/>
                  <w:sz w:val="20"/>
                  <w:u w:val="single"/>
                </w:rPr>
                <w:t>Forms of Deferred Settlement RSU Award Grant Notice and Award Agreement pursuant to the Syndax Pharmaceuticals, Inc. 2026 Equity Incentive Plan.</w:t>
              </w:r>
            </w:hyperlink>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10.5</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Syndax Pharmaceuticals, Inc. 2026 Employee Stock Purchase Plan (incorporated herein by reference to Exhibit 10.2 to the Company’s Current Report on Form 8-K (File No. 001-37708), as filed with the SEC on June 10, 2026).</w:t>
              </w:r>
            </w:hyperlink>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3.3</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Bylaws of the Company (incorporated herein by reference to Exhibit 3.1 to the Company’s Current Report on Form 8-K (File No. 001-37708), as filed with the SEC on December 19, 2025).</w:t>
              </w:r>
            </w:hyperlink>
            <w:r>
              <w:rPr>
                <w:rFonts w:ascii="Times New Roman" w:hAnsi="Times New Roman"/>
                <w:color w:val="000000"/>
                <w:sz w:val="20"/>
              </w:rPr>
              <w:t xml:space="preserve">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31.1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w:anchor="sndx-ex31_1.htm">
              <w:r>
                <w:rPr>
                  <w:rStyle w:val="InternetLink"/>
                  <w:rFonts w:ascii="Times New Roman" w:hAnsi="Times New Roman"/>
                  <w:color w:val="0000FF"/>
                  <w:sz w:val="20"/>
                  <w:u w:val="single"/>
                </w:rPr>
                <w:t>Certification of Principal Executive Officer pursuant to Rules 13a-14(a) and 15d-14(a) promulgated under the Securities Exchange Act of 1934, as amended.</w:t>
              </w:r>
            </w:hyperlink>
            <w:r>
              <w:rPr>
                <w:rFonts w:ascii="Times New Roman" w:hAnsi="Times New Roman"/>
                <w:color w:val="000000"/>
                <w:sz w:val="20"/>
              </w:rPr>
              <w:t xml:space="preserve">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31.2</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w:anchor="sndx-ex31_2.htm">
              <w:r>
                <w:rPr>
                  <w:rStyle w:val="InternetLink"/>
                  <w:rFonts w:ascii="Times New Roman" w:hAnsi="Times New Roman"/>
                  <w:color w:val="0000FF"/>
                  <w:sz w:val="20"/>
                  <w:u w:val="single"/>
                </w:rPr>
                <w:t>Certification of Principal Financial Officer pursuant to Rules 13a-14(a) and 15d-14(a) promulgated under the Securities Exchange Act of 1934, as amended.</w:t>
              </w:r>
            </w:hyperlink>
            <w:r>
              <w:rPr>
                <w:rFonts w:ascii="Times New Roman" w:hAnsi="Times New Roman"/>
                <w:color w:val="000000"/>
                <w:sz w:val="20"/>
              </w:rPr>
              <w:t xml:space="preserve">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32.1*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hyperlink w:anchor="sndx-ex32_1.htm">
              <w:r>
                <w:rPr>
                  <w:rStyle w:val="InternetLink"/>
                  <w:rFonts w:ascii="Times New Roman" w:hAnsi="Times New Roman"/>
                  <w:color w:val="0000FF"/>
                  <w:sz w:val="20"/>
                  <w:u w:val="single"/>
                </w:rPr>
                <w:t>Certifications of Chief Executive Officer and Chief Financial Officer pursuant to 18 U.S.C. Section 1350, as adopted pursuant to Section 906 of the Sarbanes-Oxley Act of 2002.</w:t>
              </w:r>
            </w:hyperlink>
            <w:r>
              <w:rPr>
                <w:rFonts w:ascii="Times New Roman" w:hAnsi="Times New Roman"/>
                <w:color w:val="000000"/>
                <w:sz w:val="20"/>
              </w:rPr>
              <w:t xml:space="preserve">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101.INS</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101.SCH</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104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92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Exchange Act,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4, 2026</w:t>
      </w:r>
    </w:p>
    <w:p>
      <w:pPr>
        <w:pStyle w:val="TextBody"/>
        <w:bidi w:val="0"/>
        <w:jc w:val="left"/>
        <w:rPr/>
      </w:pPr>
      <w:r>
        <w:rPr/>
        <w:t> </w:t>
      </w:r>
    </w:p>
    <w:tbl>
      <w:tblPr>
        <w:tblW w:w="3043" w:type="dxa"/>
        <w:jc w:val="left"/>
        <w:tblInd w:w="0" w:type="dxa"/>
        <w:tblLayout w:type="fixed"/>
        <w:tblCellMar>
          <w:top w:w="28" w:type="dxa"/>
          <w:left w:w="28" w:type="dxa"/>
          <w:bottom w:w="28" w:type="dxa"/>
          <w:right w:w="28" w:type="dxa"/>
        </w:tblCellMar>
      </w:tblPr>
      <w:tblGrid>
        <w:gridCol w:w="421"/>
        <w:gridCol w:w="146"/>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713" w:type="dxa"/>
        <w:jc w:val="left"/>
        <w:tblInd w:w="0" w:type="dxa"/>
        <w:tblLayout w:type="fixed"/>
        <w:tblCellMar>
          <w:top w:w="28" w:type="dxa"/>
          <w:left w:w="28" w:type="dxa"/>
          <w:bottom w:w="28" w:type="dxa"/>
          <w:right w:w="28" w:type="dxa"/>
        </w:tblCellMar>
      </w:tblPr>
      <w:tblGrid>
        <w:gridCol w:w="421"/>
        <w:gridCol w:w="146"/>
        <w:gridCol w:w="514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7" w:name="sndx-ex10_2.htm"/>
      <w:bookmarkStart w:id="18" w:name="kssndxex10_2"/>
      <w:bookmarkEnd w:id="17"/>
      <w:bookmarkEnd w:id="18"/>
      <w:r>
        <w:rPr>
          <w:rFonts w:ascii="Times New Roman" w:hAnsi="Times New Roman"/>
          <w:b/>
          <w:color w:val="000000"/>
          <w:sz w:val="24"/>
        </w:rPr>
        <w:t>Exhibit 10.2</w:t>
      </w:r>
      <w:r>
        <w:br w:type="page"/>
      </w:r>
    </w:p>
    <w:p>
      <w:pPr>
        <w:pStyle w:val="TextBody"/>
        <w:bidi w:val="0"/>
        <w:spacing w:before="0" w:after="480"/>
        <w:jc w:val="center"/>
        <w:rPr>
          <w:rFonts w:ascii="Times New Roman" w:hAnsi="Times New Roman"/>
          <w:b/>
          <w:smallCaps/>
          <w:color w:val="000000"/>
          <w:sz w:val="28"/>
        </w:rPr>
      </w:pPr>
      <w:r>
        <w:rPr>
          <w:rFonts w:ascii="Times New Roman" w:hAnsi="Times New Roman"/>
          <w:b/>
          <w:smallCaps/>
          <w:color w:val="000000"/>
          <w:sz w:val="28"/>
        </w:rPr>
        <w:t xml:space="preserve">Syndax Pharmaceuticals, Inc. </w:t>
        <w:br/>
        <w:t>Stock Option Grant Notice</w:t>
        <w:br/>
        <w:t>(2026 Equity Incentive Plan)</w:t>
      </w:r>
    </w:p>
    <w:p>
      <w:pPr>
        <w:pStyle w:val="TextBody"/>
        <w:bidi w:val="0"/>
        <w:jc w:val="both"/>
        <w:rPr>
          <w:rFonts w:ascii="Times New Roman" w:hAnsi="Times New Roman"/>
          <w:sz w:val="20"/>
        </w:rPr>
      </w:pPr>
      <w:r>
        <w:rPr>
          <w:rFonts w:ascii="Times New Roman" w:hAnsi="Times New Roman"/>
          <w:color w:val="000000"/>
          <w:sz w:val="24"/>
        </w:rPr>
        <w:t>Syndax Pharmaceuticals,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pursuant to the Company’s 2026 Equity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has granted to you (“</w:t>
      </w:r>
      <w:r>
        <w:rPr>
          <w:rFonts w:ascii="Times New Roman" w:hAnsi="Times New Roman"/>
          <w:b/>
          <w:i/>
          <w:color w:val="000000"/>
          <w:sz w:val="24"/>
        </w:rPr>
        <w:t>Optionholder</w:t>
      </w:r>
      <w:r>
        <w:rPr>
          <w:rFonts w:ascii="Times New Roman" w:hAnsi="Times New Roman"/>
          <w:color w:val="000000"/>
          <w:sz w:val="20"/>
        </w:rPr>
        <w:t>”</w:t>
      </w:r>
      <w:r>
        <w:rPr>
          <w:rFonts w:ascii="Times New Roman" w:hAnsi="Times New Roman"/>
          <w:b/>
          <w:i/>
          <w:color w:val="000000"/>
          <w:sz w:val="24"/>
        </w:rPr>
        <w:t>)</w:t>
      </w:r>
      <w:r>
        <w:rPr>
          <w:rFonts w:ascii="Times New Roman" w:hAnsi="Times New Roman"/>
          <w:color w:val="000000"/>
          <w:sz w:val="20"/>
        </w:rPr>
        <w:t xml:space="preserve"> </w:t>
      </w:r>
      <w:r>
        <w:rPr>
          <w:rFonts w:ascii="Times New Roman" w:hAnsi="Times New Roman"/>
          <w:color w:val="000000"/>
          <w:sz w:val="24"/>
        </w:rPr>
        <w:t>an option to purchase the number of shares of the Common Stock set forth below (the “</w:t>
      </w:r>
      <w:r>
        <w:rPr>
          <w:rFonts w:ascii="Times New Roman" w:hAnsi="Times New Roman"/>
          <w:b/>
          <w:i/>
          <w:color w:val="000000"/>
          <w:sz w:val="24"/>
        </w:rPr>
        <w:t>Option</w:t>
      </w:r>
      <w:r>
        <w:rPr>
          <w:rFonts w:ascii="Times New Roman" w:hAnsi="Times New Roman"/>
          <w:color w:val="000000"/>
          <w:sz w:val="20"/>
        </w:rPr>
        <w:t>”</w:t>
      </w:r>
      <w:r>
        <w:rPr>
          <w:rFonts w:ascii="Times New Roman" w:hAnsi="Times New Roman"/>
          <w:color w:val="000000"/>
          <w:sz w:val="24"/>
        </w:rPr>
        <w:t>). Your Option is subject to all of the terms and conditions as set forth herein and in the Plan, and the Stock Option Agreement and the Notice of Exercise, all of which are incorporated herein in their entirety. Capitalized terms not explicitly defined herein but defined in the Plan or the Stock Option Agreement shall have the meanings set forth in the Plan or the Stock Option Agreement, as applicable.</w:t>
      </w:r>
    </w:p>
    <w:p>
      <w:pPr>
        <w:pStyle w:val="TextBody"/>
        <w:bidi w:val="0"/>
        <w:jc w:val="both"/>
        <w:rPr/>
      </w:pPr>
      <w:r>
        <w:rPr/>
        <w:t> </w:t>
      </w:r>
    </w:p>
    <w:p>
      <w:pPr>
        <w:pStyle w:val="TextBody"/>
        <w:bidi w:val="0"/>
        <w:jc w:val="both"/>
        <w:rPr/>
      </w:pPr>
      <w:r>
        <w:rPr/>
        <w:t> </w:t>
      </w:r>
    </w:p>
    <w:tbl>
      <w:tblPr>
        <w:tblW w:w="5622" w:type="dxa"/>
        <w:jc w:val="left"/>
        <w:tblInd w:w="0" w:type="dxa"/>
        <w:tblLayout w:type="fixed"/>
        <w:tblCellMar>
          <w:top w:w="28" w:type="dxa"/>
          <w:left w:w="28" w:type="dxa"/>
          <w:bottom w:w="28" w:type="dxa"/>
          <w:right w:w="28" w:type="dxa"/>
        </w:tblCellMar>
      </w:tblPr>
      <w:tblGrid>
        <w:gridCol w:w="5431"/>
        <w:gridCol w:w="191"/>
      </w:tblGrid>
      <w:tr>
        <w:trPr/>
        <w:tc>
          <w:tcPr>
            <w:tcW w:w="54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Optionholder:</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of Grant:</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Vesting Commencement Date: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Number of Shares of Common Stock Subject to Option:</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Exercise Price (Per Share):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Exercise Price: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both"/>
              <w:rPr/>
            </w:pPr>
            <w:r>
              <w:rPr/>
              <w:t> </w:t>
            </w:r>
          </w:p>
        </w:tc>
      </w:tr>
      <w:tr>
        <w:trPr/>
        <w:tc>
          <w:tcPr>
            <w:tcW w:w="543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Expiration Date:</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40"/>
              <w:jc w:val="both"/>
              <w:rPr/>
            </w:pPr>
            <w:r>
              <w:rPr/>
              <w:t> </w:t>
            </w:r>
          </w:p>
        </w:tc>
      </w:tr>
    </w:tbl>
    <w:p>
      <w:pPr>
        <w:pStyle w:val="TextBody"/>
        <w:bidi w:val="0"/>
        <w:jc w:val="both"/>
        <w:rPr/>
      </w:pPr>
      <w:r>
        <w:rPr/>
        <w:t> </w:t>
      </w:r>
    </w:p>
    <w:p>
      <w:pPr>
        <w:pStyle w:val="TextBody"/>
        <w:bidi w:val="0"/>
        <w:spacing w:before="0" w:after="200"/>
        <w:jc w:val="both"/>
        <w:rPr>
          <w:rFonts w:ascii="Times New Roman" w:hAnsi="Times New Roman"/>
          <w:sz w:val="20"/>
        </w:rPr>
      </w:pPr>
      <w:r>
        <w:rPr>
          <w:rFonts w:ascii="Times New Roman" w:hAnsi="Times New Roman"/>
          <w:b/>
          <w:color w:val="000000"/>
          <w:sz w:val="24"/>
        </w:rPr>
        <w:t>Type of Grant: [</w:t>
      </w:r>
      <w:r>
        <w:rPr>
          <w:rFonts w:ascii="Times New Roman" w:hAnsi="Times New Roman"/>
          <w:color w:val="000000"/>
          <w:sz w:val="24"/>
        </w:rPr>
        <w:t xml:space="preserve">Incentive Stock Option] </w:t>
      </w:r>
      <w:r>
        <w:rPr>
          <w:rFonts w:ascii="Times New Roman" w:hAnsi="Times New Roman"/>
          <w:color w:val="000000"/>
          <w:sz w:val="24"/>
          <w:u w:val="single"/>
        </w:rPr>
        <w:t>OR</w:t>
      </w:r>
      <w:r>
        <w:rPr>
          <w:rFonts w:ascii="Times New Roman" w:hAnsi="Times New Roman"/>
          <w:color w:val="000000"/>
          <w:sz w:val="20"/>
        </w:rPr>
        <w:t xml:space="preserve"> </w:t>
      </w:r>
      <w:r>
        <w:rPr>
          <w:rFonts w:ascii="Times New Roman" w:hAnsi="Times New Roman"/>
          <w:color w:val="000000"/>
          <w:sz w:val="24"/>
        </w:rPr>
        <w:t>[Nonstatutory Stock Option]</w:t>
      </w:r>
    </w:p>
    <w:p>
      <w:pPr>
        <w:pStyle w:val="TextBody"/>
        <w:bidi w:val="0"/>
        <w:jc w:val="both"/>
        <w:rPr>
          <w:rFonts w:ascii="Times New Roman" w:hAnsi="Times New Roman"/>
          <w:sz w:val="20"/>
        </w:rPr>
      </w:pPr>
      <w:r>
        <w:rPr>
          <w:rFonts w:ascii="Times New Roman" w:hAnsi="Times New Roman"/>
          <w:b/>
          <w:color w:val="000000"/>
          <w:sz w:val="24"/>
        </w:rPr>
        <w:t>Exercise and</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Times New Roman" w:hAnsi="Times New Roman"/>
          <w:b/>
          <w:color w:val="000000"/>
          <w:sz w:val="24"/>
        </w:rPr>
        <w:t>Vesting Schedule</w:t>
      </w:r>
      <w:r>
        <w:rPr>
          <w:rFonts w:ascii="Times New Roman" w:hAnsi="Times New Roman"/>
          <w:color w:val="000000"/>
          <w:sz w:val="24"/>
        </w:rPr>
        <w:t>: Subject to the Optionholder’s Continuous Service through each applicable vesting date, the Option will vest as follows:</w:t>
      </w:r>
    </w:p>
    <w:p>
      <w:pPr>
        <w:pStyle w:val="TextBody"/>
        <w:bidi w:val="0"/>
        <w:spacing w:before="0" w:after="200"/>
        <w:jc w:val="both"/>
        <w:rPr>
          <w:rFonts w:ascii="Times New Roman" w:hAnsi="Times New Roman"/>
          <w:sz w:val="20"/>
        </w:rPr>
      </w:pPr>
      <w:r>
        <w:rPr>
          <w:rFonts w:ascii="Times New Roman" w:hAnsi="Times New Roman"/>
          <w:b/>
          <w:color w:val="000000"/>
          <w:sz w:val="24"/>
        </w:rPr>
        <w:t>[</w:t>
      </w:r>
      <w:r>
        <w:rPr>
          <w:rFonts w:ascii="Times New Roman" w:hAnsi="Times New Roman"/>
          <w:color w:val="000000"/>
          <w:sz w:val="24"/>
        </w:rPr>
        <w:t>____________________________________________________________]</w:t>
      </w:r>
    </w:p>
    <w:p>
      <w:pPr>
        <w:pStyle w:val="TextBody"/>
        <w:bidi w:val="0"/>
        <w:spacing w:before="0" w:after="120"/>
        <w:jc w:val="both"/>
        <w:rPr>
          <w:rFonts w:ascii="Times New Roman" w:hAnsi="Times New Roman"/>
          <w:sz w:val="20"/>
        </w:rPr>
      </w:pPr>
      <w:r>
        <w:rPr>
          <w:rFonts w:ascii="Times New Roman" w:hAnsi="Times New Roman"/>
          <w:b/>
          <w:color w:val="000000"/>
          <w:sz w:val="24"/>
        </w:rPr>
        <w:t>Optionholder Acknowledgements:</w:t>
      </w:r>
      <w:r>
        <w:rPr>
          <w:rFonts w:ascii="Times New Roman" w:hAnsi="Times New Roman"/>
          <w:color w:val="000000"/>
          <w:sz w:val="20"/>
        </w:rPr>
        <w:t xml:space="preserve"> </w:t>
      </w:r>
      <w:r>
        <w:rPr>
          <w:rFonts w:ascii="Times New Roman" w:hAnsi="Times New Roman"/>
          <w:color w:val="000000"/>
          <w:sz w:val="24"/>
        </w:rPr>
        <w:t>By your signature below or by electronic acceptance or authentication in a form authorized by the Company, you understand and agree that: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4"/>
        </w:rPr>
        <w:t>The Option is governed by this Stock Option Grant Notice (this “</w:t>
      </w:r>
      <w:r>
        <w:rPr>
          <w:rFonts w:ascii="Times New Roman" w:hAnsi="Times New Roman"/>
          <w:b/>
          <w:i/>
          <w:color w:val="000000"/>
          <w:sz w:val="24"/>
        </w:rPr>
        <w:t>Grant Notice</w:t>
      </w:r>
      <w:r>
        <w:rPr>
          <w:color w:val="000000"/>
        </w:rPr>
        <w:t>”</w:t>
      </w:r>
      <w:r>
        <w:rPr>
          <w:rFonts w:ascii="Times New Roman" w:hAnsi="Times New Roman"/>
          <w:color w:val="000000"/>
          <w:sz w:val="24"/>
        </w:rPr>
        <w:t>),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hAnsi="Times New Roman"/>
          <w:b/>
          <w:i/>
          <w:color w:val="000000"/>
          <w:sz w:val="24"/>
        </w:rPr>
        <w:t>Option Agreement</w:t>
      </w:r>
      <w:r>
        <w:rPr>
          <w:color w:val="000000"/>
        </w:rPr>
        <w:t>”</w:t>
      </w:r>
      <w:r>
        <w:rPr>
          <w:rFonts w:ascii="Times New Roman" w:hAnsi="Times New Roman"/>
          <w:color w:val="000000"/>
          <w:sz w:val="24"/>
        </w:rPr>
        <w:t xml:space="preserve">) may not be modified, amended or revised except in a writing signed by you and a duly authorized officer of the Company.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4"/>
        </w:rPr>
        <w:t xml:space="preserve">[If the Option is an Incentive Stock Option, it (plus other outstanding Incentive Stock Options granted to you) cannot be first </w:t>
      </w:r>
      <w:r>
        <w:rPr>
          <w:rFonts w:ascii="Times New Roman" w:hAnsi="Times New Roman"/>
          <w:i/>
          <w:color w:val="000000"/>
          <w:sz w:val="24"/>
        </w:rPr>
        <w:t>exercisable</w:t>
      </w:r>
      <w:r>
        <w:rPr>
          <w:color w:val="000000"/>
        </w:rPr>
        <w:t xml:space="preserve"> </w:t>
      </w:r>
      <w:r>
        <w:rPr>
          <w:rFonts w:ascii="Times New Roman" w:hAnsi="Times New Roman"/>
          <w:color w:val="000000"/>
          <w:sz w:val="24"/>
        </w:rPr>
        <w:t>for more than $100,000 in value (measured by exercise price) in any calendar year. Any excess over $100,000 is a Nonstatutory Stock Option.]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 xml:space="preserve">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tbl>
      <w:tblPr>
        <w:tblW w:w="5402" w:type="dxa"/>
        <w:jc w:val="left"/>
        <w:tblInd w:w="0" w:type="dxa"/>
        <w:tblLayout w:type="fixed"/>
        <w:tblCellMar>
          <w:top w:w="28" w:type="dxa"/>
          <w:left w:w="28" w:type="dxa"/>
          <w:bottom w:w="28" w:type="dxa"/>
          <w:right w:w="28" w:type="dxa"/>
        </w:tblCellMar>
      </w:tblPr>
      <w:tblGrid>
        <w:gridCol w:w="3541"/>
        <w:gridCol w:w="1861"/>
      </w:tblGrid>
      <w:tr>
        <w:trPr/>
        <w:tc>
          <w:tcPr>
            <w:tcW w:w="354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35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smallCaps/>
                <w:color w:val="000000"/>
                <w:sz w:val="24"/>
              </w:rPr>
            </w:pPr>
            <w:r>
              <w:rPr>
                <w:rFonts w:ascii="Times New Roman" w:hAnsi="Times New Roman"/>
                <w:b/>
                <w:smallCaps/>
                <w:color w:val="000000"/>
                <w:sz w:val="24"/>
              </w:rPr>
              <w:t>Syndax Pharmaceuticals, Inc.</w:t>
            </w:r>
          </w:p>
          <w:p>
            <w:pPr>
              <w:pStyle w:val="TableContents"/>
              <w:bidi w:val="0"/>
              <w:jc w:val="both"/>
              <w:rPr>
                <w:rFonts w:ascii="Times New Roman" w:hAnsi="Times New Roman"/>
                <w:color w:val="000000"/>
                <w:sz w:val="24"/>
              </w:rPr>
            </w:pPr>
            <w:r>
              <w:rPr>
                <w:rFonts w:ascii="Times New Roman" w:hAnsi="Times New Roman"/>
                <w:color w:val="000000"/>
                <w:sz w:val="24"/>
              </w:rPr>
              <w:t>By:</w:t>
            </w:r>
          </w:p>
          <w:p>
            <w:pPr>
              <w:pStyle w:val="TableContents"/>
              <w:bidi w:val="0"/>
              <w:spacing w:before="0" w:after="120"/>
              <w:jc w:val="both"/>
              <w:rPr>
                <w:color w:val="000000"/>
              </w:rPr>
            </w:pPr>
            <w:r>
              <w:rPr>
                <w:color w:val="000000"/>
              </w:rPr>
              <w:t> </w:t>
            </w:r>
            <w:r>
              <w:rPr>
                <w:rFonts w:ascii="Times New Roman" w:hAnsi="Times New Roman"/>
                <w:color w:val="000000"/>
                <w:sz w:val="24"/>
              </w:rPr>
              <w:t>Signature</w:t>
            </w:r>
          </w:p>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Title:</w:t>
            </w:r>
          </w:p>
          <w:p>
            <w:pPr>
              <w:pStyle w:val="TableContents"/>
              <w:bidi w:val="0"/>
              <w:jc w:val="both"/>
              <w:rPr/>
            </w:pPr>
            <w:r>
              <w:rPr/>
              <w:t> </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Date:</w:t>
            </w:r>
          </w:p>
        </w:tc>
        <w:tc>
          <w:tcPr>
            <w:tcW w:w="186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smallCaps/>
                <w:color w:val="000000"/>
                <w:sz w:val="24"/>
              </w:rPr>
            </w:pPr>
            <w:r>
              <w:rPr>
                <w:rFonts w:ascii="Times New Roman" w:hAnsi="Times New Roman"/>
                <w:b/>
                <w:smallCaps/>
                <w:color w:val="000000"/>
                <w:sz w:val="24"/>
              </w:rPr>
              <w:t>Optionholder:</w:t>
            </w:r>
          </w:p>
          <w:p>
            <w:pPr>
              <w:pStyle w:val="TableContents"/>
              <w:bidi w:val="0"/>
              <w:jc w:val="both"/>
              <w:rPr/>
            </w:pPr>
            <w:r>
              <w:rPr/>
              <w:t> </w:t>
            </w:r>
          </w:p>
          <w:p>
            <w:pPr>
              <w:pStyle w:val="TableContents"/>
              <w:bidi w:val="0"/>
              <w:spacing w:before="0" w:after="120"/>
              <w:jc w:val="both"/>
              <w:rPr>
                <w:color w:val="000000"/>
              </w:rPr>
            </w:pPr>
            <w:r>
              <w:rPr>
                <w:color w:val="000000"/>
              </w:rPr>
              <w:t> </w:t>
            </w:r>
            <w:r>
              <w:rPr>
                <w:rFonts w:ascii="Times New Roman" w:hAnsi="Times New Roman"/>
                <w:color w:val="000000"/>
                <w:sz w:val="24"/>
              </w:rPr>
              <w:t>Signature</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 xml:space="preserve">Date: </w:t>
            </w:r>
          </w:p>
        </w:tc>
      </w:tr>
    </w:tbl>
    <w:p>
      <w:pPr>
        <w:pStyle w:val="TextBody"/>
        <w:bidi w:val="0"/>
        <w:spacing w:before="0" w:after="240"/>
        <w:jc w:val="both"/>
        <w:rPr>
          <w:rFonts w:ascii="Times New Roman" w:hAnsi="Times New Roman"/>
          <w:sz w:val="20"/>
        </w:rPr>
      </w:pPr>
      <w:r>
        <w:rPr>
          <w:rFonts w:ascii="Times New Roman" w:hAnsi="Times New Roman"/>
          <w:b/>
          <w:smallCaps/>
          <w:color w:val="000000"/>
          <w:sz w:val="24"/>
        </w:rPr>
        <w:t>Attachments</w:t>
      </w:r>
      <w:r>
        <w:rPr>
          <w:rFonts w:ascii="Times New Roman" w:hAnsi="Times New Roman"/>
          <w:color w:val="000000"/>
          <w:sz w:val="24"/>
        </w:rPr>
        <w:t>: Stock Option Agreement, Notice of Exercise</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Attachment I</w:t>
      </w:r>
    </w:p>
    <w:p>
      <w:pPr>
        <w:pStyle w:val="TextBody"/>
        <w:bidi w:val="0"/>
        <w:jc w:val="center"/>
        <w:rPr/>
      </w:pPr>
      <w:r>
        <w:rPr/>
        <w:t> </w:t>
      </w:r>
    </w:p>
    <w:p>
      <w:pPr>
        <w:pStyle w:val="TextBody"/>
        <w:bidi w:val="0"/>
        <w:jc w:val="center"/>
        <w:rPr>
          <w:rFonts w:ascii="Times New Roman" w:hAnsi="Times New Roman"/>
          <w:b/>
          <w:caps/>
          <w:color w:val="000000"/>
          <w:sz w:val="28"/>
        </w:rPr>
      </w:pPr>
      <w:r>
        <w:rPr>
          <w:rFonts w:ascii="Times New Roman" w:hAnsi="Times New Roman"/>
          <w:b/>
          <w:caps/>
          <w:color w:val="000000"/>
          <w:sz w:val="28"/>
        </w:rPr>
        <w:t xml:space="preserve">Syndax Pharmaceuticals, Inc. </w:t>
        <w:br/>
        <w:t>Stock Option Agreement</w:t>
      </w:r>
    </w:p>
    <w:p>
      <w:pPr>
        <w:pStyle w:val="TextBody"/>
        <w:bidi w:val="0"/>
        <w:jc w:val="center"/>
        <w:rPr>
          <w:rFonts w:ascii="Times New Roman" w:hAnsi="Times New Roman"/>
          <w:b/>
          <w:caps/>
          <w:color w:val="000000"/>
          <w:sz w:val="28"/>
        </w:rPr>
      </w:pPr>
      <w:r>
        <w:rPr>
          <w:rFonts w:ascii="Times New Roman" w:hAnsi="Times New Roman"/>
          <w:b/>
          <w:caps/>
          <w:color w:val="000000"/>
          <w:sz w:val="28"/>
        </w:rPr>
        <w:t>(2026 Equity Incentive Plan)</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As reflected by your Stock Option Grant Notice (“</w:t>
      </w:r>
      <w:r>
        <w:rPr>
          <w:rFonts w:ascii="Times New Roman" w:hAnsi="Times New Roman"/>
          <w:b/>
          <w:i/>
          <w:color w:val="000000"/>
          <w:sz w:val="24"/>
        </w:rPr>
        <w:t>Grant Notice</w:t>
      </w:r>
      <w:r>
        <w:rPr>
          <w:rFonts w:ascii="Times New Roman" w:hAnsi="Times New Roman"/>
          <w:color w:val="000000"/>
          <w:sz w:val="20"/>
        </w:rPr>
        <w:t>”</w:t>
      </w:r>
      <w:r>
        <w:rPr>
          <w:rFonts w:ascii="Times New Roman" w:hAnsi="Times New Roman"/>
          <w:color w:val="000000"/>
          <w:sz w:val="24"/>
        </w:rPr>
        <w:t>), Syndax Pharmaceuticals,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granted you an option under the Company’s 2026 Equity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to purchase a number of shares of Common Stock at the exercise price indicated in your Grant Notice (the “</w:t>
      </w:r>
      <w:r>
        <w:rPr>
          <w:rFonts w:ascii="Times New Roman" w:hAnsi="Times New Roman"/>
          <w:b/>
          <w:i/>
          <w:color w:val="000000"/>
          <w:sz w:val="24"/>
        </w:rPr>
        <w:t>Option</w:t>
      </w:r>
      <w:r>
        <w:rPr>
          <w:rFonts w:ascii="Times New Roman" w:hAnsi="Times New Roman"/>
          <w:color w:val="000000"/>
          <w:sz w:val="20"/>
        </w:rPr>
        <w:t>”</w:t>
      </w:r>
      <w:r>
        <w:rPr>
          <w:rFonts w:ascii="Times New Roman" w:hAnsi="Times New Roman"/>
          <w:color w:val="000000"/>
          <w:sz w:val="24"/>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general terms and conditions applicable to your Option are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smallCaps/>
          <w:color w:val="000000"/>
          <w:sz w:val="24"/>
        </w:rPr>
        <w:t>Governing Plan Document.</w:t>
      </w:r>
      <w:r>
        <w:rPr>
          <w:color w:val="000000"/>
        </w:rPr>
        <w:t xml:space="preserve"> </w:t>
      </w:r>
      <w:r>
        <w:rPr>
          <w:rFonts w:ascii="Times New Roman" w:hAnsi="Times New Roman"/>
          <w:color w:val="000000"/>
          <w:sz w:val="24"/>
        </w:rPr>
        <w:t>Your Option is subject to all the provisions of the Plan, including but not limited to the provisions 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 regarding the impact of a Capitalization Adjustment, dissolution, liquidation, or Corporate Transaction on your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9(e) regarding the Company’s retained rights to terminate your Continuous Service notwithstanding the grant of the Option;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8 regarding the tax consequences of your Option. </w:t>
      </w:r>
    </w:p>
    <w:p>
      <w:pPr>
        <w:pStyle w:val="TextBody"/>
        <w:bidi w:val="0"/>
        <w:spacing w:before="0" w:after="240"/>
        <w:jc w:val="both"/>
        <w:rPr>
          <w:rFonts w:ascii="Times New Roman" w:hAnsi="Times New Roman"/>
          <w:sz w:val="20"/>
        </w:rPr>
      </w:pPr>
      <w:r>
        <w:rPr>
          <w:rFonts w:ascii="Times New Roman" w:hAnsi="Times New Roman"/>
          <w:color w:val="000000"/>
          <w:sz w:val="24"/>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Exercise.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may generally exercise the vested portion of your Option for whole shares of Common Stock of not less than 100 shares (unless the number of vested shares of Common Stock being purchased is the total number remaining available for purchase under the Option)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permitted by Applicable Law, you may pay your Option exercise price as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cash, check, bank draft or money order;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Company and/or Committee consent at the time of exercise, pursuant to a “cashless exercise” program as further described in Section 4(c)(ii) of the Plan if at the time of exercise the Common Stock is publicly traded;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Company and/or Committee consent at the time of exercise, by delivery of previously owned shares of Common Stock as further described in Section 4(c)(iii) of the Plan;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Company and/or Committee consent at the time of exercise, if the Option is a Nonstatutory Stock Option, by a “net exercise” arrangement as further described in Section 4(c)(iv)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w:t>
      </w:r>
      <w:r>
        <w:rPr>
          <w:strike/>
          <w:color w:val="000000"/>
        </w:rPr>
        <w:t xml:space="preserve"> </w:t>
      </w:r>
      <w:r>
        <w:rPr>
          <w:rFonts w:ascii="Times New Roman" w:hAnsi="Times New Roman"/>
          <w:color w:val="000000"/>
          <w:sz w:val="24"/>
        </w:rPr>
        <w:t>(the “</w:t>
      </w:r>
      <w:r>
        <w:rPr>
          <w:rFonts w:ascii="Times New Roman" w:hAnsi="Times New Roman"/>
          <w:b/>
          <w:i/>
          <w:color w:val="000000"/>
          <w:sz w:val="24"/>
        </w:rPr>
        <w:t>Lock-Up Period</w:t>
      </w:r>
      <w:r>
        <w:rPr>
          <w:color w:val="000000"/>
        </w:rPr>
        <w:t>”</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smallCaps/>
          <w:color w:val="000000"/>
          <w:sz w:val="24"/>
        </w:rPr>
        <w:t>Term.</w:t>
      </w:r>
      <w:r>
        <w:rPr>
          <w:color w:val="000000"/>
        </w:rPr>
        <w:t xml:space="preserve"> </w:t>
      </w:r>
      <w:r>
        <w:rPr>
          <w:rFonts w:ascii="Times New Roman" w:hAnsi="Times New Roman"/>
          <w:color w:val="000000"/>
          <w:sz w:val="24"/>
        </w:rPr>
        <w:t>You may not exercise your Option before the commencement of its term or after its term expires. The term of your Option commences on the Date of Grant and expires upon the earliest of the following: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upon the termination of your Continuous Service for Cause;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three months after the termination of your Continuous Service for any reason other than Cause, Disability or death;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months after the termination of your Continuous Service due to your Disability;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months after your death if you die during your Continuous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immediately upon a Corporate Transaction if the Board has determined that the Option will terminate in connection with a Corporate Transaction,</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Expiration Date indicated in your Grant Notice;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day before the 10th anniversary of the Date of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if you die during the period provided in Section 3(b) or 3(c) above, the term of your Option shall not expire until the earlier of (i) 12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smallCaps/>
          <w:color w:val="000000"/>
          <w:sz w:val="24"/>
        </w:rPr>
        <w:t xml:space="preserve">Withholding Obligations. </w:t>
      </w:r>
      <w:r>
        <w:rPr>
          <w:rFonts w:ascii="Times New Roman" w:hAnsi="Times New Roman"/>
          <w:color w:val="000000"/>
          <w:sz w:val="24"/>
        </w:rPr>
        <w:t>As further provided in Section 8 of the Plan: (a) you may not exercise your Option unless the 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smallCaps/>
          <w:color w:val="000000"/>
          <w:sz w:val="24"/>
        </w:rPr>
        <w:t>Incentive Stock Option Disposition Requirement.</w:t>
      </w:r>
      <w:r>
        <w:rPr>
          <w:color w:val="000000"/>
        </w:rPr>
        <w:t xml:space="preserve"> </w:t>
      </w:r>
      <w:r>
        <w:rPr>
          <w:rFonts w:ascii="Times New Roman" w:hAnsi="Times New Roman"/>
          <w:color w:val="000000"/>
          <w:sz w:val="24"/>
        </w:rPr>
        <w:t>If your Option is an Incentive Stock Option, you must notify the Company in writing 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smallCaps/>
          <w:color w:val="000000"/>
          <w:sz w:val="24"/>
        </w:rPr>
        <w:t>Transferability.</w:t>
      </w:r>
      <w:r>
        <w:rPr>
          <w:color w:val="000000"/>
        </w:rPr>
        <w:t xml:space="preserve"> </w:t>
      </w:r>
      <w:r>
        <w:rPr>
          <w:rFonts w:ascii="Times New Roman" w:hAnsi="Times New Roman"/>
          <w:color w:val="000000"/>
          <w:sz w:val="24"/>
        </w:rPr>
        <w:t xml:space="preserve">Except as otherwise provided in Section 4(e) of the Plan, your Option is not transferable, except by will or by the applicable laws of descent and distribution, and is exercisable during your life only by you.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smallCaps/>
          <w:color w:val="000000"/>
          <w:sz w:val="24"/>
        </w:rPr>
        <w:t>Corporate Transaction.</w:t>
      </w:r>
      <w:r>
        <w:rPr>
          <w:color w:val="000000"/>
        </w:rPr>
        <w:t xml:space="preserve"> </w:t>
      </w:r>
      <w:r>
        <w:rPr>
          <w:rFonts w:ascii="Times New Roman" w:hAnsi="Times New Roman"/>
          <w:color w:val="000000"/>
          <w:sz w:val="24"/>
        </w:rPr>
        <w:t xml:space="preserve">Your Option is subject to the terms of any agreement governing a Corporate Transaction involving the Company, including, without limitation, a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provision for the appointment of a stockholder representative that is authorized to act on your behalf with respect to any escrow, indemnities and any contingent consideration.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smallCaps/>
          <w:color w:val="000000"/>
          <w:sz w:val="24"/>
        </w:rPr>
        <w:t>No Liability for Taxes</w:t>
      </w:r>
      <w:r>
        <w:rPr>
          <w:rFonts w:ascii="Times New Roman" w:hAnsi="Times New Roman"/>
          <w:b/>
          <w:color w:val="000000"/>
          <w:sz w:val="24"/>
        </w:rPr>
        <w:t>.</w:t>
      </w:r>
      <w:r>
        <w:rPr>
          <w:color w:val="000000"/>
        </w:rPr>
        <w:t xml:space="preserve"> </w:t>
      </w:r>
      <w:r>
        <w:rPr>
          <w:rFonts w:ascii="Times New Roman" w:hAnsi="Times New Roman"/>
          <w:color w:val="000000"/>
          <w:sz w:val="24"/>
        </w:rPr>
        <w:t>As a condition to accepting the Option, you hereby (a) agree to not make any claim against the 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smallCaps/>
          <w:color w:val="000000"/>
          <w:sz w:val="24"/>
        </w:rPr>
        <w:t>Severability</w:t>
      </w:r>
      <w:r>
        <w:rPr>
          <w:rFonts w:ascii="Times New Roman" w:hAnsi="Times New Roman"/>
          <w:b/>
          <w:color w:val="000000"/>
          <w:sz w:val="24"/>
        </w:rPr>
        <w:t>.</w:t>
      </w:r>
      <w:r>
        <w:rPr>
          <w:color w:val="000000"/>
        </w:rPr>
        <w:t xml:space="preserve"> </w:t>
      </w:r>
      <w:r>
        <w:rPr>
          <w:rFonts w:ascii="Times New Roman" w:hAnsi="Times New Roman"/>
          <w:color w:val="000000"/>
          <w:sz w:val="24"/>
        </w:rPr>
        <w:t>If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smallCaps/>
          <w:color w:val="000000"/>
          <w:sz w:val="24"/>
        </w:rPr>
        <w:t>Other Documents.</w:t>
      </w:r>
      <w:r>
        <w:rPr>
          <w:color w:val="000000"/>
        </w:rPr>
        <w:t xml:space="preserve"> </w:t>
      </w:r>
      <w:r>
        <w:rPr>
          <w:rFonts w:ascii="Times New Roman" w:hAnsi="Times New Roman"/>
          <w:color w:val="000000"/>
          <w:sz w:val="24"/>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smallCaps/>
          <w:color w:val="000000"/>
          <w:sz w:val="24"/>
        </w:rPr>
        <w:t xml:space="preserve">Questions. </w:t>
      </w:r>
      <w:r>
        <w:rPr>
          <w:rFonts w:ascii="Times New Roman" w:hAnsi="Times New Roman"/>
          <w:color w:val="000000"/>
          <w:sz w:val="24"/>
        </w:rPr>
        <w:t>If you have questions regarding these or any other terms and conditions applicable to your Option, including a summary of the applicable federal income tax consequences please see the Prospectus.</w:t>
      </w:r>
    </w:p>
    <w:p>
      <w:pPr>
        <w:pStyle w:val="TextBody"/>
        <w:bidi w:val="0"/>
        <w:spacing w:before="0" w:after="480"/>
        <w:jc w:val="center"/>
        <w:rPr>
          <w:rFonts w:ascii="Times New Roman" w:hAnsi="Times New Roman"/>
          <w:b/>
          <w:smallCaps/>
          <w:color w:val="000000"/>
          <w:sz w:val="24"/>
        </w:rPr>
      </w:pPr>
      <w:r>
        <w:rPr>
          <w:rFonts w:ascii="Times New Roman" w:hAnsi="Times New Roman"/>
          <w:b/>
          <w:smallCaps/>
          <w:color w:val="000000"/>
          <w:sz w:val="24"/>
        </w:rPr>
        <w:t>* * *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Attachment II</w:t>
      </w:r>
    </w:p>
    <w:p>
      <w:pPr>
        <w:pStyle w:val="TextBody"/>
        <w:bidi w:val="0"/>
        <w:jc w:val="center"/>
        <w:rPr>
          <w:rFonts w:ascii="Times New Roman" w:hAnsi="Times New Roman"/>
          <w:b/>
          <w:smallCaps/>
          <w:color w:val="000000"/>
          <w:sz w:val="28"/>
        </w:rPr>
      </w:pPr>
      <w:r>
        <w:rPr>
          <w:rFonts w:ascii="Times New Roman" w:hAnsi="Times New Roman"/>
          <w:b/>
          <w:smallCaps/>
          <w:color w:val="000000"/>
          <w:sz w:val="28"/>
        </w:rPr>
        <w:t>Syndax Pharmaceuticals, Inc.</w:t>
      </w:r>
    </w:p>
    <w:p>
      <w:pPr>
        <w:pStyle w:val="TextBody"/>
        <w:bidi w:val="0"/>
        <w:jc w:val="center"/>
        <w:rPr>
          <w:rFonts w:ascii="Times New Roman" w:hAnsi="Times New Roman"/>
          <w:b/>
          <w:color w:val="000000"/>
          <w:sz w:val="24"/>
        </w:rPr>
      </w:pPr>
      <w:r>
        <w:rPr>
          <w:rFonts w:ascii="Times New Roman" w:hAnsi="Times New Roman"/>
          <w:b/>
          <w:color w:val="000000"/>
          <w:sz w:val="24"/>
        </w:rPr>
        <w:t>NOTICE OF EXERCISE</w:t>
      </w:r>
    </w:p>
    <w:p>
      <w:pPr>
        <w:pStyle w:val="TextBody"/>
        <w:bidi w:val="0"/>
        <w:jc w:val="center"/>
        <w:rPr>
          <w:rFonts w:ascii="Times New Roman" w:hAnsi="Times New Roman"/>
          <w:b/>
          <w:smallCaps/>
          <w:color w:val="000000"/>
          <w:sz w:val="28"/>
        </w:rPr>
      </w:pPr>
      <w:r>
        <w:rPr>
          <w:rFonts w:ascii="Times New Roman" w:hAnsi="Times New Roman"/>
          <w:b/>
          <w:smallCaps/>
          <w:color w:val="000000"/>
          <w:sz w:val="28"/>
        </w:rPr>
        <w:t>(2026 Equity Incentive Plan)</w:t>
      </w:r>
    </w:p>
    <w:p>
      <w:pPr>
        <w:pStyle w:val="TextBody"/>
        <w:bidi w:val="0"/>
        <w:spacing w:before="360" w:after="283"/>
        <w:jc w:val="both"/>
        <w:rPr>
          <w:rFonts w:ascii="Times New Roman" w:hAnsi="Times New Roman"/>
          <w:b/>
          <w:smallCaps/>
          <w:color w:val="000000"/>
          <w:sz w:val="24"/>
        </w:rPr>
      </w:pPr>
      <w:r>
        <w:rPr>
          <w:rFonts w:ascii="Times New Roman" w:hAnsi="Times New Roman"/>
          <w:b/>
          <w:smallCaps/>
          <w:color w:val="000000"/>
          <w:sz w:val="24"/>
        </w:rPr>
        <w:t>Syndax Pharmaceuticals, Inc.</w:t>
      </w:r>
    </w:p>
    <w:p>
      <w:pPr>
        <w:pStyle w:val="TextBody"/>
        <w:bidi w:val="0"/>
        <w:spacing w:before="0" w:after="24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Date of Exercise: _______________</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constitutes notice to Syndax Pharmaceuticals,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that I elect to purchase the below number of shares of Common Stock of the Company (the</w:t>
      </w:r>
      <w:r>
        <w:rPr>
          <w:rFonts w:ascii="Times New Roman" w:hAnsi="Times New Roman"/>
          <w:color w:val="000000"/>
          <w:sz w:val="20"/>
        </w:rPr>
        <w:t xml:space="preserv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by exercising my Option for the price set forth below. Capitalized terms not explicitly defined in this Notice of Exercise but defined in the Stock Option Grant Notice, Stock Option Agreement or 2026 Equity Incentive Plan</w:t>
      </w:r>
      <w:r>
        <w:rPr>
          <w:rFonts w:ascii="Times New Roman" w:hAnsi="Times New Roman"/>
          <w:color w:val="0070C0"/>
          <w:sz w:val="20"/>
        </w:rPr>
        <w:t xml:space="preserve"> </w:t>
      </w:r>
      <w:r>
        <w:rPr>
          <w:rFonts w:ascii="Times New Roman" w:hAnsi="Times New Roman"/>
          <w:color w:val="000000"/>
          <w:sz w:val="24"/>
        </w:rPr>
        <w:t>(the</w:t>
      </w:r>
      <w:r>
        <w:rPr>
          <w:rFonts w:ascii="Times New Roman" w:hAnsi="Times New Roman"/>
          <w:color w:val="000000"/>
          <w:sz w:val="20"/>
        </w:rPr>
        <w:t xml:space="preserv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tbl>
      <w:tblPr>
        <w:tblW w:w="10205" w:type="dxa"/>
        <w:jc w:val="left"/>
        <w:tblInd w:w="0" w:type="dxa"/>
        <w:tblLayout w:type="fixed"/>
        <w:tblCellMar>
          <w:top w:w="28" w:type="dxa"/>
          <w:left w:w="28" w:type="dxa"/>
          <w:bottom w:w="28" w:type="dxa"/>
          <w:right w:w="28" w:type="dxa"/>
        </w:tblCellMar>
      </w:tblPr>
      <w:tblGrid>
        <w:gridCol w:w="5345"/>
        <w:gridCol w:w="588"/>
        <w:gridCol w:w="2169"/>
        <w:gridCol w:w="2103"/>
      </w:tblGrid>
      <w:tr>
        <w:trPr/>
        <w:tc>
          <w:tcPr>
            <w:tcW w:w="534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r>
      <w:tr>
        <w:trPr/>
        <w:tc>
          <w:tcPr>
            <w:tcW w:w="534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Type of option (check one):</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c>
          <w:tcPr>
            <w:tcW w:w="2169" w:type="dxa"/>
            <w:tcBorders/>
            <w:tcMar>
              <w:top w:w="0" w:type="dxa"/>
              <w:left w:w="0" w:type="dxa"/>
              <w:bottom w:w="0" w:type="dxa"/>
              <w:right w:w="0" w:type="dxa"/>
            </w:tcMar>
            <w:vAlign w:val="center"/>
          </w:tcPr>
          <w:p>
            <w:pPr>
              <w:pStyle w:val="TableContents"/>
              <w:bidi w:val="0"/>
              <w:spacing w:before="0" w:after="240"/>
              <w:ind w:left="0" w:right="0" w:firstLine="532"/>
              <w:jc w:val="both"/>
              <w:rPr>
                <w:rFonts w:ascii="Times New Roman" w:hAnsi="Times New Roman"/>
                <w:color w:val="000000"/>
                <w:sz w:val="24"/>
              </w:rPr>
            </w:pPr>
            <w:r>
              <w:rPr>
                <w:rFonts w:ascii="Times New Roman" w:hAnsi="Times New Roman"/>
                <w:color w:val="000000"/>
                <w:sz w:val="24"/>
              </w:rPr>
              <w:t>Incentive </w:t>
            </w:r>
          </w:p>
        </w:tc>
        <w:tc>
          <w:tcPr>
            <w:tcW w:w="2103" w:type="dxa"/>
            <w:tcBorders/>
            <w:tcMar>
              <w:top w:w="0" w:type="dxa"/>
              <w:left w:w="0" w:type="dxa"/>
              <w:bottom w:w="0" w:type="dxa"/>
              <w:right w:w="0" w:type="dxa"/>
            </w:tcMar>
            <w:vAlign w:val="center"/>
          </w:tcPr>
          <w:p>
            <w:pPr>
              <w:pStyle w:val="TableContents"/>
              <w:bidi w:val="0"/>
              <w:spacing w:before="0" w:after="240"/>
              <w:ind w:left="0" w:right="0" w:firstLine="532"/>
              <w:jc w:val="both"/>
              <w:rPr>
                <w:rFonts w:ascii="Times New Roman" w:hAnsi="Times New Roman"/>
                <w:color w:val="000000"/>
                <w:sz w:val="24"/>
              </w:rPr>
            </w:pPr>
            <w:r>
              <w:rPr>
                <w:rFonts w:ascii="Times New Roman" w:hAnsi="Times New Roman"/>
                <w:color w:val="000000"/>
                <w:sz w:val="24"/>
              </w:rPr>
              <w:t>Nonstatutory </w:t>
            </w:r>
          </w:p>
        </w:tc>
      </w:tr>
      <w:tr>
        <w:trPr/>
        <w:tc>
          <w:tcPr>
            <w:tcW w:w="534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Date of Grant:</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c>
          <w:tcPr>
            <w:tcW w:w="2169" w:type="dxa"/>
            <w:tcBorders/>
            <w:tcMar>
              <w:top w:w="0" w:type="dxa"/>
              <w:left w:w="0" w:type="dxa"/>
              <w:bottom w:w="0" w:type="dxa"/>
              <w:right w:w="0" w:type="dxa"/>
            </w:tcMar>
            <w:vAlign w:val="center"/>
          </w:tcPr>
          <w:p>
            <w:pPr>
              <w:pStyle w:val="TableContents"/>
              <w:bidi w:val="0"/>
              <w:spacing w:before="0" w:after="240"/>
              <w:ind w:left="0" w:right="0" w:firstLine="442"/>
              <w:jc w:val="both"/>
              <w:rPr>
                <w:rFonts w:ascii="Times New Roman" w:hAnsi="Times New Roman"/>
                <w:color w:val="000000"/>
                <w:sz w:val="24"/>
              </w:rPr>
            </w:pPr>
            <w:r>
              <w:rPr>
                <w:rFonts w:ascii="Times New Roman" w:hAnsi="Times New Roman"/>
                <w:color w:val="000000"/>
                <w:sz w:val="24"/>
              </w:rPr>
              <w:t>_______________</w:t>
            </w:r>
          </w:p>
        </w:tc>
        <w:tc>
          <w:tcPr>
            <w:tcW w:w="2103"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534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Number of Shares as</w:t>
              <w:br/>
              <w:t>to which Option is</w:t>
              <w:br/>
              <w:t>exercised:</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c>
          <w:tcPr>
            <w:tcW w:w="2169" w:type="dxa"/>
            <w:tcBorders/>
            <w:tcMar>
              <w:top w:w="0" w:type="dxa"/>
              <w:left w:w="0" w:type="dxa"/>
              <w:bottom w:w="0" w:type="dxa"/>
              <w:right w:w="0" w:type="dxa"/>
            </w:tcMar>
            <w:vAlign w:val="center"/>
          </w:tcPr>
          <w:p>
            <w:pPr>
              <w:pStyle w:val="TableContents"/>
              <w:bidi w:val="0"/>
              <w:spacing w:before="0" w:after="240"/>
              <w:ind w:left="0" w:right="0" w:firstLine="442"/>
              <w:jc w:val="both"/>
              <w:rPr>
                <w:rFonts w:ascii="Times New Roman" w:hAnsi="Times New Roman"/>
                <w:color w:val="000000"/>
                <w:sz w:val="24"/>
              </w:rPr>
            </w:pPr>
            <w:r>
              <w:rPr>
                <w:rFonts w:ascii="Times New Roman" w:hAnsi="Times New Roman"/>
                <w:color w:val="000000"/>
                <w:sz w:val="24"/>
              </w:rPr>
              <w:t>_______________</w:t>
            </w:r>
          </w:p>
        </w:tc>
        <w:tc>
          <w:tcPr>
            <w:tcW w:w="2103"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534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Certificates to be</w:t>
              <w:br/>
              <w:t>issued in name of:</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c>
          <w:tcPr>
            <w:tcW w:w="2169" w:type="dxa"/>
            <w:tcBorders/>
            <w:tcMar>
              <w:top w:w="0" w:type="dxa"/>
              <w:left w:w="0" w:type="dxa"/>
              <w:bottom w:w="0" w:type="dxa"/>
              <w:right w:w="0" w:type="dxa"/>
            </w:tcMar>
            <w:vAlign w:val="center"/>
          </w:tcPr>
          <w:p>
            <w:pPr>
              <w:pStyle w:val="TableContents"/>
              <w:bidi w:val="0"/>
              <w:spacing w:before="0" w:after="240"/>
              <w:ind w:left="0" w:right="0" w:firstLine="442"/>
              <w:jc w:val="both"/>
              <w:rPr>
                <w:rFonts w:ascii="Times New Roman" w:hAnsi="Times New Roman"/>
                <w:color w:val="000000"/>
                <w:sz w:val="24"/>
              </w:rPr>
            </w:pPr>
            <w:r>
              <w:rPr>
                <w:rFonts w:ascii="Times New Roman" w:hAnsi="Times New Roman"/>
                <w:color w:val="000000"/>
                <w:sz w:val="24"/>
              </w:rPr>
              <w:t>_______________</w:t>
            </w:r>
          </w:p>
        </w:tc>
        <w:tc>
          <w:tcPr>
            <w:tcW w:w="2103" w:type="dxa"/>
            <w:tcBorders/>
            <w:tcMar>
              <w:top w:w="0" w:type="dxa"/>
              <w:left w:w="0" w:type="dxa"/>
              <w:bottom w:w="0" w:type="dxa"/>
              <w:right w:w="0" w:type="dxa"/>
            </w:tcMar>
            <w:vAlign w:val="center"/>
          </w:tcPr>
          <w:p>
            <w:pPr>
              <w:pStyle w:val="TableContents"/>
              <w:bidi w:val="0"/>
              <w:spacing w:before="0" w:after="240"/>
              <w:jc w:val="both"/>
              <w:rPr/>
            </w:pPr>
            <w:r>
              <w:rPr/>
              <w:t> </w:t>
            </w:r>
          </w:p>
        </w:tc>
      </w:tr>
      <w:tr>
        <w:trPr/>
        <w:tc>
          <w:tcPr>
            <w:tcW w:w="534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Total exercise price:</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c>
          <w:tcPr>
            <w:tcW w:w="2169" w:type="dxa"/>
            <w:tcBorders/>
            <w:tcMar>
              <w:top w:w="0" w:type="dxa"/>
              <w:left w:w="0" w:type="dxa"/>
              <w:bottom w:w="0" w:type="dxa"/>
              <w:right w:w="0" w:type="dxa"/>
            </w:tcMar>
            <w:vAlign w:val="center"/>
          </w:tcPr>
          <w:p>
            <w:pPr>
              <w:pStyle w:val="TableContents"/>
              <w:bidi w:val="0"/>
              <w:spacing w:before="0" w:after="240"/>
              <w:ind w:left="0" w:right="0" w:firstLine="442"/>
              <w:jc w:val="both"/>
              <w:rPr>
                <w:rFonts w:ascii="Times New Roman" w:hAnsi="Times New Roman"/>
                <w:color w:val="000000"/>
                <w:sz w:val="24"/>
              </w:rPr>
            </w:pPr>
            <w:r>
              <w:rPr>
                <w:rFonts w:ascii="Times New Roman" w:hAnsi="Times New Roman"/>
                <w:color w:val="000000"/>
                <w:sz w:val="24"/>
              </w:rPr>
              <w:t>$______________</w:t>
            </w:r>
          </w:p>
        </w:tc>
        <w:tc>
          <w:tcPr>
            <w:tcW w:w="2103" w:type="dxa"/>
            <w:tcBorders/>
            <w:tcMar>
              <w:top w:w="0" w:type="dxa"/>
              <w:left w:w="0" w:type="dxa"/>
              <w:bottom w:w="0" w:type="dxa"/>
              <w:right w:w="0" w:type="dxa"/>
            </w:tcMar>
            <w:vAlign w:val="center"/>
          </w:tcPr>
          <w:p>
            <w:pPr>
              <w:pStyle w:val="TableContents"/>
              <w:bidi w:val="0"/>
              <w:spacing w:before="0" w:after="240"/>
              <w:ind w:left="0" w:right="0" w:firstLine="705"/>
              <w:jc w:val="both"/>
              <w:rPr/>
            </w:pPr>
            <w:r>
              <w:rPr/>
              <w:t> </w:t>
            </w:r>
          </w:p>
        </w:tc>
      </w:tr>
      <w:tr>
        <w:trPr/>
        <w:tc>
          <w:tcPr>
            <w:tcW w:w="534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Cash, check, bank draft or money order delivered herewith:</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c>
          <w:tcPr>
            <w:tcW w:w="2169" w:type="dxa"/>
            <w:tcBorders/>
            <w:tcMar>
              <w:top w:w="0" w:type="dxa"/>
              <w:left w:w="0" w:type="dxa"/>
              <w:bottom w:w="0" w:type="dxa"/>
              <w:right w:w="0" w:type="dxa"/>
            </w:tcMar>
            <w:vAlign w:val="center"/>
          </w:tcPr>
          <w:p>
            <w:pPr>
              <w:pStyle w:val="TableContents"/>
              <w:bidi w:val="0"/>
              <w:spacing w:before="0" w:after="240"/>
              <w:ind w:left="0" w:right="0" w:firstLine="442"/>
              <w:jc w:val="both"/>
              <w:rPr>
                <w:rFonts w:ascii="Times New Roman" w:hAnsi="Times New Roman"/>
                <w:color w:val="000000"/>
                <w:sz w:val="24"/>
              </w:rPr>
            </w:pPr>
            <w:r>
              <w:rPr>
                <w:rFonts w:ascii="Times New Roman" w:hAnsi="Times New Roman"/>
                <w:color w:val="000000"/>
                <w:sz w:val="24"/>
              </w:rPr>
              <w:t>$______________</w:t>
            </w:r>
          </w:p>
        </w:tc>
        <w:tc>
          <w:tcPr>
            <w:tcW w:w="2103" w:type="dxa"/>
            <w:tcBorders/>
            <w:tcMar>
              <w:top w:w="0" w:type="dxa"/>
              <w:left w:w="0" w:type="dxa"/>
              <w:bottom w:w="0" w:type="dxa"/>
              <w:right w:w="0" w:type="dxa"/>
            </w:tcMar>
            <w:vAlign w:val="center"/>
          </w:tcPr>
          <w:p>
            <w:pPr>
              <w:pStyle w:val="TableContents"/>
              <w:bidi w:val="0"/>
              <w:spacing w:before="0" w:after="240"/>
              <w:ind w:left="0" w:right="0" w:firstLine="705"/>
              <w:jc w:val="both"/>
              <w:rPr/>
            </w:pPr>
            <w:r>
              <w:rPr/>
              <w:t> </w:t>
            </w:r>
          </w:p>
        </w:tc>
      </w:tr>
      <w:tr>
        <w:trPr/>
        <w:tc>
          <w:tcPr>
            <w:tcW w:w="534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Value of ________ Shares delivered herewith:</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c>
          <w:tcPr>
            <w:tcW w:w="2169" w:type="dxa"/>
            <w:tcBorders/>
            <w:tcMar>
              <w:top w:w="0" w:type="dxa"/>
              <w:left w:w="0" w:type="dxa"/>
              <w:bottom w:w="0" w:type="dxa"/>
              <w:right w:w="0" w:type="dxa"/>
            </w:tcMar>
            <w:vAlign w:val="center"/>
          </w:tcPr>
          <w:p>
            <w:pPr>
              <w:pStyle w:val="TableContents"/>
              <w:bidi w:val="0"/>
              <w:spacing w:before="0" w:after="240"/>
              <w:ind w:left="0" w:right="0" w:firstLine="442"/>
              <w:jc w:val="both"/>
              <w:rPr>
                <w:rFonts w:ascii="Times New Roman" w:hAnsi="Times New Roman"/>
                <w:color w:val="000000"/>
                <w:sz w:val="24"/>
              </w:rPr>
            </w:pPr>
            <w:r>
              <w:rPr>
                <w:rFonts w:ascii="Times New Roman" w:hAnsi="Times New Roman"/>
                <w:color w:val="000000"/>
                <w:sz w:val="24"/>
              </w:rPr>
              <w:t>$______________</w:t>
            </w:r>
          </w:p>
        </w:tc>
        <w:tc>
          <w:tcPr>
            <w:tcW w:w="2103" w:type="dxa"/>
            <w:tcBorders/>
            <w:tcMar>
              <w:top w:w="0" w:type="dxa"/>
              <w:left w:w="0" w:type="dxa"/>
              <w:bottom w:w="0" w:type="dxa"/>
              <w:right w:w="0" w:type="dxa"/>
            </w:tcMar>
            <w:vAlign w:val="center"/>
          </w:tcPr>
          <w:p>
            <w:pPr>
              <w:pStyle w:val="TableContents"/>
              <w:bidi w:val="0"/>
              <w:spacing w:before="0" w:after="240"/>
              <w:ind w:left="0" w:right="0" w:firstLine="705"/>
              <w:jc w:val="both"/>
              <w:rPr/>
            </w:pPr>
            <w:r>
              <w:rPr/>
              <w:t> </w:t>
            </w:r>
          </w:p>
        </w:tc>
      </w:tr>
      <w:tr>
        <w:trPr/>
        <w:tc>
          <w:tcPr>
            <w:tcW w:w="534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Regulation T Program (cashless exercise)</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c>
          <w:tcPr>
            <w:tcW w:w="4272" w:type="dxa"/>
            <w:gridSpan w:val="2"/>
            <w:tcBorders/>
            <w:tcMar>
              <w:top w:w="0" w:type="dxa"/>
              <w:left w:w="0" w:type="dxa"/>
              <w:bottom w:w="0" w:type="dxa"/>
              <w:right w:w="0" w:type="dxa"/>
            </w:tcMar>
            <w:vAlign w:val="center"/>
          </w:tcPr>
          <w:p>
            <w:pPr>
              <w:pStyle w:val="TableContents"/>
              <w:bidi w:val="0"/>
              <w:spacing w:before="0" w:after="240"/>
              <w:ind w:left="0" w:right="0" w:firstLine="705"/>
              <w:jc w:val="both"/>
              <w:rPr>
                <w:rFonts w:ascii="Times New Roman" w:hAnsi="Times New Roman"/>
                <w:color w:val="000000"/>
                <w:sz w:val="24"/>
              </w:rPr>
            </w:pPr>
            <w:r>
              <w:rPr>
                <w:rFonts w:ascii="Times New Roman" w:hAnsi="Times New Roman"/>
                <w:color w:val="000000"/>
                <w:sz w:val="24"/>
              </w:rPr>
              <w:t>$_____________</w:t>
            </w:r>
          </w:p>
        </w:tc>
      </w:tr>
      <w:tr>
        <w:trPr/>
        <w:tc>
          <w:tcPr>
            <w:tcW w:w="5345" w:type="dxa"/>
            <w:tcBorders/>
            <w:tcMar>
              <w:top w:w="0" w:type="dxa"/>
              <w:left w:w="0" w:type="dxa"/>
              <w:bottom w:w="0" w:type="dxa"/>
              <w:right w:w="0" w:type="dxa"/>
            </w:tcMar>
            <w:vAlign w:val="center"/>
          </w:tcPr>
          <w:p>
            <w:pPr>
              <w:pStyle w:val="TableContents"/>
              <w:bidi w:val="0"/>
              <w:spacing w:before="0" w:after="240"/>
              <w:ind w:left="0" w:right="0" w:firstLine="442"/>
              <w:jc w:val="left"/>
              <w:rPr>
                <w:rFonts w:ascii="Times New Roman" w:hAnsi="Times New Roman"/>
                <w:color w:val="000000"/>
                <w:sz w:val="24"/>
              </w:rPr>
            </w:pPr>
            <w:r>
              <w:rPr>
                <w:rFonts w:ascii="Times New Roman" w:hAnsi="Times New Roman"/>
                <w:color w:val="000000"/>
                <w:sz w:val="24"/>
              </w:rPr>
              <w:t>Value of _______ Shares pursuant to net exercise:</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c>
          <w:tcPr>
            <w:tcW w:w="4272" w:type="dxa"/>
            <w:gridSpan w:val="2"/>
            <w:tcBorders/>
            <w:tcMar>
              <w:top w:w="0" w:type="dxa"/>
              <w:left w:w="0" w:type="dxa"/>
              <w:bottom w:w="0" w:type="dxa"/>
              <w:right w:w="0" w:type="dxa"/>
            </w:tcMar>
            <w:vAlign w:val="center"/>
          </w:tcPr>
          <w:p>
            <w:pPr>
              <w:pStyle w:val="TableContents"/>
              <w:bidi w:val="0"/>
              <w:spacing w:before="0" w:after="240"/>
              <w:ind w:left="0" w:right="0" w:firstLine="712"/>
              <w:jc w:val="both"/>
              <w:rPr>
                <w:rFonts w:ascii="Times New Roman" w:hAnsi="Times New Roman"/>
                <w:color w:val="000000"/>
                <w:sz w:val="24"/>
              </w:rPr>
            </w:pPr>
            <w:r>
              <w:rPr>
                <w:rFonts w:ascii="Times New Roman" w:hAnsi="Times New Roman"/>
                <w:color w:val="000000"/>
                <w:sz w:val="24"/>
              </w:rPr>
              <w:t>$_____________</w:t>
            </w:r>
          </w:p>
        </w:tc>
      </w:tr>
      <w:tr>
        <w:trPr/>
        <w:tc>
          <w:tcPr>
            <w:tcW w:w="5345" w:type="dxa"/>
            <w:tcBorders/>
            <w:tcMar>
              <w:top w:w="0" w:type="dxa"/>
              <w:left w:w="0" w:type="dxa"/>
              <w:bottom w:w="0" w:type="dxa"/>
              <w:right w:w="0" w:type="dxa"/>
            </w:tcMar>
            <w:vAlign w:val="center"/>
          </w:tcPr>
          <w:p>
            <w:pPr>
              <w:pStyle w:val="TableContents"/>
              <w:bidi w:val="0"/>
              <w:spacing w:before="0" w:after="240"/>
              <w:ind w:left="0" w:right="0" w:firstLine="442"/>
              <w:jc w:val="left"/>
              <w:rPr/>
            </w:pPr>
            <w:r>
              <w:rPr/>
              <w:t> </w:t>
            </w:r>
          </w:p>
        </w:tc>
        <w:tc>
          <w:tcPr>
            <w:tcW w:w="588" w:type="dxa"/>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c>
          <w:tcPr>
            <w:tcW w:w="4272" w:type="dxa"/>
            <w:gridSpan w:val="2"/>
            <w:tcBorders/>
            <w:tcMar>
              <w:top w:w="0" w:type="dxa"/>
              <w:left w:w="0" w:type="dxa"/>
              <w:bottom w:w="0" w:type="dxa"/>
              <w:right w:w="0" w:type="dxa"/>
            </w:tcMar>
            <w:vAlign w:val="center"/>
          </w:tcPr>
          <w:p>
            <w:pPr>
              <w:pStyle w:val="TableContents"/>
              <w:bidi w:val="0"/>
              <w:spacing w:before="0" w:after="240"/>
              <w:ind w:left="0" w:right="0" w:firstLine="442"/>
              <w:jc w:val="both"/>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pStyle w:val="TextBody"/>
        <w:bidi w:val="0"/>
        <w:spacing w:before="0" w:after="240"/>
        <w:jc w:val="both"/>
        <w:rPr>
          <w:rFonts w:ascii="Times New Roman" w:hAnsi="Times New Roman"/>
          <w:sz w:val="20"/>
        </w:rPr>
      </w:pPr>
      <w:r>
        <w:rPr>
          <w:rFonts w:ascii="Times New Roman" w:hAnsi="Times New Roman"/>
          <w:color w:val="000000"/>
          <w:sz w:val="24"/>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Times New Roman" w:hAnsi="Times New Roman"/>
          <w:b/>
          <w:i/>
          <w:color w:val="000000"/>
          <w:sz w:val="24"/>
        </w:rPr>
        <w:t>Lock-Up Period</w:t>
      </w:r>
      <w:r>
        <w:rPr>
          <w:rFonts w:ascii="Times New Roman" w:hAnsi="Times New Roman"/>
          <w:color w:val="000000"/>
          <w:sz w:val="20"/>
        </w:rPr>
        <w:t>”</w:t>
      </w:r>
      <w:r>
        <w:rPr>
          <w:rFonts w:ascii="Times New Roman" w:hAnsi="Times New Roman"/>
          <w:color w:val="000000"/>
          <w:sz w:val="24"/>
        </w:rPr>
        <w:t>). I further agree to execute and deliver such other agreements as may be reasonably requested by the Company or the underwriters that are consistent with the foregoing or that are necessary to give further effect thereto. To enforce the foregoing covenant, the Company may impose stop</w:t>
        <w:noBreakHyphen/>
        <w:t>transfer instructions with respect to securities subject to the foregoing restrictions until the end of such period.</w:t>
      </w:r>
    </w:p>
    <w:p>
      <w:pPr>
        <w:pStyle w:val="TextBody"/>
        <w:bidi w:val="0"/>
        <w:spacing w:before="0" w:after="240"/>
        <w:jc w:val="both"/>
        <w:rPr/>
      </w:pPr>
      <w:r>
        <w:rPr/>
        <w:t> </w:t>
      </w:r>
    </w:p>
    <w:p>
      <w:pPr>
        <w:pStyle w:val="TextBody"/>
        <w:bidi w:val="0"/>
        <w:spacing w:before="0" w:after="600"/>
        <w:jc w:val="both"/>
        <w:rPr>
          <w:rFonts w:ascii="Times New Roman" w:hAnsi="Times New Roman"/>
          <w:color w:val="000000"/>
          <w:sz w:val="24"/>
        </w:rPr>
      </w:pPr>
      <w:r>
        <w:rPr>
          <w:rFonts w:ascii="Times New Roman" w:hAnsi="Times New Roman"/>
          <w:color w:val="000000"/>
          <w:sz w:val="24"/>
        </w:rPr>
        <w:t>Very truly yours,</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9" w:name="sndx-ex10_3.htm"/>
      <w:bookmarkStart w:id="20" w:name="kssndxex10_3"/>
      <w:bookmarkEnd w:id="19"/>
      <w:bookmarkEnd w:id="20"/>
      <w:r>
        <w:rPr>
          <w:rFonts w:ascii="Times New Roman" w:hAnsi="Times New Roman"/>
          <w:b/>
          <w:color w:val="000000"/>
          <w:sz w:val="24"/>
        </w:rPr>
        <w:t>Exhibit 10.3</w:t>
      </w:r>
      <w:r>
        <w:br w:type="page"/>
      </w:r>
    </w:p>
    <w:p>
      <w:pPr>
        <w:pStyle w:val="TextBody"/>
        <w:bidi w:val="0"/>
        <w:spacing w:before="0" w:after="480"/>
        <w:jc w:val="center"/>
        <w:rPr>
          <w:rFonts w:ascii="Times New Roman" w:hAnsi="Times New Roman"/>
          <w:b/>
          <w:smallCaps/>
          <w:color w:val="000000"/>
          <w:sz w:val="28"/>
        </w:rPr>
      </w:pPr>
      <w:r>
        <w:rPr>
          <w:rFonts w:ascii="Times New Roman" w:hAnsi="Times New Roman"/>
          <w:b/>
          <w:smallCaps/>
          <w:color w:val="000000"/>
          <w:sz w:val="28"/>
        </w:rPr>
        <w:t>Syndax Pharmaceuticals, Inc.</w:t>
        <w:br/>
        <w:t>RSU Award Grant Notice</w:t>
        <w:br/>
        <w:t>(2026 Equity Incentive Plan)</w:t>
      </w:r>
    </w:p>
    <w:p>
      <w:pPr>
        <w:pStyle w:val="TextBody"/>
        <w:bidi w:val="0"/>
        <w:spacing w:before="0" w:after="240"/>
        <w:jc w:val="both"/>
        <w:rPr>
          <w:rFonts w:ascii="Times New Roman" w:hAnsi="Times New Roman"/>
          <w:sz w:val="20"/>
        </w:rPr>
      </w:pPr>
      <w:r>
        <w:rPr>
          <w:rFonts w:ascii="Times New Roman" w:hAnsi="Times New Roman"/>
          <w:color w:val="000000"/>
          <w:sz w:val="24"/>
        </w:rPr>
        <w:t>Syndax Pharmaceuticals,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awarded to you (the “</w:t>
      </w:r>
      <w:r>
        <w:rPr>
          <w:rFonts w:ascii="Times New Roman" w:hAnsi="Times New Roman"/>
          <w:b/>
          <w:i/>
          <w:color w:val="000000"/>
          <w:sz w:val="24"/>
        </w:rPr>
        <w:t>Participant</w:t>
      </w:r>
      <w:r>
        <w:rPr>
          <w:rFonts w:ascii="Times New Roman" w:hAnsi="Times New Roman"/>
          <w:color w:val="000000"/>
          <w:sz w:val="20"/>
        </w:rPr>
        <w:t>”</w:t>
      </w:r>
      <w:r>
        <w:rPr>
          <w:rFonts w:ascii="Times New Roman" w:hAnsi="Times New Roman"/>
          <w:color w:val="000000"/>
          <w:sz w:val="24"/>
        </w:rPr>
        <w:t>) the number of restricted stock units specified and on the terms set forth below in consideration of your services (the “</w:t>
      </w:r>
      <w:r>
        <w:rPr>
          <w:rFonts w:ascii="Times New Roman" w:hAnsi="Times New Roman"/>
          <w:b/>
          <w:i/>
          <w:color w:val="000000"/>
          <w:sz w:val="24"/>
        </w:rPr>
        <w:t>RSU Award</w:t>
      </w:r>
      <w:r>
        <w:rPr>
          <w:rFonts w:ascii="Times New Roman" w:hAnsi="Times New Roman"/>
          <w:color w:val="000000"/>
          <w:sz w:val="20"/>
        </w:rPr>
        <w:t>”</w:t>
      </w:r>
      <w:r>
        <w:rPr>
          <w:rFonts w:ascii="Times New Roman" w:hAnsi="Times New Roman"/>
          <w:color w:val="000000"/>
          <w:sz w:val="24"/>
        </w:rPr>
        <w:t>). Your RSU Award is subject to all of the terms and conditions as set forth herein and in the Syndax Pharmaceuticals, Inc. 2026 Equity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the Award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which are incorporated herein in their entirety. Capitalized terms not explicitly defined herein but defined in the Plan or the Agreement shall have the meanings set forth in the Plan or the Agreement.</w:t>
      </w:r>
    </w:p>
    <w:p>
      <w:pPr>
        <w:pStyle w:val="TextBody"/>
        <w:bidi w:val="0"/>
        <w:jc w:val="both"/>
        <w:rPr>
          <w:rFonts w:ascii="Times New Roman" w:hAnsi="Times New Roman"/>
          <w:color w:val="000000"/>
          <w:sz w:val="24"/>
        </w:rPr>
      </w:pPr>
      <w:r>
        <w:rPr>
          <w:rFonts w:ascii="Times New Roman" w:hAnsi="Times New Roman"/>
          <w:color w:val="000000"/>
          <w:sz w:val="24"/>
        </w:rPr>
        <w:t xml:space="preserve">Participant: </w:t>
      </w:r>
    </w:p>
    <w:p>
      <w:pPr>
        <w:pStyle w:val="TextBody"/>
        <w:bidi w:val="0"/>
        <w:jc w:val="both"/>
        <w:rPr>
          <w:rFonts w:ascii="Times New Roman" w:hAnsi="Times New Roman"/>
          <w:color w:val="000000"/>
          <w:sz w:val="24"/>
        </w:rPr>
      </w:pPr>
      <w:r>
        <w:rPr>
          <w:rFonts w:ascii="Times New Roman" w:hAnsi="Times New Roman"/>
          <w:color w:val="000000"/>
          <w:sz w:val="24"/>
        </w:rPr>
        <w:t xml:space="preserve">Date of Grant: </w:t>
      </w:r>
    </w:p>
    <w:p>
      <w:pPr>
        <w:pStyle w:val="TextBody"/>
        <w:bidi w:val="0"/>
        <w:jc w:val="both"/>
        <w:rPr>
          <w:rFonts w:ascii="Times New Roman" w:hAnsi="Times New Roman"/>
          <w:color w:val="000000"/>
          <w:sz w:val="24"/>
        </w:rPr>
      </w:pPr>
      <w:r>
        <w:rPr>
          <w:rFonts w:ascii="Times New Roman" w:hAnsi="Times New Roman"/>
          <w:color w:val="000000"/>
          <w:sz w:val="24"/>
        </w:rPr>
        <w:t xml:space="preserve">Vesting Commencement Date: </w:t>
      </w:r>
    </w:p>
    <w:p>
      <w:pPr>
        <w:pStyle w:val="TextBody"/>
        <w:bidi w:val="0"/>
        <w:jc w:val="both"/>
        <w:rPr>
          <w:rFonts w:ascii="Times New Roman" w:hAnsi="Times New Roman"/>
          <w:color w:val="000000"/>
          <w:sz w:val="24"/>
        </w:rPr>
      </w:pPr>
      <w:r>
        <w:rPr>
          <w:rFonts w:ascii="Times New Roman" w:hAnsi="Times New Roman"/>
          <w:color w:val="000000"/>
          <w:sz w:val="24"/>
        </w:rPr>
        <w:t xml:space="preserve">Number of Restricted Stock Units: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Vesting Schedule:</w:t>
      </w:r>
      <w:r>
        <w:rPr>
          <w:rFonts w:ascii="Times New Roman" w:hAnsi="Times New Roman"/>
          <w:color w:val="000000"/>
          <w:sz w:val="20"/>
        </w:rPr>
        <w:t xml:space="preserve"> </w:t>
      </w:r>
      <w:r>
        <w:rPr>
          <w:rFonts w:ascii="Times New Roman" w:hAnsi="Times New Roman"/>
          <w:color w:val="000000"/>
          <w:sz w:val="24"/>
        </w:rPr>
        <w:t>[____________________________________________________________].</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Notwithstanding the foregoing, vesting shall terminate upon the Participant’s termination of Continuous Service.</w:t>
      </w:r>
    </w:p>
    <w:p>
      <w:pPr>
        <w:pStyle w:val="TextBody"/>
        <w:bidi w:val="0"/>
        <w:jc w:val="left"/>
        <w:rPr/>
      </w:pPr>
      <w:r>
        <w:rPr/>
        <w:t> </w:t>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4"/>
        </w:rPr>
        <w:t xml:space="preserve">Issuance Schedule: </w:t>
      </w:r>
      <w:r>
        <w:rPr>
          <w:rFonts w:ascii="Times New Roman" w:hAnsi="Times New Roman"/>
          <w:color w:val="000000"/>
          <w:sz w:val="24"/>
        </w:rPr>
        <w:t>One share of Common Stock will be issued at the time set forth in Section 5 of the Agreement for each restricted stock unit which vests.</w:t>
      </w:r>
    </w:p>
    <w:p>
      <w:pPr>
        <w:pStyle w:val="TextBody"/>
        <w:bidi w:val="0"/>
        <w:spacing w:before="0" w:after="120"/>
        <w:jc w:val="both"/>
        <w:rPr>
          <w:rFonts w:ascii="Times New Roman" w:hAnsi="Times New Roman"/>
          <w:sz w:val="20"/>
        </w:rPr>
      </w:pPr>
      <w:r>
        <w:rPr>
          <w:rFonts w:ascii="Times New Roman" w:hAnsi="Times New Roman"/>
          <w:b/>
          <w:color w:val="000000"/>
          <w:sz w:val="24"/>
        </w:rPr>
        <w:t>Participant Acknowledgements:</w:t>
      </w:r>
      <w:r>
        <w:rPr>
          <w:rFonts w:ascii="Times New Roman" w:hAnsi="Times New Roman"/>
          <w:color w:val="000000"/>
          <w:sz w:val="20"/>
        </w:rPr>
        <w:t xml:space="preserve"> </w:t>
      </w:r>
      <w:r>
        <w:rPr>
          <w:rFonts w:ascii="Times New Roman" w:hAnsi="Times New Roman"/>
          <w:color w:val="000000"/>
          <w:sz w:val="24"/>
        </w:rPr>
        <w:t>By your signature below or by electronic acceptance or authentication in a form authorized by the Company, you understand and agree that: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4"/>
        </w:rPr>
        <w:t>The RSU Award is governed by this RSU Award Grant Notice (the “</w:t>
      </w:r>
      <w:r>
        <w:rPr>
          <w:rFonts w:ascii="Times New Roman" w:hAnsi="Times New Roman"/>
          <w:b/>
          <w:i/>
          <w:color w:val="000000"/>
          <w:sz w:val="24"/>
        </w:rPr>
        <w:t>Grant Notice</w:t>
      </w:r>
      <w:r>
        <w:rPr>
          <w:color w:val="000000"/>
        </w:rPr>
        <w:t>”</w:t>
      </w:r>
      <w:r>
        <w:rPr>
          <w:rFonts w:ascii="Times New Roman" w:hAnsi="Times New Roman"/>
          <w:color w:val="000000"/>
          <w:sz w:val="24"/>
        </w:rPr>
        <w:t>), and the provisions of the Plan and the Agreement, all of which are made a part of this document. Unless otherwise provided in the Plan, this Grant Notice and the Agreement (together, the “</w:t>
      </w:r>
      <w:r>
        <w:rPr>
          <w:rFonts w:ascii="Times New Roman" w:hAnsi="Times New Roman"/>
          <w:b/>
          <w:i/>
          <w:color w:val="000000"/>
          <w:sz w:val="24"/>
        </w:rPr>
        <w:t>RSU Award Agreement</w:t>
      </w:r>
      <w:r>
        <w:rPr>
          <w:color w:val="000000"/>
        </w:rPr>
        <w:t>”</w:t>
      </w:r>
      <w:r>
        <w:rPr>
          <w:rFonts w:ascii="Times New Roman" w:hAnsi="Times New Roman"/>
          <w:color w:val="000000"/>
          <w:sz w:val="24"/>
        </w:rPr>
        <w:t>) may not be modified, amended or revised except in a writing signed by you and a duly authorized officer of the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5132" w:type="dxa"/>
        <w:jc w:val="left"/>
        <w:tblInd w:w="0" w:type="dxa"/>
        <w:tblLayout w:type="fixed"/>
        <w:tblCellMar>
          <w:top w:w="28" w:type="dxa"/>
          <w:left w:w="28" w:type="dxa"/>
          <w:bottom w:w="28" w:type="dxa"/>
          <w:right w:w="28" w:type="dxa"/>
        </w:tblCellMar>
      </w:tblPr>
      <w:tblGrid>
        <w:gridCol w:w="3541"/>
        <w:gridCol w:w="1591"/>
      </w:tblGrid>
      <w:tr>
        <w:trPr/>
        <w:tc>
          <w:tcPr>
            <w:tcW w:w="354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5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smallCaps/>
                <w:color w:val="000000"/>
                <w:sz w:val="24"/>
              </w:rPr>
            </w:pPr>
            <w:r>
              <w:rPr>
                <w:rFonts w:ascii="Times New Roman" w:hAnsi="Times New Roman"/>
                <w:b/>
                <w:smallCaps/>
                <w:color w:val="000000"/>
                <w:sz w:val="24"/>
              </w:rPr>
              <w:t>Syndax Pharmaceuticals, Inc.</w:t>
            </w:r>
          </w:p>
          <w:p>
            <w:pPr>
              <w:pStyle w:val="TableContents"/>
              <w:bidi w:val="0"/>
              <w:jc w:val="both"/>
              <w:rPr>
                <w:rFonts w:ascii="Times New Roman" w:hAnsi="Times New Roman"/>
                <w:color w:val="000000"/>
                <w:sz w:val="24"/>
              </w:rPr>
            </w:pPr>
            <w:r>
              <w:rPr>
                <w:rFonts w:ascii="Times New Roman" w:hAnsi="Times New Roman"/>
                <w:color w:val="000000"/>
                <w:sz w:val="24"/>
              </w:rPr>
              <w:t>By:</w:t>
            </w:r>
          </w:p>
          <w:p>
            <w:pPr>
              <w:pStyle w:val="TableContents"/>
              <w:bidi w:val="0"/>
              <w:spacing w:before="0" w:after="120"/>
              <w:jc w:val="both"/>
              <w:rPr>
                <w:color w:val="000000"/>
              </w:rPr>
            </w:pPr>
            <w:r>
              <w:rPr>
                <w:color w:val="000000"/>
              </w:rPr>
              <w:t> </w:t>
            </w:r>
            <w:r>
              <w:rPr>
                <w:rFonts w:ascii="Times New Roman" w:hAnsi="Times New Roman"/>
                <w:color w:val="000000"/>
                <w:sz w:val="24"/>
              </w:rPr>
              <w:t>Signature</w:t>
            </w:r>
          </w:p>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Title:</w:t>
            </w:r>
          </w:p>
          <w:p>
            <w:pPr>
              <w:pStyle w:val="TableContents"/>
              <w:bidi w:val="0"/>
              <w:jc w:val="both"/>
              <w:rPr/>
            </w:pPr>
            <w:r>
              <w:rPr/>
              <w:t> </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Date:</w:t>
            </w:r>
          </w:p>
        </w:tc>
        <w:tc>
          <w:tcPr>
            <w:tcW w:w="159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smallCaps/>
                <w:color w:val="000000"/>
                <w:sz w:val="24"/>
              </w:rPr>
            </w:pPr>
            <w:r>
              <w:rPr>
                <w:rFonts w:ascii="Times New Roman" w:hAnsi="Times New Roman"/>
                <w:b/>
                <w:smallCaps/>
                <w:color w:val="000000"/>
                <w:sz w:val="24"/>
              </w:rPr>
              <w:t>Participant:</w:t>
            </w:r>
          </w:p>
          <w:p>
            <w:pPr>
              <w:pStyle w:val="TableContents"/>
              <w:bidi w:val="0"/>
              <w:jc w:val="both"/>
              <w:rPr/>
            </w:pPr>
            <w:r>
              <w:rPr/>
              <w:t> </w:t>
            </w:r>
          </w:p>
          <w:p>
            <w:pPr>
              <w:pStyle w:val="TableContents"/>
              <w:bidi w:val="0"/>
              <w:spacing w:before="0" w:after="120"/>
              <w:jc w:val="both"/>
              <w:rPr>
                <w:color w:val="000000"/>
              </w:rPr>
            </w:pPr>
            <w:r>
              <w:rPr>
                <w:color w:val="000000"/>
              </w:rPr>
              <w:t> </w:t>
            </w:r>
            <w:r>
              <w:rPr>
                <w:rFonts w:ascii="Times New Roman" w:hAnsi="Times New Roman"/>
                <w:color w:val="000000"/>
                <w:sz w:val="24"/>
              </w:rPr>
              <w:t>Signature</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 xml:space="preserve">Date: </w:t>
            </w:r>
          </w:p>
        </w:tc>
      </w:tr>
    </w:tbl>
    <w:p>
      <w:pPr>
        <w:pStyle w:val="TextBody"/>
        <w:bidi w:val="0"/>
        <w:spacing w:before="0" w:after="240"/>
        <w:jc w:val="both"/>
        <w:rPr>
          <w:rFonts w:ascii="Times New Roman" w:hAnsi="Times New Roman"/>
          <w:sz w:val="20"/>
        </w:rPr>
      </w:pPr>
      <w:r>
        <w:rPr>
          <w:rFonts w:ascii="Times New Roman" w:hAnsi="Times New Roman"/>
          <w:b/>
          <w:smallCaps/>
          <w:color w:val="000000"/>
          <w:sz w:val="24"/>
        </w:rPr>
        <w:t>Attachments</w:t>
      </w:r>
      <w:r>
        <w:rPr>
          <w:rFonts w:ascii="Times New Roman" w:hAnsi="Times New Roman"/>
          <w:color w:val="000000"/>
          <w:sz w:val="24"/>
        </w:rPr>
        <w:t>: Award Agreement</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Attachment I</w:t>
      </w:r>
    </w:p>
    <w:p>
      <w:pPr>
        <w:pStyle w:val="TextBody"/>
        <w:bidi w:val="0"/>
        <w:jc w:val="center"/>
        <w:rPr/>
      </w:pPr>
      <w:r>
        <w:rPr/>
        <w:t> </w:t>
      </w:r>
    </w:p>
    <w:p>
      <w:pPr>
        <w:pStyle w:val="TextBody"/>
        <w:bidi w:val="0"/>
        <w:jc w:val="center"/>
        <w:rPr>
          <w:rFonts w:ascii="Times New Roman" w:hAnsi="Times New Roman"/>
          <w:b/>
          <w:caps/>
          <w:color w:val="000000"/>
          <w:sz w:val="28"/>
        </w:rPr>
      </w:pPr>
      <w:r>
        <w:rPr>
          <w:rFonts w:ascii="Times New Roman" w:hAnsi="Times New Roman"/>
          <w:b/>
          <w:caps/>
          <w:color w:val="000000"/>
          <w:sz w:val="28"/>
        </w:rPr>
        <w:t xml:space="preserve">Syndax Pharmaceuticals, Inc. </w:t>
        <w:br/>
        <w:t>Award Agreement</w:t>
      </w:r>
    </w:p>
    <w:p>
      <w:pPr>
        <w:pStyle w:val="TextBody"/>
        <w:bidi w:val="0"/>
        <w:jc w:val="center"/>
        <w:rPr>
          <w:rFonts w:ascii="Times New Roman" w:hAnsi="Times New Roman"/>
          <w:b/>
          <w:caps/>
          <w:color w:val="000000"/>
          <w:sz w:val="28"/>
        </w:rPr>
      </w:pPr>
      <w:r>
        <w:rPr>
          <w:rFonts w:ascii="Times New Roman" w:hAnsi="Times New Roman"/>
          <w:b/>
          <w:caps/>
          <w:color w:val="000000"/>
          <w:sz w:val="28"/>
        </w:rPr>
        <w:t>(2026 Equity Incentive Plan)</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As reflected by your RSU Award Grant Notice (“</w:t>
      </w:r>
      <w:r>
        <w:rPr>
          <w:rFonts w:ascii="Times New Roman" w:hAnsi="Times New Roman"/>
          <w:b/>
          <w:i/>
          <w:color w:val="000000"/>
          <w:sz w:val="24"/>
        </w:rPr>
        <w:t>Grant Notice</w:t>
      </w:r>
      <w:r>
        <w:rPr>
          <w:rFonts w:ascii="Times New Roman" w:hAnsi="Times New Roman"/>
          <w:color w:val="000000"/>
          <w:sz w:val="20"/>
        </w:rPr>
        <w:t>”</w:t>
      </w:r>
      <w:r>
        <w:rPr>
          <w:rFonts w:ascii="Times New Roman" w:hAnsi="Times New Roman"/>
          <w:color w:val="000000"/>
          <w:sz w:val="24"/>
        </w:rPr>
        <w:t>), Syndax Pharmaceuticals,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granted you a RSU Award under the Syndax Pharmaceuticals, Inc. 2026 Equity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for the number of restricted stock units as indicated in your Grant Notice (the “</w:t>
      </w:r>
      <w:r>
        <w:rPr>
          <w:rFonts w:ascii="Times New Roman" w:hAnsi="Times New Roman"/>
          <w:b/>
          <w:i/>
          <w:color w:val="000000"/>
          <w:sz w:val="24"/>
        </w:rPr>
        <w:t>RSU Award</w:t>
      </w:r>
      <w:r>
        <w:rPr>
          <w:rFonts w:ascii="Times New Roman" w:hAnsi="Times New Roman"/>
          <w:color w:val="000000"/>
          <w:sz w:val="20"/>
        </w:rPr>
        <w:t>”</w:t>
      </w:r>
      <w:r>
        <w:rPr>
          <w:rFonts w:ascii="Times New Roman" w:hAnsi="Times New Roman"/>
          <w:color w:val="000000"/>
          <w:sz w:val="24"/>
        </w:rPr>
        <w:t>). The terms of your RSU Award as specified in this Award Agreement for your RSU Award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and the Grant Notice constitute your “</w:t>
      </w:r>
      <w:r>
        <w:rPr>
          <w:rFonts w:ascii="Times New Roman" w:hAnsi="Times New Roman"/>
          <w:b/>
          <w:i/>
          <w:color w:val="000000"/>
          <w:sz w:val="24"/>
        </w:rPr>
        <w:t>RSU Award Agreement</w:t>
      </w:r>
      <w:r>
        <w:rPr>
          <w:rFonts w:ascii="Times New Roman" w:hAnsi="Times New Roman"/>
          <w:color w:val="000000"/>
          <w:sz w:val="20"/>
        </w:rPr>
        <w:t>”</w:t>
      </w:r>
      <w:r>
        <w:rPr>
          <w:rFonts w:ascii="Times New Roman" w:hAnsi="Times New Roman"/>
          <w:color w:val="000000"/>
          <w:sz w:val="24"/>
        </w:rPr>
        <w:t>. Defined terms not explicitly defined in this Agreement but defined in the Grant Notice or the Plan shall have the same definitions as in the Grant Notice or Plan,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general terms applicable to your RSU Award are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smallCaps/>
          <w:color w:val="000000"/>
          <w:sz w:val="24"/>
        </w:rPr>
        <w:t>Governing Plan Document.</w:t>
      </w:r>
      <w:r>
        <w:rPr>
          <w:color w:val="000000"/>
        </w:rPr>
        <w:t xml:space="preserve"> </w:t>
      </w:r>
      <w:r>
        <w:rPr>
          <w:rFonts w:ascii="Times New Roman" w:hAnsi="Times New Roman"/>
          <w:color w:val="000000"/>
          <w:sz w:val="24"/>
        </w:rPr>
        <w:t xml:space="preserve">Your RSU Award is subject to all the provisions of the Plan, including but not limited to the provisions in: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 of the Plan regarding the impact of a Capitalization Adjustment, dissolution, liquidation, or Corporate Transaction on your RSU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9(e) of the Plan regarding the Company’s retained rights to terminate your Continuous Service notwithstanding the grant of the RSU Award; and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8 of the Plan regarding the tax consequences of your RSU Award. </w:t>
      </w:r>
    </w:p>
    <w:p>
      <w:pPr>
        <w:pStyle w:val="TextBody"/>
        <w:bidi w:val="0"/>
        <w:spacing w:before="0" w:after="240"/>
        <w:jc w:val="both"/>
        <w:rPr>
          <w:rFonts w:ascii="Times New Roman" w:hAnsi="Times New Roman"/>
          <w:sz w:val="20"/>
        </w:rPr>
      </w:pPr>
      <w:r>
        <w:rPr>
          <w:rFonts w:ascii="Times New Roman" w:hAnsi="Times New Roman"/>
          <w:color w:val="000000"/>
          <w:sz w:val="24"/>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smallCaps/>
          <w:color w:val="000000"/>
          <w:sz w:val="24"/>
        </w:rPr>
        <w:t xml:space="preserve">Grant of the RSU Award. </w:t>
      </w:r>
      <w:r>
        <w:rPr>
          <w:rFonts w:ascii="Times New Roman" w:hAnsi="Times New Roman"/>
          <w:color w:val="000000"/>
          <w:sz w:val="24"/>
        </w:rPr>
        <w:t>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hAnsi="Times New Roman"/>
          <w:b/>
          <w:i/>
          <w:color w:val="000000"/>
          <w:sz w:val="24"/>
        </w:rPr>
        <w:t>Restricted Stock Units</w:t>
      </w:r>
      <w:r>
        <w:rPr>
          <w:color w:val="000000"/>
        </w:rPr>
        <w:t>”</w:t>
      </w:r>
      <w:r>
        <w:rPr>
          <w:rFonts w:ascii="Times New Roman" w:hAnsi="Times New Roman"/>
          <w:color w:val="000000"/>
          <w:sz w:val="24"/>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smallCaps/>
          <w:color w:val="000000"/>
          <w:sz w:val="24"/>
        </w:rPr>
        <w:t>Dividends.</w:t>
      </w:r>
      <w:r>
        <w:rPr>
          <w:color w:val="000000"/>
        </w:rPr>
        <w:t xml:space="preserve"> </w:t>
      </w:r>
      <w:r>
        <w:rPr>
          <w:rFonts w:ascii="Times New Roman" w:hAnsi="Times New Roman"/>
          <w:color w:val="000000"/>
          <w:sz w:val="24"/>
        </w:rPr>
        <w:t xml:space="preserve">You shall receive no benefit or adjustment to this RSU Award with respect to any cash dividend, stock dividend or other distribution that does not result from a Capitalization Adjustment; provided, however, that this sentence will not apply with respect to any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of Common Stock that are delivered to you in connection with your RSU Award after such shares have been delivered to you.</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smallCaps/>
          <w:color w:val="000000"/>
          <w:sz w:val="24"/>
        </w:rPr>
        <w:t>Withholding Obligations.</w:t>
      </w:r>
      <w:bookmarkStart w:id="21" w:name="ole_link5"/>
      <w:bookmarkEnd w:id="21"/>
      <w:r>
        <w:rPr>
          <w:smallCaps/>
          <w:color w:val="000000"/>
        </w:rPr>
        <w:t xml:space="preserve"> </w:t>
      </w:r>
      <w:r>
        <w:rPr>
          <w:rFonts w:ascii="Times New Roman" w:hAnsi="Times New Roman"/>
          <w:color w:val="000000"/>
          <w:sz w:val="24"/>
        </w:rPr>
        <w:t>As further provided in Section 8 of the Plan, you hereby authorize withholding from payroll and any other amounts payable to you, and otherwise agree to make adequate provision for, any sums required to satisfy the federal, state, local and foreign tax withholding obligations, if any, which arise in connection with your RSU Award (the “</w:t>
      </w:r>
      <w:r>
        <w:rPr>
          <w:rFonts w:ascii="Times New Roman" w:hAnsi="Times New Roman"/>
          <w:b/>
          <w:i/>
          <w:color w:val="000000"/>
          <w:sz w:val="24"/>
        </w:rPr>
        <w:t>Withholding Obligation</w:t>
      </w:r>
      <w:r>
        <w:rPr>
          <w:color w:val="000000"/>
        </w:rPr>
        <w:t>”</w:t>
      </w:r>
      <w:r>
        <w:rPr>
          <w:rFonts w:ascii="Times New Roman" w:hAnsi="Times New Roman"/>
          <w:color w:val="000000"/>
          <w:sz w:val="24"/>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 xml:space="preserve">Date of Issuance.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hAnsi="Times New Roman"/>
          <w:b/>
          <w:i/>
          <w:color w:val="000000"/>
          <w:sz w:val="24"/>
        </w:rPr>
        <w:t>Original Issuance Date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 xml:space="preserve">If the Original Issuance Date falls on a date that is not a business day, delivery shall instead occur on the next following business day. In addition, </w:t>
      </w:r>
      <w:r>
        <w:rPr>
          <w:rFonts w:ascii="Times New Roman" w:hAnsi="Times New Roman"/>
          <w:color w:val="000000"/>
          <w:sz w:val="24"/>
          <w:u w:val="single"/>
        </w:rPr>
        <w:t>if</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4"/>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hAnsi="Times New Roman"/>
          <w:b/>
          <w:i/>
          <w:color w:val="000000"/>
          <w:sz w:val="24"/>
        </w:rPr>
        <w:t>10b5-1 Arrangement</w:t>
      </w:r>
      <w:r>
        <w:rPr>
          <w:color w:val="000000"/>
        </w:rPr>
        <w:t>”</w:t>
      </w:r>
      <w:r>
        <w:rPr>
          <w:rFonts w:ascii="Times New Roman" w:hAnsi="Times New Roman"/>
          <w:color w:val="000000"/>
          <w:sz w:val="24"/>
        </w:rPr>
        <w:t xml:space="preserve">)), </w:t>
      </w:r>
      <w:r>
        <w:rPr>
          <w:rFonts w:ascii="Times New Roman" w:hAnsi="Times New Roman"/>
          <w:i/>
          <w:color w:val="000000"/>
          <w:sz w:val="24"/>
        </w:rPr>
        <w:t>and</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then</w:t>
      </w:r>
      <w:r>
        <w:rPr>
          <w:rFonts w:ascii="Times New Roman" w:hAnsi="Times New Roman"/>
          <w:color w:val="000000"/>
          <w:sz w:val="20"/>
        </w:rPr>
        <w:t xml:space="preserve"> </w:t>
      </w:r>
      <w:r>
        <w:rPr>
          <w:rFonts w:ascii="Times New Roman" w:hAnsi="Times New Roman"/>
          <w:color w:val="000000"/>
          <w:sz w:val="24"/>
        </w:rPr>
        <w:t>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Issuance Date occurs (that is, the last day of your taxable year in which the Original Issuance Date occurs), or, </w:t>
      </w:r>
      <w:r>
        <w:rPr>
          <w:rFonts w:ascii="Times New Roman" w:hAnsi="Times New Roman"/>
          <w:color w:val="000000"/>
          <w:sz w:val="24"/>
          <w:u w:val="single"/>
        </w:rPr>
        <w:t>if and only if</w:t>
      </w:r>
      <w:r>
        <w:rPr>
          <w:rFonts w:ascii="Times New Roman" w:hAnsi="Times New Roman"/>
          <w:color w:val="000000"/>
          <w:sz w:val="20"/>
        </w:rPr>
        <w:t xml:space="preserve"> </w:t>
      </w:r>
      <w:r>
        <w:rPr>
          <w:rFonts w:ascii="Times New Roman" w:hAnsi="Times New Roman"/>
          <w:color w:val="000000"/>
          <w:sz w:val="24"/>
        </w:rPr>
        <w:t>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the RSU Award is a Non-Exempt Award, the provisions of Section 11 of the Plan shall apply.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smallCaps/>
          <w:color w:val="000000"/>
          <w:sz w:val="24"/>
        </w:rPr>
        <w:t>Transferability.</w:t>
      </w:r>
      <w:r>
        <w:rPr>
          <w:color w:val="000000"/>
        </w:rPr>
        <w:t xml:space="preserve"> </w:t>
      </w:r>
      <w:r>
        <w:rPr>
          <w:rFonts w:ascii="Times New Roman" w:hAnsi="Times New Roman"/>
          <w:color w:val="000000"/>
          <w:sz w:val="24"/>
        </w:rPr>
        <w:t xml:space="preserve">Except as otherwise provided in the Plan, your RSU Award is not transferable, except by will or by the applicable laws of descent and distribution.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smallCaps/>
          <w:color w:val="000000"/>
          <w:sz w:val="24"/>
        </w:rPr>
        <w:t>Corporate Transaction.</w:t>
      </w:r>
      <w:r>
        <w:rPr>
          <w:color w:val="000000"/>
        </w:rPr>
        <w:t xml:space="preserve"> </w:t>
      </w:r>
      <w:r>
        <w:rPr>
          <w:rFonts w:ascii="Times New Roman" w:hAnsi="Times New Roman"/>
          <w:color w:val="000000"/>
          <w:sz w:val="24"/>
        </w:rPr>
        <w:t>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smallCaps/>
          <w:color w:val="000000"/>
          <w:sz w:val="24"/>
        </w:rPr>
        <w:t>No Liability for Taxes</w:t>
      </w:r>
      <w:r>
        <w:rPr>
          <w:rFonts w:ascii="Times New Roman" w:hAnsi="Times New Roman"/>
          <w:color w:val="000000"/>
          <w:sz w:val="24"/>
        </w:rPr>
        <w:t>.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smallCaps/>
          <w:color w:val="000000"/>
          <w:sz w:val="24"/>
        </w:rPr>
        <w:t>Severability</w:t>
      </w:r>
      <w:r>
        <w:rPr>
          <w:rFonts w:ascii="Times New Roman" w:hAnsi="Times New Roman"/>
          <w:color w:val="000000"/>
          <w:sz w:val="24"/>
        </w:rPr>
        <w:t>.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smallCaps/>
          <w:color w:val="000000"/>
          <w:sz w:val="24"/>
        </w:rPr>
        <w:t>Other Documents.</w:t>
      </w:r>
      <w:r>
        <w:rPr>
          <w:color w:val="000000"/>
        </w:rPr>
        <w:t xml:space="preserve"> </w:t>
      </w:r>
      <w:r>
        <w:rPr>
          <w:rFonts w:ascii="Times New Roman" w:hAnsi="Times New Roman"/>
          <w:color w:val="000000"/>
          <w:sz w:val="24"/>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smallCaps/>
          <w:color w:val="000000"/>
          <w:sz w:val="24"/>
        </w:rPr>
        <w:t xml:space="preserve">Questions. </w:t>
      </w:r>
      <w:r>
        <w:rPr>
          <w:rFonts w:ascii="Times New Roman" w:hAnsi="Times New Roman"/>
          <w:color w:val="000000"/>
          <w:sz w:val="24"/>
        </w:rPr>
        <w:t>If you have questions regarding these or any other terms and conditions applicable to your RSU Award, including a summary of the applicable federal income tax consequences please see the Prospectus.</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 * *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sndx-ex10_4.htm"/>
      <w:bookmarkStart w:id="23" w:name="kssndxex10_4"/>
      <w:bookmarkEnd w:id="22"/>
      <w:bookmarkEnd w:id="23"/>
      <w:r>
        <w:rPr>
          <w:rFonts w:ascii="Times New Roman" w:hAnsi="Times New Roman"/>
          <w:b/>
          <w:color w:val="000000"/>
          <w:sz w:val="24"/>
        </w:rPr>
        <w:t>Exhibit 10.4</w:t>
      </w:r>
      <w:r>
        <w:br w:type="page"/>
      </w:r>
    </w:p>
    <w:p>
      <w:pPr>
        <w:pStyle w:val="TextBody"/>
        <w:bidi w:val="0"/>
        <w:spacing w:before="0" w:after="480"/>
        <w:jc w:val="center"/>
        <w:rPr>
          <w:rFonts w:ascii="Times New Roman" w:hAnsi="Times New Roman"/>
          <w:b/>
          <w:smallCaps/>
          <w:color w:val="000000"/>
          <w:sz w:val="28"/>
        </w:rPr>
      </w:pPr>
      <w:r>
        <w:rPr>
          <w:rFonts w:ascii="Times New Roman" w:hAnsi="Times New Roman"/>
          <w:b/>
          <w:smallCaps/>
          <w:color w:val="000000"/>
          <w:sz w:val="28"/>
        </w:rPr>
        <w:t>Syndax Pharmaceuticals, Inc.</w:t>
        <w:br/>
        <w:t>RSU Award Grant Notice</w:t>
        <w:br/>
        <w:t>(2026 Equity Incentive Plan)</w:t>
      </w:r>
    </w:p>
    <w:p>
      <w:pPr>
        <w:pStyle w:val="TextBody"/>
        <w:bidi w:val="0"/>
        <w:spacing w:before="0" w:after="240"/>
        <w:jc w:val="both"/>
        <w:rPr>
          <w:rFonts w:ascii="Times New Roman" w:hAnsi="Times New Roman"/>
          <w:sz w:val="20"/>
        </w:rPr>
      </w:pPr>
      <w:r>
        <w:rPr>
          <w:rFonts w:ascii="Times New Roman" w:hAnsi="Times New Roman"/>
          <w:color w:val="000000"/>
          <w:sz w:val="24"/>
        </w:rPr>
        <w:t>Syndax Pharmaceuticals,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awarded to you (the “</w:t>
      </w:r>
      <w:r>
        <w:rPr>
          <w:rFonts w:ascii="Times New Roman" w:hAnsi="Times New Roman"/>
          <w:b/>
          <w:i/>
          <w:color w:val="000000"/>
          <w:sz w:val="24"/>
        </w:rPr>
        <w:t>Participant</w:t>
      </w:r>
      <w:r>
        <w:rPr>
          <w:rFonts w:ascii="Times New Roman" w:hAnsi="Times New Roman"/>
          <w:color w:val="000000"/>
          <w:sz w:val="20"/>
        </w:rPr>
        <w:t>”</w:t>
      </w:r>
      <w:r>
        <w:rPr>
          <w:rFonts w:ascii="Times New Roman" w:hAnsi="Times New Roman"/>
          <w:color w:val="000000"/>
          <w:sz w:val="24"/>
        </w:rPr>
        <w:t>) the number of restricted stock units specified and on the terms set forth below in consideration of your services (the “</w:t>
      </w:r>
      <w:r>
        <w:rPr>
          <w:rFonts w:ascii="Times New Roman" w:hAnsi="Times New Roman"/>
          <w:b/>
          <w:i/>
          <w:color w:val="000000"/>
          <w:sz w:val="24"/>
        </w:rPr>
        <w:t>RSU Award</w:t>
      </w:r>
      <w:r>
        <w:rPr>
          <w:rFonts w:ascii="Times New Roman" w:hAnsi="Times New Roman"/>
          <w:color w:val="000000"/>
          <w:sz w:val="20"/>
        </w:rPr>
        <w:t>”</w:t>
      </w:r>
      <w:r>
        <w:rPr>
          <w:rFonts w:ascii="Times New Roman" w:hAnsi="Times New Roman"/>
          <w:color w:val="000000"/>
          <w:sz w:val="24"/>
        </w:rPr>
        <w:t>). Your RSU Award is subject to all of the terms and conditions as set forth herein and in the Syndax Pharmaceuticals, Inc. 2026 Equity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 the Award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which are incorporated herein in their entirety. Capitalized terms not explicitly defined herein but defined in the Plan or the Agreement shall have the meanings set forth in the Plan or the Agreement.</w:t>
      </w:r>
    </w:p>
    <w:p>
      <w:pPr>
        <w:pStyle w:val="TextBody"/>
        <w:bidi w:val="0"/>
        <w:jc w:val="both"/>
        <w:rPr>
          <w:rFonts w:ascii="Times New Roman" w:hAnsi="Times New Roman"/>
          <w:color w:val="000000"/>
          <w:sz w:val="24"/>
        </w:rPr>
      </w:pPr>
      <w:r>
        <w:rPr>
          <w:rFonts w:ascii="Times New Roman" w:hAnsi="Times New Roman"/>
          <w:color w:val="000000"/>
          <w:sz w:val="24"/>
        </w:rPr>
        <w:t xml:space="preserve">Participant: </w:t>
      </w:r>
    </w:p>
    <w:p>
      <w:pPr>
        <w:pStyle w:val="TextBody"/>
        <w:bidi w:val="0"/>
        <w:jc w:val="both"/>
        <w:rPr>
          <w:rFonts w:ascii="Times New Roman" w:hAnsi="Times New Roman"/>
          <w:color w:val="000000"/>
          <w:sz w:val="24"/>
        </w:rPr>
      </w:pPr>
      <w:r>
        <w:rPr>
          <w:rFonts w:ascii="Times New Roman" w:hAnsi="Times New Roman"/>
          <w:color w:val="000000"/>
          <w:sz w:val="24"/>
        </w:rPr>
        <w:t xml:space="preserve">Date of Grant: </w:t>
      </w:r>
    </w:p>
    <w:p>
      <w:pPr>
        <w:pStyle w:val="TextBody"/>
        <w:bidi w:val="0"/>
        <w:jc w:val="both"/>
        <w:rPr>
          <w:rFonts w:ascii="Times New Roman" w:hAnsi="Times New Roman"/>
          <w:color w:val="000000"/>
          <w:sz w:val="24"/>
        </w:rPr>
      </w:pPr>
      <w:r>
        <w:rPr>
          <w:rFonts w:ascii="Times New Roman" w:hAnsi="Times New Roman"/>
          <w:color w:val="000000"/>
          <w:sz w:val="24"/>
        </w:rPr>
        <w:t xml:space="preserve">Vesting Commencement Date: </w:t>
      </w:r>
    </w:p>
    <w:p>
      <w:pPr>
        <w:pStyle w:val="TextBody"/>
        <w:bidi w:val="0"/>
        <w:jc w:val="both"/>
        <w:rPr>
          <w:rFonts w:ascii="Times New Roman" w:hAnsi="Times New Roman"/>
          <w:color w:val="000000"/>
          <w:sz w:val="24"/>
        </w:rPr>
      </w:pPr>
      <w:r>
        <w:rPr>
          <w:rFonts w:ascii="Times New Roman" w:hAnsi="Times New Roman"/>
          <w:color w:val="000000"/>
          <w:sz w:val="24"/>
        </w:rPr>
        <w:t xml:space="preserve">Number of Restricted Stock Units: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Vesting Schedule:</w:t>
      </w:r>
      <w:r>
        <w:rPr>
          <w:rFonts w:ascii="Times New Roman" w:hAnsi="Times New Roman"/>
          <w:color w:val="000000"/>
          <w:sz w:val="20"/>
        </w:rPr>
        <w:t xml:space="preserve"> </w:t>
      </w:r>
      <w:r>
        <w:rPr>
          <w:rFonts w:ascii="Times New Roman" w:hAnsi="Times New Roman"/>
          <w:color w:val="000000"/>
          <w:sz w:val="24"/>
        </w:rPr>
        <w:t>One hundred percent (100%) of the RSU Award shall vest on the one-year anniversary of the Vesting Commencement Date; provided, however, that the shares underlying such RSU Award will not be delivered to the Participant and may not be transferred or sold until the earlier of a separation from service, death, disability or change in control as defined herein.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Notwithstanding the foregoing, vesting shall terminate upon the Participant’s termination of Continuous Service.</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4"/>
        </w:rPr>
        <w:t xml:space="preserve">Issuance Schedule: </w:t>
      </w:r>
      <w:r>
        <w:rPr>
          <w:rFonts w:ascii="Times New Roman" w:hAnsi="Times New Roman"/>
          <w:color w:val="000000"/>
          <w:sz w:val="24"/>
        </w:rPr>
        <w:t>One share of Common Stock will be issued for each Restricted Stock Unit that vests at the time set forth in Section 5 of the Agreement.</w:t>
      </w:r>
    </w:p>
    <w:p>
      <w:pPr>
        <w:pStyle w:val="TextBody"/>
        <w:bidi w:val="0"/>
        <w:spacing w:before="0" w:after="120"/>
        <w:jc w:val="both"/>
        <w:rPr>
          <w:rFonts w:ascii="Times New Roman" w:hAnsi="Times New Roman"/>
          <w:sz w:val="20"/>
        </w:rPr>
      </w:pPr>
      <w:r>
        <w:rPr>
          <w:rFonts w:ascii="Times New Roman" w:hAnsi="Times New Roman"/>
          <w:b/>
          <w:color w:val="000000"/>
          <w:sz w:val="24"/>
        </w:rPr>
        <w:t>Participant Acknowledgements:</w:t>
      </w:r>
      <w:r>
        <w:rPr>
          <w:rFonts w:ascii="Times New Roman" w:hAnsi="Times New Roman"/>
          <w:color w:val="000000"/>
          <w:sz w:val="20"/>
        </w:rPr>
        <w:t xml:space="preserve"> </w:t>
      </w:r>
      <w:r>
        <w:rPr>
          <w:rFonts w:ascii="Times New Roman" w:hAnsi="Times New Roman"/>
          <w:color w:val="000000"/>
          <w:sz w:val="24"/>
        </w:rPr>
        <w:t>By your signature below or by electronic acceptance or authentication in a form authorized by the Company, you understand and agree that: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4"/>
        </w:rPr>
        <w:t>The RSU Award is governed by this RSU Award Grant Notice (the “</w:t>
      </w:r>
      <w:r>
        <w:rPr>
          <w:rFonts w:ascii="Times New Roman" w:hAnsi="Times New Roman"/>
          <w:b/>
          <w:i/>
          <w:color w:val="000000"/>
          <w:sz w:val="24"/>
        </w:rPr>
        <w:t>Grant Notice</w:t>
      </w:r>
      <w:r>
        <w:rPr>
          <w:color w:val="000000"/>
        </w:rPr>
        <w:t>”</w:t>
      </w:r>
      <w:r>
        <w:rPr>
          <w:rFonts w:ascii="Times New Roman" w:hAnsi="Times New Roman"/>
          <w:color w:val="000000"/>
          <w:sz w:val="24"/>
        </w:rPr>
        <w:t>), and the provisions of the Plan and the Agreement, all of which are made a part of this document. Unless otherwise provided in the Plan, this Grant Notice and the Agreement (together, the “</w:t>
      </w:r>
      <w:r>
        <w:rPr>
          <w:rFonts w:ascii="Times New Roman" w:hAnsi="Times New Roman"/>
          <w:b/>
          <w:i/>
          <w:color w:val="000000"/>
          <w:sz w:val="24"/>
        </w:rPr>
        <w:t>RSU Award Agreement</w:t>
      </w:r>
      <w:r>
        <w:rPr>
          <w:color w:val="000000"/>
        </w:rPr>
        <w:t>”</w:t>
      </w:r>
      <w:r>
        <w:rPr>
          <w:rFonts w:ascii="Times New Roman" w:hAnsi="Times New Roman"/>
          <w:color w:val="000000"/>
          <w:sz w:val="24"/>
        </w:rPr>
        <w:t>) may not be modified, amended or revised except in a writing signed by you and a duly authorized officer of the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written agreement between the Company and you in each case that specifies the terms that should govern this RSU Award.</w:t>
      </w:r>
    </w:p>
    <w:tbl>
      <w:tblPr>
        <w:tblW w:w="5132" w:type="dxa"/>
        <w:jc w:val="left"/>
        <w:tblInd w:w="0" w:type="dxa"/>
        <w:tblLayout w:type="fixed"/>
        <w:tblCellMar>
          <w:top w:w="28" w:type="dxa"/>
          <w:left w:w="28" w:type="dxa"/>
          <w:bottom w:w="28" w:type="dxa"/>
          <w:right w:w="28" w:type="dxa"/>
        </w:tblCellMar>
      </w:tblPr>
      <w:tblGrid>
        <w:gridCol w:w="3541"/>
        <w:gridCol w:w="1591"/>
      </w:tblGrid>
      <w:tr>
        <w:trPr/>
        <w:tc>
          <w:tcPr>
            <w:tcW w:w="354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54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smallCaps/>
                <w:color w:val="000000"/>
                <w:sz w:val="24"/>
              </w:rPr>
            </w:pPr>
            <w:r>
              <w:rPr>
                <w:rFonts w:ascii="Times New Roman" w:hAnsi="Times New Roman"/>
                <w:b/>
                <w:smallCaps/>
                <w:color w:val="000000"/>
                <w:sz w:val="24"/>
              </w:rPr>
              <w:t>Syndax Pharmaceuticals, Inc.</w:t>
            </w:r>
          </w:p>
          <w:p>
            <w:pPr>
              <w:pStyle w:val="TableContents"/>
              <w:bidi w:val="0"/>
              <w:jc w:val="both"/>
              <w:rPr>
                <w:rFonts w:ascii="Times New Roman" w:hAnsi="Times New Roman"/>
                <w:color w:val="000000"/>
                <w:sz w:val="24"/>
              </w:rPr>
            </w:pPr>
            <w:r>
              <w:rPr>
                <w:rFonts w:ascii="Times New Roman" w:hAnsi="Times New Roman"/>
                <w:color w:val="000000"/>
                <w:sz w:val="24"/>
              </w:rPr>
              <w:t>By:</w:t>
            </w:r>
          </w:p>
          <w:p>
            <w:pPr>
              <w:pStyle w:val="TableContents"/>
              <w:bidi w:val="0"/>
              <w:spacing w:before="0" w:after="120"/>
              <w:jc w:val="both"/>
              <w:rPr>
                <w:color w:val="000000"/>
              </w:rPr>
            </w:pPr>
            <w:r>
              <w:rPr>
                <w:color w:val="000000"/>
              </w:rPr>
              <w:t> </w:t>
            </w:r>
            <w:r>
              <w:rPr>
                <w:rFonts w:ascii="Times New Roman" w:hAnsi="Times New Roman"/>
                <w:color w:val="000000"/>
                <w:sz w:val="24"/>
              </w:rPr>
              <w:t>Signature</w:t>
            </w:r>
          </w:p>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Title:</w:t>
            </w:r>
          </w:p>
          <w:p>
            <w:pPr>
              <w:pStyle w:val="TableContents"/>
              <w:bidi w:val="0"/>
              <w:jc w:val="both"/>
              <w:rPr/>
            </w:pPr>
            <w:r>
              <w:rPr/>
              <w:t> </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Date:</w:t>
            </w:r>
          </w:p>
        </w:tc>
        <w:tc>
          <w:tcPr>
            <w:tcW w:w="159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smallCaps/>
                <w:color w:val="000000"/>
                <w:sz w:val="24"/>
              </w:rPr>
            </w:pPr>
            <w:r>
              <w:rPr>
                <w:rFonts w:ascii="Times New Roman" w:hAnsi="Times New Roman"/>
                <w:b/>
                <w:smallCaps/>
                <w:color w:val="000000"/>
                <w:sz w:val="24"/>
              </w:rPr>
              <w:t>Participant:</w:t>
            </w:r>
          </w:p>
          <w:p>
            <w:pPr>
              <w:pStyle w:val="TableContents"/>
              <w:bidi w:val="0"/>
              <w:jc w:val="both"/>
              <w:rPr/>
            </w:pPr>
            <w:r>
              <w:rPr/>
              <w:t> </w:t>
            </w:r>
          </w:p>
          <w:p>
            <w:pPr>
              <w:pStyle w:val="TableContents"/>
              <w:bidi w:val="0"/>
              <w:spacing w:before="0" w:after="120"/>
              <w:jc w:val="both"/>
              <w:rPr>
                <w:color w:val="000000"/>
              </w:rPr>
            </w:pPr>
            <w:r>
              <w:rPr>
                <w:color w:val="000000"/>
              </w:rPr>
              <w:t> </w:t>
            </w:r>
            <w:r>
              <w:rPr>
                <w:rFonts w:ascii="Times New Roman" w:hAnsi="Times New Roman"/>
                <w:color w:val="000000"/>
                <w:sz w:val="24"/>
              </w:rPr>
              <w:t>Signature</w:t>
            </w:r>
          </w:p>
          <w:p>
            <w:pPr>
              <w:pStyle w:val="TableContents"/>
              <w:bidi w:val="0"/>
              <w:spacing w:before="0" w:after="240"/>
              <w:jc w:val="both"/>
              <w:rPr>
                <w:rFonts w:ascii="Times New Roman" w:hAnsi="Times New Roman"/>
                <w:color w:val="000000"/>
                <w:sz w:val="24"/>
              </w:rPr>
            </w:pPr>
            <w:r>
              <w:rPr>
                <w:rFonts w:ascii="Times New Roman" w:hAnsi="Times New Roman"/>
                <w:color w:val="000000"/>
                <w:sz w:val="24"/>
              </w:rPr>
              <w:t xml:space="preserve">Date: </w:t>
            </w:r>
          </w:p>
        </w:tc>
      </w:tr>
    </w:tbl>
    <w:p>
      <w:pPr>
        <w:pStyle w:val="TextBody"/>
        <w:bidi w:val="0"/>
        <w:spacing w:before="0" w:after="240"/>
        <w:jc w:val="both"/>
        <w:rPr>
          <w:rFonts w:ascii="Times New Roman" w:hAnsi="Times New Roman"/>
          <w:sz w:val="20"/>
        </w:rPr>
      </w:pPr>
      <w:r>
        <w:rPr>
          <w:rFonts w:ascii="Times New Roman" w:hAnsi="Times New Roman"/>
          <w:b/>
          <w:smallCaps/>
          <w:color w:val="000000"/>
          <w:sz w:val="24"/>
        </w:rPr>
        <w:t>Attachments</w:t>
      </w:r>
      <w:r>
        <w:rPr>
          <w:rFonts w:ascii="Times New Roman" w:hAnsi="Times New Roman"/>
          <w:color w:val="000000"/>
          <w:sz w:val="24"/>
        </w:rPr>
        <w:t>: Award Agreement</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Attachment I</w:t>
      </w:r>
    </w:p>
    <w:p>
      <w:pPr>
        <w:pStyle w:val="TextBody"/>
        <w:bidi w:val="0"/>
        <w:jc w:val="center"/>
        <w:rPr/>
      </w:pPr>
      <w:r>
        <w:rPr/>
        <w:t> </w:t>
      </w:r>
    </w:p>
    <w:p>
      <w:pPr>
        <w:pStyle w:val="TextBody"/>
        <w:bidi w:val="0"/>
        <w:jc w:val="center"/>
        <w:rPr>
          <w:rFonts w:ascii="Times New Roman" w:hAnsi="Times New Roman"/>
          <w:b/>
          <w:caps/>
          <w:color w:val="000000"/>
          <w:sz w:val="28"/>
        </w:rPr>
      </w:pPr>
      <w:r>
        <w:rPr>
          <w:rFonts w:ascii="Times New Roman" w:hAnsi="Times New Roman"/>
          <w:b/>
          <w:caps/>
          <w:color w:val="000000"/>
          <w:sz w:val="28"/>
        </w:rPr>
        <w:t xml:space="preserve">Syndax Pharmaceuticals, Inc. </w:t>
        <w:br/>
        <w:t>Award Agreement</w:t>
      </w:r>
    </w:p>
    <w:p>
      <w:pPr>
        <w:pStyle w:val="TextBody"/>
        <w:bidi w:val="0"/>
        <w:jc w:val="center"/>
        <w:rPr>
          <w:rFonts w:ascii="Times New Roman" w:hAnsi="Times New Roman"/>
          <w:b/>
          <w:caps/>
          <w:color w:val="000000"/>
          <w:sz w:val="28"/>
        </w:rPr>
      </w:pPr>
      <w:r>
        <w:rPr>
          <w:rFonts w:ascii="Times New Roman" w:hAnsi="Times New Roman"/>
          <w:b/>
          <w:caps/>
          <w:color w:val="000000"/>
          <w:sz w:val="28"/>
        </w:rPr>
        <w:t>(2026 Equity Incentive Plan)</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As reflected by your RSU Award Grant Notice (“</w:t>
      </w:r>
      <w:r>
        <w:rPr>
          <w:rFonts w:ascii="Times New Roman" w:hAnsi="Times New Roman"/>
          <w:b/>
          <w:i/>
          <w:color w:val="000000"/>
          <w:sz w:val="24"/>
        </w:rPr>
        <w:t>Grant Notice</w:t>
      </w:r>
      <w:r>
        <w:rPr>
          <w:rFonts w:ascii="Times New Roman" w:hAnsi="Times New Roman"/>
          <w:color w:val="000000"/>
          <w:sz w:val="20"/>
        </w:rPr>
        <w:t>”</w:t>
      </w:r>
      <w:r>
        <w:rPr>
          <w:rFonts w:ascii="Times New Roman" w:hAnsi="Times New Roman"/>
          <w:color w:val="000000"/>
          <w:sz w:val="24"/>
        </w:rPr>
        <w:t>), Syndax Pharmaceuticals,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has granted you a RSU Award under the Syndax Pharmaceuticals, Inc. 2026 Equity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for the number of restricted stock units as indicated in your Grant Notice (the “</w:t>
      </w:r>
      <w:r>
        <w:rPr>
          <w:rFonts w:ascii="Times New Roman" w:hAnsi="Times New Roman"/>
          <w:b/>
          <w:i/>
          <w:color w:val="000000"/>
          <w:sz w:val="24"/>
        </w:rPr>
        <w:t>RSU Award</w:t>
      </w:r>
      <w:r>
        <w:rPr>
          <w:rFonts w:ascii="Times New Roman" w:hAnsi="Times New Roman"/>
          <w:color w:val="000000"/>
          <w:sz w:val="20"/>
        </w:rPr>
        <w:t>”</w:t>
      </w:r>
      <w:r>
        <w:rPr>
          <w:rFonts w:ascii="Times New Roman" w:hAnsi="Times New Roman"/>
          <w:color w:val="000000"/>
          <w:sz w:val="24"/>
        </w:rPr>
        <w:t>). The terms of your RSU Award as specified in this Award Agreement for your RSU Award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and the Grant Notice constitute your “</w:t>
      </w:r>
      <w:r>
        <w:rPr>
          <w:rFonts w:ascii="Times New Roman" w:hAnsi="Times New Roman"/>
          <w:b/>
          <w:i/>
          <w:color w:val="000000"/>
          <w:sz w:val="24"/>
        </w:rPr>
        <w:t>RSU Award Agreement</w:t>
      </w:r>
      <w:r>
        <w:rPr>
          <w:rFonts w:ascii="Times New Roman" w:hAnsi="Times New Roman"/>
          <w:color w:val="000000"/>
          <w:sz w:val="20"/>
        </w:rPr>
        <w:t>”</w:t>
      </w:r>
      <w:r>
        <w:rPr>
          <w:rFonts w:ascii="Times New Roman" w:hAnsi="Times New Roman"/>
          <w:color w:val="000000"/>
          <w:sz w:val="24"/>
        </w:rPr>
        <w:t>. Defined terms not explicitly defined in this Agreement but defined in the Grant Notice or the Plan shall have the same definitions as in the Grant Notice or Plan,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general terms applicable to your RSU Award are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smallCaps/>
          <w:color w:val="000000"/>
          <w:sz w:val="24"/>
        </w:rPr>
        <w:t>Governing Plan Document.</w:t>
      </w:r>
      <w:r>
        <w:rPr>
          <w:color w:val="000000"/>
        </w:rPr>
        <w:t xml:space="preserve"> </w:t>
      </w:r>
      <w:r>
        <w:rPr>
          <w:rFonts w:ascii="Times New Roman" w:hAnsi="Times New Roman"/>
          <w:color w:val="000000"/>
          <w:sz w:val="24"/>
        </w:rPr>
        <w:t xml:space="preserve">Your RSU Award is subject to all the provisions of the Plan, including but not limited to the provisions in: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6 of the Plan regarding the impact of a Capitalization Adjustment, dissolution, liquidation, or Corporate Transaction on your RSU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9(e) of the Plan regarding the Company’s retained rights to terminate your Continuous Service notwithstanding the grant of the RSU Award; and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Section 8 of the Plan regarding the tax consequences of your RSU Award. </w:t>
      </w:r>
    </w:p>
    <w:p>
      <w:pPr>
        <w:pStyle w:val="TextBody"/>
        <w:bidi w:val="0"/>
        <w:spacing w:before="0" w:after="240"/>
        <w:jc w:val="both"/>
        <w:rPr>
          <w:rFonts w:ascii="Times New Roman" w:hAnsi="Times New Roman"/>
          <w:sz w:val="20"/>
        </w:rPr>
      </w:pPr>
      <w:r>
        <w:rPr>
          <w:rFonts w:ascii="Times New Roman" w:hAnsi="Times New Roman"/>
          <w:color w:val="000000"/>
          <w:sz w:val="24"/>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smallCaps/>
          <w:color w:val="000000"/>
          <w:sz w:val="24"/>
        </w:rPr>
        <w:t xml:space="preserve">Grant of the RSU Award. </w:t>
      </w:r>
      <w:r>
        <w:rPr>
          <w:rFonts w:ascii="Times New Roman" w:hAnsi="Times New Roman"/>
          <w:color w:val="000000"/>
          <w:sz w:val="24"/>
        </w:rPr>
        <w:t>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hAnsi="Times New Roman"/>
          <w:b/>
          <w:i/>
          <w:color w:val="000000"/>
          <w:sz w:val="24"/>
        </w:rPr>
        <w:t>Restricted Stock Units</w:t>
      </w:r>
      <w:r>
        <w:rPr>
          <w:color w:val="000000"/>
        </w:rPr>
        <w:t>”</w:t>
      </w:r>
      <w:r>
        <w:rPr>
          <w:rFonts w:ascii="Times New Roman" w:hAnsi="Times New Roman"/>
          <w:color w:val="000000"/>
          <w:sz w:val="24"/>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smallCaps/>
          <w:color w:val="000000"/>
          <w:sz w:val="24"/>
        </w:rPr>
        <w:t>Dividends.</w:t>
      </w:r>
      <w:r>
        <w:rPr>
          <w:color w:val="000000"/>
        </w:rPr>
        <w:t xml:space="preserve"> </w:t>
      </w:r>
      <w:r>
        <w:rPr>
          <w:rFonts w:ascii="Times New Roman" w:hAnsi="Times New Roman"/>
          <w:color w:val="000000"/>
          <w:sz w:val="24"/>
        </w:rPr>
        <w:t xml:space="preserve">You shall receive no benefit or adjustment to this RSU Award with respect to any cash dividend, stock dividend or other distribution that does not result from a Capitalization Adjustment; provided, however, that this sentence will not apply with respect to any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of Common Stock that are delivered to you in connection with your RSU Award after such shares have been delivered to you.</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smallCaps/>
          <w:color w:val="000000"/>
          <w:sz w:val="24"/>
        </w:rPr>
        <w:t>Withholding Obligations.</w:t>
      </w:r>
      <w:bookmarkStart w:id="24" w:name="ole_link6"/>
      <w:bookmarkEnd w:id="24"/>
      <w:r>
        <w:rPr>
          <w:smallCaps/>
          <w:color w:val="000000"/>
        </w:rPr>
        <w:t xml:space="preserve"> </w:t>
      </w:r>
      <w:r>
        <w:rPr>
          <w:rFonts w:ascii="Times New Roman" w:hAnsi="Times New Roman"/>
          <w:color w:val="000000"/>
          <w:sz w:val="24"/>
        </w:rPr>
        <w:t>As further provided in Section 8 of the Plan, you hereby authorize withholding from payroll and any other amounts payable to you, and otherwise agree to make adequate provision for, any sums required to satisfy the federal, state, local and foreign tax withholding obligations, if any, which arise in connection with your RSU Award (the “</w:t>
      </w:r>
      <w:r>
        <w:rPr>
          <w:rFonts w:ascii="Times New Roman" w:hAnsi="Times New Roman"/>
          <w:b/>
          <w:i/>
          <w:color w:val="000000"/>
          <w:sz w:val="24"/>
        </w:rPr>
        <w:t>Withholding Obligation</w:t>
      </w:r>
      <w:r>
        <w:rPr>
          <w:color w:val="000000"/>
        </w:rPr>
        <w:t>”</w:t>
      </w:r>
      <w:r>
        <w:rPr>
          <w:rFonts w:ascii="Times New Roman" w:hAnsi="Times New Roman"/>
          <w:color w:val="000000"/>
          <w:sz w:val="24"/>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smallCaps/>
          <w:color w:val="000000"/>
          <w:sz w:val="24"/>
        </w:rPr>
      </w:pPr>
      <w:r>
        <w:rPr>
          <w:rFonts w:ascii="Times New Roman" w:hAnsi="Times New Roman"/>
          <w:b/>
          <w:smallCaps/>
          <w:color w:val="000000"/>
          <w:sz w:val="24"/>
        </w:rPr>
        <w:t xml:space="preserve">Date of Issuance.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The issuance of shares in respect of the Restricted Stock Units is intended to comply with Code Section 409A, and will be construed and administered in such a manner. Subject to the satisfaction of the Withholding Obligation, if any, the Company shall issue to you one (1) share of Common Stock for each Restricted Stock Unit that has vested hereunder on the first to occur of the following (such date, the “</w:t>
      </w:r>
      <w:r>
        <w:rPr>
          <w:rFonts w:ascii="Times New Roman" w:hAnsi="Times New Roman"/>
          <w:b/>
          <w:i/>
          <w:color w:val="000000"/>
          <w:sz w:val="24"/>
        </w:rPr>
        <w:t>Settlement Date</w:t>
      </w:r>
      <w:r>
        <w:rPr>
          <w:color w:val="000000"/>
        </w:rPr>
        <w:t>”</w:t>
      </w:r>
      <w:r>
        <w:rPr>
          <w:rFonts w:ascii="Times New Roman" w:hAnsi="Times New Roman"/>
          <w:color w:val="000000"/>
          <w:sz w:val="24"/>
        </w:rPr>
        <w:t>), or such later date as provided in Section 5(b) or 5(c) 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of your “separation from service” (as defined under Treasury Regulation Section 1.409A-1(h), without regard to any alternative definition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of your “disability” (as defined under Treasury Regulation Section 1.409A-3(i)(4));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of your death;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of a change in control of the Company that also would constitute a “change in control event” (as defined under Treasury Regulation Section 1.409A-3(i)(5)).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Each issuance date determined by Section 5(a) is referred to as an “</w:t>
      </w:r>
      <w:r>
        <w:rPr>
          <w:rFonts w:ascii="Times New Roman" w:hAnsi="Times New Roman"/>
          <w:b/>
          <w:i/>
          <w:color w:val="000000"/>
          <w:sz w:val="24"/>
        </w:rPr>
        <w:t>Original Issuance Date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the foregoing, if you are a “specified employee” for purposes of Code Section 409A upon your separation from service, then the issuance of any shares of Common Stock or other property that would otherwise be made on the date of your separation from service (or within the six (6) months thereafter as a result of your separation from service) will not be made on the originally scheduled date(s) and will instead be issued on the earlier of (i) the date that is six (6) months and one (1) day after the date of the separation from service or (ii) the date of your death, but only to the extent such delay in the issuance is necessary to avoid the imposition of taxation on you in respect of the shares or property under Code Section 409A. Each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installment of Restricted Stock Units that vests hereunder is intended to constitute a “separate payment” for purposes of Code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Original Issuance Date falls on a date that is not a business day, delivery shall instead occur on the next following business day. In addition, if: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color w:val="000000"/>
          <w:sz w:val="24"/>
        </w:rPr>
        <w:t>(i) 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hAnsi="Times New Roman"/>
          <w:b/>
          <w:i/>
          <w:color w:val="000000"/>
          <w:sz w:val="24"/>
        </w:rPr>
        <w:t>10b5-1 Arrangement</w:t>
      </w:r>
      <w:r>
        <w:rPr>
          <w:color w:val="000000"/>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either (1) a Withholding Obligation does not apply, or (2) the Company decides, prior to the Original Issuance Date, (A) not to satisfy the Withholding Obligation by withholding shares of Common Stock from the shares otherwise due, on the Original Issuance Date, to you under this Award, </w:t>
      </w:r>
      <w:r>
        <w:rPr>
          <w:rFonts w:ascii="Times New Roman" w:hAnsi="Times New Roman"/>
          <w:color w:val="000000"/>
          <w:sz w:val="24"/>
          <w:u w:val="single"/>
        </w:rPr>
        <w:t xml:space="preserve">and </w:t>
      </w:r>
      <w:r>
        <w:rPr>
          <w:rFonts w:ascii="Times New Roman" w:hAnsi="Times New Roman"/>
          <w:color w:val="000000"/>
          <w:sz w:val="24"/>
        </w:rPr>
        <w:t>(B) not to permit you to enter into a “same day sale” commitment with a broker-dealer (including but not limited to a commitment under a 10b5-1 Arrangement) and (C) not to permit you to pay your Withholding Obligation in cash, then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if and only if permitted in a manner that complies with Code Section 409A,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the RSU Award is a Non-Exempt Award, the provisions of Section 11 of the Plan shall apply.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smallCaps/>
          <w:color w:val="000000"/>
          <w:sz w:val="24"/>
        </w:rPr>
        <w:t>Transferability.</w:t>
      </w:r>
      <w:r>
        <w:rPr>
          <w:color w:val="000000"/>
        </w:rPr>
        <w:t xml:space="preserve"> </w:t>
      </w:r>
      <w:r>
        <w:rPr>
          <w:rFonts w:ascii="Times New Roman" w:hAnsi="Times New Roman"/>
          <w:color w:val="000000"/>
          <w:sz w:val="24"/>
        </w:rPr>
        <w:t xml:space="preserve">Except as otherwise provided in the Plan, your RSU Award is not transferable, except by will or by the applicable laws of descent and distribution.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smallCaps/>
          <w:color w:val="000000"/>
          <w:sz w:val="24"/>
        </w:rPr>
        <w:t>Corporate Transaction.</w:t>
      </w:r>
      <w:r>
        <w:rPr>
          <w:color w:val="000000"/>
        </w:rPr>
        <w:t xml:space="preserve"> </w:t>
      </w:r>
      <w:r>
        <w:rPr>
          <w:rFonts w:ascii="Times New Roman" w:hAnsi="Times New Roman"/>
          <w:color w:val="000000"/>
          <w:sz w:val="24"/>
        </w:rPr>
        <w:t>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smallCaps/>
          <w:color w:val="000000"/>
          <w:sz w:val="24"/>
        </w:rPr>
        <w:t>No Liability for Taxes</w:t>
      </w:r>
      <w:r>
        <w:rPr>
          <w:rFonts w:ascii="Times New Roman" w:hAnsi="Times New Roman"/>
          <w:color w:val="000000"/>
          <w:sz w:val="24"/>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 Notwithstanding anything to the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contrary in the Plan or this Agreement, neither the Company, its Affiliates, the Board nor the Committee shall have any obligation to take any action to prevent the assessment of any excise tax or penalty on you under Code Section 409A, and neither the Company, its Affiliates, the Board nor the Committee shall have any liability to you for such tax or penalty.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smallCaps/>
          <w:color w:val="000000"/>
          <w:sz w:val="24"/>
        </w:rPr>
        <w:t>Severability</w:t>
      </w:r>
      <w:r>
        <w:rPr>
          <w:rFonts w:ascii="Times New Roman" w:hAnsi="Times New Roman"/>
          <w:color w:val="000000"/>
          <w:sz w:val="24"/>
        </w:rPr>
        <w:t>.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smallCaps/>
          <w:color w:val="000000"/>
          <w:sz w:val="24"/>
        </w:rPr>
        <w:t>Other Documents.</w:t>
      </w:r>
      <w:r>
        <w:rPr>
          <w:color w:val="000000"/>
        </w:rPr>
        <w:t xml:space="preserve"> </w:t>
      </w:r>
      <w:r>
        <w:rPr>
          <w:rFonts w:ascii="Times New Roman" w:hAnsi="Times New Roman"/>
          <w:color w:val="000000"/>
          <w:sz w:val="24"/>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smallCaps/>
          <w:color w:val="000000"/>
          <w:sz w:val="24"/>
        </w:rPr>
        <w:t xml:space="preserve">Questions. </w:t>
      </w:r>
      <w:r>
        <w:rPr>
          <w:rFonts w:ascii="Times New Roman" w:hAnsi="Times New Roman"/>
          <w:color w:val="000000"/>
          <w:sz w:val="24"/>
        </w:rPr>
        <w:t>If you have questions regarding these or any other terms and conditions applicable to your RSU Award, including a summary of the applicable federal income tax consequences please see the Prospectus.</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 * *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bookmarkStart w:id="25" w:name="sndx-ex31_1.htm"/>
      <w:bookmarkStart w:id="26" w:name="kssndxex31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A. Metzger,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Syndax Pharmaceuticals,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5020" w:type="dxa"/>
        <w:jc w:val="left"/>
        <w:tblInd w:w="0" w:type="dxa"/>
        <w:tblLayout w:type="fixed"/>
        <w:tblCellMar>
          <w:top w:w="28" w:type="dxa"/>
          <w:left w:w="28" w:type="dxa"/>
          <w:bottom w:w="28" w:type="dxa"/>
          <w:right w:w="28" w:type="dxa"/>
        </w:tblCellMar>
      </w:tblPr>
      <w:tblGrid>
        <w:gridCol w:w="1846"/>
        <w:gridCol w:w="1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A. Metzger</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ndx-ex31_2.htm"/>
      <w:bookmarkStart w:id="28" w:name="kssndxex31_2"/>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Keith A. Goldan,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Syndax Pharmaceuticals,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20" w:after="283"/>
        <w:jc w:val="left"/>
        <w:rPr/>
      </w:pPr>
      <w:r>
        <w:rPr/>
        <w:t> </w:t>
      </w:r>
    </w:p>
    <w:tbl>
      <w:tblPr>
        <w:tblW w:w="7690" w:type="dxa"/>
        <w:jc w:val="left"/>
        <w:tblInd w:w="0" w:type="dxa"/>
        <w:tblLayout w:type="fixed"/>
        <w:tblCellMar>
          <w:top w:w="28" w:type="dxa"/>
          <w:left w:w="28" w:type="dxa"/>
          <w:bottom w:w="28" w:type="dxa"/>
          <w:right w:w="28" w:type="dxa"/>
        </w:tblCellMar>
      </w:tblPr>
      <w:tblGrid>
        <w:gridCol w:w="1846"/>
        <w:gridCol w:w="146"/>
        <w:gridCol w:w="406"/>
        <w:gridCol w:w="146"/>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Keith A. Goldan</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Treasurer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ndx-ex32_1.htm"/>
      <w:bookmarkStart w:id="30" w:name="kssndxex32_1"/>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Syndax Pharmaceuticals, Inc. (the “Company”) for the period ended June 30, 2026, as filed with the Securities and Exchange Commission on the date hereof (the “Report”), each of the undersigned officers of the Company hereby certifies, pursuant to 18 U.S.C. Section 1350, that to his or her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tbl>
      <w:tblPr>
        <w:tblW w:w="5635" w:type="dxa"/>
        <w:jc w:val="left"/>
        <w:tblInd w:w="0" w:type="dxa"/>
        <w:tblLayout w:type="fixed"/>
        <w:tblCellMar>
          <w:top w:w="28" w:type="dxa"/>
          <w:left w:w="28" w:type="dxa"/>
          <w:bottom w:w="28" w:type="dxa"/>
          <w:right w:w="28" w:type="dxa"/>
        </w:tblCellMar>
      </w:tblPr>
      <w:tblGrid>
        <w:gridCol w:w="1846"/>
        <w:gridCol w:w="146"/>
        <w:gridCol w:w="346"/>
        <w:gridCol w:w="146"/>
        <w:gridCol w:w="315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Michael A. Metzger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Keith A. Goldan</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Chief Financial Officer and Treasurer</w:t>
            </w:r>
          </w:p>
        </w:tc>
      </w:tr>
    </w:tbl>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Syndax Pharmaceuticals,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5937/000119312516496764/d119516dex31.htm" TargetMode="External"/><Relationship Id="rId3" Type="http://schemas.openxmlformats.org/officeDocument/2006/relationships/hyperlink" Target="https://www.sec.gov/Archives/edgar/data/1395937/000095017023022802/sndx-ex3_1.htm" TargetMode="External"/><Relationship Id="rId4" Type="http://schemas.openxmlformats.org/officeDocument/2006/relationships/hyperlink" Target="https://www.sec.gov/Archives/edgar/data/1395937/000119312526266027/d105044dex41.htm" TargetMode="External"/><Relationship Id="rId5" Type="http://schemas.openxmlformats.org/officeDocument/2006/relationships/hyperlink" Target="https://www.sec.gov/Archives/edgar/data/1395937/000119312526266027/d105044dex41.htm" TargetMode="External"/><Relationship Id="rId6" Type="http://schemas.openxmlformats.org/officeDocument/2006/relationships/hyperlink" Target="https://www.sec.gov/Archives/edgar/data/1395937/000119312526266027/d105044dex42.htm" TargetMode="External"/><Relationship Id="rId7" Type="http://schemas.openxmlformats.org/officeDocument/2006/relationships/hyperlink" Target="https://www.sec.gov/Archives/edgar/data/1395937/000119312526266027/d105044dex42.htm" TargetMode="External"/><Relationship Id="rId8" Type="http://schemas.openxmlformats.org/officeDocument/2006/relationships/hyperlink" Target="https://www.sec.gov/Archives/edgar/data/1395937/000119312526266027/d105044dex42.htm" TargetMode="External"/><Relationship Id="rId9" Type="http://schemas.openxmlformats.org/officeDocument/2006/relationships/hyperlink" Target="https://www.sec.gov/Archives/edgar/data/1395937/000119312526265852/sndx-ex10_1.htm" TargetMode="External"/><Relationship Id="rId10" Type="http://schemas.openxmlformats.org/officeDocument/2006/relationships/hyperlink" Target="https://www.sec.gov/Archives/edgar/data/1395937/000119312526265852/sndx-ex10_2.htm" TargetMode="External"/><Relationship Id="rId11" Type="http://schemas.openxmlformats.org/officeDocument/2006/relationships/hyperlink" Target="https://www.sec.gov/Archives/edgar/data/1395937/000119312525326961/sndx-ex3_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26797</Words>
  <Characters>144701</Characters>
  <CharactersWithSpaces>172628</CharactersWithSpaces>
  <Paragraphs>5764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