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112395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6"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1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sz w:val="24"/>
          <w:szCs w:val="24"/>
          <w:color w:val="auto"/>
        </w:rPr>
      </w:pPr>
    </w:p>
    <w:p>
      <w:pPr>
        <w:ind w:left="362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-3175</wp:posOffset>
            </wp:positionV>
            <wp:extent cx="1189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115570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1" w:lineRule="exact"/>
        <w:rPr>
          <w:sz w:val="24"/>
          <w:szCs w:val="24"/>
          <w:color w:val="auto"/>
        </w:rPr>
      </w:pPr>
    </w:p>
    <w:tbl>
      <w:tblPr>
        <w:tblLayout w:type="fixed"/>
        <w:tblInd w:w="1820" w:type="dxa"/>
        <w:tblCellMar>
          <w:top w:w="0" w:type="dxa"/>
          <w:left w:w="0" w:type="dxa"/>
          <w:bottom w:w="0" w:type="dxa"/>
          <w:right w:w="0" w:type="dxa"/>
        </w:tblCellMar>
      </w:tblPr>
      <w:tr>
        <w:trPr>
          <w:trHeight w:val="193"/>
        </w:trPr>
        <w:tc>
          <w:tcPr>
            <w:tcW w:w="55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2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32-0162505</w:t>
            </w:r>
          </w:p>
        </w:tc>
      </w:tr>
      <w:tr>
        <w:trPr>
          <w:trHeight w:val="148"/>
        </w:trPr>
        <w:tc>
          <w:tcPr>
            <w:tcW w:w="5580" w:type="dxa"/>
            <w:vAlign w:val="bottom"/>
          </w:tcPr>
          <w:p>
            <w:pPr>
              <w:jc w:val="center"/>
              <w:ind w:right="276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5580" w:type="dxa"/>
            <w:vAlign w:val="bottom"/>
          </w:tcPr>
          <w:p>
            <w:pPr>
              <w:jc w:val="center"/>
              <w:ind w:right="27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55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35 Gatehouse Drive, Building D, Floor 3</w:t>
            </w:r>
          </w:p>
        </w:tc>
        <w:tc>
          <w:tcPr>
            <w:tcW w:w="1220" w:type="dxa"/>
            <w:vAlign w:val="bottom"/>
          </w:tcPr>
          <w:p>
            <w:pPr>
              <w:spacing w:after="0"/>
              <w:rPr>
                <w:sz w:val="24"/>
                <w:szCs w:val="24"/>
                <w:color w:val="auto"/>
              </w:rPr>
            </w:pPr>
          </w:p>
        </w:tc>
      </w:tr>
      <w:tr>
        <w:trPr>
          <w:trHeight w:val="207"/>
        </w:trPr>
        <w:tc>
          <w:tcPr>
            <w:tcW w:w="55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Waltham, Massachusetts</w:t>
            </w:r>
          </w:p>
        </w:tc>
        <w:tc>
          <w:tcPr>
            <w:tcW w:w="122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02451</w:t>
            </w:r>
          </w:p>
        </w:tc>
      </w:tr>
      <w:tr>
        <w:trPr>
          <w:trHeight w:val="188"/>
        </w:trPr>
        <w:tc>
          <w:tcPr>
            <w:tcW w:w="5580" w:type="dxa"/>
            <w:vAlign w:val="bottom"/>
          </w:tcPr>
          <w:p>
            <w:pPr>
              <w:jc w:val="center"/>
              <w:ind w:right="27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0"/>
        </w:trPr>
        <w:tc>
          <w:tcPr>
            <w:tcW w:w="5580" w:type="dxa"/>
            <w:vAlign w:val="bottom"/>
          </w:tcPr>
          <w:p>
            <w:pPr>
              <w:jc w:val="right"/>
              <w:ind w:right="1204"/>
              <w:spacing w:after="0"/>
              <w:rPr>
                <w:sz w:val="20"/>
                <w:szCs w:val="20"/>
                <w:color w:val="auto"/>
              </w:rPr>
            </w:pPr>
            <w:r>
              <w:rPr>
                <w:rFonts w:ascii="Times New Roman" w:cs="Times New Roman" w:eastAsia="Times New Roman" w:hAnsi="Times New Roman"/>
                <w:sz w:val="16"/>
                <w:szCs w:val="16"/>
                <w:b w:val="1"/>
                <w:bCs w:val="1"/>
                <w:color w:val="auto"/>
              </w:rPr>
              <w:t>(781) 419-1400</w:t>
            </w:r>
          </w:p>
        </w:tc>
        <w:tc>
          <w:tcPr>
            <w:tcW w:w="1220" w:type="dxa"/>
            <w:vAlign w:val="bottom"/>
          </w:tcPr>
          <w:p>
            <w:pPr>
              <w:spacing w:after="0"/>
              <w:rPr>
                <w:sz w:val="23"/>
                <w:szCs w:val="23"/>
                <w:color w:val="auto"/>
              </w:rPr>
            </w:pPr>
          </w:p>
        </w:tc>
      </w:tr>
      <w:tr>
        <w:trPr>
          <w:trHeight w:val="188"/>
        </w:trPr>
        <w:tc>
          <w:tcPr>
            <w:tcW w:w="5580" w:type="dxa"/>
            <w:vAlign w:val="bottom"/>
          </w:tcPr>
          <w:p>
            <w:pPr>
              <w:jc w:val="center"/>
              <w:ind w:left="194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76200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590" w:type="dxa"/>
        <w:tblCellMar>
          <w:top w:w="0" w:type="dxa"/>
          <w:left w:w="0" w:type="dxa"/>
          <w:bottom w:w="0" w:type="dxa"/>
          <w:right w:w="0" w:type="dxa"/>
        </w:tblCellMar>
      </w:tblPr>
      <w:tr>
        <w:trPr>
          <w:trHeight w:val="214"/>
        </w:trPr>
        <w:tc>
          <w:tcPr>
            <w:tcW w:w="338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SNDX</w:t>
            </w:r>
          </w:p>
        </w:tc>
        <w:tc>
          <w:tcPr>
            <w:tcW w:w="4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right="220" w:firstLine="382"/>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82" w:lineRule="exact"/>
        <w:rPr>
          <w:sz w:val="24"/>
          <w:szCs w:val="24"/>
          <w:color w:val="auto"/>
        </w:rPr>
      </w:pPr>
    </w:p>
    <w:p>
      <w:pPr>
        <w:ind w:firstLine="382"/>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83" w:lineRule="exact"/>
        <w:rPr>
          <w:sz w:val="24"/>
          <w:szCs w:val="24"/>
          <w:color w:val="auto"/>
        </w:rPr>
      </w:pPr>
    </w:p>
    <w:p>
      <w:pPr>
        <w:ind w:right="280" w:firstLine="382"/>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95" w:lineRule="exact"/>
        <w:rPr>
          <w:sz w:val="24"/>
          <w:szCs w:val="24"/>
          <w:color w:val="auto"/>
        </w:rPr>
      </w:pPr>
    </w:p>
    <w:p>
      <w:pPr>
        <w:ind w:right="180" w:firstLine="382"/>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380"/>
        <w:spacing w:after="0" w:line="184" w:lineRule="exact"/>
        <w:tabs>
          <w:tab w:leader="none" w:pos="7880" w:val="left"/>
          <w:tab w:leader="none" w:pos="8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ab/>
        <w:t xml:space="preserve">No </w:t>
      </w:r>
      <w:r>
        <w:rPr>
          <w:rFonts w:ascii="MS PGothic" w:cs="MS PGothic" w:eastAsia="MS PGothic" w:hAnsi="MS PGothic"/>
          <w:sz w:val="16"/>
          <w:szCs w:val="16"/>
          <w:color w:val="auto"/>
        </w:rPr>
        <w:t>☒</w:t>
      </w:r>
    </w:p>
    <w:p>
      <w:pPr>
        <w:spacing w:after="0" w:line="15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November 4, 2020, there were 40,869,222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25" w:right="37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510"/>
        <w:spacing w:after="0" w:line="26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00" w:right="100" w:hanging="493"/>
        <w:spacing w:after="0" w:line="26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impact of the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6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6" w:lineRule="exact"/>
        <w:rPr>
          <w:rFonts w:ascii="Times New Roman" w:cs="Times New Roman" w:eastAsia="Times New Roman" w:hAnsi="Times New Roman"/>
          <w:sz w:val="18"/>
          <w:szCs w:val="18"/>
          <w:color w:val="auto"/>
        </w:rPr>
      </w:pPr>
    </w:p>
    <w:p>
      <w:pPr>
        <w:ind w:left="1000" w:right="40" w:hanging="493"/>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progress and receipt of data from the Phase 1/2 clinical trial of axatilimab in chronic Graft Versus Host Disease (cGVHD);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progress and receipt of data from the Phase 2 trial, AGAVE-201, of axatilimab in cGVHD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 candidates;</w:t>
      </w:r>
    </w:p>
    <w:p>
      <w:pPr>
        <w:spacing w:after="0" w:line="116" w:lineRule="exact"/>
        <w:rPr>
          <w:rFonts w:ascii="Times New Roman" w:cs="Times New Roman" w:eastAsia="Times New Roman" w:hAnsi="Times New Roman"/>
          <w:sz w:val="18"/>
          <w:szCs w:val="18"/>
          <w:color w:val="auto"/>
        </w:rPr>
      </w:pPr>
    </w:p>
    <w:p>
      <w:pPr>
        <w:ind w:left="1000" w:right="520" w:hanging="493"/>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the timing or likelihood of regulatory filings and approvals for such candidates;</w:t>
      </w:r>
    </w:p>
    <w:p>
      <w:pPr>
        <w:spacing w:after="0" w:line="54" w:lineRule="exact"/>
        <w:rPr>
          <w:rFonts w:ascii="Times New Roman" w:cs="Times New Roman" w:eastAsia="Times New Roman" w:hAnsi="Times New Roman"/>
          <w:sz w:val="18"/>
          <w:szCs w:val="18"/>
          <w:color w:val="auto"/>
        </w:rPr>
      </w:pPr>
    </w:p>
    <w:p>
      <w:pPr>
        <w:ind w:left="1000" w:right="480" w:hanging="493"/>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Bayer Pharma AG, Eddingpharm Investment Company Limited, Kyowa Kirin Co., Ltd., UCB Biopharma Sprl, and Vitae Pharmaceuticals, Inc., a subsidiary of AbbVie plc.;</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 candidates;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 candidates and our technology;</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our product candidates by physicians and patients;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6" w:lineRule="exact"/>
        <w:rPr>
          <w:rFonts w:ascii="Times New Roman" w:cs="Times New Roman" w:eastAsia="Times New Roman" w:hAnsi="Times New Roman"/>
          <w:sz w:val="18"/>
          <w:szCs w:val="18"/>
          <w:color w:val="auto"/>
        </w:rPr>
      </w:pPr>
    </w:p>
    <w:p>
      <w:pPr>
        <w:ind w:left="1000" w:right="260" w:hanging="493"/>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natural disasters or public health crisis, including but not limited to the COVID-19 pandemic, in countries where we or our collaborators do business.</w:t>
      </w:r>
    </w:p>
    <w:p>
      <w:pPr>
        <w:spacing w:after="0" w:line="163"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2" w:lineRule="exact"/>
        <w:rPr>
          <w:sz w:val="20"/>
          <w:szCs w:val="20"/>
          <w:color w:val="auto"/>
        </w:rPr>
      </w:pPr>
    </w:p>
    <w:p>
      <w:pPr>
        <w:ind w:right="20" w:firstLine="510"/>
        <w:spacing w:after="0" w:line="26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046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FINANCIAL INFORMATION</w:t>
              </w:r>
            </w:hyperlink>
          </w:p>
        </w:tc>
        <w:tc>
          <w:tcPr>
            <w:tcW w:w="780" w:type="dxa"/>
            <w:vAlign w:val="bottom"/>
          </w:tcPr>
          <w:p>
            <w:pPr>
              <w:spacing w:after="0"/>
              <w:rPr>
                <w:sz w:val="24"/>
                <w:szCs w:val="24"/>
                <w:color w:val="auto"/>
              </w:rPr>
            </w:pP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Financial Statements:</w:t>
              </w:r>
            </w:hyperlink>
          </w:p>
        </w:tc>
        <w:tc>
          <w:tcPr>
            <w:tcW w:w="780" w:type="dxa"/>
            <w:vAlign w:val="bottom"/>
          </w:tcPr>
          <w:p>
            <w:pPr>
              <w:spacing w:after="0"/>
              <w:rPr>
                <w:sz w:val="24"/>
                <w:szCs w:val="24"/>
                <w:color w:val="auto"/>
              </w:rPr>
            </w:pPr>
          </w:p>
        </w:tc>
      </w:tr>
      <w:tr>
        <w:trPr>
          <w:trHeight w:val="337"/>
        </w:trPr>
        <w:tc>
          <w:tcPr>
            <w:tcW w:w="840" w:type="dxa"/>
            <w:vAlign w:val="bottom"/>
          </w:tcPr>
          <w:p>
            <w:pPr>
              <w:spacing w:after="0"/>
              <w:rPr>
                <w:sz w:val="24"/>
                <w:szCs w:val="24"/>
                <w:color w:val="auto"/>
              </w:rPr>
            </w:pP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840" w:type="dxa"/>
            <w:vAlign w:val="bottom"/>
          </w:tcPr>
          <w:p>
            <w:pPr>
              <w:spacing w:after="0"/>
              <w:rPr>
                <w:sz w:val="24"/>
                <w:szCs w:val="24"/>
                <w:color w:val="auto"/>
              </w:rPr>
            </w:pPr>
          </w:p>
        </w:tc>
        <w:tc>
          <w:tcPr>
            <w:tcW w:w="9620" w:type="dxa"/>
            <w:vAlign w:val="bottom"/>
            <w:gridSpan w:val="7"/>
          </w:tcPr>
          <w:p>
            <w:pPr>
              <w:ind w:left="20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 for the three and nine months ended</w:t>
              </w:r>
            </w:hyperlink>
          </w:p>
        </w:tc>
        <w:tc>
          <w:tcPr>
            <w:tcW w:w="7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5"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September 30, 2020 and 2019</w:t>
              </w:r>
            </w:hyperlink>
          </w:p>
        </w:tc>
        <w:tc>
          <w:tcPr>
            <w:tcW w:w="4640" w:type="dxa"/>
            <w:vAlign w:val="bottom"/>
            <w:tcBorders>
              <w:top w:val="single" w:sz="8" w:color="0000EE"/>
            </w:tcBorders>
          </w:tcPr>
          <w:p>
            <w:pPr>
              <w:spacing w:after="0"/>
              <w:rPr>
                <w:sz w:val="17"/>
                <w:szCs w:val="17"/>
                <w:color w:val="auto"/>
              </w:rPr>
            </w:pPr>
          </w:p>
        </w:tc>
        <w:tc>
          <w:tcPr>
            <w:tcW w:w="2380" w:type="dxa"/>
            <w:vAlign w:val="bottom"/>
            <w:gridSpan w:val="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317"/>
        </w:trPr>
        <w:tc>
          <w:tcPr>
            <w:tcW w:w="840" w:type="dxa"/>
            <w:vAlign w:val="bottom"/>
          </w:tcPr>
          <w:p>
            <w:pPr>
              <w:spacing w:after="0"/>
              <w:rPr>
                <w:sz w:val="24"/>
                <w:szCs w:val="24"/>
                <w:color w:val="auto"/>
              </w:rPr>
            </w:pPr>
          </w:p>
        </w:tc>
        <w:tc>
          <w:tcPr>
            <w:tcW w:w="9620" w:type="dxa"/>
            <w:vAlign w:val="bottom"/>
            <w:gridSpan w:val="7"/>
          </w:tcPr>
          <w:p>
            <w:pPr>
              <w:ind w:left="20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nine months ended September 30, 2020</w:t>
              </w:r>
            </w:hyperlink>
          </w:p>
        </w:tc>
        <w:tc>
          <w:tcPr>
            <w:tcW w:w="7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4"/>
          </w:tcPr>
          <w:p>
            <w:pPr>
              <w:spacing w:after="0" w:line="195"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2019</w:t>
              </w:r>
            </w:hyperlink>
          </w:p>
        </w:tc>
        <w:tc>
          <w:tcPr>
            <w:tcW w:w="226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37"/>
        </w:trPr>
        <w:tc>
          <w:tcPr>
            <w:tcW w:w="1046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32">
              <w:r>
                <w:rPr>
                  <w:rFonts w:ascii="Times New Roman" w:cs="Times New Roman" w:eastAsia="Times New Roman" w:hAnsi="Times New Roman"/>
                  <w:sz w:val="18"/>
                  <w:szCs w:val="18"/>
                  <w:b w:val="1"/>
                  <w:bCs w:val="1"/>
                  <w:u w:val="single" w:color="auto"/>
                  <w:color w:val="0000EE"/>
                </w:rPr>
                <w:t>PART II. OTHER INFORMATION</w:t>
              </w:r>
            </w:hyperlink>
          </w:p>
        </w:tc>
        <w:tc>
          <w:tcPr>
            <w:tcW w:w="780" w:type="dxa"/>
            <w:vAlign w:val="bottom"/>
          </w:tcPr>
          <w:p>
            <w:pPr>
              <w:spacing w:after="0"/>
              <w:rPr>
                <w:sz w:val="24"/>
                <w:szCs w:val="24"/>
                <w:color w:val="auto"/>
              </w:rPr>
            </w:pP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7"/>
          </w:tcPr>
          <w:p>
            <w:pPr>
              <w:ind w:left="20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Exhibits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5"/>
                <w:szCs w:val="15"/>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113,803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177,432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179,309</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payable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32,175</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47,332</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0 shares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September 30, 2020 and December 31, 2019</w:t>
            </w:r>
          </w:p>
        </w:tc>
        <w:tc>
          <w:tcPr>
            <w:tcW w:w="180" w:type="dxa"/>
            <w:vAlign w:val="bottom"/>
          </w:tcPr>
          <w:p>
            <w:pPr>
              <w:spacing w:after="0"/>
              <w:rPr>
                <w:sz w:val="20"/>
                <w:szCs w:val="20"/>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100,000,000 shares authorized; 38,834,381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27,140,484 shares issued and outstanding at September 30, 2020 and</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680,125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(548,205)</w:t>
            </w:r>
          </w:p>
        </w:tc>
        <w:tc>
          <w:tcPr>
            <w:tcW w:w="1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(495,470)</w:t>
            </w: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131,977</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179,309</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6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5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fees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60" w:type="dxa"/>
            <w:vAlign w:val="bottom"/>
          </w:tcPr>
          <w:p>
            <w:pPr>
              <w:spacing w:after="0"/>
              <w:rPr>
                <w:sz w:val="19"/>
                <w:szCs w:val="19"/>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4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2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4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2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to compute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44,156,808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31,630,639</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39,714,490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30,103,338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79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(52,735)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(42,047)</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and accretion of investments</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23"/>
        </w:trPr>
        <w:tc>
          <w:tcPr>
            <w:tcW w:w="798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(150,350)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(68,892)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in at-the-market stock offering, net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direct stock offering,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debt agreement, net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98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in accounts payable and accrued expenses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580" w:firstLine="510"/>
        <w:spacing w:after="0" w:line="265" w:lineRule="auto"/>
        <w:rPr>
          <w:sz w:val="20"/>
          <w:szCs w:val="20"/>
          <w:color w:val="auto"/>
        </w:rPr>
      </w:pPr>
      <w:r>
        <w:rPr>
          <w:rFonts w:ascii="Times New Roman" w:cs="Times New Roman" w:eastAsia="Times New Roman" w:hAnsi="Times New Roman"/>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2020, and the results of operations and comprehensive loss for the three and nine months ended September 30, 2020 and 2019, and cash flows for the nine months ended September 30, 2020 and 2019. The results for the three and nine months ended September 30, 2020 are not necessarily indicative of the results to be expected for the year ending December 31, 2020, any other interim periods, or any future year or period. These interim financial statements should be read in conjunction with the audited financial statements as of and for the year ended December 31, 2019, and the notes thereto, which are included in the Company’s Annual Report on Form 10-K that was filed with the Securities and Exchange Commission (“SEC”) on March 5, 2020.</w:t>
      </w:r>
    </w:p>
    <w:p>
      <w:pPr>
        <w:spacing w:after="0" w:line="191" w:lineRule="exact"/>
        <w:rPr>
          <w:sz w:val="20"/>
          <w:szCs w:val="20"/>
          <w:color w:val="auto"/>
        </w:rPr>
      </w:pPr>
    </w:p>
    <w:p>
      <w:pPr>
        <w:ind w:right="160" w:firstLine="510"/>
        <w:spacing w:after="0" w:line="288" w:lineRule="auto"/>
        <w:rPr>
          <w:sz w:val="20"/>
          <w:szCs w:val="20"/>
          <w:color w:val="auto"/>
        </w:rPr>
      </w:pPr>
      <w:r>
        <w:rPr>
          <w:rFonts w:ascii="Times New Roman" w:cs="Times New Roman" w:eastAsia="Times New Roman" w:hAnsi="Times New Roman"/>
          <w:sz w:val="17"/>
          <w:szCs w:val="17"/>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63" w:lineRule="exact"/>
        <w:rPr>
          <w:sz w:val="20"/>
          <w:szCs w:val="20"/>
          <w:color w:val="auto"/>
        </w:rPr>
      </w:pPr>
    </w:p>
    <w:p>
      <w:pPr>
        <w:ind w:left="520" w:right="7680" w:hanging="512"/>
        <w:spacing w:after="0" w:line="377" w:lineRule="auto"/>
        <w:tabs>
          <w:tab w:leader="none" w:pos="19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Significant Accounting Policies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consolidated financial statements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and the notes thereto are included in the Company’s Annual Report on Form 10-K that was filed with the SEC on March 5, 2020. Since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that filing, there have been no material changes to the Company’s significant accounting policies except as noted below.</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Significant Risks and Uncertainties</w:t>
      </w:r>
    </w:p>
    <w:p>
      <w:pPr>
        <w:spacing w:after="0" w:line="11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With the global spread of the ongoing COVID-19 pandemic in 2020, the Company has implemented business continuity plans designed to address and mitigate the impact of the COVID-19 pandemic on our business. The Company anticipates that the COVID-19 pandemic could have an impact on the clinical development timelines for one or more of our clinical programs. The extent to which the COVID-19 pandemic impacts the Company’s business, clinical development, manufacturing of clinical and commercial drug substance and drug product, and regulatory efforts, the corporate development objectives and the value of and market for the Company’s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The global economic slowdown, the overall disruption of global healthcare systems and the other risks and uncertainties associated with the pandemic could have a material adverse effect on its business, financial condition, results of operations and growth prospects.</w:t>
      </w:r>
    </w:p>
    <w:p>
      <w:pPr>
        <w:spacing w:after="0" w:line="7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the Company is subject to other challenges and risks specific to its business and ability to execute on the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 In addition, to the extent the ongoing COVID-19 pandemic adversely affects the Company’s business and results of operations, it may also have the effect of heightening many of the other risks and uncertainties discussed above.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i w:val="1"/>
          <w:iCs w:val="1"/>
          <w:color w:val="auto"/>
        </w:rPr>
        <w:t>Debt Issuance Cost</w:t>
      </w:r>
    </w:p>
    <w:p>
      <w:pPr>
        <w:spacing w:after="0" w:line="11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ind w:right="260" w:firstLine="510"/>
        <w:spacing w:after="0" w:line="260" w:lineRule="auto"/>
        <w:rPr>
          <w:sz w:val="20"/>
          <w:szCs w:val="20"/>
          <w:color w:val="auto"/>
        </w:rPr>
      </w:pPr>
      <w:r>
        <w:rPr>
          <w:rFonts w:ascii="Times New Roman" w:cs="Times New Roman" w:eastAsia="Times New Roman" w:hAnsi="Times New Roman"/>
          <w:sz w:val="18"/>
          <w:szCs w:val="18"/>
          <w:color w:val="auto"/>
        </w:rPr>
        <w:t xml:space="preserve">The Company accounts for derivative financial instruments as either equity or liabilities in accordance with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based on the characteristics and provisions of each instrument. Embedded derivatives are required to be bifurcated from the host instruments and recorded at fair value if the derivatives are not clearly and closely related to the host instruments on issuance date. The Company did not have any material embedded derivatives that required bifurcation upon issuance or as of September 30, 2020.</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78"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Management anticipates that the COVID-19 pandemic will have an impact on the clinical and pre-clinical development timelines for the Company’s clinical and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On December 19, 2014 (the “Effective Date”), the Company entered into a license agreement with Kyowa Kirin, Co., Ltd.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78" w:lineRule="exact"/>
        <w:rPr>
          <w:sz w:val="20"/>
          <w:szCs w:val="20"/>
          <w:color w:val="auto"/>
        </w:rPr>
      </w:pPr>
    </w:p>
    <w:p>
      <w:pPr>
        <w:ind w:right="40" w:firstLine="510"/>
        <w:spacing w:after="0" w:line="265" w:lineRule="auto"/>
        <w:rPr>
          <w:sz w:val="20"/>
          <w:szCs w:val="20"/>
          <w:color w:val="auto"/>
        </w:rPr>
      </w:pPr>
      <w:r>
        <w:rPr>
          <w:rFonts w:ascii="Times New Roman" w:cs="Times New Roman" w:eastAsia="Times New Roman" w:hAnsi="Times New Roman"/>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69" w:lineRule="exact"/>
        <w:rPr>
          <w:sz w:val="20"/>
          <w:szCs w:val="20"/>
          <w:color w:val="auto"/>
        </w:rPr>
      </w:pPr>
    </w:p>
    <w:p>
      <w:pPr>
        <w:ind w:right="120" w:firstLine="510"/>
        <w:spacing w:after="0" w:line="265" w:lineRule="auto"/>
        <w:rPr>
          <w:sz w:val="20"/>
          <w:szCs w:val="20"/>
          <w:color w:val="auto"/>
        </w:rPr>
      </w:pPr>
      <w:r>
        <w:rPr>
          <w:rFonts w:ascii="Times New Roman" w:cs="Times New Roman" w:eastAsia="Times New Roman" w:hAnsi="Times New Roman"/>
          <w:sz w:val="18"/>
          <w:szCs w:val="18"/>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69" w:lineRule="exact"/>
        <w:rPr>
          <w:sz w:val="20"/>
          <w:szCs w:val="20"/>
          <w:color w:val="auto"/>
        </w:rPr>
      </w:pPr>
    </w:p>
    <w:p>
      <w:pPr>
        <w:ind w:right="60" w:firstLine="510"/>
        <w:spacing w:after="0" w:line="260" w:lineRule="auto"/>
        <w:rPr>
          <w:sz w:val="20"/>
          <w:szCs w:val="20"/>
          <w:color w:val="auto"/>
        </w:rPr>
      </w:pPr>
      <w:r>
        <w:rPr>
          <w:rFonts w:ascii="Times New Roman" w:cs="Times New Roman" w:eastAsia="Times New Roman" w:hAnsi="Times New Roman"/>
          <w:sz w:val="18"/>
          <w:szCs w:val="18"/>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8" w:name="page9"/>
    <w:bookmarkEnd w:id="8"/>
    <w:p>
      <w:pPr>
        <w:ind w:right="100"/>
        <w:spacing w:after="0" w:line="268" w:lineRule="auto"/>
        <w:rPr>
          <w:sz w:val="20"/>
          <w:szCs w:val="20"/>
          <w:color w:val="auto"/>
        </w:rPr>
      </w:pPr>
      <w:r>
        <w:rPr>
          <w:rFonts w:ascii="Times New Roman" w:cs="Times New Roman" w:eastAsia="Times New Roman" w:hAnsi="Times New Roman"/>
          <w:sz w:val="17"/>
          <w:szCs w:val="17"/>
          <w:color w:val="auto"/>
        </w:rPr>
        <w:t>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72"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Contract liabilities consisted of deferred revenue, as presented on the consolidated balance sheet, as of September 30, 2020. Deferred revenue related to the KKC License Agreement was $13.5 million as of September 30, 2020 and will be recognized over the remainder of the contract term. The Company will continue to monitor the impact of the results of E2112 on the KKC License Agreement. As of the date of these financial statements the agreement remains in force.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Attributable to Common Stockholders</w:t>
      </w:r>
    </w:p>
    <w:p>
      <w:pPr>
        <w:spacing w:after="0" w:line="121" w:lineRule="exact"/>
        <w:rPr>
          <w:sz w:val="20"/>
          <w:szCs w:val="20"/>
          <w:color w:val="auto"/>
        </w:rPr>
      </w:pPr>
    </w:p>
    <w:p>
      <w:pPr>
        <w:ind w:right="120" w:firstLine="510"/>
        <w:spacing w:after="0" w:line="260"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ectPr>
          <w:pgSz w:w="11900" w:h="16838" w:orient="portrait"/>
          <w:cols w:equalWidth="0" w:num="1">
            <w:col w:w="11240"/>
          </w:cols>
          <w:pgMar w:left="320" w:top="445" w:right="339" w:bottom="1440" w:gutter="0" w:footer="0" w:header="0"/>
        </w:sectPr>
      </w:pPr>
    </w:p>
    <w:p>
      <w:pPr>
        <w:spacing w:after="0" w:line="3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7620</wp:posOffset>
            </wp:positionV>
            <wp:extent cx="1823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7" w:lineRule="exact"/>
        <w:rPr>
          <w:sz w:val="20"/>
          <w:szCs w:val="20"/>
          <w:color w:val="auto"/>
        </w:rPr>
      </w:pPr>
    </w:p>
    <w:p>
      <w:pPr>
        <w:ind w:left="5260"/>
        <w:spacing w:after="0"/>
        <w:tabs>
          <w:tab w:leader="none" w:pos="67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0</wp:posOffset>
            </wp:positionV>
            <wp:extent cx="1823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(In thousands, except share and per</w:t>
      </w:r>
    </w:p>
    <w:p>
      <w:pPr>
        <w:jc w:val="center"/>
        <w:ind w:left="5080"/>
        <w:spacing w:after="0" w:line="231" w:lineRule="auto"/>
        <w:rPr>
          <w:sz w:val="20"/>
          <w:szCs w:val="20"/>
          <w:color w:val="auto"/>
        </w:rPr>
      </w:pPr>
      <w:r>
        <w:rPr>
          <w:rFonts w:ascii="Times New Roman" w:cs="Times New Roman" w:eastAsia="Times New Roman" w:hAnsi="Times New Roman"/>
          <w:sz w:val="14"/>
          <w:szCs w:val="14"/>
          <w:b w:val="1"/>
          <w:bCs w:val="1"/>
          <w:color w:val="auto"/>
        </w:rPr>
        <w:t>share data)</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7620</wp:posOffset>
            </wp:positionV>
            <wp:extent cx="1695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5450" cy="8255"/>
                    </a:xfrm>
                    <a:prstGeom prst="rect">
                      <a:avLst/>
                    </a:prstGeom>
                    <a:noFill/>
                  </pic:spPr>
                </pic:pic>
              </a:graphicData>
            </a:graphic>
          </wp:anchor>
        </w:drawing>
      </w:r>
    </w:p>
    <w:p>
      <w:pPr>
        <w:spacing w:after="0" w:line="7" w:lineRule="exact"/>
        <w:rPr>
          <w:sz w:val="20"/>
          <w:szCs w:val="20"/>
          <w:color w:val="auto"/>
        </w:rPr>
      </w:pPr>
    </w:p>
    <w:p>
      <w:pPr>
        <w:ind w:left="240"/>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0</wp:posOffset>
            </wp:positionV>
            <wp:extent cx="1695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5450" cy="8255"/>
                    </a:xfrm>
                    <a:prstGeom prst="rect">
                      <a:avLst/>
                    </a:prstGeom>
                    <a:noFill/>
                  </pic:spPr>
                </pic:pic>
              </a:graphicData>
            </a:graphic>
          </wp:anchor>
        </w:drawing>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(In thousands, except share and per</w:t>
      </w:r>
    </w:p>
    <w:p>
      <w:pPr>
        <w:jc w:val="center"/>
        <w:ind w:right="900"/>
        <w:spacing w:after="0" w:line="231" w:lineRule="auto"/>
        <w:rPr>
          <w:sz w:val="20"/>
          <w:szCs w:val="20"/>
          <w:color w:val="auto"/>
        </w:rPr>
      </w:pPr>
      <w:r>
        <w:rPr>
          <w:rFonts w:ascii="Times New Roman" w:cs="Times New Roman" w:eastAsia="Times New Roman" w:hAnsi="Times New Roman"/>
          <w:sz w:val="14"/>
          <w:szCs w:val="14"/>
          <w:b w:val="1"/>
          <w:bCs w:val="1"/>
          <w:color w:val="auto"/>
        </w:rPr>
        <w:t>share data)</w:t>
      </w:r>
    </w:p>
    <w:p>
      <w:pPr>
        <w:spacing w:after="0" w:line="20" w:lineRule="exact"/>
        <w:rPr>
          <w:sz w:val="20"/>
          <w:szCs w:val="20"/>
          <w:color w:val="auto"/>
        </w:rPr>
      </w:pPr>
    </w:p>
    <w:p>
      <w:pPr>
        <w:sectPr>
          <w:pgSz w:w="11900" w:h="16838" w:orient="portrait"/>
          <w:cols w:equalWidth="0" w:num="2">
            <w:col w:w="7420" w:space="720"/>
            <w:col w:w="3100"/>
          </w:cols>
          <w:pgMar w:left="320" w:top="445" w:right="339" w:bottom="1440" w:gutter="0" w:footer="0" w:header="0"/>
          <w:type w:val="continuous"/>
        </w:sectPr>
      </w:pPr>
    </w:p>
    <w:tbl>
      <w:tblPr>
        <w:tblLayout w:type="fixed"/>
        <w:tblInd w:w="580" w:type="dxa"/>
        <w:tblCellMar>
          <w:top w:w="0" w:type="dxa"/>
          <w:left w:w="0" w:type="dxa"/>
          <w:bottom w:w="0" w:type="dxa"/>
          <w:right w:w="0" w:type="dxa"/>
        </w:tblCellMar>
      </w:tblP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(20,437)</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(52,735)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(42,047)</w:t>
            </w: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Deemed dividend due to warrant reset</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(3,906)</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3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(20,437)</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(56,641)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(42,047)</w:t>
            </w:r>
          </w:p>
        </w:tc>
        <w:tc>
          <w:tcPr>
            <w:tcW w:w="0" w:type="dxa"/>
            <w:vAlign w:val="bottom"/>
          </w:tcPr>
          <w:p>
            <w:pPr>
              <w:spacing w:after="0"/>
              <w:rPr>
                <w:sz w:val="1"/>
                <w:szCs w:val="1"/>
                <w:color w:val="auto"/>
              </w:rPr>
            </w:pPr>
          </w:p>
        </w:tc>
      </w:tr>
      <w:tr>
        <w:trPr>
          <w:trHeight w:val="191"/>
        </w:trPr>
        <w:tc>
          <w:tcPr>
            <w:tcW w:w="3840" w:type="dxa"/>
            <w:vAlign w:val="bottom"/>
            <w:tcBorders>
              <w:top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4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used to compute net loss per share attributable</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 common stockholders—basic and diluted</w:t>
            </w:r>
          </w:p>
        </w:tc>
        <w:tc>
          <w:tcPr>
            <w:tcW w:w="4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44,156,808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31,630,639</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39,714,490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30,103,338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firstLine="510"/>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55"/>
        </w:trPr>
        <w:tc>
          <w:tcPr>
            <w:tcW w:w="58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1780" w:type="dxa"/>
            <w:vAlign w:val="bottom"/>
            <w:tcBorders>
              <w:bottom w:val="single" w:sz="8" w:color="auto"/>
            </w:tcBorders>
          </w:tcPr>
          <w:p>
            <w:pPr>
              <w:jc w:val="right"/>
              <w:ind w:right="72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6,770,660</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6,053,654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41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689,242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4,595,039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1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18,838</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units (RSUs)</w:t>
            </w:r>
          </w:p>
        </w:tc>
        <w:tc>
          <w:tcPr>
            <w:tcW w:w="41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18,500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642"/>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9" w:name="page10"/>
    <w:bookmarkEnd w:id="9"/>
    <w:p>
      <w:pPr>
        <w:ind w:right="40" w:firstLine="663"/>
        <w:spacing w:after="0" w:line="265" w:lineRule="auto"/>
        <w:rPr>
          <w:sz w:val="20"/>
          <w:szCs w:val="20"/>
          <w:color w:val="auto"/>
        </w:rPr>
      </w:pPr>
      <w:r>
        <w:rPr>
          <w:rFonts w:ascii="Times New Roman" w:cs="Times New Roman" w:eastAsia="Times New Roman" w:hAnsi="Times New Roman"/>
          <w:sz w:val="18"/>
          <w:szCs w:val="18"/>
          <w:color w:val="auto"/>
        </w:rPr>
        <w:t>As discussed in Note 13, in March 2019, the Company sold 2,095,039 shares of common stock as well as 2,500,000 pre-funded warrants and 4,595,039 Series 1 and Series 2 warrants. The pre-funded warrants are exercisable into shares of common stock for $0.0001 per share. In January 2020, the Company sold 3,036,719 shares of common stock as well as 1,338,287 pre-funded warrants. The warrants are exercisable into shares of common stock for $0.0001 per share. The shares of common stock into which the pre-funded warrants may be exercised are considered outstanding for the purposes of computing earnings per share. As of September 30, 2020, there were 5,557,952 pre-funded warrants outstanding.</w:t>
      </w:r>
    </w:p>
    <w:p>
      <w:pPr>
        <w:spacing w:after="0" w:line="71" w:lineRule="exact"/>
        <w:rPr>
          <w:sz w:val="20"/>
          <w:szCs w:val="20"/>
          <w:color w:val="auto"/>
        </w:rPr>
      </w:pPr>
    </w:p>
    <w:p>
      <w:pPr>
        <w:ind w:right="20" w:firstLine="510"/>
        <w:spacing w:after="0" w:line="260" w:lineRule="auto"/>
        <w:rPr>
          <w:sz w:val="20"/>
          <w:szCs w:val="20"/>
          <w:color w:val="auto"/>
        </w:rPr>
      </w:pPr>
      <w:r>
        <w:rPr>
          <w:rFonts w:ascii="Times New Roman" w:cs="Times New Roman" w:eastAsia="Times New Roman" w:hAnsi="Times New Roman"/>
          <w:sz w:val="18"/>
          <w:szCs w:val="18"/>
          <w:color w:val="auto"/>
        </w:rPr>
        <w:t>In May 2020, a holder of pre-funded warrants exchanged 280,335 warrants for 280,332 shares of common stock in a cashless exercise. Additionally, in May 2020, holders of Series 1 and Series 2 warrants, exercised 3,489,131 warrants and received 1,512,229 shares of common stock in a cashless exercise. In August 2020, a holder of Series 1 and Series 2 warrants, exercised 416,666 warrants in exchange of 130,151 shares of common stock in a cashless exercise.</w:t>
      </w:r>
    </w:p>
    <w:p>
      <w:pPr>
        <w:spacing w:after="0" w:line="74" w:lineRule="exact"/>
        <w:rPr>
          <w:sz w:val="20"/>
          <w:szCs w:val="20"/>
          <w:color w:val="auto"/>
        </w:rPr>
      </w:pPr>
    </w:p>
    <w:p>
      <w:pPr>
        <w:ind w:right="220" w:firstLine="510"/>
        <w:spacing w:after="0" w:line="265" w:lineRule="auto"/>
        <w:rPr>
          <w:sz w:val="20"/>
          <w:szCs w:val="20"/>
          <w:color w:val="auto"/>
        </w:rPr>
      </w:pPr>
      <w:r>
        <w:rPr>
          <w:rFonts w:ascii="Times New Roman" w:cs="Times New Roman" w:eastAsia="Times New Roman" w:hAnsi="Times New Roman"/>
          <w:sz w:val="18"/>
          <w:szCs w:val="18"/>
          <w:color w:val="auto"/>
        </w:rPr>
        <w:t>As of September 30, 2020, there were 344,620 shares of our common stock issuable upon the exercise of Series 1 warrants outstanding, at an exercise price of $10.00 per share, and there were 344,622 shares of our common stock issuable upon the exercise of Series 2 warrants outstanding, at an exercise price of $13.00 per share.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Vitae Pharmaceuticals, Inc.</w:t>
      </w:r>
    </w:p>
    <w:p>
      <w:pPr>
        <w:spacing w:after="0" w:line="12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(the “AbbVie License Agreement”) with Vitae Pharmaceuticals, Inc. (“Vitae”), a subsidiary of AbbVie Inc. (“AbbVie”), under which Vitae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AbbVie in the fourth quarter of 2017. Additionally, subject to the achievement of certain milestone events, the Company may be required to pay AbbVie up to $99.0 million in one-time development and regulatory milestone payments over the term of the AbbVie License Agreement. In the event that the Company or any of its affiliates or sublicensees commercializes the Menin Assets, the Company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AbbVie. The Company is solely responsible for the development and commercialization of the Menin Assets. Each party may terminate the AbbVie License Agreement for the other party’s uncured material breach or insolvency; and the Company may terminate the AbbVie License Agreement at will at any time upon advance written notice to AbbVie. AbbVie may terminate the AbbVie License Agreement if the Company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AbbVie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As a result, in June 2019, the Company recorded $4.0 million as research and development expense. The $4.0 million plus accrued interest was paid in May 2020.</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UCB Biopharma Sprl</w:t>
      </w:r>
    </w:p>
    <w:p>
      <w:pPr>
        <w:spacing w:after="0" w:line="121" w:lineRule="exact"/>
        <w:rPr>
          <w:sz w:val="20"/>
          <w:szCs w:val="20"/>
          <w:color w:val="auto"/>
        </w:rPr>
      </w:pPr>
    </w:p>
    <w:p>
      <w:pPr>
        <w:jc w:val="both"/>
        <w:ind w:right="260" w:firstLine="510"/>
        <w:spacing w:after="0" w:line="257" w:lineRule="auto"/>
        <w:rPr>
          <w:sz w:val="20"/>
          <w:szCs w:val="20"/>
          <w:color w:val="auto"/>
        </w:rPr>
      </w:pPr>
      <w:r>
        <w:rPr>
          <w:rFonts w:ascii="Times New Roman" w:cs="Times New Roman" w:eastAsia="Times New Roman" w:hAnsi="Times New Roman"/>
          <w:sz w:val="18"/>
          <w:szCs w:val="18"/>
          <w:color w:val="auto"/>
        </w:rPr>
        <w:t>In 2016, the Company entered into a license agreement (the “UCB License Agreement”) with UCB Biopharma Sprl (“UCB”), under which UCB granted to the Company a worldwide, sublicenseable, exclusive license to UCB6352, which the Company refers to as axatilimab, an investigational new drug (“IND”) ready anti-CSF-1R monoclonal antibody. The Company made a nonrefundable upfront payment of $5.0 million to UCB in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0" w:name="page11"/>
    <w:bookmarkEnd w:id="10"/>
    <w:p>
      <w:pPr>
        <w:ind w:right="180"/>
        <w:spacing w:after="0" w:line="258" w:lineRule="auto"/>
        <w:rPr>
          <w:sz w:val="20"/>
          <w:szCs w:val="20"/>
          <w:color w:val="auto"/>
        </w:rPr>
      </w:pPr>
      <w:r>
        <w:rPr>
          <w:rFonts w:ascii="Times New Roman" w:cs="Times New Roman" w:eastAsia="Times New Roman" w:hAnsi="Times New Roman"/>
          <w:sz w:val="18"/>
          <w:szCs w:val="18"/>
          <w:color w:val="auto"/>
        </w:rPr>
        <w:t>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w:t>
      </w:r>
    </w:p>
    <w:p>
      <w:pPr>
        <w:spacing w:after="0" w:line="74" w:lineRule="exact"/>
        <w:rPr>
          <w:sz w:val="20"/>
          <w:szCs w:val="20"/>
          <w:color w:val="auto"/>
        </w:rPr>
      </w:pPr>
    </w:p>
    <w:p>
      <w:pPr>
        <w:ind w:right="140" w:firstLine="510"/>
        <w:spacing w:after="0" w:line="312" w:lineRule="auto"/>
        <w:rPr>
          <w:sz w:val="20"/>
          <w:szCs w:val="20"/>
          <w:color w:val="auto"/>
        </w:rPr>
      </w:pPr>
      <w:r>
        <w:rPr>
          <w:rFonts w:ascii="Times New Roman" w:cs="Times New Roman" w:eastAsia="Times New Roman" w:hAnsi="Times New Roman"/>
          <w:sz w:val="17"/>
          <w:szCs w:val="17"/>
          <w:color w:val="auto"/>
        </w:rPr>
        <w:t>In July 2020, the Company met a clinical milestone under the UCB License Agreement associated with the Phase 1 dose-finding study. As a result, in July 2020, the Company recorded $2.0 million as research and development expense. The $2.0 million milestone payment was made in August 2020.</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Eastern Cooperative Oncology Group</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$5.1 million. The Company has agreed to provide this additional financial support to fund the additional activities required to ensure that the E2112 clinical trial will satisfy FDA registration requirements.</w:t>
      </w:r>
    </w:p>
    <w:p>
      <w:pPr>
        <w:spacing w:after="0" w:line="83" w:lineRule="exact"/>
        <w:rPr>
          <w:sz w:val="20"/>
          <w:szCs w:val="20"/>
          <w:color w:val="auto"/>
        </w:rPr>
      </w:pPr>
    </w:p>
    <w:p>
      <w:pPr>
        <w:jc w:val="both"/>
        <w:ind w:right="200" w:firstLine="510"/>
        <w:spacing w:after="0" w:line="272" w:lineRule="auto"/>
        <w:rPr>
          <w:sz w:val="20"/>
          <w:szCs w:val="20"/>
          <w:color w:val="auto"/>
        </w:rPr>
      </w:pPr>
      <w:r>
        <w:rPr>
          <w:rFonts w:ascii="Times New Roman" w:cs="Times New Roman" w:eastAsia="Times New Roman" w:hAnsi="Times New Roman"/>
          <w:sz w:val="17"/>
          <w:szCs w:val="17"/>
          <w:color w:val="auto"/>
        </w:rPr>
        <w:t>In May 2020, the Company announced that the E2112 trial did not achieve the primary endpoint of demonstrating a statistically significant overall survival benefit over hormone therapy alone. As a result the Company has decided to deprioritize the entinostat program to focus resources on advancing the remainder of its pipeline. As of September 30, 2020, the Company’s aggregate payment obligations under this agreement are approximately</w:t>
      </w:r>
    </w:p>
    <w:p>
      <w:pPr>
        <w:spacing w:after="0" w:line="1" w:lineRule="exact"/>
        <w:rPr>
          <w:sz w:val="20"/>
          <w:szCs w:val="20"/>
          <w:color w:val="auto"/>
        </w:rPr>
      </w:pPr>
    </w:p>
    <w:p>
      <w:pPr>
        <w:ind w:right="940"/>
        <w:spacing w:after="0" w:line="260" w:lineRule="auto"/>
        <w:rPr>
          <w:sz w:val="20"/>
          <w:szCs w:val="20"/>
          <w:color w:val="auto"/>
        </w:rPr>
      </w:pPr>
      <w:r>
        <w:rPr>
          <w:rFonts w:ascii="Times New Roman" w:cs="Times New Roman" w:eastAsia="Times New Roman" w:hAnsi="Times New Roman"/>
          <w:sz w:val="18"/>
          <w:szCs w:val="18"/>
          <w:color w:val="auto"/>
        </w:rPr>
        <w:t>$24.7 million; and its estimated remaining payment obligations are approximately $3.8 million, which are estimated to be paid over a period of approximately two years. As of September 30, 2020, the Company has accrued $1.7 million related to the ECOG Agreement.</w:t>
      </w:r>
    </w:p>
    <w:p>
      <w:pPr>
        <w:spacing w:after="0" w:line="7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Bayer Pharma AG (formerly known as Bayer Schering Pharma AG)</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10"/>
        <w:spacing w:after="0" w:line="260"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right="80"/>
        <w:spacing w:after="0" w:line="265" w:lineRule="auto"/>
        <w:rPr>
          <w:sz w:val="20"/>
          <w:szCs w:val="20"/>
          <w:color w:val="auto"/>
        </w:rPr>
      </w:pPr>
      <w:r>
        <w:rPr>
          <w:rFonts w:ascii="Times New Roman" w:cs="Times New Roman" w:eastAsia="Times New Roman" w:hAnsi="Times New Roman"/>
          <w:sz w:val="18"/>
          <w:szCs w:val="18"/>
          <w:color w:val="auto"/>
        </w:rPr>
        <w:t>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ind w:left="1200" w:right="300" w:hanging="68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jc w:val="both"/>
        <w:ind w:right="80" w:firstLine="510"/>
        <w:spacing w:after="0" w:line="265" w:lineRule="auto"/>
        <w:rPr>
          <w:sz w:val="20"/>
          <w:szCs w:val="20"/>
          <w:color w:val="auto"/>
        </w:rPr>
      </w:pPr>
      <w:r>
        <w:rPr>
          <w:rFonts w:ascii="Times New Roman" w:cs="Times New Roman" w:eastAsia="Times New Roman" w:hAnsi="Times New Roman"/>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periods presented.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assets and liabilities carried at fair value in accordance with the hierarchy defined above is as follows: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(unadjusted)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gridSpan w:val="5"/>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6"/>
              </w:rPr>
              <w:t>September 30, 2020</w:t>
            </w:r>
          </w:p>
        </w:tc>
        <w:tc>
          <w:tcPr>
            <w:tcW w:w="21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gridSpan w:val="4"/>
            <w:vMerge w:val="continue"/>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Cash and cash equivalents of $56.4 million and $23.4 million as of September 30, 2020 and December 31, 2019, respectively, consisted of overnight investments and money market funds and are classified within Level 1 of the fair value hierarchy because they are valued using quoted market prices in active markets. Cash equivalents of $1.2 million as of December 31, 2019,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2"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Short-term investments of $113.8 million and $35.2 million as of September 30, 2020 and December 31, 2019, respectively, consisted of commercial paper, highly rated corporate bonds and asset backed securities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firstLine="510"/>
        <w:spacing w:after="0" w:line="255" w:lineRule="auto"/>
        <w:rPr>
          <w:sz w:val="20"/>
          <w:szCs w:val="20"/>
          <w:color w:val="auto"/>
        </w:rPr>
      </w:pPr>
      <w:r>
        <w:rPr>
          <w:rFonts w:ascii="Times New Roman" w:cs="Times New Roman" w:eastAsia="Times New Roman" w:hAnsi="Times New Roman"/>
          <w:sz w:val="18"/>
          <w:szCs w:val="18"/>
          <w:color w:val="auto"/>
        </w:rPr>
        <w:t>The short-term investments are classified as available-for-sale securities. As of September 30, 2020,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nine months ended September 30, 2020 and 2019. As a result, the Company did not reclassify any amounts out of accumulated other comprehensive income for the same periods. The Company has a limited number of available-for-sale securities in insignificant loss positions as of September 30, 2020, which the Company does not intend to sell and has concluded it will not be required to sell before recovery of the amortized cost for the investment at maturity. The following table summarizes the available-for-sale securities: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4"/>
                <w:szCs w:val="14"/>
                <w:color w:val="auto"/>
              </w:rPr>
            </w:pPr>
          </w:p>
        </w:tc>
        <w:tc>
          <w:tcPr>
            <w:tcW w:w="9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7"/>
          </w:tcPr>
          <w:p>
            <w:pPr>
              <w:jc w:val="right"/>
              <w:ind w:right="9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500" w:type="dxa"/>
            <w:vAlign w:val="bottom"/>
            <w:tcBorders>
              <w:bottom w:val="single" w:sz="8" w:color="auto"/>
            </w:tcBorders>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September 30, 2020</w:t>
            </w:r>
          </w:p>
        </w:tc>
        <w:tc>
          <w:tcPr>
            <w:tcW w:w="35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86,919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113,750</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060" w:type="dxa"/>
            <w:vAlign w:val="bottom"/>
            <w:tcBorders>
              <w:top w:val="single" w:sz="8" w:color="CFF0FC"/>
            </w:tcBorders>
            <w:gridSpan w:val="4"/>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2019</w:t>
            </w:r>
          </w:p>
        </w:tc>
        <w:tc>
          <w:tcPr>
            <w:tcW w:w="1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right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60" w:type="dxa"/>
            <w:vAlign w:val="bottom"/>
            <w:tcBorders>
              <w:bottom w:val="single" w:sz="8" w:color="CFF0FC"/>
            </w:tcBorders>
            <w:gridSpan w:val="4"/>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6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5"/>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3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clinical supplies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Reimbursable costs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gridSpan w:val="4"/>
          </w:tcPr>
          <w:p>
            <w:pPr>
              <w:jc w:val="right"/>
              <w:ind w:right="105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January 2020, the number of shares of common stock available for issuance under the 2015 Omnibus Incentive Plan (“2015 Plan”), was increased by 1,085,619 shares due to the automatic annual provision to increase shares available under the 2015 Plan. As of September 30, 2020, the total number of shares of common stock available for issuance under the 2015 Plan was 628,153.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gridSpan w:val="3"/>
          </w:tcPr>
          <w:p>
            <w:pPr>
              <w:jc w:val="right"/>
              <w:ind w:right="5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40" w:type="dxa"/>
            <w:vAlign w:val="bottom"/>
            <w:gridSpan w:val="2"/>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FF0FC"/>
          </w:tcPr>
          <w:p>
            <w:pPr>
              <w:spacing w:after="0"/>
              <w:rPr>
                <w:sz w:val="19"/>
                <w:szCs w:val="19"/>
                <w:color w:val="auto"/>
              </w:rPr>
            </w:pPr>
          </w:p>
        </w:tc>
      </w:tr>
      <w:tr>
        <w:trPr>
          <w:trHeight w:val="229"/>
        </w:trPr>
        <w:tc>
          <w:tcPr>
            <w:tcW w:w="2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1,040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1,550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by type of award in the three and nine months ended September 30, 2020 and 2019 was as follows: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2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2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gridSpan w:val="3"/>
          </w:tcPr>
          <w:p>
            <w:pPr>
              <w:jc w:val="right"/>
              <w:ind w:right="5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40" w:type="dxa"/>
            <w:vAlign w:val="bottom"/>
            <w:gridSpan w:val="2"/>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tcPr>
          <w:p>
            <w:pPr>
              <w:spacing w:after="0"/>
              <w:rPr>
                <w:sz w:val="19"/>
                <w:szCs w:val="19"/>
                <w:color w:val="auto"/>
              </w:rPr>
            </w:pPr>
          </w:p>
        </w:tc>
      </w:tr>
      <w:tr>
        <w:trPr>
          <w:trHeight w:val="223"/>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1,550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60" w:firstLine="510"/>
        <w:spacing w:after="0" w:line="288" w:lineRule="auto"/>
        <w:rPr>
          <w:sz w:val="20"/>
          <w:szCs w:val="20"/>
          <w:color w:val="auto"/>
        </w:rPr>
      </w:pPr>
      <w:r>
        <w:rPr>
          <w:rFonts w:ascii="Times New Roman" w:cs="Times New Roman" w:eastAsia="Times New Roman" w:hAnsi="Times New Roman"/>
          <w:sz w:val="17"/>
          <w:szCs w:val="17"/>
          <w:color w:val="auto"/>
        </w:rPr>
        <w:t>During the nine months ended September 30, 2020, the Company granted 1,496,125 stock options to certain executives, consultants, and employees having service-based vesting conditions. The grant date fair value of the options granted in the nine months ended September 30, 2020, was $11.7 million, or $7.82 per share on a weighted-average basis and will be recognized as compensation expense over the requisite service period of three to four years.</w:t>
      </w:r>
    </w:p>
    <w:p>
      <w:pPr>
        <w:spacing w:after="0" w:line="51" w:lineRule="exact"/>
        <w:rPr>
          <w:sz w:val="20"/>
          <w:szCs w:val="20"/>
          <w:color w:val="auto"/>
        </w:rPr>
      </w:pPr>
    </w:p>
    <w:p>
      <w:pPr>
        <w:ind w:right="240" w:firstLine="510"/>
        <w:spacing w:after="0" w:line="265" w:lineRule="auto"/>
        <w:rPr>
          <w:sz w:val="20"/>
          <w:szCs w:val="20"/>
          <w:color w:val="auto"/>
        </w:rPr>
      </w:pPr>
      <w:r>
        <w:rPr>
          <w:rFonts w:ascii="Times New Roman" w:cs="Times New Roman" w:eastAsia="Times New Roman" w:hAnsi="Times New Roman"/>
          <w:sz w:val="18"/>
          <w:szCs w:val="18"/>
          <w:color w:val="auto"/>
        </w:rPr>
        <w:t>In July 2020, in connection with the retirement of a certain employee, the Company modified the terms of this individual’s historical stock option awards. As a result of the modifications, the Company recognized approximately $1.0 million of incremental stock compensation expense during the period.</w:t>
      </w:r>
    </w:p>
    <w:p>
      <w:pPr>
        <w:spacing w:after="0" w:line="69" w:lineRule="exact"/>
        <w:rPr>
          <w:sz w:val="20"/>
          <w:szCs w:val="20"/>
          <w:color w:val="auto"/>
        </w:rPr>
      </w:pPr>
    </w:p>
    <w:p>
      <w:pPr>
        <w:ind w:right="340" w:firstLine="510"/>
        <w:spacing w:after="0" w:line="265" w:lineRule="auto"/>
        <w:rPr>
          <w:sz w:val="20"/>
          <w:szCs w:val="20"/>
          <w:color w:val="auto"/>
        </w:rPr>
      </w:pPr>
      <w:r>
        <w:rPr>
          <w:rFonts w:ascii="Times New Roman" w:cs="Times New Roman" w:eastAsia="Times New Roman" w:hAnsi="Times New Roman"/>
          <w:sz w:val="18"/>
          <w:szCs w:val="18"/>
          <w:color w:val="auto"/>
        </w:rPr>
        <w:t>In April 2020, the Company granted 74,000 stock options to certain employees to purchase shares of common stock that contain a performance-based vesting criterion related to filing a New Drug Application with the FDA. In May 2020, these options were cancelled. No expense had been recognized related to this award.</w:t>
      </w:r>
    </w:p>
    <w:p>
      <w:pPr>
        <w:spacing w:after="0" w:line="6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2019, the Company granted 583,000 stock options to certain employees to purchase shares of common stock that contain certain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 achievement of one of the performance milestones was considered to be probable and the Company recorded approximately $180,000 of stock compensation expense associated with these awards for the nine months ended September 30, 2020. One performance milestone was not achieved by December 31, 2019, and therefore 194,338 stock options were cancelled on January 1, 2020. For the remaining award containing performance-based vesting criteria, the achievement of the milestone was not met, and therefore 194,331 stock options were cancelled in June 2020. No expense had been recognized related to this award for the nine months ended September 30, 2020.</w:t>
      </w:r>
    </w:p>
    <w:p>
      <w:pPr>
        <w:spacing w:after="0" w:line="74" w:lineRule="exact"/>
        <w:rPr>
          <w:sz w:val="20"/>
          <w:szCs w:val="20"/>
          <w:color w:val="auto"/>
        </w:rPr>
      </w:pPr>
    </w:p>
    <w:p>
      <w:pPr>
        <w:ind w:firstLine="510"/>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2020, 311,871 options were exercised for cash proceeds of $3.1 million. During the nine months ended September 30, 2019, 25,857 options were exercised for cash proceeds of $0.2 million.</w:t>
      </w:r>
    </w:p>
    <w:p>
      <w:pPr>
        <w:spacing w:after="0" w:line="55" w:lineRule="exact"/>
        <w:rPr>
          <w:sz w:val="20"/>
          <w:szCs w:val="20"/>
          <w:color w:val="auto"/>
        </w:rPr>
      </w:pPr>
    </w:p>
    <w:p>
      <w:pPr>
        <w:ind w:right="340" w:firstLine="510"/>
        <w:spacing w:after="0" w:line="265" w:lineRule="auto"/>
        <w:rPr>
          <w:sz w:val="20"/>
          <w:szCs w:val="20"/>
          <w:color w:val="auto"/>
        </w:rPr>
      </w:pPr>
      <w:r>
        <w:rPr>
          <w:rFonts w:ascii="Times New Roman" w:cs="Times New Roman" w:eastAsia="Times New Roman" w:hAnsi="Times New Roman"/>
          <w:sz w:val="18"/>
          <w:szCs w:val="18"/>
          <w:color w:val="auto"/>
        </w:rPr>
        <w:t>As of September 30, 2020, there was $15.5 million of unrecognized compensation cost related to employee and non-employee unvested stock options and RSUs granted under the 2015 and 2007 Plans, which is expected to be recognized over a weighted-average remaining service period of 2.7 years. Stock compensation costs have not been capitalized by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380" w:firstLine="51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18,500 shares of the Company’s restricted stock units. The shares are scheduled to vest in equal annual tranches over a four-year period on the anniversary date of the related grant. The fair value of these shares totaled $194,000 at the grant date, representing a weighted-average grant date fair value per share of $10.48.</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jc w:val="both"/>
        <w:ind w:right="240" w:firstLine="510"/>
        <w:spacing w:after="0" w:line="265" w:lineRule="auto"/>
        <w:rPr>
          <w:sz w:val="20"/>
          <w:szCs w:val="20"/>
          <w:color w:val="auto"/>
        </w:rPr>
      </w:pPr>
      <w:r>
        <w:rPr>
          <w:rFonts w:ascii="Times New Roman" w:cs="Times New Roman" w:eastAsia="Times New Roman" w:hAnsi="Times New Roman"/>
          <w:sz w:val="18"/>
          <w:szCs w:val="18"/>
          <w:color w:val="auto"/>
        </w:rPr>
        <w:t>In January 2020, the number of shares of common stock available for issuance under the ESPP, was increased by 250,000 shares as a result of the automatic increase provision of the ESPP. As of September 30, 2020, the total number of shares of common stock available for issuance under the ESPP was 1,073,288. The Company issued 33,706 shares during the first nine months of 2020.</w:t>
      </w:r>
    </w:p>
    <w:p>
      <w:pPr>
        <w:spacing w:after="0" w:line="177" w:lineRule="exact"/>
        <w:rPr>
          <w:sz w:val="20"/>
          <w:szCs w:val="20"/>
          <w:color w:val="auto"/>
        </w:rPr>
      </w:pPr>
    </w:p>
    <w:p>
      <w:pPr>
        <w:ind w:right="20" w:firstLine="510"/>
        <w:spacing w:after="0" w:line="260" w:lineRule="auto"/>
        <w:rPr>
          <w:sz w:val="20"/>
          <w:szCs w:val="20"/>
          <w:color w:val="auto"/>
        </w:rPr>
      </w:pPr>
      <w:r>
        <w:rPr>
          <w:rFonts w:ascii="Times New Roman" w:cs="Times New Roman" w:eastAsia="Times New Roman" w:hAnsi="Times New Roman"/>
          <w:sz w:val="18"/>
          <w:szCs w:val="18"/>
          <w:color w:val="auto"/>
        </w:rPr>
        <w:t>The ESPP is considered a compensatory plan with the related compensation cost expensed over the six-month offering period starting on February 1 and on August 1. The compensation expense related to the ESPP for the three and nine months ended September 30, 2020, was approximately $58,000 and $137,000, respectively. The compensation expense related to the ESPP recorded in the three and nine months ended September 30, 2019, was approximately $26,000 and $89,000,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Loan Payable</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 (ii) subject to Hercules’ investment committee approval, an additional term loan of up to $10.0 million, available for borrowing from February 7, 2020 to December 15, 2020 (the “Tranche 2 Advance”). Borrowings under the Loan Agreement bear interest at an annual rate equal to the greater of (i) 9.85% or (ii) 5.10% plus the Wall Street Journal prime rate. As of September 30, 2020, the Company’s interest rate under the Loan Agreement was 9.85%.</w:t>
      </w:r>
    </w:p>
    <w:p>
      <w:pPr>
        <w:spacing w:after="0" w:line="18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At the Company’s option, the Company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which is being expensed over the term of the debt and will pay a $50,000 facility charge in connection with the Tranche 2 Advance. The Loan Agreement also provides for a final payment, payable upon maturity or the repayment in full of all obligations under the agreement, of up to</w:t>
      </w:r>
    </w:p>
    <w:p>
      <w:pPr>
        <w:spacing w:after="0" w:line="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4.99% of the aggregate principal amount of the Term Loan Advances (as defined in the Loan Agreement). The final payment will be accrued over the term of the debt.</w:t>
      </w:r>
    </w:p>
    <w:p>
      <w:pPr>
        <w:spacing w:after="0" w:line="1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has applied since October 1, 2020, subject to reduction upon satisfaction of certain conditions as set forth in the Loan Agreement.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189" w:lineRule="exact"/>
        <w:rPr>
          <w:sz w:val="20"/>
          <w:szCs w:val="20"/>
          <w:color w:val="auto"/>
        </w:rPr>
      </w:pPr>
    </w:p>
    <w:p>
      <w:pPr>
        <w:ind w:right="240" w:firstLine="510"/>
        <w:spacing w:after="0" w:line="260" w:lineRule="auto"/>
        <w:rPr>
          <w:sz w:val="20"/>
          <w:szCs w:val="20"/>
          <w:color w:val="auto"/>
        </w:rPr>
      </w:pPr>
      <w:r>
        <w:rPr>
          <w:rFonts w:ascii="Times New Roman" w:cs="Times New Roman" w:eastAsia="Times New Roman" w:hAnsi="Times New Roman"/>
          <w:sz w:val="18"/>
          <w:szCs w:val="18"/>
          <w:color w:val="auto"/>
        </w:rPr>
        <w:t>In connection with the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82" w:lineRule="exact"/>
        <w:rPr>
          <w:sz w:val="20"/>
          <w:szCs w:val="20"/>
          <w:color w:val="auto"/>
        </w:rPr>
      </w:pPr>
    </w:p>
    <w:p>
      <w:pPr>
        <w:ind w:right="540" w:firstLine="510"/>
        <w:spacing w:after="0" w:line="281"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$0.6 million and $1.6 million, respectively, of interest expense related to the Initial Advance pursuant to the Loan Agreement.</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As of September 30, 2020, the Company’s maturities of principal obligations under its long-term debt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6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422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3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36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3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Amortized final fee</w:t>
            </w:r>
          </w:p>
        </w:tc>
        <w:tc>
          <w:tcPr>
            <w:tcW w:w="3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Pr>
          <w:p>
            <w:pPr>
              <w:spacing w:after="0"/>
              <w:rPr>
                <w:sz w:val="19"/>
                <w:szCs w:val="19"/>
                <w:color w:val="auto"/>
              </w:rPr>
            </w:pPr>
          </w:p>
        </w:tc>
        <w:tc>
          <w:tcPr>
            <w:tcW w:w="5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858"/>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and nine months ended September 30,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880" w:type="dxa"/>
            <w:vAlign w:val="bottom"/>
            <w:gridSpan w:val="3"/>
            <w:vMerge w:val="restart"/>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00" w:type="dxa"/>
            <w:vAlign w:val="bottom"/>
            <w:gridSpan w:val="3"/>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880" w:type="dxa"/>
            <w:vAlign w:val="bottom"/>
            <w:gridSpan w:val="3"/>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188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27,140,484</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527,067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tcBorders>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(495,470)</w:t>
            </w:r>
          </w:p>
        </w:tc>
        <w:tc>
          <w:tcPr>
            <w:tcW w:w="280" w:type="dxa"/>
            <w:vAlign w:val="bottom"/>
            <w:tcBorders>
              <w:top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direct offering, net of $93</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3,036,719</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pre-funded common stock</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 from direct offering, net of $41</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offering expenses</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from repricing Series 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 warrants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Repricing Series 1 and 2 warrants</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(3,906)</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(15,236)</w:t>
            </w:r>
          </w:p>
        </w:tc>
        <w:tc>
          <w:tcPr>
            <w:tcW w:w="0" w:type="dxa"/>
            <w:vAlign w:val="bottom"/>
          </w:tcPr>
          <w:p>
            <w:pPr>
              <w:spacing w:after="0"/>
              <w:rPr>
                <w:sz w:val="1"/>
                <w:szCs w:val="1"/>
                <w:color w:val="auto"/>
              </w:rPr>
            </w:pPr>
          </w:p>
        </w:tc>
      </w:tr>
      <w:tr>
        <w:trPr>
          <w:trHeight w:val="263"/>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30,240,838</w:t>
            </w:r>
          </w:p>
        </w:tc>
        <w:tc>
          <w:tcPr>
            <w:tcW w:w="22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564,164</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(510,706</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exchange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pre-funded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280,332</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Series 1 and Series 2 warrants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1,512,229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direct offering, net of $7,099</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6,388,889</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90,456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(17,062)</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38,512,744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675,294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(527,768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Exercise Series 1 and Series 2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expenses associated with direct</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offering</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(20,437)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(20,437)</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38,834,381</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680,125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(548,205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and nine months ended September 30,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900" w:type="dxa"/>
            <w:vAlign w:val="bottom"/>
            <w:gridSpan w:val="3"/>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900" w:type="dxa"/>
            <w:vAlign w:val="bottom"/>
            <w:gridSpan w:val="3"/>
          </w:tcPr>
          <w:p>
            <w:pPr>
              <w:jc w:val="center"/>
              <w:ind w:left="113"/>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19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80" w:type="dxa"/>
            <w:vAlign w:val="bottom"/>
          </w:tcPr>
          <w:p>
            <w:pPr>
              <w:spacing w:after="0"/>
              <w:rPr>
                <w:sz w:val="15"/>
                <w:szCs w:val="15"/>
                <w:color w:val="auto"/>
              </w:rPr>
            </w:pPr>
          </w:p>
        </w:tc>
        <w:tc>
          <w:tcPr>
            <w:tcW w:w="98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24,835,951</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492,493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FF0FC"/>
            </w:tcBorders>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(439,423)</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'at-the-market' offering, net of</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$34 offering expenses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140,819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direct offering, net of $1,571 in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warrants, $78 offering</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2,095,039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pre-funded common stock</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from direct offering, net of $1,875</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common stock warrants, $93 offering</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warrant with direct</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(14,302)</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(14,302)</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27,095,779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(453,725</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expenses associated with direct offering</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(14,916)</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(14,916)</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27,117,946</w:t>
            </w:r>
          </w:p>
        </w:tc>
        <w:tc>
          <w:tcPr>
            <w:tcW w:w="20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523,855</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(468,641</w:t>
            </w:r>
          </w:p>
        </w:tc>
        <w:tc>
          <w:tcPr>
            <w:tcW w:w="200" w:type="dxa"/>
            <w:vAlign w:val="bottom"/>
            <w:tcBorders>
              <w:bottom w:val="single" w:sz="8" w:color="CFF0FC"/>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(12,829)</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(12,829)</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27,140,484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(481,470</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right="120" w:firstLine="510"/>
        <w:spacing w:after="0" w:line="288" w:lineRule="auto"/>
        <w:rPr>
          <w:sz w:val="20"/>
          <w:szCs w:val="20"/>
          <w:color w:val="auto"/>
        </w:rPr>
      </w:pPr>
      <w:r>
        <w:rPr>
          <w:rFonts w:ascii="Times New Roman" w:cs="Times New Roman" w:eastAsia="Times New Roman" w:hAnsi="Times New Roman"/>
          <w:sz w:val="17"/>
          <w:szCs w:val="17"/>
          <w:color w:val="auto"/>
        </w:rPr>
        <w:t>In April 2017, the Company entered into a sales agreement with Cowen and Company, LLC (“Cowen”) under which the Company issued and sold shares of our common stock from time to time through Cowen, acting as agent, in a series of one or more at-the-market (the “2017 ATM Program”) equity offerings. In the first quarter of 2019, the Company sold 140,819 shares of common stock under the 2017 ATM Program for net proceeds of $0.8 million.</w:t>
      </w:r>
    </w:p>
    <w:p>
      <w:pPr>
        <w:spacing w:after="0" w:line="159" w:lineRule="exact"/>
        <w:rPr>
          <w:sz w:val="20"/>
          <w:szCs w:val="20"/>
          <w:color w:val="auto"/>
        </w:rPr>
      </w:pPr>
    </w:p>
    <w:p>
      <w:pPr>
        <w:ind w:right="200" w:firstLine="510"/>
        <w:spacing w:after="0" w:line="255" w:lineRule="auto"/>
        <w:rPr>
          <w:sz w:val="20"/>
          <w:szCs w:val="20"/>
          <w:color w:val="auto"/>
        </w:rPr>
      </w:pPr>
      <w:r>
        <w:rPr>
          <w:rFonts w:ascii="Times New Roman" w:cs="Times New Roman" w:eastAsia="Times New Roman" w:hAnsi="Times New Roman"/>
          <w:sz w:val="18"/>
          <w:szCs w:val="18"/>
          <w:color w:val="auto"/>
        </w:rPr>
        <w:t>In August 2019, the Company entered into a new sales agreement with Cowen under which the Company may issue and sell shares of its common stock having aggregate sales proceeds of up to $50.0 million from time to time through Cowen, acting as agent, in a series of one or more ATM equity offerings (the “2019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 (Registration No. 333-233564), which was declared effective on September 10, 2019. The Company’s common stock will be sold at prevailing market prices at the time of the sale; and as a result, prices may vary. Through September 30, 2020, the Company sold no additional shares of common stock under the ATM program.</w:t>
      </w:r>
    </w:p>
    <w:p>
      <w:pPr>
        <w:spacing w:after="0" w:line="187" w:lineRule="exact"/>
        <w:rPr>
          <w:sz w:val="20"/>
          <w:szCs w:val="20"/>
          <w:color w:val="auto"/>
        </w:rPr>
      </w:pPr>
    </w:p>
    <w:p>
      <w:pPr>
        <w:ind w:right="120" w:firstLine="510"/>
        <w:spacing w:after="0" w:line="265" w:lineRule="auto"/>
        <w:rPr>
          <w:sz w:val="20"/>
          <w:szCs w:val="20"/>
          <w:color w:val="auto"/>
        </w:rPr>
      </w:pPr>
      <w:r>
        <w:rPr>
          <w:rFonts w:ascii="Times New Roman" w:cs="Times New Roman" w:eastAsia="Times New Roman" w:hAnsi="Times New Roman"/>
          <w:sz w:val="18"/>
          <w:szCs w:val="18"/>
          <w:color w:val="auto"/>
        </w:rPr>
        <w:t>In March 2019, the Company issued 2,095,039 shares of its common stock and pre-funded warrants to purchase 2,500,000 shares of common stock to certain investors in a registered direct offering. The pre-funded warrants are exercisable immediately upon issuance at an exercise price of $0.0001 per share and have a term of 20 years. The Company sold the shares of common stock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120"/>
        <w:spacing w:after="0" w:line="280" w:lineRule="auto"/>
        <w:rPr>
          <w:sz w:val="20"/>
          <w:szCs w:val="20"/>
          <w:color w:val="auto"/>
        </w:rPr>
      </w:pPr>
      <w:r>
        <w:rPr>
          <w:rFonts w:ascii="Times New Roman" w:cs="Times New Roman" w:eastAsia="Times New Roman" w:hAnsi="Times New Roman"/>
          <w:sz w:val="17"/>
          <w:szCs w:val="17"/>
          <w:color w:val="auto"/>
        </w:rPr>
        <w:t>pre-funded warrants together with two series of warrants, Series 1 Warrants and Series 2 Warrants, to purchase an aggregate of 4,595,039 shares of the Company’s common stock (collectively,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66" w:lineRule="exact"/>
        <w:rPr>
          <w:sz w:val="20"/>
          <w:szCs w:val="20"/>
          <w:color w:val="auto"/>
        </w:rPr>
      </w:pPr>
    </w:p>
    <w:p>
      <w:pPr>
        <w:jc w:val="both"/>
        <w:ind w:right="80" w:firstLine="510"/>
        <w:spacing w:after="0" w:line="260" w:lineRule="auto"/>
        <w:rPr>
          <w:sz w:val="20"/>
          <w:szCs w:val="20"/>
          <w:color w:val="auto"/>
        </w:rPr>
      </w:pPr>
      <w:r>
        <w:rPr>
          <w:rFonts w:ascii="Times New Roman" w:cs="Times New Roman" w:eastAsia="Times New Roman" w:hAnsi="Times New Roman"/>
          <w:sz w:val="18"/>
          <w:szCs w:val="18"/>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The Series Warrants expire on the earlier of (i) 90 days following the Company’s confirmation to holders of the Company’s release of positive data confirming the achievement of the specified primary endpoint of overall survival benefit in the E2112 clinical trial in breast cancer patients, or (ii) December 31, 2020.</w:t>
      </w:r>
    </w:p>
    <w:p>
      <w:pPr>
        <w:spacing w:after="0" w:line="18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If, prior to the expiration date of the Series Warrant, the Company sells additional capital stock or derivative securities convertible into or exercisable for capital stock, as defined, in one or more related transactions primarily for the purpose of raising capital at a Weighted-Average Price (as described below) below $12.00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$6.00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186" w:lineRule="exact"/>
        <w:rPr>
          <w:sz w:val="20"/>
          <w:szCs w:val="20"/>
          <w:color w:val="auto"/>
        </w:rPr>
      </w:pPr>
    </w:p>
    <w:p>
      <w:pPr>
        <w:jc w:val="both"/>
        <w:ind w:right="60" w:firstLine="510"/>
        <w:spacing w:after="0" w:line="260" w:lineRule="auto"/>
        <w:rPr>
          <w:sz w:val="20"/>
          <w:szCs w:val="20"/>
          <w:color w:val="auto"/>
        </w:rPr>
      </w:pPr>
      <w:r>
        <w:rPr>
          <w:rFonts w:ascii="Times New Roman" w:cs="Times New Roman" w:eastAsia="Times New Roman" w:hAnsi="Times New Roman"/>
          <w:sz w:val="18"/>
          <w:szCs w:val="18"/>
          <w:color w:val="auto"/>
        </w:rPr>
        <w:t>The Pre-Funded Warrants and the Series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8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shares of common stock upon exercise. In addition, such warrants do not provide any guarantee of value or return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Company valued the Series Warrants at issuance in March 2019 using the Black Scholes option pricing model and determined the fair value of the 4,595,039 Series Warrants at $3.4 million. The key inputs to the valuation model included the weighted average volatility of 89.1% and the weighted-average expected term of 1.4 years.</w:t>
      </w:r>
    </w:p>
    <w:p>
      <w:pPr>
        <w:spacing w:after="0" w:line="18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January 2020, the Company sold 3,036,719 shares of common stock, and pre-funded warrants to purchase 1,338,287 shares of common stock. The offering price for the securities was $8.00 per share of common stock or $7.9999 for each pre-funded warrant. As a result of this offering, the exercise price of Series 1 Warrants and Series 2 Warrants outstanding reset from $12.00 per share to $10.00 per share and from $18.00 per share to $13.00, respectively. The Company recorded $3.9 million as a deemed dividend which represents the value transferred to the warrant holders due to the Series Warrant adjustment mechanism being triggered. The deemed dividend was recorded as both an increase and a decrease in Additional Paid-in-Capital and reduced net income available to common stockholders by the same amount. The key inputs to the valuation model included the weighted average volatility of 96.74% and the weighted average expected term of 0.4 years.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2020, the Company sold 6,388,889 shares of common stock. The offering price for the securities was $18.00 per share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proceeds to the Company, net of offering cost, were $107.9 million.</w:t>
      </w:r>
    </w:p>
    <w:p>
      <w:pPr>
        <w:spacing w:after="0" w:line="206"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In May 2020, a holder of pre-funded warrants exchanged 280,335 warrants for 280,332 shares of common stock in a cashless exercise. Additionally, in May 2020, holders of Series 1 and Series 2 warrants, exercised 3,489,131 warrants and received 1,512,229 shares of common stock in a cashless exercise. In August 2020, a holder of Series 1 and Series 2 warrants, exercised 416,666 warrants in exchange for 130,151 shares of common stock in a cashless exercise.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9" w:name="page20"/>
    <w:bookmarkEnd w:id="19"/>
    <w:p>
      <w:pPr>
        <w:ind w:right="260" w:firstLine="510"/>
        <w:spacing w:after="0" w:line="281"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warrant exercise, exercise of stock options, and the employee stock purchase plan:</w:t>
      </w:r>
    </w:p>
    <w:p>
      <w:pPr>
        <w:spacing w:after="0" w:line="9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24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2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5,557,952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Series 1 and 2 warrants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689,242</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7,417,313</w:t>
            </w:r>
          </w:p>
        </w:tc>
        <w:tc>
          <w:tcPr>
            <w:tcW w:w="120" w:type="dxa"/>
            <w:vAlign w:val="bottom"/>
            <w:shd w:val="clear" w:color="auto" w:fill="CFF0FC"/>
          </w:tcPr>
          <w:p>
            <w:pPr>
              <w:spacing w:after="0"/>
              <w:rPr>
                <w:sz w:val="19"/>
                <w:szCs w:val="19"/>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1,073,288</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121" w:lineRule="exact"/>
        <w:rPr>
          <w:sz w:val="20"/>
          <w:szCs w:val="20"/>
          <w:color w:val="auto"/>
        </w:rPr>
      </w:pPr>
    </w:p>
    <w:p>
      <w:pPr>
        <w:ind w:firstLine="510"/>
        <w:spacing w:after="0" w:line="281" w:lineRule="auto"/>
        <w:rPr>
          <w:sz w:val="20"/>
          <w:szCs w:val="20"/>
          <w:color w:val="auto"/>
        </w:rPr>
      </w:pPr>
      <w:r>
        <w:rPr>
          <w:rFonts w:ascii="Times New Roman" w:cs="Times New Roman" w:eastAsia="Times New Roman" w:hAnsi="Times New Roman"/>
          <w:sz w:val="18"/>
          <w:szCs w:val="18"/>
          <w:color w:val="auto"/>
        </w:rPr>
        <w:t>The Company’s chief executive officer and member of the board of directors is also an Executive Partner at MPM Asset Management, LLC, which holds an investment in the Company’s common stock.</w:t>
      </w: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bookmarkStart w:id="20" w:name="page21"/>
    <w:bookmarkEnd w:id="20"/>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5, 2020.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120" w:firstLine="510"/>
        <w:spacing w:after="0" w:line="260" w:lineRule="auto"/>
        <w:rPr>
          <w:sz w:val="20"/>
          <w:szCs w:val="20"/>
          <w:color w:val="auto"/>
        </w:rPr>
      </w:pPr>
      <w:r>
        <w:rPr>
          <w:rFonts w:ascii="Times New Roman" w:cs="Times New Roman" w:eastAsia="Times New Roman" w:hAnsi="Times New Roman"/>
          <w:sz w:val="18"/>
          <w:szCs w:val="18"/>
          <w:color w:val="auto"/>
        </w:rPr>
        <w:t>We are a clinical stage biopharmaceutical company developing an innovative pipeline of cancer therapies. Our two lead product candidates are, SNDX-5613 and SNDX-6352, or axatilimab. We are developing SNDX-5613, targeting the binding interaction of menin with the mixed lineage leukemia</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cancer therapies to expand our pipeline.</w:t>
      </w:r>
    </w:p>
    <w:p>
      <w:pPr>
        <w:spacing w:after="0" w:line="8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nine months ended September 30, 2020 and 2019, we reported a net loss of $52.7 million and $42.0 million, respectively. We reported a net loss attributable to stockholders as of September 30, 2020, of $56.6 million. As of September 30, 2020, we had an accumulated deficit of $548.2 million, which included non-cash charges for stock-based compensation, preferred stock accretion and extinguishment charges. As of September 30, 2020, we had cash, cash equivalents and short-term investments of $170.2 million.</w:t>
      </w:r>
    </w:p>
    <w:p>
      <w:pPr>
        <w:spacing w:after="0" w:line="78" w:lineRule="exact"/>
        <w:rPr>
          <w:sz w:val="20"/>
          <w:szCs w:val="20"/>
          <w:color w:val="auto"/>
        </w:rPr>
      </w:pPr>
    </w:p>
    <w:p>
      <w:pPr>
        <w:ind w:right="20" w:firstLine="510"/>
        <w:spacing w:after="0" w:line="265" w:lineRule="auto"/>
        <w:rPr>
          <w:sz w:val="20"/>
          <w:szCs w:val="20"/>
          <w:color w:val="auto"/>
        </w:rPr>
      </w:pPr>
      <w:r>
        <w:rPr>
          <w:rFonts w:ascii="Times New Roman" w:cs="Times New Roman" w:eastAsia="Times New Roman" w:hAnsi="Times New Roman"/>
          <w:sz w:val="18"/>
          <w:szCs w:val="18"/>
          <w:color w:val="auto"/>
        </w:rPr>
        <w:t>We continue to monitor our daily operations and program timelines during the evolving coronavirus 2019 (COVID-19) pandemic. The health and safety of our employees as well as the patients and people participating in and operating our clinical trials are of paramount importance. COVID-19 has not impacted our financial guidance or changed our timelines for clinical data in 2020, to 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SNDX-5613</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August 2020, we enacted the following enhancements to the Phase 1 portion of the AUGMENT-101 trial in patients with MLL-r and NPM1 mutant acute leukemias: focusing enrollment exclusively on patients with mixed lineage leukemia rearranged (MLL-r) and nucleophosmin (NPM1) mutant acute leukemias; backfilling any dose escalation cohort up to a total of 12 patients if efficacy has been observed at that dose level; and expansion of enrollment to include pediatric patients over 30 days old. These enhancements were supported by initial clinical data, as well as insights from emerging data in the pediatric compassionate use setting. Enrollment in the amended Phase 1 portion remains ongoing, with data presentation expected in early 2021. In early 2021, we also anticipate commencing the Phase 2 portion of AUGMENT-101, which we believe could serve as the basis for registration. SNDX-5613 was previously granted Orphan Drug Designation for the treatment of adult and pediatric acute myeloid leukemia by the U.S. Food and Drug Administration (FDA).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Axatilimab</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announced that following our end of Phase 1 meeting with the FDA, we have aligned on a regulatory path for axatilimab, our anti-CSF-1R monoclonal antibody, for the treatment of chronic graft versus host disease (cGVHD). We plan to commence a pivotal Phase 2 trial, AGAVE-201, to assess the safety and efficacy of different doses and schedules of axatilimab for the treatment of patients with cGVHD. The primary endpoint will assess objective response rate based on the 2014 NIH consensus criteria for GVHD with key secondary endpoints including duration of response and improvement in modified Lee Symptom Scale score. We expect to begin enrollment by year-end, with topline data anticipated in 2023.</w:t>
      </w:r>
    </w:p>
    <w:p>
      <w:pPr>
        <w:spacing w:after="0" w:line="74" w:lineRule="exact"/>
        <w:rPr>
          <w:sz w:val="20"/>
          <w:szCs w:val="20"/>
          <w:color w:val="auto"/>
        </w:rPr>
      </w:pPr>
    </w:p>
    <w:p>
      <w:pPr>
        <w:ind w:right="320" w:firstLine="510"/>
        <w:spacing w:after="0" w:line="260" w:lineRule="auto"/>
        <w:rPr>
          <w:sz w:val="20"/>
          <w:szCs w:val="20"/>
          <w:color w:val="auto"/>
        </w:rPr>
      </w:pPr>
      <w:r>
        <w:rPr>
          <w:rFonts w:ascii="Times New Roman" w:cs="Times New Roman" w:eastAsia="Times New Roman" w:hAnsi="Times New Roman"/>
          <w:sz w:val="18"/>
          <w:szCs w:val="18"/>
          <w:color w:val="auto"/>
        </w:rPr>
        <w:t>Enrollment remains ongoing in the Phase 2 portion of the Phase 1/2 trial evaluating axatilimab for the treatment of patients with cGVHD. In previously announced preliminary data from the Phase 1 portion of the trial, axatilimab demonstrated compelling clinical activity and a well-tolerated safety profile. We will present updated data from the Phase 1 portion in an oral presentation during the American Society of Hematology (ASH) Virtual Annual Meeting in December.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Business Update</w:t>
      </w:r>
    </w:p>
    <w:p>
      <w:pPr>
        <w:spacing w:after="0" w:line="121" w:lineRule="exact"/>
        <w:rPr>
          <w:sz w:val="20"/>
          <w:szCs w:val="20"/>
          <w:color w:val="auto"/>
        </w:rPr>
      </w:pPr>
    </w:p>
    <w:p>
      <w:pPr>
        <w:ind w:right="60" w:firstLine="510"/>
        <w:spacing w:after="0" w:line="260" w:lineRule="auto"/>
        <w:rPr>
          <w:sz w:val="20"/>
          <w:szCs w:val="20"/>
          <w:color w:val="auto"/>
        </w:rPr>
      </w:pPr>
      <w:r>
        <w:rPr>
          <w:rFonts w:ascii="Times New Roman" w:cs="Times New Roman" w:eastAsia="Times New Roman" w:hAnsi="Times New Roman"/>
          <w:sz w:val="18"/>
          <w:szCs w:val="18"/>
          <w:color w:val="auto"/>
        </w:rPr>
        <w:t>We have implemented business continuity plans designed to address and mitigate the impact of the ongoing COVID-19 pandemic on our employees and our business. While we are not experiencing financial impacts at this time, given the global economic slowdown, the overall disruption of global healthcare systems and the other risks and uncertainties associated with the pandemic, our business, financial condition, results of operations and growth prospects could be materially adversely affected. We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right="160"/>
        <w:spacing w:after="0" w:line="265" w:lineRule="auto"/>
        <w:rPr>
          <w:sz w:val="20"/>
          <w:szCs w:val="20"/>
          <w:color w:val="auto"/>
        </w:rPr>
      </w:pPr>
      <w:r>
        <w:rPr>
          <w:rFonts w:ascii="Times New Roman" w:cs="Times New Roman" w:eastAsia="Times New Roman" w:hAnsi="Times New Roman"/>
          <w:sz w:val="18"/>
          <w:szCs w:val="18"/>
          <w:color w:val="auto"/>
        </w:rPr>
        <w:t>continue to closely monitor the COVID-19 situation as we evolve our business continuity plans and response strategy. In March 2020, our workforce transitioned to working remotely. We are currently considering plans to reopen our offices to allow employees to return to the office, which will be based on an approach that is principles-based and local in design, with a focus on employee safety and optimal work environment.</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If the COVID-19 pandemic continues to persist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and to continue our clinical trial operations.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With respect to clinical development, we have taken measures to implement remote and virtual approaches, including remote patient monitoring where possible, to maintain patient safety and trial continuity and to preserve study integrity. We have not yet, but may experience, a disruption or delay in our ability to initiate trial sites and enroll and assess patients. As the COVID-19 pandemic continues, we anticipate a potential impact on our ability to maintain patient enrollment in the AUGMENT-101 and cGVHD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Corporate Development</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With our strong cash balance, we anticipate having sufficient liquidity to make planned investments in our business this year in support of our long-term growth strategy. We believe that our cash, cash equivalents and marketable securities as of November 5, 2020 will fund our current operating plans through at least the next 12 months. However, our operating plan may change as a result of many factors currently unknown to us, and we may need to seek additional funds sooner than planned, through public or private equity 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and Corporate Impacts</w:t>
      </w:r>
    </w:p>
    <w:p>
      <w:pPr>
        <w:spacing w:after="0" w:line="121" w:lineRule="exact"/>
        <w:rPr>
          <w:sz w:val="20"/>
          <w:szCs w:val="20"/>
          <w:color w:val="auto"/>
        </w:rPr>
      </w:pPr>
    </w:p>
    <w:p>
      <w:pPr>
        <w:ind w:right="340" w:firstLine="510"/>
        <w:spacing w:after="0" w:line="256" w:lineRule="auto"/>
        <w:rPr>
          <w:sz w:val="20"/>
          <w:szCs w:val="20"/>
          <w:color w:val="auto"/>
        </w:rPr>
      </w:pPr>
      <w:r>
        <w:rPr>
          <w:rFonts w:ascii="Times New Roman" w:cs="Times New Roman" w:eastAsia="Times New Roman" w:hAnsi="Times New Roman"/>
          <w:sz w:val="18"/>
          <w:szCs w:val="18"/>
          <w:color w:val="auto"/>
        </w:rPr>
        <w:t>While we continue to evaluate whether the COVID-19 pandemic will adversely affect our business operations and financial results,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three and nine months ended September 30, 2020 and 2019 have been solely derived from our license, development and commercialization agreement with Kyowa Kirin Co., Ltd., or KKC, under which we granted KKC an exclusive license to develop and commercialize entinostat in Japan and Korea, or the KKC license agreement. In 2015, we received a $25.0 million upfront payment from KHK,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KKC’s purchase of shares of our convertible preferred stock.</w:t>
      </w:r>
    </w:p>
    <w:p>
      <w:pPr>
        <w:spacing w:after="0" w:line="79" w:lineRule="exact"/>
        <w:rPr>
          <w:sz w:val="20"/>
          <w:szCs w:val="20"/>
          <w:color w:val="auto"/>
        </w:rPr>
      </w:pPr>
    </w:p>
    <w:p>
      <w:pPr>
        <w:ind w:right="440" w:firstLine="510"/>
        <w:spacing w:after="0" w:line="281" w:lineRule="auto"/>
        <w:rPr>
          <w:sz w:val="20"/>
          <w:szCs w:val="20"/>
          <w:color w:val="auto"/>
        </w:rPr>
      </w:pPr>
      <w:r>
        <w:rPr>
          <w:rFonts w:ascii="Times New Roman" w:cs="Times New Roman" w:eastAsia="Times New Roman" w:hAnsi="Times New Roman"/>
          <w:sz w:val="18"/>
          <w:szCs w:val="18"/>
          <w:color w:val="auto"/>
        </w:rPr>
        <w:t>In October 2017, KKC enrolled the first Japanese patient into a local pivotal study of entinostat for the treatment of hormone receptor positive, human epidermal growth factor 2 negative breast cancer. In accordance with the terms of the KKC License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Agreement, in December 2017 we received a $5.0 million milestone payment from KKC for achievement of the development milestone.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80" w:firstLine="510"/>
        <w:spacing w:after="0" w:line="281"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55" w:lineRule="exact"/>
        <w:rPr>
          <w:sz w:val="20"/>
          <w:szCs w:val="20"/>
          <w:color w:val="auto"/>
        </w:rPr>
      </w:pPr>
    </w:p>
    <w:p>
      <w:pPr>
        <w:ind w:left="1000" w:right="1060" w:hanging="493"/>
        <w:spacing w:after="0" w:line="28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or CROs, that conduct our clinical trials;</w:t>
      </w:r>
    </w:p>
    <w:p>
      <w:pPr>
        <w:spacing w:after="0" w:line="54" w:lineRule="exact"/>
        <w:rPr>
          <w:rFonts w:ascii="Times New Roman" w:cs="Times New Roman" w:eastAsia="Times New Roman" w:hAnsi="Times New Roman"/>
          <w:sz w:val="18"/>
          <w:szCs w:val="18"/>
          <w:color w:val="auto"/>
        </w:rPr>
      </w:pPr>
    </w:p>
    <w:p>
      <w:pPr>
        <w:ind w:left="1000" w:right="260" w:hanging="493"/>
        <w:spacing w:after="0" w:line="28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25" w:lineRule="exact"/>
        <w:rPr>
          <w:sz w:val="20"/>
          <w:szCs w:val="20"/>
          <w:color w:val="auto"/>
        </w:rPr>
      </w:pPr>
    </w:p>
    <w:p>
      <w:pPr>
        <w:ind w:right="200" w:firstLine="510"/>
        <w:spacing w:after="0" w:line="260"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September 30, 2020, we have incurred $289.6 million in research and development expenses.</w:t>
      </w:r>
    </w:p>
    <w:p>
      <w:pPr>
        <w:spacing w:after="0" w:line="78" w:lineRule="exact"/>
        <w:rPr>
          <w:sz w:val="20"/>
          <w:szCs w:val="20"/>
          <w:color w:val="auto"/>
        </w:rPr>
      </w:pPr>
    </w:p>
    <w:p>
      <w:pPr>
        <w:ind w:right="20" w:firstLine="510"/>
        <w:spacing w:after="0" w:line="265"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69" w:lineRule="exact"/>
        <w:rPr>
          <w:sz w:val="20"/>
          <w:szCs w:val="20"/>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studies and trials are conducted;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on our term loan, operational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cash equivalents and short-term investment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Use of Estimates</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79" w:lineRule="exact"/>
        <w:rPr>
          <w:sz w:val="20"/>
          <w:szCs w:val="20"/>
          <w:color w:val="auto"/>
        </w:rPr>
      </w:pPr>
    </w:p>
    <w:p>
      <w:pPr>
        <w:ind w:right="500" w:firstLine="51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described in the “Management’s Discussion and Analysis of Financial Condition and Results of Operations” contained in our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33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License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5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Fees</w:t>
      </w:r>
    </w:p>
    <w:p>
      <w:pPr>
        <w:spacing w:after="0" w:line="121" w:lineRule="exact"/>
        <w:rPr>
          <w:sz w:val="20"/>
          <w:szCs w:val="20"/>
          <w:color w:val="auto"/>
        </w:rPr>
      </w:pPr>
    </w:p>
    <w:p>
      <w:pPr>
        <w:ind w:firstLine="510"/>
        <w:spacing w:after="0" w:line="281" w:lineRule="auto"/>
        <w:rPr>
          <w:sz w:val="20"/>
          <w:szCs w:val="20"/>
          <w:color w:val="auto"/>
        </w:rPr>
      </w:pPr>
      <w:r>
        <w:rPr>
          <w:rFonts w:ascii="Times New Roman" w:cs="Times New Roman" w:eastAsia="Times New Roman" w:hAnsi="Times New Roman"/>
          <w:sz w:val="18"/>
          <w:szCs w:val="18"/>
          <w:color w:val="auto"/>
        </w:rPr>
        <w:t>For the three months ended September 30, 2020 and 2019, we recognized license fees of $0.4 million and $0.4 million respectively, derived from the KKC license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2020, our total research and development expenses increased by $4.5 million, or 45%, to $14.4 million from $9.9 million for the comparable quarter in the prior year. The increase in research and development expenses was primarily due to increases in clinical activities of $1.7 million, professional fees of $0.5 million and employee related and other expenses of $0.3 million. In the third quarter of 2020 we also recognized a $2.0 million expense payable to UCB, upon the achievement of a certain milestone in connection with the axatilimab program. The increase in clinical activities was primarily due to increased clinical activities for our SNDX-5613 program of $2.0 million, increased clinical activities for our axatilimab program of $1.0 million, partially offset by decreased CMC activities for axatilimab of $0.9 million and reduced clinical activities related to entinostat of $0.4 million. The increase in professional fees of $0.5 million is primarily due to clinical consulting activities related to our axatilimab and SNDX-5613 programs. We expect research and development expenses to fluctuate from quarter to quarter depending on the timing of clinical trial activities, clinical manufacturing and other development activities.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1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3"/>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5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6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w:t>
            </w:r>
          </w:p>
        </w:tc>
        <w:tc>
          <w:tcPr>
            <w:tcW w:w="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22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2020, our total general and administrative expenses increased $2.2 million, or 62%, to $5.8 million from $3.6 million for the comparable period in the prior year. The increase in general and administrative expenses was primarily due to increased employee related expenses of $1.7 million, increased professional services in connection with our pre-commercialization activities for entinostat of $0.3 million and increased directors’ and officers’ insurance of $0.2 million. The increase in employee related expenses is primarily due to the modification of the option agreements in connection with the retirement of a certain employee of $1.0 million and headcount related expenses of $0.7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510"/>
        <w:spacing w:after="0" w:line="281" w:lineRule="auto"/>
        <w:rPr>
          <w:sz w:val="20"/>
          <w:szCs w:val="20"/>
          <w:color w:val="auto"/>
        </w:rPr>
      </w:pPr>
      <w:r>
        <w:rPr>
          <w:rFonts w:ascii="Times New Roman" w:cs="Times New Roman" w:eastAsia="Times New Roman" w:hAnsi="Times New Roman"/>
          <w:sz w:val="18"/>
          <w:szCs w:val="18"/>
          <w:color w:val="auto"/>
        </w:rPr>
        <w:t>For the three months ended September 30, 2020, interest expense increased from the comparable period in the prior year primarily due to the interest expense on the loan payable.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400" w:firstLine="510"/>
        <w:spacing w:after="0" w:line="281" w:lineRule="auto"/>
        <w:rPr>
          <w:sz w:val="20"/>
          <w:szCs w:val="20"/>
          <w:color w:val="auto"/>
        </w:rPr>
      </w:pPr>
      <w:r>
        <w:rPr>
          <w:rFonts w:ascii="Times New Roman" w:cs="Times New Roman" w:eastAsia="Times New Roman" w:hAnsi="Times New Roman"/>
          <w:sz w:val="18"/>
          <w:szCs w:val="18"/>
          <w:color w:val="auto"/>
        </w:rPr>
        <w:t>For the three months ended September 30, 2020, interest income decreased from the comparable period in the prior year primarily due to lower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4"/>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License fees</w:t>
            </w:r>
          </w:p>
        </w:tc>
        <w:tc>
          <w:tcPr>
            <w:tcW w:w="8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9"/>
                <w:szCs w:val="19"/>
                <w:color w:val="auto"/>
              </w:rPr>
            </w:pPr>
          </w:p>
        </w:tc>
        <w:tc>
          <w:tcPr>
            <w:tcW w:w="56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(1,722)</w:t>
            </w: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(1,722)</w:t>
            </w:r>
          </w:p>
        </w:tc>
        <w:tc>
          <w:tcPr>
            <w:tcW w:w="5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(614)</w:t>
            </w: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4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(52,735)</w:t>
            </w:r>
          </w:p>
        </w:tc>
        <w:tc>
          <w:tcPr>
            <w:tcW w:w="240" w:type="dxa"/>
            <w:vAlign w:val="bottom"/>
            <w:vMerge w:val="continue"/>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Fees</w:t>
      </w:r>
    </w:p>
    <w:p>
      <w:pPr>
        <w:spacing w:after="0" w:line="121" w:lineRule="exact"/>
        <w:rPr>
          <w:sz w:val="20"/>
          <w:szCs w:val="20"/>
          <w:color w:val="auto"/>
        </w:rPr>
      </w:pPr>
    </w:p>
    <w:p>
      <w:pPr>
        <w:ind w:right="60" w:firstLine="510"/>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2020 and 2019, we recognized license fees of $1.1 million and $1.1 million respectively, derived from the KKC license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2020, our total research and development expenses increased $1.4 million, or 4%, to $34.9 million from $33.5 million for the comparable period in the prior year due to an increase in professional fees of $1.3 million, increases in clinical expenses of $1.8 million, in SNDX-5613 CMC activities of $2.0 million, and other expenses of $0.2 million, partially offset by decreased axatilimab CMC activities of $1.5 million, and decreased employee related expenses of $0.4 million. In the third quarter of 2020, we also recognized a $2.0 million expense upon the achievement of a certain milestone in connection with the axatilimab program. In 2019 we recognized a $4.0 million expense upon the achievement of certain milestones in connection with the Menin program. The increase in professional fees is primarily due to increased clinical consulting of $0.8 million and increased medical affairs activities of $0.5 million. Clinical expenses increased due to increased study activities related to SNDX-5613 of $2.7 million and increased study activity related to axatilimab of $1.8 million. These increases were partially offset by reduced activities associated with our entinostat programs of $2.7 million. The decrease in employee related expenses was related to the headcount as well as reduced travel. We expect research and development expenses to fluctuate from period to period depending on the timing of clinical trial activities, clinical manufacturing and other development activities.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1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3"/>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24,564</w:t>
            </w:r>
          </w:p>
        </w:tc>
        <w:tc>
          <w:tcPr>
            <w:tcW w:w="5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6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00" w:type="dxa"/>
            <w:vAlign w:val="bottom"/>
          </w:tcPr>
          <w:p>
            <w:pPr>
              <w:spacing w:after="0"/>
              <w:rPr>
                <w:sz w:val="19"/>
                <w:szCs w:val="19"/>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10,349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5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34,913</w:t>
            </w:r>
          </w:p>
        </w:tc>
        <w:tc>
          <w:tcPr>
            <w:tcW w:w="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22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2020, our total general and administrative expenses increased $6.8 million, or 62%, to $17.8 million from $11.0 million for the comparable period in the prior year. The increase in general and administrative expenses was primarily due to increased pre-commercialization activities of $2.5 million in anticipation of our entinostat readout, increased legal and professional fees of $0.2 million, increased director’s and officer’s insurance of $0.7 million and increased employee compensation cost of $3.4 million. The increase in employee expenses of $1.1 million is primarily due to increased headcount and increased stock compensation expense of $2.4 million, partially offset by reduced travel of $0.1 million. The increased stock compensation expense includes $1.0 million related to the modification of option agreements in connection with the retirement of a certain employee.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consisted primarily of interest expense on our term loan, operational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60" w:firstLine="510"/>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2020, interest income decreased from the comparable period in the prior year due to reduced interest rates on our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As of September 30, 2020, we had cash, cash equivalents and short-term investments totaling $170.2 million. Our operations have been primarily financed by net proceeds from our initial public offering, our follow-on stock offerings, and proceeds from our license agreements. We believe that our present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2020, we sold 6,388,889 shares of our common stock at a price per share of $18.00 for net proceeds of approximately $107.9 million.</w:t>
      </w:r>
    </w:p>
    <w:p>
      <w:pPr>
        <w:spacing w:after="0" w:line="117"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In January 2020, we sold 3,036,719 shares of our common stock at a price per share of $8.00 and pre-funded warrants to purchase 1,338,287 shares of our common stock for gross proceeds of approximately $35.0 million. Upon the completion of the January 2020 offering, we had 5,838,287 pre-funded warrant shares outstanding. The pre-funded warrants are exercisable into shares of common stock for $0.0001 per share. The pre-funded warrants enable the holder to make a cash investment in our common stock without increasing their beneficial ownership in our common stock because the shares of common stock underlying the pre-funded warrant are not issued or issuable until the warrant is actually exercised or becomes exercisable without exceeding the ownership limitations set forth in the pre-funded warrant. In May 2020, a holder of 280,335 pre-funded warrants exercised in a cashless exchange and received 280,332 shares of common stock.</w:t>
      </w:r>
    </w:p>
    <w:p>
      <w:pPr>
        <w:spacing w:after="0" w:line="7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March 2019, we issued to certain investors an aggregate of 2,095,039 shares of our common stock and 2,500,000 pre-funded warrants to purchase shares of our common stock, at a price of $6.00 per share of common stock and $5.9999 for each pre-funded warrant. We sold the shares of common stock and prefunded warrants together with two series of warrants, Series 1 warrants and Series 2 warrants, to purchase an aggregate of 4,595,039 shares of our common stock. The pre-funded warrants are exercisable into shares of common stock for $0.0001 per share. Each Series 1 warrant has an initial exercise price of $12.00 per share of common stock and each Series 2 warrant has an initial exercise price of $18.00 per share of common stock, in each case subject to certain adjustments. The Series 1 warrants and Series 2 warrants contain a one-time exercise price adjustment. If we sell shares or share equivalents at less than $12.00 per share at a time when our Series 1 warrants and Series 2 warrants are outstanding, then an exercise price for those warrants would be adjusted downward, which will result in us receiving less proceeds than we otherwise would and could result in further dilution to our stockholders if such warrants were then exercised. As a result of the January 2020 offering, the initial exercise price of the Series 1 warrants was reduced to $10.00 per share and the initial exercise price of the Series 2 warrants was reduced to $13.00 per share. In May 2020, holders of 3,489,131 Series 1 warrants and Series 2 warrants received 1,512,229 shares of common stock in a cashless exercise. In August 2020, a holder of 416,666 Series 1 warrants and Series 2 warrants received 130,151 shares of common stock in a cashless exercise.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ind w:right="320" w:firstLine="510"/>
        <w:spacing w:after="0" w:line="312" w:lineRule="auto"/>
        <w:rPr>
          <w:sz w:val="20"/>
          <w:szCs w:val="20"/>
          <w:color w:val="auto"/>
        </w:rPr>
      </w:pPr>
      <w:r>
        <w:rPr>
          <w:rFonts w:ascii="Times New Roman" w:cs="Times New Roman" w:eastAsia="Times New Roman" w:hAnsi="Times New Roman"/>
          <w:sz w:val="17"/>
          <w:szCs w:val="17"/>
          <w:color w:val="auto"/>
        </w:rPr>
        <w:t>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Borrowings under the Loan Agreement bear interest at an annual rate equal to the greater of (i) 9.85% or (ii) 5.10% plus the Wall Street Journal prime rate. The Wall Street Journal prime rate as of September 30, 2020, was 3.25%.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For additional information regarding the Loan Agreement with Hercules, see Note 12 to our condensed consolidated financial statements located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August 2019, we entered into a new sales agreement with Cowen and Company, LLC, or Cowen, under which we may issue and sell shares of our common stock having aggregate sales proceeds of up to $50.0 million from time to time pursuant to the ATM program, or the 2019 ATM Program. Cowen is not required to sell any specific amount but acts as our sales agent using commercially reasonable efforts consistent with their normal trading and sales practices. This agreement replaced the sales agreement signed in April 2017. Shares sold pursuant to the sales agreement will be sold pursuant to a shelf registration statement on Form S-3 (Registration No. 333-233564), which was declared effective on September 10, 2019. Our common stock will be sold at prevailing market prices at the time of the sale; and as a result, prices may vary. We will pay Cowen up to 3% of the gross proceeds from any common stock sold through the sales agreement. The proceeds from the offerings, if any, will be used to fund the research and development of our product candidates, acquire or invest in businesses, products or technologies that are complementary to our own, although we have no current plans, commitments or agreements with respect to any acquisitions as of the date of this prospectus, and for working capital and general corporate purposes. As of September 30, 2020, and through November 5, 2020, $50.0 million of common stock remained available for sale under the 2019 ATM Program.</w:t>
      </w:r>
    </w:p>
    <w:p>
      <w:pPr>
        <w:spacing w:after="0" w:line="83" w:lineRule="exact"/>
        <w:rPr>
          <w:sz w:val="20"/>
          <w:szCs w:val="20"/>
          <w:color w:val="auto"/>
        </w:rPr>
      </w:pPr>
    </w:p>
    <w:p>
      <w:pPr>
        <w:ind w:right="500" w:firstLine="510"/>
        <w:spacing w:after="0" w:line="265" w:lineRule="auto"/>
        <w:rPr>
          <w:sz w:val="20"/>
          <w:szCs w:val="20"/>
          <w:color w:val="auto"/>
        </w:rPr>
      </w:pPr>
      <w:r>
        <w:rPr>
          <w:rFonts w:ascii="Times New Roman" w:cs="Times New Roman" w:eastAsia="Times New Roman" w:hAnsi="Times New Roman"/>
          <w:sz w:val="18"/>
          <w:szCs w:val="18"/>
          <w:color w:val="auto"/>
        </w:rPr>
        <w:t>In April 2017, we entered into a sales agreement with Cowen, under which we issued and sold shares of our common stock pursuant to a shelf registration statement on Form S-3 (Registration No. 333-217172), or the 2017 ATM Program. In 2019, prior to the effectiveness of the 2019 ATM Program, we sold 140,819 shares of common stock, with net proceeds of $0.9 million, pursuant to the 2017 ATM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8" w:lineRule="exact"/>
        <w:rPr>
          <w:sz w:val="20"/>
          <w:szCs w:val="20"/>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drug candidates;</w:t>
      </w:r>
    </w:p>
    <w:p>
      <w:pPr>
        <w:spacing w:after="0" w:line="116" w:lineRule="exact"/>
        <w:rPr>
          <w:rFonts w:ascii="Times New Roman" w:cs="Times New Roman" w:eastAsia="Times New Roman" w:hAnsi="Times New Roman"/>
          <w:sz w:val="18"/>
          <w:szCs w:val="18"/>
          <w:color w:val="auto"/>
        </w:rPr>
      </w:pPr>
    </w:p>
    <w:p>
      <w:pPr>
        <w:ind w:left="1000" w:right="360" w:hanging="493"/>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4" w:lineRule="exact"/>
        <w:rPr>
          <w:rFonts w:ascii="Times New Roman" w:cs="Times New Roman" w:eastAsia="Times New Roman" w:hAnsi="Times New Roman"/>
          <w:sz w:val="18"/>
          <w:szCs w:val="18"/>
          <w:color w:val="auto"/>
        </w:rPr>
      </w:pPr>
    </w:p>
    <w:p>
      <w:pPr>
        <w:jc w:val="both"/>
        <w:ind w:left="1000" w:right="320" w:hanging="493"/>
        <w:spacing w:after="0" w:line="26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drug candidates;</w:t>
      </w:r>
    </w:p>
    <w:p>
      <w:pPr>
        <w:spacing w:after="0" w:line="116" w:lineRule="exact"/>
        <w:rPr>
          <w:rFonts w:ascii="Times New Roman" w:cs="Times New Roman" w:eastAsia="Times New Roman" w:hAnsi="Times New Roman"/>
          <w:sz w:val="18"/>
          <w:szCs w:val="18"/>
          <w:color w:val="auto"/>
        </w:rPr>
      </w:pPr>
    </w:p>
    <w:p>
      <w:pPr>
        <w:ind w:left="1000" w:right="560" w:hanging="493"/>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6" w:lineRule="exact"/>
        <w:rPr>
          <w:rFonts w:ascii="Times New Roman" w:cs="Times New Roman" w:eastAsia="Times New Roman" w:hAnsi="Times New Roman"/>
          <w:sz w:val="18"/>
          <w:szCs w:val="18"/>
          <w:color w:val="auto"/>
        </w:rPr>
      </w:pPr>
    </w:p>
    <w:p>
      <w:pPr>
        <w:ind w:left="1000" w:right="140" w:hanging="493"/>
        <w:spacing w:after="0" w:line="28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drug candidates if either candidate receives regulatory approval and we determine to commercialize it ourselves;</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6" w:lineRule="exact"/>
        <w:rPr>
          <w:rFonts w:ascii="Times New Roman" w:cs="Times New Roman" w:eastAsia="Times New Roman" w:hAnsi="Times New Roman"/>
          <w:sz w:val="18"/>
          <w:szCs w:val="18"/>
          <w:color w:val="auto"/>
        </w:rPr>
      </w:pPr>
    </w:p>
    <w:p>
      <w:pPr>
        <w:ind w:left="1000" w:right="200" w:hanging="493"/>
        <w:spacing w:after="0" w:line="28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54" w:lineRule="exact"/>
        <w:rPr>
          <w:rFonts w:ascii="Times New Roman" w:cs="Times New Roman" w:eastAsia="Times New Roman" w:hAnsi="Times New Roman"/>
          <w:sz w:val="18"/>
          <w:szCs w:val="18"/>
          <w:color w:val="auto"/>
        </w:rPr>
      </w:pPr>
    </w:p>
    <w:p>
      <w:pPr>
        <w:ind w:left="1000" w:right="620" w:hanging="493"/>
        <w:spacing w:after="0" w:line="265"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69" w:lineRule="exact"/>
        <w:rPr>
          <w:rFonts w:ascii="Times New Roman" w:cs="Times New Roman" w:eastAsia="Times New Roman" w:hAnsi="Times New Roman"/>
          <w:sz w:val="18"/>
          <w:szCs w:val="18"/>
          <w:color w:val="auto"/>
        </w:rPr>
      </w:pPr>
    </w:p>
    <w:p>
      <w:pPr>
        <w:ind w:left="1000" w:right="400" w:hanging="493"/>
        <w:spacing w:after="0" w:line="28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6" w:lineRule="exact"/>
        <w:rPr>
          <w:rFonts w:ascii="Times New Roman" w:cs="Times New Roman" w:eastAsia="Times New Roman" w:hAnsi="Times New Roman"/>
          <w:sz w:val="18"/>
          <w:szCs w:val="18"/>
          <w:color w:val="auto"/>
        </w:rPr>
      </w:pPr>
    </w:p>
    <w:p>
      <w:pPr>
        <w:ind w:left="1000" w:hanging="493"/>
        <w:spacing w:after="0" w:line="28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to meet our requirements as a public company.</w:t>
      </w:r>
    </w:p>
    <w:p>
      <w:pPr>
        <w:spacing w:after="0" w:line="163"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82"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and as of September 30, 2020, we had an accumulated deficit of $548.2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cash flows: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5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gridSpan w:val="3"/>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20" w:type="dxa"/>
            <w:vAlign w:val="bottom"/>
            <w:gridSpan w:val="2"/>
            <w:shd w:val="clear" w:color="auto" w:fill="CFF0FC"/>
          </w:tcPr>
          <w:p>
            <w:pPr>
              <w:jc w:val="right"/>
              <w:ind w:right="7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(55,629)</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(37,885)</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(78,390)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20" w:type="dxa"/>
            <w:vAlign w:val="bottom"/>
          </w:tcPr>
          <w:p>
            <w:pPr>
              <w:spacing w:after="0"/>
              <w:rPr>
                <w:sz w:val="19"/>
                <w:szCs w:val="19"/>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165,766</w:t>
            </w:r>
          </w:p>
        </w:tc>
        <w:tc>
          <w:tcPr>
            <w:tcW w:w="2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40" w:type="dxa"/>
            <w:vAlign w:val="bottom"/>
          </w:tcPr>
          <w:p>
            <w:pPr>
              <w:spacing w:after="0"/>
              <w:rPr>
                <w:sz w:val="19"/>
                <w:szCs w:val="19"/>
                <w:color w:val="auto"/>
              </w:rPr>
            </w:pPr>
          </w:p>
        </w:tc>
        <w:tc>
          <w:tcPr>
            <w:tcW w:w="8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right="200" w:firstLine="510"/>
        <w:spacing w:after="0" w:line="260"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2020, was $55.6 million and primarily consisted of our net loss of $52.7 million adjusted for non-cash items, including stock-based compensation of $7.0 million, a net decrease in operating assets and liabilities of $10.4 million, an investment amortization of $0.2 million and non-cash interest expense associated with the term loan of $0.3 million. The increased net loss is primarily due to increased clinical activities in our axatilimab program,</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9" w:name="page30"/>
    <w:bookmarkEnd w:id="29"/>
    <w:p>
      <w:pPr>
        <w:spacing w:after="0" w:line="260" w:lineRule="auto"/>
        <w:rPr>
          <w:sz w:val="20"/>
          <w:szCs w:val="20"/>
          <w:color w:val="auto"/>
        </w:rPr>
      </w:pPr>
      <w:r>
        <w:rPr>
          <w:rFonts w:ascii="Times New Roman" w:cs="Times New Roman" w:eastAsia="Times New Roman" w:hAnsi="Times New Roman"/>
          <w:sz w:val="18"/>
          <w:szCs w:val="18"/>
          <w:color w:val="auto"/>
        </w:rPr>
        <w:t>increased clinical and CMC activities in our SNDX-5613 program, increased pre-commercialization activities partially offset by reduced CMC expenses for axatilimab and decreased activities related to our entinostat program. The net decrease in operating assets and liabilities primarily consisted of decreased accounts payable of $2.4 million, increased prepayments and deposits of $5.8 million, and decreased accrued expenses and other liabilities of $1.1 million and deferred revenue of $1.1 million.</w:t>
      </w:r>
    </w:p>
    <w:p>
      <w:pPr>
        <w:spacing w:after="0" w:line="7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2019, was $37.9 million and primarily consisted of our net loss of $42.0 million adjusted for non-cash items, including stock-based compensation of $4.5 million and investment amortization and depreciation of $0.6 million and a net increase in operating assets and liabilities of $0.3 million. The increase in our net loss was primarily due to the increase in our clinical trial activities and CMC expenses. The significant items in the increase in operating assets and liabilities included a decrease in accrued expenses, other liabilities and deferred revenue of $5.1 million, a decrease in prepaid expenses and other assets of $0.1 million offset by an increase in accounts payable of $5.2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in/Provided by Investing Activities</w:t>
      </w:r>
    </w:p>
    <w:p>
      <w:pPr>
        <w:spacing w:after="0" w:line="121" w:lineRule="exact"/>
        <w:rPr>
          <w:sz w:val="20"/>
          <w:szCs w:val="20"/>
          <w:color w:val="auto"/>
        </w:rPr>
      </w:pPr>
    </w:p>
    <w:p>
      <w:pPr>
        <w:ind w:right="20" w:firstLine="510"/>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2020, was $78.4 million and was primarily due to the purchase of $150.4 million of available-for-sale marketable securities from the proceeds of the January 2020 direct offering partially offset by $72.0 million of proceeds from the maturities of available-for-sale securities, which will primarily be used to fund the next period’s operating activities.</w:t>
      </w:r>
    </w:p>
    <w:p>
      <w:pPr>
        <w:spacing w:after="0" w:line="69" w:lineRule="exact"/>
        <w:rPr>
          <w:sz w:val="20"/>
          <w:szCs w:val="20"/>
          <w:color w:val="auto"/>
        </w:rPr>
      </w:pPr>
    </w:p>
    <w:p>
      <w:pPr>
        <w:ind w:right="380" w:firstLine="510"/>
        <w:spacing w:after="0" w:line="265"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2019, was $6.2 million and was primarily due to the $75.1 million of proceeds from the maturities of available-for-sale securities partially offset by the purchase of $68.9 million of available-for-sale marketable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160" w:firstLine="510"/>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2020, of $165.8 million was primarily due to the proceeds from our direct placement and follow-on offering, net of fees, of $142.7 million, proceeds from our term loan of $19.7 million, proceeds from stock option exercises of $3.1 million and employee participation in our Employee Stock Purchase Plan of $0.2 million.</w:t>
      </w:r>
    </w:p>
    <w:p>
      <w:pPr>
        <w:spacing w:after="0" w:line="69" w:lineRule="exact"/>
        <w:rPr>
          <w:sz w:val="20"/>
          <w:szCs w:val="20"/>
          <w:color w:val="auto"/>
        </w:rPr>
      </w:pPr>
    </w:p>
    <w:p>
      <w:pPr>
        <w:jc w:val="both"/>
        <w:ind w:right="40" w:firstLine="510"/>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2019, of $28.5 million was primarily due to proceeds from sales of shares of our common stock and a pre-funded warrant, net of fees, of $27.4 million, our at-the-market offering, net of discounts and commissions of $0.8 million, exercise of stock options of $0.2 million and purchases pursuant to our 2015 Employee Stock Purchase Plan of $0.1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On February 7, 2020, we entered into a Loan Agreement with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Borrowings under the Loan Agreement are repayable in monthly interest-only payments through October 1, 2021, or April 1, 2022 if the Performance Milestone is achieved. After the interest-only payment period, borrowings under the Loan Agreement are repayable in equal monthly payments of principal and accrued interest until the maturity date of the loan, which is either (i) September 1, 2023, or (ii) March 1, 2024 upon achievement of the Performance Milestone. Borrowings under the Loan Agreement bear interest at an annual rate equal to the greater of (i) 9.85% or (ii) 5.10% plus the Wall Street Journal prime rate.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As of September 30, 2020, $20.0 million was outstanding under the Loan Agreement. For additional information regarding the Loan Agreement with Hercules, see Note 12 to our condensed consolidated financial statements located elsewhere in this report.</w:t>
      </w:r>
    </w:p>
    <w:p>
      <w:pPr>
        <w:spacing w:after="0" w:line="81" w:lineRule="exact"/>
        <w:rPr>
          <w:sz w:val="20"/>
          <w:szCs w:val="20"/>
          <w:color w:val="auto"/>
        </w:rPr>
      </w:pPr>
    </w:p>
    <w:p>
      <w:pPr>
        <w:ind w:right="220" w:firstLine="510"/>
        <w:spacing w:after="0" w:line="281" w:lineRule="auto"/>
        <w:rPr>
          <w:sz w:val="20"/>
          <w:szCs w:val="20"/>
          <w:color w:val="auto"/>
        </w:rPr>
      </w:pPr>
      <w:r>
        <w:rPr>
          <w:rFonts w:ascii="Times New Roman" w:cs="Times New Roman" w:eastAsia="Times New Roman" w:hAnsi="Times New Roman"/>
          <w:sz w:val="18"/>
          <w:szCs w:val="18"/>
          <w:color w:val="auto"/>
        </w:rPr>
        <w:t>Other than the Loan Agreement, there have been no material changes to our contractual obligations from those described in our Annual Report on Form 10-K that was filed with the SEC on March 5,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80" w:firstLine="510"/>
        <w:spacing w:after="0" w:line="281"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8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2020, we had cash and cash equivalents of $56.4 million, consisting of overnight investments, interest-bearing money market funds, commercial papers and short-term corporate bonds, and short-term investments of $113.8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78" w:lineRule="exact"/>
        <w:rPr>
          <w:sz w:val="20"/>
          <w:szCs w:val="20"/>
          <w:color w:val="auto"/>
        </w:rPr>
      </w:pPr>
    </w:p>
    <w:p>
      <w:pPr>
        <w:ind w:right="340" w:firstLine="510"/>
        <w:spacing w:after="0" w:line="260" w:lineRule="auto"/>
        <w:rPr>
          <w:sz w:val="20"/>
          <w:szCs w:val="20"/>
          <w:color w:val="auto"/>
        </w:rPr>
      </w:pPr>
      <w:r>
        <w:rPr>
          <w:rFonts w:ascii="Times New Roman" w:cs="Times New Roman" w:eastAsia="Times New Roman" w:hAnsi="Times New Roman"/>
          <w:sz w:val="18"/>
          <w:szCs w:val="18"/>
          <w:color w:val="auto"/>
        </w:rPr>
        <w:t>We also have exposure to market risk on our Loan Agreement with Hercules. Our Loan Agreement accrues interest from its date of issue at a variable interest rate equal to greater of (i) 9.85% and (ii) 5.10% plus the Wall Street Journal prime rate. As of September 30, 2020, $20.0 million was outstanding under the Loan Agreement. The effect of a 100 basis points adverse change in market interest rates on our 2020 Loan Payable, in excess of applicable minimum floors, on our interest expense would be approximately $0.5 million.</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3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Our Disclosure Controls and Procedures</w:t>
      </w:r>
    </w:p>
    <w:p>
      <w:pPr>
        <w:spacing w:after="0" w:line="121" w:lineRule="exact"/>
        <w:rPr>
          <w:sz w:val="20"/>
          <w:szCs w:val="20"/>
          <w:color w:val="auto"/>
        </w:rPr>
      </w:pPr>
    </w:p>
    <w:p>
      <w:pPr>
        <w:ind w:right="100" w:firstLine="510"/>
        <w:spacing w:after="0" w:line="26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2"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As of September 30, 2020,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2020, our disclosure controls and procedures were effective at the reasonable assurance level.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10"/>
        <w:spacing w:after="0" w:line="26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0" w:firstLine="510"/>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2020, we were not party to any material legal or arbitration proceedings. No governmental proceedings are pending or, to our knowledge, contemplated against us.</w:t>
      </w:r>
    </w:p>
    <w:p>
      <w:pPr>
        <w:spacing w:after="0" w:line="28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8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could adversely impact our business, including our clinical trials.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ongoing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the shelter-in-place (“SIP”)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81"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While COVID-19 has not yet had a material impact on our business operations, ongoing quarantines, SIP and similar government orders related to COVID-19 may adversely impact our business operations and the business operations of our contract research organizations conducting our clinical trials and our third-party manufacturing facilities in the United States and other countries. In particular, if the COVID-19 pandemic persists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continue our clinical trial operations.</w:t>
      </w:r>
    </w:p>
    <w:p>
      <w:pPr>
        <w:spacing w:after="0" w:line="7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addition, our clinical trials may be affected by the COVID-19 pandemic. For example, clinical site initiation and patient enrollment may be delayed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74" w:lineRule="exact"/>
        <w:rPr>
          <w:sz w:val="20"/>
          <w:szCs w:val="20"/>
          <w:color w:val="auto"/>
        </w:rPr>
      </w:pPr>
    </w:p>
    <w:p>
      <w:pPr>
        <w:ind w:right="200" w:firstLine="510"/>
        <w:spacing w:after="0" w:line="260"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74"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SIP orders, social distancing requirements, business closures in the United States and other countries,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2" w:name="page33"/>
    <w:bookmarkEnd w:id="32"/>
    <w:p>
      <w:pPr>
        <w:ind w:right="280" w:firstLine="510"/>
        <w:spacing w:after="0" w:line="281"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50"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have any sales, marketing or distribution experience or infrastructure.</w:t>
      </w:r>
    </w:p>
    <w:p>
      <w:pPr>
        <w:spacing w:after="0" w:line="121" w:lineRule="exact"/>
        <w:rPr>
          <w:sz w:val="20"/>
          <w:szCs w:val="20"/>
          <w:color w:val="auto"/>
        </w:rPr>
      </w:pPr>
    </w:p>
    <w:p>
      <w:pPr>
        <w:ind w:right="40" w:firstLine="510"/>
        <w:spacing w:after="0" w:line="260" w:lineRule="auto"/>
        <w:rPr>
          <w:sz w:val="20"/>
          <w:szCs w:val="20"/>
          <w:color w:val="auto"/>
        </w:rPr>
      </w:pPr>
      <w:r>
        <w:rPr>
          <w:rFonts w:ascii="Times New Roman" w:cs="Times New Roman" w:eastAsia="Times New Roman" w:hAnsi="Times New Roman"/>
          <w:sz w:val="18"/>
          <w:szCs w:val="18"/>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4" w:lineRule="exact"/>
        <w:rPr>
          <w:sz w:val="20"/>
          <w:szCs w:val="20"/>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build a significant marketing or sales force;</w:t>
      </w:r>
    </w:p>
    <w:p>
      <w:pPr>
        <w:spacing w:after="0" w:line="116" w:lineRule="exact"/>
        <w:rPr>
          <w:rFonts w:ascii="Times New Roman" w:cs="Times New Roman" w:eastAsia="Times New Roman" w:hAnsi="Times New Roman"/>
          <w:sz w:val="18"/>
          <w:szCs w:val="18"/>
          <w:color w:val="auto"/>
        </w:rPr>
      </w:pPr>
    </w:p>
    <w:p>
      <w:pPr>
        <w:ind w:left="1000" w:right="580" w:hanging="493"/>
        <w:spacing w:after="0" w:line="28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training and providing regulatory oversight for a marketing or sales force may not be justifiable in light of the revenues generated by any particular product;</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or indirect sales and marketing efforts may not be successful; and</w:t>
      </w:r>
    </w:p>
    <w:p>
      <w:pPr>
        <w:spacing w:after="0" w:line="116" w:lineRule="exact"/>
        <w:rPr>
          <w:rFonts w:ascii="Times New Roman" w:cs="Times New Roman" w:eastAsia="Times New Roman" w:hAnsi="Times New Roman"/>
          <w:sz w:val="18"/>
          <w:szCs w:val="18"/>
          <w:color w:val="auto"/>
        </w:rPr>
      </w:pPr>
    </w:p>
    <w:p>
      <w:pPr>
        <w:ind w:left="1000" w:right="140" w:hanging="493"/>
        <w:spacing w:after="0" w:line="265"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69" w:lineRule="exact"/>
        <w:rPr>
          <w:sz w:val="20"/>
          <w:szCs w:val="20"/>
          <w:color w:val="auto"/>
        </w:rPr>
      </w:pPr>
    </w:p>
    <w:p>
      <w:pPr>
        <w:jc w:val="both"/>
        <w:ind w:right="280" w:firstLine="510"/>
        <w:spacing w:after="0" w:line="260" w:lineRule="auto"/>
        <w:rPr>
          <w:sz w:val="20"/>
          <w:szCs w:val="20"/>
          <w:color w:val="auto"/>
        </w:rPr>
      </w:pPr>
      <w:r>
        <w:rPr>
          <w:rFonts w:ascii="Times New Roman" w:cs="Times New Roman" w:eastAsia="Times New Roman" w:hAnsi="Times New Roman"/>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8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0" w:lineRule="exact"/>
        <w:rPr>
          <w:sz w:val="20"/>
          <w:szCs w:val="20"/>
          <w:color w:val="auto"/>
        </w:rPr>
      </w:pPr>
    </w:p>
    <w:p>
      <w:pPr>
        <w:ind w:firstLine="510"/>
        <w:spacing w:after="0" w:line="265" w:lineRule="auto"/>
        <w:rPr>
          <w:sz w:val="20"/>
          <w:szCs w:val="20"/>
          <w:color w:val="auto"/>
        </w:rPr>
      </w:pPr>
      <w:r>
        <w:rPr>
          <w:rFonts w:ascii="Times New Roman" w:cs="Times New Roman" w:eastAsia="Times New Roman" w:hAnsi="Times New Roman"/>
          <w:sz w:val="18"/>
          <w:szCs w:val="18"/>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69" w:lineRule="exact"/>
        <w:rPr>
          <w:sz w:val="20"/>
          <w:szCs w:val="20"/>
          <w:color w:val="auto"/>
        </w:rPr>
      </w:pPr>
    </w:p>
    <w:p>
      <w:pPr>
        <w:ind w:left="1000" w:right="180" w:hanging="493"/>
        <w:spacing w:after="0" w:line="28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indirect effects of the ongoing COVID-19 pandemic on various aspects and stages of the clinical development process, including the potential impact to expected site initiation, enrollment and participation in our clinical trials;</w:t>
      </w:r>
    </w:p>
    <w:p>
      <w:pPr>
        <w:spacing w:after="0" w:line="54" w:lineRule="exact"/>
        <w:rPr>
          <w:rFonts w:ascii="Times New Roman" w:cs="Times New Roman" w:eastAsia="Times New Roman" w:hAnsi="Times New Roman"/>
          <w:sz w:val="18"/>
          <w:szCs w:val="18"/>
          <w:color w:val="auto"/>
        </w:rPr>
      </w:pPr>
    </w:p>
    <w:p>
      <w:pPr>
        <w:jc w:val="both"/>
        <w:ind w:left="1000" w:right="40" w:hanging="493"/>
        <w:spacing w:after="0" w:line="312"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1"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the Phase 1/2 clinical trial of SNDX-5613 in patients with relapsed/refractory acute leukemia;</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the Phase 1/2 clinical trial of axatilimab as a monotherapy in patients with cGVHD;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any future clinical trials of SNDX-5613 and axatilimab;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3" w:name="page34"/>
    <w:bookmarkEnd w:id="33"/>
    <w:p>
      <w:pPr>
        <w:ind w:left="1000" w:right="220" w:hanging="493"/>
        <w:spacing w:after="0" w:line="265"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6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foreign regulatory authorities to conduct additional clinical trials;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drug reactions in any of our clinical trials;</w:t>
      </w:r>
    </w:p>
    <w:p>
      <w:pPr>
        <w:spacing w:after="0" w:line="116" w:lineRule="exact"/>
        <w:rPr>
          <w:rFonts w:ascii="Times New Roman" w:cs="Times New Roman" w:eastAsia="Times New Roman" w:hAnsi="Times New Roman"/>
          <w:sz w:val="18"/>
          <w:szCs w:val="18"/>
          <w:color w:val="auto"/>
        </w:rPr>
      </w:pPr>
    </w:p>
    <w:p>
      <w:pPr>
        <w:ind w:left="1000" w:right="400" w:hanging="493"/>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meeting the endpoints in the clinical trials of our product candidates;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6" w:lineRule="exact"/>
        <w:rPr>
          <w:rFonts w:ascii="Times New Roman" w:cs="Times New Roman" w:eastAsia="Times New Roman" w:hAnsi="Times New Roman"/>
          <w:sz w:val="18"/>
          <w:szCs w:val="18"/>
          <w:color w:val="auto"/>
        </w:rPr>
      </w:pPr>
    </w:p>
    <w:p>
      <w:pPr>
        <w:ind w:left="1000" w:right="240" w:hanging="493"/>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our potential strategic collaborators’ marketing, sales and distribution strategy and operations in the United States and abroad;</w:t>
      </w:r>
    </w:p>
    <w:p>
      <w:pPr>
        <w:spacing w:after="0" w:line="54" w:lineRule="exact"/>
        <w:rPr>
          <w:rFonts w:ascii="Times New Roman" w:cs="Times New Roman" w:eastAsia="Times New Roman" w:hAnsi="Times New Roman"/>
          <w:sz w:val="18"/>
          <w:szCs w:val="18"/>
          <w:color w:val="auto"/>
        </w:rPr>
      </w:pPr>
    </w:p>
    <w:p>
      <w:pPr>
        <w:ind w:left="1000" w:right="340" w:hanging="493"/>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trial supplies and to develop, validate and maintain a commercially viable manufacturing process that is compliant with cGMP;</w:t>
      </w:r>
    </w:p>
    <w:p>
      <w:pPr>
        <w:spacing w:after="0" w:line="54" w:lineRule="exact"/>
        <w:rPr>
          <w:rFonts w:ascii="Times New Roman" w:cs="Times New Roman" w:eastAsia="Times New Roman" w:hAnsi="Times New Roman"/>
          <w:sz w:val="18"/>
          <w:szCs w:val="18"/>
          <w:color w:val="auto"/>
        </w:rPr>
      </w:pPr>
    </w:p>
    <w:p>
      <w:pPr>
        <w:ind w:left="1000" w:right="440" w:hanging="493"/>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in the United States and abroad, whether alone or in collaboration with others; and</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in and to our product candidates.</w:t>
      </w:r>
    </w:p>
    <w:p>
      <w:pPr>
        <w:spacing w:after="0" w:line="117" w:lineRule="exact"/>
        <w:rPr>
          <w:sz w:val="20"/>
          <w:szCs w:val="20"/>
          <w:color w:val="auto"/>
        </w:rPr>
      </w:pPr>
    </w:p>
    <w:p>
      <w:pPr>
        <w:ind w:right="100" w:firstLine="510"/>
        <w:spacing w:after="0" w:line="281" w:lineRule="auto"/>
        <w:rPr>
          <w:sz w:val="20"/>
          <w:szCs w:val="20"/>
          <w:color w:val="auto"/>
        </w:rPr>
      </w:pPr>
      <w:r>
        <w:rPr>
          <w:rFonts w:ascii="Times New Roman" w:cs="Times New Roman" w:eastAsia="Times New Roman" w:hAnsi="Times New Roman"/>
          <w:sz w:val="18"/>
          <w:szCs w:val="18"/>
          <w:color w:val="auto"/>
        </w:rPr>
        <w:t>If we fail to obtain regulatory approval for our product candidates, we will not be able to generate product sales, which will have a material adverse effect on our business and our prospects.</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for developing SNDX-5613 has undergone limited clinical testing and we may fail to show that the drug is well tolerated and provides sufficient clinical benefit for patients</w:t>
      </w:r>
      <w:r>
        <w:rPr>
          <w:rFonts w:ascii="Times New Roman" w:cs="Times New Roman" w:eastAsia="Times New Roman" w:hAnsi="Times New Roman"/>
          <w:sz w:val="18"/>
          <w:szCs w:val="18"/>
          <w:i w:val="1"/>
          <w:iCs w:val="1"/>
          <w:color w:val="auto"/>
        </w:rPr>
        <w:t>.</w:t>
      </w:r>
    </w:p>
    <w:p>
      <w:pPr>
        <w:spacing w:after="0" w:line="50"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NMP1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relapsed/refractory patients with MLL-r and NPM1 mutant acute leukemias and determine if the observed clinical efficacy supports further development. The Phase 1 portion of the trial is assessing the safety, tolerability and pharmacokinetics of SNDX-5613, and seeks to establish a recommended Phase 2 dose. It is open label, and we have released and may in the future release results from time to time that reflect very small numbers of patients which may not be accurately predictive of safety or efficacy results later in the trial or in subsequent trials. The Phase 2 portion will evaluate efficacy of SNDX-5613, as defined by Complete Remission rate, across three expansion cohorts enrolling adult patients with MLL-r acute lymphoblastic leukemia, or ALL, MLL-r acute myeloid leukemia, or AML, and NPM1 mutant AML. If our initial clinical data lend support for our hypothesis, we plan to continue developing SNDX-5613 in one or more of these indications. At this time however, we have not yet sufficiently demonstrated a favorable risk-benefit of SNDX-5613 in patients, and we may be unable to establish sufficient efficacy to warrant continued development in one or more of these indications.</w:t>
      </w:r>
    </w:p>
    <w:p>
      <w:pPr>
        <w:spacing w:after="0" w:line="77"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strategy for developing axatilimab has undergone limited clinical testing and we may fail to show that this drug is well tolerated and provides a clinical benefit for patients.</w:t>
      </w:r>
    </w:p>
    <w:p>
      <w:pPr>
        <w:ind w:right="20"/>
        <w:spacing w:after="0" w:line="252" w:lineRule="auto"/>
        <w:rPr>
          <w:sz w:val="20"/>
          <w:szCs w:val="20"/>
          <w:color w:val="auto"/>
        </w:rPr>
      </w:pPr>
      <w:r>
        <w:rPr>
          <w:rFonts w:ascii="Times New Roman" w:cs="Times New Roman" w:eastAsia="Times New Roman" w:hAnsi="Times New Roman"/>
          <w:sz w:val="18"/>
          <w:szCs w:val="18"/>
          <w:color w:val="auto"/>
        </w:rPr>
        <w:t>Preclinical studies suggest that CSF-1/CSF-1R signaling may be the key regulatory pathway involved in the expansion and infiltration of donor derived macrophages that mediate the disease processes involved in Graft Versus Host Disease, or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ind w:right="240"/>
        <w:spacing w:after="0" w:line="280" w:lineRule="auto"/>
        <w:rPr>
          <w:sz w:val="20"/>
          <w:szCs w:val="20"/>
          <w:color w:val="auto"/>
        </w:rPr>
      </w:pPr>
      <w:r>
        <w:rPr>
          <w:rFonts w:ascii="Times New Roman" w:cs="Times New Roman" w:eastAsia="Times New Roman" w:hAnsi="Times New Roman"/>
          <w:sz w:val="17"/>
          <w:szCs w:val="17"/>
          <w:color w:val="auto"/>
        </w:rPr>
        <w:t>that a CSF-1R signal inhibitor such as axatilimab may play a meaningful role as a monotherapy agent in the treatment of cGVHD. Our approach is to conduct a Phase 1/2 clinical trial with axatilimab in subjects with active cGVHD who have failed at least two prior lines of therapy. If our initial clinical data lend support for our hypothesis, we plan to continue developing axatilimab in this indication. While we believe that we have established sufficient efficacy to warrant continued development in this indication, we have not yet sufficiently demonstrated a favorable risk-benefit of axatilimab in patients.</w:t>
      </w:r>
    </w:p>
    <w:p>
      <w:pPr>
        <w:spacing w:after="0" w:line="16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For example, in April 2020,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or our collaborators are unable to enroll patients in clinical trials, these clinical trials may not be completed on a timely basis or at all.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indirect effects of the ongoing COVID-19 pandemic;</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about the relative efficacy of our product candidates versus other compounds in clinical development or commercially available;</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standard of care in treating cancer patients;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especially in the case of an orphan indication such as MLL-r acute leukemia;</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 sites enrolled;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organizations or our own clinical trials for clinical trial sites or patients;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above factors, there is a risk that our or our collaborators’ clinical trials may not be completed on a timely basis or at all.</w:t>
      </w:r>
    </w:p>
    <w:p>
      <w:pPr>
        <w:spacing w:after="0" w:line="32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actions of Kyowa Kirin Co., Ltd., or KKC, Eddingpharm Investment Company Limited, or Eddingpharm, and any other current or future sublicensees could adversely affect our business.</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sublicense entinostat to third parties for development and commercialization in certain foreign jurisdictions. Specifically, we have a sublicense agreement with KKC under which we granted KKC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KKC,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UCB Biopharma Sprl, or UCB, to comply with the terms of our license agreement for axatilimab.</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2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existing stockholders’ percentage of ownership;</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6" w:lineRule="exact"/>
        <w:rPr>
          <w:rFonts w:ascii="Times New Roman" w:cs="Times New Roman" w:eastAsia="Times New Roman" w:hAnsi="Times New Roman"/>
          <w:sz w:val="18"/>
          <w:szCs w:val="18"/>
          <w:color w:val="auto"/>
        </w:rPr>
      </w:pPr>
    </w:p>
    <w:p>
      <w:pPr>
        <w:ind w:left="1000" w:right="114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4" w:lineRule="exact"/>
        <w:rPr>
          <w:rFonts w:ascii="Times New Roman" w:cs="Times New Roman" w:eastAsia="Times New Roman" w:hAnsi="Times New Roman"/>
          <w:sz w:val="18"/>
          <w:szCs w:val="18"/>
          <w:color w:val="auto"/>
        </w:rPr>
      </w:pPr>
    </w:p>
    <w:p>
      <w:pPr>
        <w:ind w:left="1000" w:right="14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4" w:lineRule="exact"/>
        <w:rPr>
          <w:rFonts w:ascii="Times New Roman" w:cs="Times New Roman" w:eastAsia="Times New Roman" w:hAnsi="Times New Roman"/>
          <w:sz w:val="18"/>
          <w:szCs w:val="18"/>
          <w:color w:val="auto"/>
        </w:rPr>
      </w:pPr>
    </w:p>
    <w:p>
      <w:pPr>
        <w:ind w:left="1000" w:right="46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4" w:lineRule="exact"/>
        <w:rPr>
          <w:rFonts w:ascii="Times New Roman" w:cs="Times New Roman" w:eastAsia="Times New Roman" w:hAnsi="Times New Roman"/>
          <w:sz w:val="18"/>
          <w:szCs w:val="18"/>
          <w:color w:val="auto"/>
        </w:rPr>
      </w:pPr>
    </w:p>
    <w:p>
      <w:pPr>
        <w:ind w:left="1000" w:right="12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revenues from these products;</w:t>
      </w:r>
    </w:p>
    <w:p>
      <w:pPr>
        <w:spacing w:after="0" w:line="54" w:lineRule="exact"/>
        <w:rPr>
          <w:rFonts w:ascii="Times New Roman" w:cs="Times New Roman" w:eastAsia="Times New Roman" w:hAnsi="Times New Roman"/>
          <w:sz w:val="18"/>
          <w:szCs w:val="18"/>
          <w:color w:val="auto"/>
        </w:rPr>
      </w:pPr>
    </w:p>
    <w:p>
      <w:pPr>
        <w:ind w:left="1000" w:right="60" w:hanging="493"/>
        <w:spacing w:after="0" w:line="265"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16" w:lineRule="exact"/>
        <w:rPr>
          <w:rFonts w:ascii="Times New Roman" w:cs="Times New Roman" w:eastAsia="Times New Roman" w:hAnsi="Times New Roman"/>
          <w:sz w:val="18"/>
          <w:szCs w:val="18"/>
          <w:color w:val="auto"/>
        </w:rPr>
      </w:pPr>
    </w:p>
    <w:p>
      <w:pPr>
        <w:ind w:left="1000" w:right="56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54" w:lineRule="exact"/>
        <w:rPr>
          <w:rFonts w:ascii="Times New Roman" w:cs="Times New Roman" w:eastAsia="Times New Roman" w:hAnsi="Times New Roman"/>
          <w:sz w:val="18"/>
          <w:szCs w:val="18"/>
          <w:color w:val="auto"/>
        </w:rPr>
      </w:pPr>
    </w:p>
    <w:p>
      <w:pPr>
        <w:ind w:left="1000" w:right="2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54" w:lineRule="exact"/>
        <w:rPr>
          <w:rFonts w:ascii="Times New Roman" w:cs="Times New Roman" w:eastAsia="Times New Roman" w:hAnsi="Times New Roman"/>
          <w:sz w:val="18"/>
          <w:szCs w:val="18"/>
          <w:color w:val="auto"/>
        </w:rPr>
      </w:pPr>
    </w:p>
    <w:p>
      <w:pPr>
        <w:ind w:left="1000" w:right="14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4" w:lineRule="exact"/>
        <w:rPr>
          <w:rFonts w:ascii="Times New Roman" w:cs="Times New Roman" w:eastAsia="Times New Roman" w:hAnsi="Times New Roman"/>
          <w:sz w:val="18"/>
          <w:szCs w:val="18"/>
          <w:color w:val="auto"/>
        </w:rPr>
      </w:pPr>
    </w:p>
    <w:p>
      <w:pPr>
        <w:ind w:left="1000" w:right="20" w:hanging="493"/>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never materialize or may fail.</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50"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74" w:lineRule="exact"/>
        <w:rPr>
          <w:sz w:val="20"/>
          <w:szCs w:val="20"/>
          <w:color w:val="auto"/>
        </w:rPr>
      </w:pPr>
    </w:p>
    <w:p>
      <w:pPr>
        <w:ind w:right="140" w:firstLine="510"/>
        <w:spacing w:after="0" w:line="276" w:lineRule="auto"/>
        <w:rPr>
          <w:sz w:val="20"/>
          <w:szCs w:val="20"/>
          <w:color w:val="auto"/>
        </w:rPr>
      </w:pPr>
      <w:r>
        <w:rPr>
          <w:rFonts w:ascii="Times New Roman" w:cs="Times New Roman" w:eastAsia="Times New Roman" w:hAnsi="Times New Roman"/>
          <w:sz w:val="17"/>
          <w:szCs w:val="17"/>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63"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our product candidates are safe and effective;</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primary endpoints or level of statistical significance required for approval;</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the clinical and other benefits of a product candidate outweigh any of its safety risks;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or our collaborators’ trials;</w:t>
      </w:r>
    </w:p>
    <w:p>
      <w:pPr>
        <w:spacing w:after="0" w:line="116" w:lineRule="exact"/>
        <w:rPr>
          <w:rFonts w:ascii="Times New Roman" w:cs="Times New Roman" w:eastAsia="Times New Roman" w:hAnsi="Times New Roman"/>
          <w:sz w:val="18"/>
          <w:szCs w:val="18"/>
          <w:color w:val="auto"/>
        </w:rPr>
      </w:pPr>
    </w:p>
    <w:p>
      <w:pPr>
        <w:ind w:left="1000" w:hanging="493"/>
        <w:spacing w:after="0" w:line="28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trials of our product candidates to support the submission and filing of an NDA or other submission or to obtain regulatory approval;</w:t>
      </w:r>
    </w:p>
    <w:p>
      <w:pPr>
        <w:spacing w:after="0" w:line="54" w:lineRule="exact"/>
        <w:rPr>
          <w:rFonts w:ascii="Times New Roman" w:cs="Times New Roman" w:eastAsia="Times New Roman" w:hAnsi="Times New Roman"/>
          <w:sz w:val="18"/>
          <w:szCs w:val="18"/>
          <w:color w:val="auto"/>
        </w:rPr>
      </w:pPr>
    </w:p>
    <w:p>
      <w:pPr>
        <w:ind w:left="1000" w:right="360" w:hanging="493"/>
        <w:spacing w:after="0" w:line="28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and testing processes or facilities of third-party manufacturers with whom we contract for clinical and commercial supplies;</w:t>
      </w:r>
    </w:p>
    <w:p>
      <w:pPr>
        <w:spacing w:after="0" w:line="54" w:lineRule="exact"/>
        <w:rPr>
          <w:rFonts w:ascii="Times New Roman" w:cs="Times New Roman" w:eastAsia="Times New Roman" w:hAnsi="Times New Roman"/>
          <w:sz w:val="18"/>
          <w:szCs w:val="18"/>
          <w:color w:val="auto"/>
        </w:rPr>
      </w:pPr>
    </w:p>
    <w:p>
      <w:pPr>
        <w:ind w:left="1000" w:right="360" w:hanging="493"/>
        <w:spacing w:after="0" w:line="28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negative opinion from an advisory committee due to a change in the standard of care regardless of the outcome of the clinical trials; or</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29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Times New Roman" w:cs="Times New Roman" w:eastAsia="Times New Roman" w:hAnsi="Times New Roman"/>
          <w:sz w:val="18"/>
          <w:szCs w:val="18"/>
          <w:i w:val="1"/>
          <w:iCs w:val="1"/>
          <w:color w:val="auto"/>
        </w:rPr>
        <w:t>.</w:t>
      </w:r>
    </w:p>
    <w:p>
      <w:pPr>
        <w:spacing w:after="0" w:line="50" w:lineRule="exact"/>
        <w:rPr>
          <w:sz w:val="20"/>
          <w:szCs w:val="20"/>
          <w:color w:val="auto"/>
        </w:rPr>
      </w:pPr>
    </w:p>
    <w:p>
      <w:pPr>
        <w:ind w:right="180" w:firstLine="510"/>
        <w:spacing w:after="0" w:line="260"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trials;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as well as competitive products;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w:t>
      </w:r>
    </w:p>
    <w:p>
      <w:pPr>
        <w:spacing w:after="0" w:line="117" w:lineRule="exact"/>
        <w:rPr>
          <w:sz w:val="20"/>
          <w:szCs w:val="20"/>
          <w:color w:val="auto"/>
        </w:rPr>
      </w:pPr>
    </w:p>
    <w:p>
      <w:pPr>
        <w:ind w:right="180" w:firstLine="510"/>
        <w:spacing w:after="0" w:line="281"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6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66"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worldwide COVID-19 pandemic, may impact the ability of our existing or future manufacturers to perform their obligations to us.</w:t>
      </w:r>
    </w:p>
    <w:p>
      <w:pPr>
        <w:spacing w:after="0" w:line="7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w:t>
      </w:r>
    </w:p>
    <w:p>
      <w:pPr>
        <w:spacing w:after="0" w:line="121" w:lineRule="exact"/>
        <w:rPr>
          <w:sz w:val="20"/>
          <w:szCs w:val="20"/>
          <w:color w:val="auto"/>
        </w:rPr>
      </w:pPr>
    </w:p>
    <w:p>
      <w:pPr>
        <w:ind w:right="20" w:firstLine="510"/>
        <w:spacing w:after="0" w:line="274" w:lineRule="auto"/>
        <w:rPr>
          <w:sz w:val="20"/>
          <w:szCs w:val="20"/>
          <w:color w:val="auto"/>
        </w:rPr>
      </w:pPr>
      <w:r>
        <w:rPr>
          <w:rFonts w:ascii="Times New Roman" w:cs="Times New Roman" w:eastAsia="Times New Roman" w:hAnsi="Times New Roman"/>
          <w:sz w:val="17"/>
          <w:szCs w:val="17"/>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63" w:lineRule="exact"/>
        <w:rPr>
          <w:sz w:val="20"/>
          <w:szCs w:val="20"/>
          <w:color w:val="auto"/>
        </w:rPr>
      </w:pPr>
    </w:p>
    <w:p>
      <w:pPr>
        <w:ind w:right="300" w:firstLine="510"/>
        <w:spacing w:after="0" w:line="265"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8" w:name="page39"/>
    <w:bookmarkEnd w:id="38"/>
    <w:p>
      <w:pPr>
        <w:jc w:val="both"/>
        <w:ind w:right="620"/>
        <w:spacing w:after="0" w:line="265" w:lineRule="auto"/>
        <w:rPr>
          <w:sz w:val="20"/>
          <w:szCs w:val="20"/>
          <w:color w:val="auto"/>
        </w:rPr>
      </w:pPr>
      <w:r>
        <w:rPr>
          <w:rFonts w:ascii="Times New Roman" w:cs="Times New Roman" w:eastAsia="Times New Roman" w:hAnsi="Times New Roman"/>
          <w:sz w:val="18"/>
          <w:szCs w:val="18"/>
          <w:color w:val="auto"/>
        </w:rPr>
        <w:t>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69"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16" w:lineRule="exact"/>
        <w:rPr>
          <w:rFonts w:ascii="Times New Roman" w:cs="Times New Roman" w:eastAsia="Times New Roman" w:hAnsi="Times New Roman"/>
          <w:sz w:val="18"/>
          <w:szCs w:val="18"/>
          <w:color w:val="auto"/>
        </w:rPr>
      </w:pPr>
    </w:p>
    <w:p>
      <w:pPr>
        <w:ind w:left="1000" w:right="300" w:hanging="493"/>
        <w:spacing w:after="0" w:line="28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refuse to permit the import or export of products.</w:t>
      </w:r>
    </w:p>
    <w:p>
      <w:pPr>
        <w:spacing w:after="0" w:line="117" w:lineRule="exact"/>
        <w:rPr>
          <w:sz w:val="20"/>
          <w:szCs w:val="20"/>
          <w:color w:val="auto"/>
        </w:rPr>
      </w:pPr>
    </w:p>
    <w:p>
      <w:pPr>
        <w:ind w:right="100" w:firstLine="510"/>
        <w:spacing w:after="0" w:line="281"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and generate revenue from the sale of our product candidates.</w:t>
      </w:r>
    </w:p>
    <w:p>
      <w:pPr>
        <w:spacing w:after="0" w:line="5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74"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78" w:lineRule="exact"/>
        <w:rPr>
          <w:sz w:val="20"/>
          <w:szCs w:val="20"/>
          <w:color w:val="auto"/>
        </w:rPr>
      </w:pPr>
    </w:p>
    <w:p>
      <w:pPr>
        <w:ind w:right="160" w:firstLine="510"/>
        <w:spacing w:after="0" w:line="281" w:lineRule="auto"/>
        <w:rPr>
          <w:sz w:val="20"/>
          <w:szCs w:val="20"/>
          <w:color w:val="auto"/>
        </w:rPr>
      </w:pPr>
      <w:r>
        <w:rPr>
          <w:rFonts w:ascii="Times New Roman" w:cs="Times New Roman" w:eastAsia="Times New Roman" w:hAnsi="Times New Roman"/>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55" w:lineRule="exact"/>
        <w:rPr>
          <w:sz w:val="20"/>
          <w:szCs w:val="20"/>
          <w:color w:val="auto"/>
        </w:rPr>
      </w:pPr>
    </w:p>
    <w:p>
      <w:pPr>
        <w:jc w:val="right"/>
        <w:ind w:left="5540" w:right="5500" w:hanging="5033"/>
        <w:spacing w:after="0" w:line="408" w:lineRule="auto"/>
        <w:tabs>
          <w:tab w:leader="none" w:pos="10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suspend marketing of, or withdraw or recall, the product;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 labels;</w:t>
      </w:r>
    </w:p>
    <w:p>
      <w:pPr>
        <w:spacing w:after="0" w:line="116" w:lineRule="exact"/>
        <w:rPr>
          <w:rFonts w:ascii="Times New Roman" w:cs="Times New Roman" w:eastAsia="Times New Roman" w:hAnsi="Times New Roman"/>
          <w:sz w:val="18"/>
          <w:szCs w:val="18"/>
          <w:color w:val="auto"/>
        </w:rPr>
      </w:pPr>
    </w:p>
    <w:p>
      <w:pPr>
        <w:ind w:left="1000" w:right="420" w:hanging="493"/>
        <w:spacing w:after="0" w:line="28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the product;</w:t>
      </w:r>
    </w:p>
    <w:p>
      <w:pPr>
        <w:spacing w:after="0" w:line="54" w:lineRule="exact"/>
        <w:rPr>
          <w:rFonts w:ascii="Times New Roman" w:cs="Times New Roman" w:eastAsia="Times New Roman" w:hAnsi="Times New Roman"/>
          <w:sz w:val="18"/>
          <w:szCs w:val="18"/>
          <w:color w:val="auto"/>
        </w:rPr>
      </w:pPr>
    </w:p>
    <w:p>
      <w:pPr>
        <w:ind w:left="1000" w:right="640" w:hanging="493"/>
        <w:spacing w:after="0" w:line="26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6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00" w:firstLine="510"/>
        <w:spacing w:after="0" w:line="28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0"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9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Even if any of our product candidates received regulatory approval, such product candidates would face competition from other therapies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indication. For example, chronic graft versus host disease has historically been managed by off-label treatments. However, in 2017 ibrutinib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Imbruvica®</w:t>
      </w:r>
      <w:r>
        <w:rPr>
          <w:rFonts w:ascii="Times New Roman" w:cs="Times New Roman" w:eastAsia="Times New Roman" w:hAnsi="Times New Roman"/>
          <w:sz w:val="18"/>
          <w:szCs w:val="18"/>
          <w:color w:val="auto"/>
        </w:rPr>
        <w:t>) became the first drug approved for use patients with cGVHD after failure of one or more lines of systemic therapy. KD-025 and Ruxolitinib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18"/>
          <w:szCs w:val="18"/>
          <w:color w:val="auto"/>
        </w:rPr>
        <w:t>®), have recently shared positive results on registration-directed trials to treat steroid refractory cGVHD patients and, if approved, may also compete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axatilimab.</w:t>
      </w:r>
    </w:p>
    <w:p>
      <w:pPr>
        <w:spacing w:after="0" w:line="98"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SNDX-5613 is being developed for the treatment of adult and pediatric patients with MLL-r ALL,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4" w:lineRule="exact"/>
        <w:rPr>
          <w:sz w:val="20"/>
          <w:szCs w:val="20"/>
          <w:color w:val="auto"/>
        </w:rPr>
      </w:pPr>
    </w:p>
    <w:p>
      <w:pPr>
        <w:ind w:right="300" w:firstLine="510"/>
        <w:spacing w:after="0" w:line="256"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240"/>
        <w:spacing w:after="0" w:line="281" w:lineRule="auto"/>
        <w:rPr>
          <w:sz w:val="20"/>
          <w:szCs w:val="20"/>
          <w:color w:val="auto"/>
        </w:rPr>
      </w:pPr>
      <w:r>
        <w:rPr>
          <w:rFonts w:ascii="Times New Roman" w:cs="Times New Roman" w:eastAsia="Times New Roman" w:hAnsi="Times New Roman"/>
          <w:sz w:val="18"/>
          <w:szCs w:val="18"/>
          <w:color w:val="auto"/>
        </w:rPr>
        <w:t>or other regulatory approval for their products more rapidly than we may obtain approval for ours. We anticipate that we will face intense and increasing competition as new drugs enter the market and advanced technologies become available.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of our product candidates relative to marketed products and product candidates in development by third parties;</w:t>
      </w:r>
    </w:p>
    <w:p>
      <w:pPr>
        <w:spacing w:after="0" w:line="128"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marketing approval;</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they receive regulatory approval;</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candidates, including in comparison to branded or generic competitors;</w:t>
      </w:r>
    </w:p>
    <w:p>
      <w:pPr>
        <w:spacing w:after="0" w:line="116" w:lineRule="exact"/>
        <w:rPr>
          <w:rFonts w:ascii="Times New Roman" w:cs="Times New Roman" w:eastAsia="Times New Roman" w:hAnsi="Times New Roman"/>
          <w:sz w:val="18"/>
          <w:szCs w:val="18"/>
          <w:color w:val="auto"/>
        </w:rPr>
      </w:pPr>
    </w:p>
    <w:p>
      <w:pPr>
        <w:ind w:left="1000" w:right="460" w:hanging="493"/>
        <w:spacing w:after="0" w:line="28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 and</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quantities of our product candidates if they receive regulatory approval.</w:t>
      </w:r>
    </w:p>
    <w:p>
      <w:pPr>
        <w:spacing w:after="0" w:line="117" w:lineRule="exact"/>
        <w:rPr>
          <w:sz w:val="20"/>
          <w:szCs w:val="20"/>
          <w:color w:val="auto"/>
        </w:rPr>
      </w:pPr>
    </w:p>
    <w:p>
      <w:pPr>
        <w:ind w:right="120" w:firstLine="510"/>
        <w:spacing w:after="0" w:line="260" w:lineRule="auto"/>
        <w:rPr>
          <w:sz w:val="20"/>
          <w:szCs w:val="20"/>
          <w:color w:val="auto"/>
        </w:rPr>
      </w:pPr>
      <w:r>
        <w:rPr>
          <w:rFonts w:ascii="Times New Roman" w:cs="Times New Roman" w:eastAsia="Times New Roman" w:hAnsi="Times New Roman"/>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50"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additional highly skilled employees in order to succeed.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1" w:name="page42"/>
    <w:bookmarkEnd w:id="41"/>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78"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50"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78" w:lineRule="exact"/>
        <w:rPr>
          <w:sz w:val="20"/>
          <w:szCs w:val="20"/>
          <w:color w:val="auto"/>
        </w:rPr>
      </w:pPr>
    </w:p>
    <w:p>
      <w:pPr>
        <w:ind w:right="360" w:firstLine="510"/>
        <w:spacing w:after="0" w:line="265"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6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8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7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81" w:lineRule="exact"/>
        <w:rPr>
          <w:sz w:val="20"/>
          <w:szCs w:val="20"/>
          <w:color w:val="auto"/>
        </w:rPr>
      </w:pPr>
    </w:p>
    <w:p>
      <w:pPr>
        <w:ind w:right="200" w:firstLine="510"/>
        <w:spacing w:after="0" w:line="260" w:lineRule="auto"/>
        <w:rPr>
          <w:sz w:val="20"/>
          <w:szCs w:val="20"/>
          <w:color w:val="auto"/>
        </w:rPr>
      </w:pPr>
      <w:r>
        <w:rPr>
          <w:rFonts w:ascii="Times New Roman" w:cs="Times New Roman" w:eastAsia="Times New Roman" w:hAnsi="Times New Roman"/>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 candidates and affect the prices we may obtain.</w:t>
      </w:r>
    </w:p>
    <w:p>
      <w:pPr>
        <w:spacing w:after="0" w:line="12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remain judicial and Congressional challenges, as well as recent efforts by the Trump administration to repeal or replace certain aspects of the Affordable Care Act. Since January 2017, President Trump has signed several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Additionally, the 2020 federal spending package permanently eliminated, effective January 1, 2020, the Affordable Care Act’s mandated “Cadillac” tax on high-cost employer-sponsored health coverage and medical device tax and, effective January 1, 2021, also eliminates the health insurer tax.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December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On December 14, 2018, a Texas U.S. District Court Judge ruled that the Affordable Care Act is unconstitutional in its entirety because the “individual mandate” was repealed by the U.S. Congress as part of the Tax Cuts and Jobs Act of 2017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On March 2, 2020, the United States Supreme Court granted the petitions for writs of certiorari to review this case. It is unclear how such litigation, and other efforts to repeal and replace the Affordable Care Act will impact the Affordable Care, and our business. In addition, Congress may consider other legislation to repeal and replace elements of the Affordable Care Act.</w:t>
      </w:r>
    </w:p>
    <w:p>
      <w:pPr>
        <w:spacing w:after="0" w:line="8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including the BBA, has extended the 2% reduction to 2030.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years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contained additional proposals to increase manufacturer competition, increase the negotiating power of certain federal healthcare programs, incentivize manufacturers to lower the list price of their products and reduce the out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3" w:name="page44"/>
    <w:bookmarkEnd w:id="43"/>
    <w:p>
      <w:pPr>
        <w:spacing w:after="0" w:line="252" w:lineRule="auto"/>
        <w:rPr>
          <w:sz w:val="20"/>
          <w:szCs w:val="20"/>
          <w:color w:val="auto"/>
        </w:rPr>
      </w:pPr>
      <w:r>
        <w:rPr>
          <w:rFonts w:ascii="Times New Roman" w:cs="Times New Roman" w:eastAsia="Times New Roman" w:hAnsi="Times New Roman"/>
          <w:sz w:val="18"/>
          <w:szCs w:val="18"/>
          <w:color w:val="auto"/>
        </w:rPr>
        <w:t>pocket costs of drug products paid by consumers. For example, May 2019, CMS issued a final rule to allow Medicare Advantage plans the option to use step therapy for part B drugs beginning January 1, 2020. This final rule codified CMS’s policy change that was effective January 1, 2019. On July 24, 2020, the Trump administration announced four executive orders related to prescription drug pricing that attempt to implement several of the administration’s proposals, including a policy that would tie certain Medicare Part B drug prices to international drug prices or the “most favored nation price,” the details of which were released on September 13, 2020 and also expanded the policy to cover certain Part D drugs; one that directs the Department of Health and Human Services to finalize the Canadian drug importation proposed rule previously issued by the Department of Health and Human Services and makes other changes allowing for personal importation of drugs from Canada; one that directs HHS to finalize the rulemaking process on modifying the anti-kickback law safe harbors for discounts for plans, pharmacies, and pharmaceutical benefit managers; and one that reduces costs of insulin and epipens to patients of federally qualified health centers. The FDA also recently released a final rule, effective November 30, 2020, implementing a portion of the importation executive order providing guidance for states to build and submit importation plans for drugs from Canada. While some of these and other measures may require additional authorization to become effective, Congress and the Trump administration have each indicated that it will continue to seek new legislative administrative and executive measures, including the President’s issuance of future executive orders,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It is also possible that additional governmental action is taken in response to address the COVID-19 pandemic. For example, on August 6, 2020, the Trump administration issued an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21"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74"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4" w:lineRule="exact"/>
        <w:rPr>
          <w:sz w:val="20"/>
          <w:szCs w:val="20"/>
          <w:color w:val="auto"/>
        </w:rPr>
      </w:pPr>
    </w:p>
    <w:p>
      <w:pPr>
        <w:ind w:left="1000" w:right="160" w:hanging="493"/>
        <w:spacing w:after="0" w:line="260"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3" w:lineRule="exact"/>
        <w:rPr>
          <w:rFonts w:ascii="Times New Roman" w:cs="Times New Roman" w:eastAsia="Times New Roman" w:hAnsi="Times New Roman"/>
          <w:sz w:val="18"/>
          <w:szCs w:val="18"/>
          <w:color w:val="auto"/>
        </w:rPr>
      </w:pPr>
    </w:p>
    <w:p>
      <w:pPr>
        <w:ind w:left="1000" w:right="80" w:hanging="493"/>
        <w:spacing w:after="0" w:line="260"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3" w:lineRule="exact"/>
        <w:rPr>
          <w:rFonts w:ascii="Times New Roman" w:cs="Times New Roman" w:eastAsia="Times New Roman" w:hAnsi="Times New Roman"/>
          <w:sz w:val="18"/>
          <w:szCs w:val="18"/>
          <w:color w:val="auto"/>
        </w:rPr>
      </w:pPr>
    </w:p>
    <w:p>
      <w:pPr>
        <w:ind w:left="1000" w:hanging="493"/>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of 2009, or HITECH,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4" w:lineRule="exact"/>
        <w:rPr>
          <w:rFonts w:ascii="Times New Roman" w:cs="Times New Roman" w:eastAsia="Times New Roman" w:hAnsi="Times New Roman"/>
          <w:sz w:val="18"/>
          <w:szCs w:val="18"/>
          <w:color w:val="auto"/>
        </w:rPr>
      </w:pPr>
    </w:p>
    <w:p>
      <w:pPr>
        <w:ind w:left="1000" w:hanging="493"/>
        <w:spacing w:after="0" w:line="25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81" w:lineRule="exact"/>
        <w:rPr>
          <w:rFonts w:ascii="Times New Roman" w:cs="Times New Roman" w:eastAsia="Times New Roman" w:hAnsi="Times New Roman"/>
          <w:sz w:val="18"/>
          <w:szCs w:val="18"/>
          <w:color w:val="auto"/>
        </w:rPr>
      </w:pPr>
    </w:p>
    <w:p>
      <w:pPr>
        <w:ind w:left="1000" w:right="20" w:hanging="493"/>
        <w:spacing w:after="0" w:line="253"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8"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auto"/>
        </w:rPr>
        <w:t>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50"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8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7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and anticipate that we will continue to incur net losses for the foreseeable future.</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7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we reported a net loss of $52.7 million. Net loss attributable to stockholders for the nine months ended September 30, 2020, was $56.6 million. As of September 30, 2020, we had an accumulated deficit of $548.2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achieve or maintain profitability.</w:t>
      </w:r>
    </w:p>
    <w:p>
      <w:pPr>
        <w:spacing w:after="0" w:line="121" w:lineRule="exact"/>
        <w:rPr>
          <w:sz w:val="20"/>
          <w:szCs w:val="20"/>
          <w:color w:val="auto"/>
        </w:rPr>
      </w:pPr>
    </w:p>
    <w:p>
      <w:pPr>
        <w:jc w:val="both"/>
        <w:ind w:right="180" w:firstLine="510"/>
        <w:spacing w:after="0" w:line="265" w:lineRule="auto"/>
        <w:rPr>
          <w:sz w:val="20"/>
          <w:szCs w:val="20"/>
          <w:color w:val="auto"/>
        </w:rPr>
      </w:pPr>
      <w:r>
        <w:rPr>
          <w:rFonts w:ascii="Times New Roman" w:cs="Times New Roman" w:eastAsia="Times New Roman" w:hAnsi="Times New Roman"/>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69"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the research and clinical development of, and receive regulatory approval for, our product candidates;</w:t>
      </w:r>
    </w:p>
    <w:p>
      <w:pPr>
        <w:spacing w:after="0" w:line="116" w:lineRule="exact"/>
        <w:rPr>
          <w:rFonts w:ascii="Times New Roman" w:cs="Times New Roman" w:eastAsia="Times New Roman" w:hAnsi="Times New Roman"/>
          <w:sz w:val="18"/>
          <w:szCs w:val="18"/>
          <w:color w:val="auto"/>
        </w:rPr>
      </w:pPr>
    </w:p>
    <w:p>
      <w:pPr>
        <w:ind w:left="1000" w:hanging="493"/>
        <w:spacing w:after="0" w:line="28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commercialize and achieve market acceptance of our product candidates, and if launched independently, successfully establish a sales, marketing and distribution infrastructure;</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a portfolio of product candidates through the acquisition or in-license of products, product candidates or technologies;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and clinical trials for any additional product candidates that we may pursue in the future;</w:t>
      </w:r>
    </w:p>
    <w:p>
      <w:pPr>
        <w:spacing w:after="0" w:line="116" w:lineRule="exact"/>
        <w:rPr>
          <w:rFonts w:ascii="Times New Roman" w:cs="Times New Roman" w:eastAsia="Times New Roman" w:hAnsi="Times New Roman"/>
          <w:sz w:val="18"/>
          <w:szCs w:val="18"/>
          <w:color w:val="auto"/>
        </w:rPr>
      </w:pPr>
    </w:p>
    <w:p>
      <w:pPr>
        <w:ind w:left="1000" w:right="120" w:hanging="493"/>
        <w:spacing w:after="0" w:line="28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expand and protect our intellectual property rights;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11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74" w:lineRule="exact"/>
        <w:rPr>
          <w:sz w:val="20"/>
          <w:szCs w:val="20"/>
          <w:color w:val="auto"/>
        </w:rPr>
      </w:pPr>
    </w:p>
    <w:p>
      <w:pPr>
        <w:ind w:right="140" w:firstLine="510"/>
        <w:spacing w:after="0" w:line="260" w:lineRule="auto"/>
        <w:rPr>
          <w:sz w:val="20"/>
          <w:szCs w:val="20"/>
          <w:color w:val="auto"/>
        </w:rPr>
      </w:pPr>
      <w:r>
        <w:rPr>
          <w:rFonts w:ascii="Times New Roman" w:cs="Times New Roman" w:eastAsia="Times New Roman" w:hAnsi="Times New Roman"/>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7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78" w:lineRule="exact"/>
        <w:rPr>
          <w:sz w:val="20"/>
          <w:szCs w:val="20"/>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scale back or discontinue the development or commercialization of our product candidates or cease operations altogether;</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our existing product candidates on terms less favorable than might otherwise be available; or</w:t>
      </w:r>
    </w:p>
    <w:p>
      <w:pPr>
        <w:spacing w:after="0" w:line="116" w:lineRule="exact"/>
        <w:rPr>
          <w:rFonts w:ascii="Times New Roman" w:cs="Times New Roman" w:eastAsia="Times New Roman" w:hAnsi="Times New Roman"/>
          <w:sz w:val="18"/>
          <w:szCs w:val="18"/>
          <w:color w:val="auto"/>
        </w:rPr>
      </w:pPr>
    </w:p>
    <w:p>
      <w:pPr>
        <w:ind w:left="1000" w:right="520" w:hanging="493"/>
        <w:spacing w:after="0" w:line="28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w:t>
      </w:r>
    </w:p>
    <w:p>
      <w:pPr>
        <w:spacing w:after="0" w:line="55" w:lineRule="exact"/>
        <w:rPr>
          <w:sz w:val="20"/>
          <w:szCs w:val="20"/>
          <w:color w:val="auto"/>
        </w:rPr>
      </w:pPr>
    </w:p>
    <w:p>
      <w:pPr>
        <w:ind w:right="200" w:firstLine="510"/>
        <w:spacing w:after="0" w:line="281"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6" w:lineRule="exact"/>
        <w:rPr>
          <w:rFonts w:ascii="Times New Roman" w:cs="Times New Roman" w:eastAsia="Times New Roman" w:hAnsi="Times New Roman"/>
          <w:sz w:val="18"/>
          <w:szCs w:val="18"/>
          <w:color w:val="auto"/>
        </w:rPr>
      </w:pPr>
    </w:p>
    <w:p>
      <w:pPr>
        <w:ind w:left="1000" w:right="360" w:hanging="493"/>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4" w:lineRule="exact"/>
        <w:rPr>
          <w:rFonts w:ascii="Times New Roman" w:cs="Times New Roman" w:eastAsia="Times New Roman" w:hAnsi="Times New Roman"/>
          <w:sz w:val="18"/>
          <w:szCs w:val="18"/>
          <w:color w:val="auto"/>
        </w:rPr>
      </w:pPr>
    </w:p>
    <w:p>
      <w:pPr>
        <w:jc w:val="both"/>
        <w:ind w:left="1000" w:right="320" w:hanging="493"/>
        <w:spacing w:after="0" w:line="26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6" w:lineRule="exact"/>
        <w:rPr>
          <w:rFonts w:ascii="Times New Roman" w:cs="Times New Roman" w:eastAsia="Times New Roman" w:hAnsi="Times New Roman"/>
          <w:sz w:val="18"/>
          <w:szCs w:val="18"/>
          <w:color w:val="auto"/>
        </w:rPr>
      </w:pPr>
    </w:p>
    <w:p>
      <w:pPr>
        <w:ind w:left="1000" w:right="560" w:hanging="493"/>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4" w:lineRule="exact"/>
        <w:rPr>
          <w:rFonts w:ascii="Times New Roman" w:cs="Times New Roman" w:eastAsia="Times New Roman" w:hAnsi="Times New Roman"/>
          <w:sz w:val="18"/>
          <w:szCs w:val="18"/>
          <w:color w:val="auto"/>
        </w:rPr>
      </w:pPr>
    </w:p>
    <w:p>
      <w:pPr>
        <w:ind w:left="1000" w:right="500" w:hanging="493"/>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coverage and reimbursement by third-party payors, which may require additional trials to address pharmacoeconomic benefit;</w:t>
      </w:r>
    </w:p>
    <w:p>
      <w:pPr>
        <w:spacing w:after="0" w:line="54" w:lineRule="exact"/>
        <w:rPr>
          <w:rFonts w:ascii="Times New Roman" w:cs="Times New Roman" w:eastAsia="Times New Roman" w:hAnsi="Times New Roman"/>
          <w:sz w:val="18"/>
          <w:szCs w:val="18"/>
          <w:color w:val="auto"/>
        </w:rPr>
      </w:pPr>
    </w:p>
    <w:p>
      <w:pPr>
        <w:ind w:left="1000" w:right="100" w:hanging="493"/>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any candidate receives regulatory approval and we determine to commercialize it ourselves;</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need to implement additional internal systems and infrastructure, including financial and reporting systems, as we grow our company; and</w:t>
      </w:r>
    </w:p>
    <w:p>
      <w:pPr>
        <w:spacing w:after="0" w:line="128" w:lineRule="exact"/>
        <w:rPr>
          <w:rFonts w:ascii="Times New Roman" w:cs="Times New Roman" w:eastAsia="Times New Roman" w:hAnsi="Times New Roman"/>
          <w:sz w:val="17"/>
          <w:szCs w:val="17"/>
          <w:color w:val="auto"/>
        </w:rPr>
      </w:pPr>
    </w:p>
    <w:p>
      <w:pPr>
        <w:ind w:left="1000" w:right="100" w:hanging="493"/>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ind w:right="180" w:firstLine="510"/>
        <w:spacing w:after="0" w:line="281"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50"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Our loan and security agreement, or the Loan Agreement, with Hercules Capital, Inc., or Hercules, for aggregate maximum borrowings of up to $30.0 million, or the Credit Facility, is collateralized by substantially all of our and our subsidiaries personal property and other assets, other than our intellectual property. As of September 30, 2020, the outstanding principal balance under the Credit Facility was $20.0 million, resulting from the closing of the first tranche of funding which occurred on February 7, 2020. The Credit Facility contains customary representations, warranties, affirmative and negative covenants and events of default applicable to us and our subsidiaries.</w:t>
      </w:r>
    </w:p>
    <w:p>
      <w:pPr>
        <w:spacing w:after="0" w:line="74"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June 30,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7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8"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94"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74"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ind w:right="220"/>
        <w:spacing w:after="0" w:line="265" w:lineRule="auto"/>
        <w:rPr>
          <w:sz w:val="20"/>
          <w:szCs w:val="20"/>
          <w:color w:val="auto"/>
        </w:rPr>
      </w:pPr>
      <w:r>
        <w:rPr>
          <w:rFonts w:ascii="Times New Roman" w:cs="Times New Roman" w:eastAsia="Times New Roman" w:hAnsi="Times New Roman"/>
          <w:sz w:val="18"/>
          <w:szCs w:val="18"/>
          <w:color w:val="auto"/>
        </w:rPr>
        <w:t>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6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portfolio that we licensed from UCB includes patent applications with pending claims directed to the composition of matter of axatilimab (a humanized, full-length IgG4 (kappa light chain) antibody with high affinity for the CSF-1R) as well as claims directed to methods of use of axatilimab. There is no guarantee that any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78"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The portfolio that we licensed from Vitae Pharmaceuticals, a subsidiary of AbbVie,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8"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8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right="620"/>
        <w:spacing w:after="0" w:line="281" w:lineRule="auto"/>
        <w:rPr>
          <w:sz w:val="20"/>
          <w:szCs w:val="20"/>
          <w:color w:val="auto"/>
        </w:rPr>
      </w:pPr>
      <w:r>
        <w:rPr>
          <w:rFonts w:ascii="Times New Roman" w:cs="Times New Roman" w:eastAsia="Times New Roman" w:hAnsi="Times New Roman"/>
          <w:sz w:val="18"/>
          <w:szCs w:val="18"/>
          <w:color w:val="auto"/>
        </w:rPr>
        <w:t>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50"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74"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74" w:lineRule="exact"/>
        <w:rPr>
          <w:sz w:val="20"/>
          <w:szCs w:val="20"/>
          <w:color w:val="auto"/>
        </w:rPr>
      </w:pPr>
    </w:p>
    <w:p>
      <w:pPr>
        <w:ind w:right="120" w:firstLine="510"/>
        <w:spacing w:after="0" w:line="281" w:lineRule="auto"/>
        <w:rPr>
          <w:sz w:val="20"/>
          <w:szCs w:val="20"/>
          <w:color w:val="auto"/>
        </w:rPr>
      </w:pPr>
      <w:r>
        <w:rPr>
          <w:rFonts w:ascii="Times New Roman" w:cs="Times New Roman" w:eastAsia="Times New Roman" w:hAnsi="Times New Roman"/>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5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SNDX-5613. Subject to the achievement of certain milestone events, we may be required to pay Vitae, a subsidiary of AbbVie, up to $99 million in one-time development and regulatory milestone payments over the term of the AbbVie license agreement. In the event that we or any of our affiliates or sublicensees commercializes SNDX-5613,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w:t>
      </w:r>
    </w:p>
    <w:p>
      <w:pPr>
        <w:spacing w:after="0" w:line="7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74"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SNDX-5613 have occurred and the last-to-expire relevant patent covering SNDX-5613 in a given country may change in the future.</w:t>
      </w:r>
    </w:p>
    <w:p>
      <w:pPr>
        <w:spacing w:after="0" w:line="74" w:lineRule="exact"/>
        <w:rPr>
          <w:sz w:val="20"/>
          <w:szCs w:val="20"/>
          <w:color w:val="auto"/>
        </w:rPr>
      </w:pPr>
    </w:p>
    <w:p>
      <w:pPr>
        <w:ind w:right="40" w:firstLine="510"/>
        <w:spacing w:after="0" w:line="281" w:lineRule="auto"/>
        <w:rPr>
          <w:sz w:val="20"/>
          <w:szCs w:val="20"/>
          <w:color w:val="auto"/>
        </w:rPr>
      </w:pPr>
      <w:r>
        <w:rPr>
          <w:rFonts w:ascii="Times New Roman" w:cs="Times New Roman" w:eastAsia="Times New Roman" w:hAnsi="Times New Roman"/>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50"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7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7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78" w:lineRule="exact"/>
        <w:rPr>
          <w:sz w:val="20"/>
          <w:szCs w:val="20"/>
          <w:color w:val="auto"/>
        </w:rPr>
      </w:pPr>
    </w:p>
    <w:p>
      <w:pPr>
        <w:ind w:right="120" w:firstLine="510"/>
        <w:spacing w:after="0" w:line="281" w:lineRule="auto"/>
        <w:rPr>
          <w:sz w:val="20"/>
          <w:szCs w:val="20"/>
          <w:color w:val="auto"/>
        </w:rPr>
      </w:pPr>
      <w:r>
        <w:rPr>
          <w:rFonts w:ascii="Times New Roman" w:cs="Times New Roman" w:eastAsia="Times New Roman" w:hAnsi="Times New Roman"/>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8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6"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5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6"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3" w:lineRule="exact"/>
        <w:rPr>
          <w:sz w:val="20"/>
          <w:szCs w:val="20"/>
          <w:color w:val="auto"/>
        </w:rPr>
      </w:pPr>
    </w:p>
    <w:p>
      <w:pPr>
        <w:ind w:right="60" w:firstLine="510"/>
        <w:spacing w:after="0" w:line="26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8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4" w:name="page55"/>
    <w:bookmarkEnd w:id="54"/>
    <w:p>
      <w:pPr>
        <w:ind w:firstLine="510"/>
        <w:spacing w:after="0" w:line="25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0"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8" w:lineRule="exact"/>
        <w:rPr>
          <w:sz w:val="20"/>
          <w:szCs w:val="20"/>
          <w:color w:val="auto"/>
        </w:rPr>
      </w:pPr>
    </w:p>
    <w:p>
      <w:pPr>
        <w:ind w:right="100" w:firstLine="510"/>
        <w:spacing w:after="0" w:line="265" w:lineRule="auto"/>
        <w:rPr>
          <w:sz w:val="20"/>
          <w:szCs w:val="20"/>
          <w:color w:val="auto"/>
        </w:rPr>
      </w:pPr>
      <w:r>
        <w:rPr>
          <w:rFonts w:ascii="Times New Roman" w:cs="Times New Roman" w:eastAsia="Times New Roman" w:hAnsi="Times New Roman"/>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69" w:lineRule="exact"/>
        <w:rPr>
          <w:sz w:val="20"/>
          <w:szCs w:val="20"/>
          <w:color w:val="auto"/>
        </w:rPr>
      </w:pPr>
    </w:p>
    <w:p>
      <w:pPr>
        <w:ind w:right="60" w:firstLine="510"/>
        <w:spacing w:after="0" w:line="260"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121" w:lineRule="exact"/>
        <w:rPr>
          <w:sz w:val="20"/>
          <w:szCs w:val="20"/>
          <w:color w:val="auto"/>
        </w:rPr>
      </w:pPr>
    </w:p>
    <w:p>
      <w:pPr>
        <w:ind w:right="220" w:firstLine="510"/>
        <w:spacing w:after="0" w:line="281"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5" w:lineRule="exact"/>
        <w:rPr>
          <w:sz w:val="20"/>
          <w:szCs w:val="20"/>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6" w:lineRule="exact"/>
        <w:rPr>
          <w:rFonts w:ascii="Times New Roman" w:cs="Times New Roman" w:eastAsia="Times New Roman" w:hAnsi="Times New Roman"/>
          <w:sz w:val="18"/>
          <w:szCs w:val="18"/>
          <w:color w:val="auto"/>
        </w:rPr>
      </w:pPr>
    </w:p>
    <w:p>
      <w:pPr>
        <w:ind w:left="1000" w:right="740" w:hanging="493"/>
        <w:spacing w:after="0" w:line="28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trials of our product candidates or those of our competitors;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5" w:name="page56"/>
    <w:bookmarkEnd w:id="55"/>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11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the ongoing impact of the COVID-19 pandemic.</w:t>
      </w:r>
    </w:p>
    <w:p>
      <w:pPr>
        <w:spacing w:after="0" w:line="117"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87"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50"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In August 2019, we filed a shelf registration statement on Form S-3 (Registration No. 333-233564) that allows us to sell up to an aggregate of $300 million of our common stock, which includes up to $50.0 million designated for an at-the-market offering program. As of September 30, 2020, $50.0 million of common stock remained available for sale under the at-the-market offering program. Further, in May 2020, we sold 6,388,889 shares of our common stock at a price per share of $18.00 with net proceeds of approximately $107.9 million. In January 2020, we sold 3,036,719 shares of our common stock at a price per share of $8.00 and pre-funded warrants to purchase 1,338,287 shares of our common stock for net proceeds of approximately $34.9 million. Upon the completion of the January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 We also have two outstanding series of warrants, Series 1 warrants and Series 2 warrants. As of September 30, 2020, there were 344,620 shares of our common stock issuable upon the exercise of Series 1 warrants outstanding, at an exercise price of $10.00 per share, and there were 344,622 shares of our common stock issuable upon the exercise of Series 2 warrants outstanding, at an exercise price of $13.00 per share. To the extent that these warrants have been or may be exercised, our stockholders may experience further dilution.</w:t>
      </w:r>
    </w:p>
    <w:p>
      <w:pPr>
        <w:spacing w:after="0" w:line="86"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Loan Agreement with Hercules, which provided for aggregate maximum borrowings of up to $30.0 million, consisting of (i) a term loan of up to $20.0 million, which was funded on February 7, 2020, and (ii)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220"/>
        <w:spacing w:after="0" w:line="256" w:lineRule="auto"/>
        <w:rPr>
          <w:sz w:val="20"/>
          <w:szCs w:val="20"/>
          <w:color w:val="auto"/>
        </w:rPr>
      </w:pPr>
      <w:r>
        <w:rPr>
          <w:rFonts w:ascii="Times New Roman" w:cs="Times New Roman" w:eastAsia="Times New Roman" w:hAnsi="Times New Roman"/>
          <w:sz w:val="18"/>
          <w:szCs w:val="18"/>
          <w:color w:val="auto"/>
        </w:rPr>
        <w:t>subject to Hercules’ investment committee approval, an additional term loan of up to $10.0 million, available for borrowing from February 7, 2020 to December 15, 2020.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78" w:lineRule="exact"/>
        <w:rPr>
          <w:sz w:val="20"/>
          <w:szCs w:val="20"/>
          <w:color w:val="auto"/>
        </w:rPr>
      </w:pPr>
    </w:p>
    <w:p>
      <w:pPr>
        <w:jc w:val="both"/>
        <w:ind w:right="160" w:firstLine="510"/>
        <w:spacing w:after="0" w:line="265" w:lineRule="auto"/>
        <w:rPr>
          <w:sz w:val="20"/>
          <w:szCs w:val="20"/>
          <w:color w:val="auto"/>
        </w:rPr>
      </w:pPr>
      <w:r>
        <w:rPr>
          <w:rFonts w:ascii="Times New Roman" w:cs="Times New Roman" w:eastAsia="Times New Roman" w:hAnsi="Times New Roman"/>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0"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7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50" w:lineRule="exact"/>
        <w:rPr>
          <w:sz w:val="20"/>
          <w:szCs w:val="20"/>
          <w:color w:val="auto"/>
        </w:rPr>
      </w:pPr>
    </w:p>
    <w:p>
      <w:pPr>
        <w:ind w:firstLine="510"/>
        <w:spacing w:after="0" w:line="272" w:lineRule="auto"/>
        <w:rPr>
          <w:sz w:val="20"/>
          <w:szCs w:val="20"/>
          <w:color w:val="auto"/>
        </w:rPr>
      </w:pPr>
      <w:r>
        <w:rPr>
          <w:rFonts w:ascii="Times New Roman" w:cs="Times New Roman" w:eastAsia="Times New Roman" w:hAnsi="Times New Roman"/>
          <w:sz w:val="17"/>
          <w:szCs w:val="17"/>
          <w:color w:val="auto"/>
        </w:rPr>
        <w:t>As of September 30, 2020, our executive officers, directors, holders of 5% or more of our capital stock and their respective affiliates beneficially own approximately 48.8%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66" w:lineRule="exact"/>
        <w:rPr>
          <w:sz w:val="20"/>
          <w:szCs w:val="20"/>
          <w:color w:val="auto"/>
        </w:rPr>
      </w:pPr>
    </w:p>
    <w:p>
      <w:pPr>
        <w:ind w:right="200" w:firstLine="510"/>
        <w:spacing w:after="0" w:line="281"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55" w:lineRule="exact"/>
        <w:rPr>
          <w:sz w:val="20"/>
          <w:szCs w:val="20"/>
          <w:color w:val="auto"/>
        </w:rPr>
      </w:pPr>
    </w:p>
    <w:p>
      <w:pPr>
        <w:ind w:left="1000" w:right="320" w:hanging="493"/>
        <w:spacing w:after="0" w:line="28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54" w:lineRule="exact"/>
        <w:rPr>
          <w:rFonts w:ascii="Times New Roman" w:cs="Times New Roman" w:eastAsia="Times New Roman" w:hAnsi="Times New Roman"/>
          <w:sz w:val="18"/>
          <w:szCs w:val="18"/>
          <w:color w:val="auto"/>
        </w:rPr>
      </w:pPr>
    </w:p>
    <w:p>
      <w:pPr>
        <w:ind w:left="1000" w:right="60" w:hanging="493"/>
        <w:spacing w:after="0" w:line="26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3" w:lineRule="exact"/>
        <w:rPr>
          <w:rFonts w:ascii="Times New Roman" w:cs="Times New Roman" w:eastAsia="Times New Roman" w:hAnsi="Times New Roman"/>
          <w:sz w:val="18"/>
          <w:szCs w:val="18"/>
          <w:color w:val="auto"/>
        </w:rPr>
      </w:pPr>
    </w:p>
    <w:p>
      <w:pPr>
        <w:ind w:left="1000" w:right="20" w:hanging="493"/>
        <w:spacing w:after="0" w:line="312"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31" w:lineRule="exact"/>
        <w:rPr>
          <w:rFonts w:ascii="Times New Roman" w:cs="Times New Roman" w:eastAsia="Times New Roman" w:hAnsi="Times New Roman"/>
          <w:sz w:val="17"/>
          <w:szCs w:val="17"/>
          <w:color w:val="auto"/>
        </w:rPr>
      </w:pPr>
    </w:p>
    <w:p>
      <w:pPr>
        <w:ind w:left="1000" w:right="300" w:hanging="493"/>
        <w:spacing w:after="0" w:line="28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rules that the Public Company Accounting Oversight Board may adopt requiring mandatory audit firm rotation or a supplement to the auditor’s report on the financial statements.</w:t>
      </w:r>
    </w:p>
    <w:p>
      <w:pPr>
        <w:spacing w:after="0" w:line="55" w:lineRule="exact"/>
        <w:rPr>
          <w:sz w:val="20"/>
          <w:szCs w:val="20"/>
          <w:color w:val="auto"/>
        </w:rPr>
      </w:pPr>
    </w:p>
    <w:p>
      <w:pPr>
        <w:ind w:right="320" w:firstLine="510"/>
        <w:spacing w:after="0" w:line="281" w:lineRule="auto"/>
        <w:rPr>
          <w:sz w:val="20"/>
          <w:szCs w:val="20"/>
          <w:color w:val="auto"/>
        </w:rPr>
      </w:pPr>
      <w:r>
        <w:rPr>
          <w:rFonts w:ascii="Times New Roman" w:cs="Times New Roman" w:eastAsia="Times New Roman" w:hAnsi="Times New Roman"/>
          <w:sz w:val="18"/>
          <w:szCs w:val="18"/>
          <w:color w:val="auto"/>
        </w:rPr>
        <w:t>We may take advantage of these exemptions until we are no longer an “emerging growth company.” We would cease to be an “emerging growth company” upon the earliest of: (i) December 31, 2021; (ii) the first fiscal year after our annual gross revenues are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ind w:right="60"/>
        <w:spacing w:after="0" w:line="265" w:lineRule="auto"/>
        <w:rPr>
          <w:sz w:val="20"/>
          <w:szCs w:val="20"/>
          <w:color w:val="auto"/>
        </w:rPr>
      </w:pPr>
      <w:r>
        <w:rPr>
          <w:rFonts w:ascii="Times New Roman" w:cs="Times New Roman" w:eastAsia="Times New Roman" w:hAnsi="Times New Roman"/>
          <w:sz w:val="18"/>
          <w:szCs w:val="18"/>
          <w:color w:val="auto"/>
        </w:rPr>
        <w:t>$1.07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6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8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50" w:lineRule="exact"/>
        <w:rPr>
          <w:sz w:val="20"/>
          <w:szCs w:val="20"/>
          <w:color w:val="auto"/>
        </w:rPr>
      </w:pPr>
    </w:p>
    <w:p>
      <w:pPr>
        <w:ind w:right="140" w:firstLine="510"/>
        <w:spacing w:after="0" w:line="260"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In August 2019, we entered into a sales agreement with Cowen and Company, LLC, or Cowen, under which we may issue and sell shares of our common stock having aggregate sales proceeds of up to $50.0 million from time to time through Cowen, acting as agent, in a series of one or more ATM equity offerings, or the 2019 ATM Program. Cowen is not required to sell any specific amount but acts as our sales agent using commercially reasonable efforts consistent with its normal trading and sales practices. To date no shares of common stock were sold under the 2019 ATM program.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jc w:val="both"/>
        <w:ind w:right="60" w:firstLine="510"/>
        <w:spacing w:after="0" w:line="265"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1"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27"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ind w:right="40"/>
        <w:spacing w:after="0" w:line="252" w:lineRule="auto"/>
        <w:rPr>
          <w:sz w:val="20"/>
          <w:szCs w:val="20"/>
          <w:color w:val="auto"/>
        </w:rPr>
      </w:pPr>
      <w:r>
        <w:rPr>
          <w:rFonts w:ascii="Times New Roman" w:cs="Times New Roman" w:eastAsia="Times New Roman" w:hAnsi="Times New Roman"/>
          <w:sz w:val="18"/>
          <w:szCs w:val="18"/>
          <w:color w:val="auto"/>
        </w:rPr>
        <w:t>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5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00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24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6"/>
        </w:trPr>
        <w:tc>
          <w:tcPr>
            <w:tcW w:w="10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40" w:type="dxa"/>
            <w:vAlign w:val="bottom"/>
            <w:gridSpan w:val="10"/>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64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6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Amended and Restated Certificate of Incorporation of the Company (incorporated herein by reference to Exhibit 3.1 to the Company’s</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3"/>
          </w:tcPr>
          <w:p>
            <w:pPr>
              <w:spacing w:after="0" w:line="195"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Current Report on Form 8-K (File No. 001-37708), as filed with the SEC on March 8, 2016).</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20" w:type="dxa"/>
            <w:vAlign w:val="bottom"/>
            <w:tcBorders>
              <w:top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8-K (File No. 001-37708), as filed with the SEC on March 8, 2016).</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Pre-Funded Warrant issued pursuant to the securities purchase agreement between the Company and Certain Purchasers, dated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3"/>
          </w:tcPr>
          <w:p>
            <w:pPr>
              <w:spacing w:after="0" w:line="195"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January 30, 2020 (incorporated by reference to Exhibit 4.1 to the Company’s Current Report on Form 8-K (File No. 001-37708), as filed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tcBorders>
              <w:top w:val="single" w:sz="8" w:color="0000EE"/>
            </w:tcBorders>
            <w:gridSpan w:val="9"/>
          </w:tcPr>
          <w:p>
            <w:pPr>
              <w:spacing w:after="0" w:line="195"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with the SEC on February 4, 2020).</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u w:val="single" w:color="auto"/>
                  <w:color w:val="0000EE"/>
                </w:rPr>
                <w:t>Executive Employment Agreement by and between the Company and Daphne Karydas, dated as of July 6,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297"/>
        </w:trPr>
        <w:tc>
          <w:tcPr>
            <w:tcW w:w="10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95"/>
              </w:rPr>
              <w:t>31.1</w:t>
            </w:r>
          </w:p>
        </w:tc>
        <w:tc>
          <w:tcPr>
            <w:tcW w:w="1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8"/>
              </w:rPr>
            </w:pPr>
            <w:hyperlink w:anchor="page84">
              <w:r>
                <w:rPr>
                  <w:rFonts w:ascii="Times New Roman" w:cs="Times New Roman" w:eastAsia="Times New Roman" w:hAnsi="Times New Roman"/>
                  <w:sz w:val="18"/>
                  <w:szCs w:val="18"/>
                  <w:color w:val="0000EE"/>
                  <w:w w:val="98"/>
                </w:rPr>
                <w:t>1934, as amended.</w:t>
              </w:r>
            </w:hyperlink>
          </w:p>
        </w:tc>
        <w:tc>
          <w:tcPr>
            <w:tcW w:w="8560" w:type="dxa"/>
            <w:vAlign w:val="bottom"/>
            <w:tcBorders>
              <w:top w:val="single" w:sz="8" w:color="0000EE"/>
            </w:tcBorders>
            <w:gridSpan w:val="10"/>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95"/>
              </w:rPr>
              <w:t>31.2</w:t>
            </w:r>
          </w:p>
        </w:tc>
        <w:tc>
          <w:tcPr>
            <w:tcW w:w="140" w:type="dxa"/>
            <w:vAlign w:val="bottom"/>
          </w:tcPr>
          <w:p>
            <w:pPr>
              <w:spacing w:after="0"/>
              <w:rPr>
                <w:sz w:val="24"/>
                <w:szCs w:val="24"/>
                <w:color w:val="auto"/>
              </w:rPr>
            </w:pPr>
          </w:p>
        </w:tc>
        <w:tc>
          <w:tcPr>
            <w:tcW w:w="9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Certification of Principal Financial Officer pursuant to Rules 13a-14(a) and 15d-14(a) promulgated under the Securities Exchange Act of</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EE"/>
                <w:w w:val="98"/>
              </w:rPr>
            </w:pPr>
            <w:hyperlink w:anchor="page85">
              <w:r>
                <w:rPr>
                  <w:rFonts w:ascii="Times New Roman" w:cs="Times New Roman" w:eastAsia="Times New Roman" w:hAnsi="Times New Roman"/>
                  <w:sz w:val="18"/>
                  <w:szCs w:val="18"/>
                  <w:color w:val="0000EE"/>
                  <w:w w:val="98"/>
                </w:rPr>
                <w:t>1934, as amended.</w:t>
              </w:r>
            </w:hyperlink>
          </w:p>
        </w:tc>
        <w:tc>
          <w:tcPr>
            <w:tcW w:w="87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24"/>
                <w:szCs w:val="24"/>
                <w:color w:val="auto"/>
              </w:rPr>
            </w:pPr>
          </w:p>
        </w:tc>
        <w:tc>
          <w:tcPr>
            <w:tcW w:w="92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Certifications of Chief Executive Officer and Chief Financial Officer pursuant to 18 U.S.C. Section 1350, as adopted pursuant to</w:t>
              </w:r>
            </w:hyperlink>
          </w:p>
        </w:tc>
        <w:tc>
          <w:tcPr>
            <w:tcW w:w="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Section 906 of the Sarbanes-Oxley Act of 2002.</w:t>
              </w:r>
            </w:hyperlink>
          </w:p>
        </w:tc>
        <w:tc>
          <w:tcPr>
            <w:tcW w:w="6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140" w:right="40" w:hanging="1132"/>
        <w:spacing w:after="0" w:line="260"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Syndax Pharmaceuticals, Inc. for the quarter ended September 30, 2019,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8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8" w:lineRule="exact"/>
        <w:rPr>
          <w:sz w:val="20"/>
          <w:szCs w:val="20"/>
          <w:color w:val="auto"/>
        </w:rPr>
      </w:pPr>
    </w:p>
    <w:p>
      <w:pPr>
        <w:jc w:val="both"/>
        <w:ind w:left="500" w:right="280" w:hanging="492"/>
        <w:spacing w:after="0" w:line="265"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Briggs W. Morrison, M.D.</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Briggs W. Morrison, M.D.</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Daphne Karydas</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Daphne Karydas</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Executive Officer and Principal Accounting</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333" w:right="359" w:bottom="1440" w:gutter="0" w:footer="0" w:header="0"/>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189" w:lineRule="exact"/>
        <w:rPr>
          <w:sz w:val="20"/>
          <w:szCs w:val="20"/>
          <w:color w:val="auto"/>
        </w:rPr>
      </w:pPr>
    </w:p>
    <w:p>
      <w:pPr>
        <w:jc w:val="both"/>
        <w:ind w:right="20" w:firstLine="864"/>
        <w:spacing w:after="0" w:line="255"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EXECUTIVE EMPLOYMENT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as of the 6th day of July, 2020 (the “</w:t>
      </w:r>
      <w:r>
        <w:rPr>
          <w:rFonts w:ascii="Times New Roman" w:cs="Times New Roman" w:eastAsia="Times New Roman" w:hAnsi="Times New Roman"/>
          <w:sz w:val="20"/>
          <w:szCs w:val="20"/>
          <w:b w:val="1"/>
          <w:bCs w:val="1"/>
          <w:i w:val="1"/>
          <w:iCs w:val="1"/>
          <w:color w:val="auto"/>
        </w:rPr>
        <w:t>Execution Date</w:t>
      </w:r>
      <w:r>
        <w:rPr>
          <w:rFonts w:ascii="Times New Roman" w:cs="Times New Roman" w:eastAsia="Times New Roman" w:hAnsi="Times New Roman"/>
          <w:sz w:val="20"/>
          <w:szCs w:val="20"/>
          <w:color w:val="auto"/>
        </w:rPr>
        <w:t xml:space="preserve">”), between </w:t>
      </w:r>
      <w:r>
        <w:rPr>
          <w:rFonts w:ascii="Times New Roman" w:cs="Times New Roman" w:eastAsia="Times New Roman" w:hAnsi="Times New Roman"/>
          <w:sz w:val="20"/>
          <w:szCs w:val="20"/>
          <w:b w:val="1"/>
          <w:bCs w:val="1"/>
          <w:color w:val="auto"/>
        </w:rPr>
        <w:t>DAPHNE KARYDAS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SYNDAX PHARMACEUTICALS,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Certain capitalized terms used in this Agreement are defined in Article 7.</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9" w:lineRule="exact"/>
        <w:rPr>
          <w:sz w:val="20"/>
          <w:szCs w:val="20"/>
          <w:color w:val="auto"/>
        </w:rPr>
      </w:pPr>
    </w:p>
    <w:p>
      <w:pPr>
        <w:ind w:left="2360" w:hanging="1489"/>
        <w:spacing w:after="0"/>
        <w:tabs>
          <w:tab w:leader="none" w:pos="23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is a biopharmaceutical company.</w:t>
      </w:r>
    </w:p>
    <w:p>
      <w:pPr>
        <w:spacing w:after="0" w:line="214" w:lineRule="exact"/>
        <w:rPr>
          <w:rFonts w:ascii="Times New Roman" w:cs="Times New Roman" w:eastAsia="Times New Roman" w:hAnsi="Times New Roman"/>
          <w:sz w:val="20"/>
          <w:szCs w:val="20"/>
          <w:b w:val="1"/>
          <w:bCs w:val="1"/>
          <w:color w:val="auto"/>
        </w:rPr>
      </w:pPr>
    </w:p>
    <w:p>
      <w:pPr>
        <w:ind w:firstLine="871"/>
        <w:spacing w:after="0" w:line="268" w:lineRule="auto"/>
        <w:tabs>
          <w:tab w:leader="none" w:pos="2339"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desires to employ Executive in the position set forth below, and Executive wishes to be employed by the Company in such position, upon the terms and conditions set forth in this Agreement.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9820" w:type="dxa"/>
            <w:vAlign w:val="bottom"/>
          </w:tcPr>
          <w:p>
            <w:pPr>
              <w:jc w:val="center"/>
              <w:ind w:right="1301"/>
              <w:spacing w:after="0"/>
              <w:rPr>
                <w:sz w:val="20"/>
                <w:szCs w:val="20"/>
                <w:color w:val="auto"/>
              </w:rPr>
            </w:pPr>
            <w:r>
              <w:rPr>
                <w:rFonts w:ascii="Times New Roman" w:cs="Times New Roman" w:eastAsia="Times New Roman" w:hAnsi="Times New Roman"/>
                <w:sz w:val="20"/>
                <w:szCs w:val="20"/>
                <w:b w:val="1"/>
                <w:bCs w:val="1"/>
                <w:color w:val="auto"/>
                <w:w w:val="99"/>
              </w:rPr>
              <w:t>AGREEMENT</w:t>
            </w:r>
          </w:p>
        </w:tc>
        <w:tc>
          <w:tcPr>
            <w:tcW w:w="0" w:type="dxa"/>
            <w:vAlign w:val="bottom"/>
          </w:tcPr>
          <w:p>
            <w:pPr>
              <w:spacing w:after="0"/>
              <w:rPr>
                <w:sz w:val="1"/>
                <w:szCs w:val="1"/>
                <w:color w:val="auto"/>
              </w:rPr>
            </w:pPr>
          </w:p>
        </w:tc>
      </w:tr>
      <w:tr>
        <w:trPr>
          <w:trHeight w:val="445"/>
        </w:trPr>
        <w:tc>
          <w:tcPr>
            <w:tcW w:w="1420" w:type="dxa"/>
            <w:vAlign w:val="bottom"/>
            <w:vMerge w:val="restart"/>
          </w:tcPr>
          <w:p>
            <w:pPr>
              <w:jc w:val="right"/>
              <w:ind w:right="661"/>
              <w:spacing w:after="0"/>
              <w:rPr>
                <w:sz w:val="20"/>
                <w:szCs w:val="20"/>
                <w:color w:val="auto"/>
              </w:rPr>
            </w:pPr>
            <w:r>
              <w:rPr>
                <w:rFonts w:ascii="Times New Roman" w:cs="Times New Roman" w:eastAsia="Times New Roman" w:hAnsi="Times New Roman"/>
                <w:sz w:val="20"/>
                <w:szCs w:val="20"/>
                <w:color w:val="auto"/>
                <w:w w:val="97"/>
              </w:rPr>
              <w:t>follows:</w:t>
            </w:r>
          </w:p>
        </w:tc>
        <w:tc>
          <w:tcPr>
            <w:tcW w:w="9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contained herein, the Company and Executive agree as</w:t>
            </w:r>
          </w:p>
        </w:tc>
        <w:tc>
          <w:tcPr>
            <w:tcW w:w="0" w:type="dxa"/>
            <w:vAlign w:val="bottom"/>
          </w:tcPr>
          <w:p>
            <w:pPr>
              <w:spacing w:after="0"/>
              <w:rPr>
                <w:sz w:val="1"/>
                <w:szCs w:val="1"/>
                <w:color w:val="auto"/>
              </w:rPr>
            </w:pPr>
          </w:p>
        </w:tc>
      </w:tr>
      <w:tr>
        <w:trPr>
          <w:trHeight w:val="229"/>
        </w:trPr>
        <w:tc>
          <w:tcPr>
            <w:tcW w:w="1420" w:type="dxa"/>
            <w:vAlign w:val="bottom"/>
            <w:vMerge w:val="continue"/>
          </w:tcPr>
          <w:p>
            <w:pPr>
              <w:spacing w:after="0"/>
              <w:rPr>
                <w:sz w:val="19"/>
                <w:szCs w:val="19"/>
                <w:color w:val="auto"/>
              </w:rPr>
            </w:pP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1420" w:type="dxa"/>
            <w:vAlign w:val="bottom"/>
          </w:tcPr>
          <w:p>
            <w:pPr>
              <w:spacing w:after="0"/>
              <w:rPr>
                <w:sz w:val="24"/>
                <w:szCs w:val="24"/>
                <w:color w:val="auto"/>
              </w:rPr>
            </w:pPr>
          </w:p>
        </w:tc>
        <w:tc>
          <w:tcPr>
            <w:tcW w:w="9820" w:type="dxa"/>
            <w:vAlign w:val="bottom"/>
          </w:tcPr>
          <w:p>
            <w:pPr>
              <w:jc w:val="center"/>
              <w:ind w:right="1321"/>
              <w:spacing w:after="0"/>
              <w:rPr>
                <w:sz w:val="20"/>
                <w:szCs w:val="20"/>
                <w:color w:val="auto"/>
              </w:rPr>
            </w:pPr>
            <w:r>
              <w:rPr>
                <w:rFonts w:ascii="Times New Roman" w:cs="Times New Roman" w:eastAsia="Times New Roman" w:hAnsi="Times New Roman"/>
                <w:sz w:val="20"/>
                <w:szCs w:val="20"/>
                <w:b w:val="1"/>
                <w:bCs w:val="1"/>
                <w:color w:val="auto"/>
                <w:w w:val="97"/>
              </w:rPr>
              <w:t>ARTICLE 1</w:t>
            </w:r>
          </w:p>
        </w:tc>
        <w:tc>
          <w:tcPr>
            <w:tcW w:w="0" w:type="dxa"/>
            <w:vAlign w:val="bottom"/>
          </w:tcPr>
          <w:p>
            <w:pPr>
              <w:spacing w:after="0"/>
              <w:rPr>
                <w:sz w:val="1"/>
                <w:szCs w:val="1"/>
                <w:color w:val="auto"/>
              </w:rPr>
            </w:pPr>
          </w:p>
        </w:tc>
      </w:tr>
      <w:tr>
        <w:trPr>
          <w:trHeight w:val="458"/>
        </w:trPr>
        <w:tc>
          <w:tcPr>
            <w:tcW w:w="1420" w:type="dxa"/>
            <w:vAlign w:val="bottom"/>
          </w:tcPr>
          <w:p>
            <w:pPr>
              <w:spacing w:after="0"/>
              <w:rPr>
                <w:sz w:val="24"/>
                <w:szCs w:val="24"/>
                <w:color w:val="auto"/>
              </w:rPr>
            </w:pPr>
          </w:p>
        </w:tc>
        <w:tc>
          <w:tcPr>
            <w:tcW w:w="9820" w:type="dxa"/>
            <w:vAlign w:val="bottom"/>
          </w:tcPr>
          <w:p>
            <w:pPr>
              <w:jc w:val="center"/>
              <w:ind w:right="1321"/>
              <w:spacing w:after="0"/>
              <w:rPr>
                <w:sz w:val="20"/>
                <w:szCs w:val="20"/>
                <w:color w:val="auto"/>
              </w:rPr>
            </w:pPr>
            <w:r>
              <w:rPr>
                <w:rFonts w:ascii="Times New Roman" w:cs="Times New Roman" w:eastAsia="Times New Roman" w:hAnsi="Times New Roman"/>
                <w:sz w:val="20"/>
                <w:szCs w:val="20"/>
                <w:b w:val="1"/>
                <w:bCs w:val="1"/>
                <w:color w:val="auto"/>
                <w:w w:val="97"/>
              </w:rPr>
              <w:t>PRELIMINARY MATTERS</w:t>
            </w:r>
          </w:p>
        </w:tc>
        <w:tc>
          <w:tcPr>
            <w:tcW w:w="0" w:type="dxa"/>
            <w:vAlign w:val="bottom"/>
          </w:tcPr>
          <w:p>
            <w:pPr>
              <w:spacing w:after="0"/>
              <w:rPr>
                <w:sz w:val="1"/>
                <w:szCs w:val="1"/>
                <w:color w:val="auto"/>
              </w:rPr>
            </w:pPr>
          </w:p>
        </w:tc>
      </w:tr>
      <w:tr>
        <w:trPr>
          <w:trHeight w:val="445"/>
        </w:trPr>
        <w:tc>
          <w:tcPr>
            <w:tcW w:w="142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1.1</w:t>
            </w:r>
          </w:p>
        </w:tc>
        <w:tc>
          <w:tcPr>
            <w:tcW w:w="9820" w:type="dxa"/>
            <w:vAlign w:val="bottom"/>
          </w:tcPr>
          <w:p>
            <w:pPr>
              <w:jc w:val="right"/>
              <w:ind w:right="1801"/>
              <w:spacing w:after="0"/>
              <w:rPr>
                <w:sz w:val="20"/>
                <w:szCs w:val="20"/>
                <w:color w:val="auto"/>
              </w:rPr>
            </w:pPr>
            <w:r>
              <w:rPr>
                <w:rFonts w:ascii="Times New Roman" w:cs="Times New Roman" w:eastAsia="Times New Roman" w:hAnsi="Times New Roman"/>
                <w:sz w:val="20"/>
                <w:szCs w:val="20"/>
                <w:b w:val="1"/>
                <w:bCs w:val="1"/>
                <w:color w:val="auto"/>
              </w:rPr>
              <w:t>Effectiveness of Agreement</w:t>
            </w:r>
            <w:r>
              <w:rPr>
                <w:rFonts w:ascii="Times New Roman" w:cs="Times New Roman" w:eastAsia="Times New Roman" w:hAnsi="Times New Roman"/>
                <w:sz w:val="20"/>
                <w:szCs w:val="20"/>
                <w:color w:val="auto"/>
              </w:rPr>
              <w:t>. This Agreement shall be effective on the Execution Date.</w:t>
            </w:r>
          </w:p>
        </w:tc>
        <w:tc>
          <w:tcPr>
            <w:tcW w:w="0" w:type="dxa"/>
            <w:vAlign w:val="bottom"/>
          </w:tcPr>
          <w:p>
            <w:pPr>
              <w:spacing w:after="0"/>
              <w:rPr>
                <w:sz w:val="1"/>
                <w:szCs w:val="1"/>
                <w:color w:val="auto"/>
              </w:rPr>
            </w:pPr>
          </w:p>
        </w:tc>
      </w:tr>
      <w:tr>
        <w:trPr>
          <w:trHeight w:val="445"/>
        </w:trPr>
        <w:tc>
          <w:tcPr>
            <w:tcW w:w="1420" w:type="dxa"/>
            <w:vAlign w:val="bottom"/>
          </w:tcPr>
          <w:p>
            <w:pPr>
              <w:spacing w:after="0"/>
              <w:rPr>
                <w:sz w:val="24"/>
                <w:szCs w:val="24"/>
                <w:color w:val="auto"/>
              </w:rPr>
            </w:pPr>
          </w:p>
        </w:tc>
        <w:tc>
          <w:tcPr>
            <w:tcW w:w="9820" w:type="dxa"/>
            <w:vAlign w:val="bottom"/>
          </w:tcPr>
          <w:p>
            <w:pPr>
              <w:jc w:val="center"/>
              <w:ind w:right="1321"/>
              <w:spacing w:after="0"/>
              <w:rPr>
                <w:sz w:val="20"/>
                <w:szCs w:val="20"/>
                <w:color w:val="auto"/>
              </w:rPr>
            </w:pPr>
            <w:r>
              <w:rPr>
                <w:rFonts w:ascii="Times New Roman" w:cs="Times New Roman" w:eastAsia="Times New Roman" w:hAnsi="Times New Roman"/>
                <w:sz w:val="20"/>
                <w:szCs w:val="20"/>
                <w:b w:val="1"/>
                <w:bCs w:val="1"/>
                <w:color w:val="auto"/>
                <w:w w:val="97"/>
              </w:rPr>
              <w:t>ARTICLE 2</w:t>
            </w:r>
          </w:p>
        </w:tc>
        <w:tc>
          <w:tcPr>
            <w:tcW w:w="0" w:type="dxa"/>
            <w:vAlign w:val="bottom"/>
          </w:tcPr>
          <w:p>
            <w:pPr>
              <w:spacing w:after="0"/>
              <w:rPr>
                <w:sz w:val="1"/>
                <w:szCs w:val="1"/>
                <w:color w:val="auto"/>
              </w:rPr>
            </w:pPr>
          </w:p>
        </w:tc>
      </w:tr>
      <w:tr>
        <w:trPr>
          <w:trHeight w:val="458"/>
        </w:trPr>
        <w:tc>
          <w:tcPr>
            <w:tcW w:w="1420" w:type="dxa"/>
            <w:vAlign w:val="bottom"/>
          </w:tcPr>
          <w:p>
            <w:pPr>
              <w:spacing w:after="0"/>
              <w:rPr>
                <w:sz w:val="24"/>
                <w:szCs w:val="24"/>
                <w:color w:val="auto"/>
              </w:rPr>
            </w:pPr>
          </w:p>
        </w:tc>
        <w:tc>
          <w:tcPr>
            <w:tcW w:w="9820" w:type="dxa"/>
            <w:vAlign w:val="bottom"/>
          </w:tcPr>
          <w:p>
            <w:pPr>
              <w:jc w:val="center"/>
              <w:ind w:right="1301"/>
              <w:spacing w:after="0"/>
              <w:rPr>
                <w:sz w:val="20"/>
                <w:szCs w:val="20"/>
                <w:color w:val="auto"/>
              </w:rPr>
            </w:pPr>
            <w:r>
              <w:rPr>
                <w:rFonts w:ascii="Times New Roman" w:cs="Times New Roman" w:eastAsia="Times New Roman" w:hAnsi="Times New Roman"/>
                <w:sz w:val="20"/>
                <w:szCs w:val="20"/>
                <w:b w:val="1"/>
                <w:bCs w:val="1"/>
                <w:color w:val="auto"/>
                <w:w w:val="98"/>
              </w:rPr>
              <w:t>TERMS OF EMPLOYMENT</w:t>
            </w:r>
          </w:p>
        </w:tc>
        <w:tc>
          <w:tcPr>
            <w:tcW w:w="0" w:type="dxa"/>
            <w:vAlign w:val="bottom"/>
          </w:tcPr>
          <w:p>
            <w:pPr>
              <w:spacing w:after="0"/>
              <w:rPr>
                <w:sz w:val="1"/>
                <w:szCs w:val="1"/>
                <w:color w:val="auto"/>
              </w:rPr>
            </w:pPr>
          </w:p>
        </w:tc>
      </w:tr>
      <w:tr>
        <w:trPr>
          <w:trHeight w:val="438"/>
        </w:trPr>
        <w:tc>
          <w:tcPr>
            <w:tcW w:w="142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2.1</w:t>
            </w:r>
          </w:p>
        </w:tc>
        <w:tc>
          <w:tcPr>
            <w:tcW w:w="9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Appointment</w:t>
            </w:r>
            <w:r>
              <w:rPr>
                <w:rFonts w:ascii="Times New Roman" w:cs="Times New Roman" w:eastAsia="Times New Roman" w:hAnsi="Times New Roman"/>
                <w:sz w:val="20"/>
                <w:szCs w:val="20"/>
                <w:color w:val="auto"/>
              </w:rPr>
              <w:t>. Executive’s start date with the Company is July 13, 2020 or such other date as mutually agreed</w:t>
            </w:r>
          </w:p>
        </w:tc>
        <w:tc>
          <w:tcPr>
            <w:tcW w:w="0" w:type="dxa"/>
            <w:vAlign w:val="bottom"/>
          </w:tcPr>
          <w:p>
            <w:pPr>
              <w:spacing w:after="0"/>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0"/>
          <w:szCs w:val="20"/>
          <w:color w:val="auto"/>
        </w:rPr>
        <w:t>upon by the Company and Executive (the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 Executive shall serve as Chief Financial Officer, reporting to the President and Chief Operating Officer. As Chief Financial Officer, Executive will have such duties and responsibilities typically associated with such officer plus other reasonable duties as may from time to time be assigned to Executive. During Executive’s employment with the Company, Executive shall (i) devote substantially all of Executive’s business efforts to the Company provided, however, that Executive may (a) participate in charitable, civic, educational, professional, community or industry affairs, and (b) serve as a board member, advisor or a similar position, of up to two other companies, so long as such service does not conflict with or is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 Executive and the Company acknowledge that Executive’s primary office will be located at the Company’s New York, NY office, but that Executive will be required to spend a certain amount of time each month at the Company’s Waltham, MA headquarters.</w:t>
      </w:r>
    </w:p>
    <w:p>
      <w:pPr>
        <w:spacing w:after="0" w:line="192" w:lineRule="exact"/>
        <w:rPr>
          <w:sz w:val="20"/>
          <w:szCs w:val="20"/>
          <w:color w:val="auto"/>
        </w:rPr>
      </w:pPr>
    </w:p>
    <w:p>
      <w:pPr>
        <w:jc w:val="both"/>
        <w:ind w:right="20" w:firstLine="864"/>
        <w:spacing w:after="0" w:line="272" w:lineRule="auto"/>
        <w:rPr>
          <w:sz w:val="20"/>
          <w:szCs w:val="20"/>
          <w:color w:val="auto"/>
        </w:rPr>
      </w:pPr>
      <w:r>
        <w:rPr>
          <w:rFonts w:ascii="Times New Roman" w:cs="Times New Roman" w:eastAsia="Times New Roman" w:hAnsi="Times New Roman"/>
          <w:sz w:val="20"/>
          <w:szCs w:val="20"/>
          <w:b w:val="1"/>
          <w:bCs w:val="1"/>
          <w:color w:val="auto"/>
        </w:rPr>
        <w:t>2.2 Employment Term</w:t>
      </w:r>
      <w:r>
        <w:rPr>
          <w:rFonts w:ascii="Times New Roman" w:cs="Times New Roman" w:eastAsia="Times New Roman" w:hAnsi="Times New Roman"/>
          <w:sz w:val="20"/>
          <w:szCs w:val="20"/>
          <w:color w:val="auto"/>
        </w:rPr>
        <w:t>. Executive will be employed by the Company on an “at-will” basis. This means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either the Company or Executive may terminate Executive’s employment at any time,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both"/>
        <w:spacing w:after="0" w:line="246" w:lineRule="auto"/>
        <w:rPr>
          <w:sz w:val="20"/>
          <w:szCs w:val="20"/>
          <w:color w:val="auto"/>
        </w:rPr>
      </w:pPr>
      <w:r>
        <w:rPr>
          <w:rFonts w:ascii="Times New Roman" w:cs="Times New Roman" w:eastAsia="Times New Roman" w:hAnsi="Times New Roman"/>
          <w:sz w:val="20"/>
          <w:szCs w:val="20"/>
          <w:color w:val="auto"/>
        </w:rPr>
        <w:t>any reason, with or without Cause, and with or without advance notice (provided that Resignation for Good Reason (as defined below) requires certain advanced notice by Executive. It also means that Executive’s 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ectPr>
          <w:pgSz w:w="11900" w:h="16838" w:orient="portrait"/>
          <w:cols w:equalWidth="0" w:num="1">
            <w:col w:w="11240"/>
          </w:cols>
          <w:pgMar w:left="320" w:top="279" w:right="339" w:bottom="1440" w:gutter="0" w:footer="0" w:header="0"/>
        </w:sectPr>
      </w:pP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b w:val="1"/>
          <w:bCs w:val="1"/>
          <w:color w:val="auto"/>
        </w:rPr>
        <w:t>2.3</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1700" w:space="720"/>
            <w:col w:w="8820"/>
          </w:cols>
          <w:pgMar w:left="320" w:top="279" w:right="339" w:bottom="1440" w:gutter="0" w:footer="0" w:header="0"/>
          <w:type w:val="continuous"/>
        </w:sectPr>
      </w:pPr>
    </w:p>
    <w:p>
      <w:pPr>
        <w:spacing w:after="0" w:line="27" w:lineRule="exact"/>
        <w:rPr>
          <w:sz w:val="20"/>
          <w:szCs w:val="20"/>
          <w:color w:val="auto"/>
        </w:rPr>
      </w:pPr>
    </w:p>
    <w:p>
      <w:pPr>
        <w:ind w:left="1740"/>
        <w:spacing w:after="0"/>
        <w:tabs>
          <w:tab w:leader="none" w:pos="38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b w:val="1"/>
          <w:bCs w:val="1"/>
          <w:color w:val="auto"/>
        </w:rPr>
        <w:t>Annual Base Salary</w:t>
      </w:r>
      <w:r>
        <w:rPr>
          <w:rFonts w:ascii="Times New Roman" w:cs="Times New Roman" w:eastAsia="Times New Roman" w:hAnsi="Times New Roman"/>
          <w:sz w:val="20"/>
          <w:szCs w:val="20"/>
          <w:color w:val="auto"/>
        </w:rPr>
        <w:t>.  Executive’s annual base salary shall be $425,000 per year (“</w:t>
      </w:r>
      <w:r>
        <w:rPr>
          <w:rFonts w:ascii="Times New Roman" w:cs="Times New Roman" w:eastAsia="Times New Roman" w:hAnsi="Times New Roman"/>
          <w:sz w:val="20"/>
          <w:szCs w:val="20"/>
          <w:b w:val="1"/>
          <w:bCs w:val="1"/>
          <w:i w:val="1"/>
          <w:iCs w:val="1"/>
          <w:color w:val="auto"/>
        </w:rPr>
        <w:t>Annual</w:t>
      </w:r>
    </w:p>
    <w:p>
      <w:pPr>
        <w:sectPr>
          <w:pgSz w:w="11900" w:h="16838" w:orient="portrait"/>
          <w:cols w:equalWidth="0" w:num="1">
            <w:col w:w="11240"/>
          </w:cols>
          <w:pgMar w:left="320" w:top="279" w:right="339" w:bottom="1440" w:gutter="0" w:footer="0" w:header="0"/>
          <w:type w:val="continuous"/>
        </w:sectPr>
      </w:pP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 payable in equal installments, less applicable deductions and withholdings, in accordance with the Company’s standard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payroll practices. Executive’s Annual Base Salary shall be subject to review by the Company’s compensation committee and may be increased or decreased from time to time, but shall not be reduced unless, and only to the extent that, the base salaries of all other similarly situated executives of the Company are proportionately reduced.</w:t>
      </w:r>
    </w:p>
    <w:p>
      <w:pPr>
        <w:spacing w:after="0" w:line="184" w:lineRule="exact"/>
        <w:rPr>
          <w:sz w:val="20"/>
          <w:szCs w:val="20"/>
          <w:color w:val="auto"/>
        </w:rPr>
      </w:pPr>
    </w:p>
    <w:p>
      <w:pPr>
        <w:jc w:val="both"/>
        <w:ind w:firstLine="1728"/>
        <w:spacing w:after="0" w:line="250"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b w:val="1"/>
          <w:bCs w:val="1"/>
          <w:color w:val="auto"/>
        </w:rPr>
        <w:t>Benefits</w:t>
      </w:r>
      <w:r>
        <w:rPr>
          <w:rFonts w:ascii="Times New Roman" w:cs="Times New Roman" w:eastAsia="Times New Roman" w:hAnsi="Times New Roman"/>
          <w:sz w:val="20"/>
          <w:szCs w:val="20"/>
          <w:color w:val="auto"/>
        </w:rPr>
        <w:t>. Executive will be entitled to participate in all of the employee benefits and benefit plans that the 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w:t>
      </w:r>
    </w:p>
    <w:p>
      <w:pPr>
        <w:spacing w:after="0" w:line="174" w:lineRule="exact"/>
        <w:rPr>
          <w:sz w:val="20"/>
          <w:szCs w:val="20"/>
          <w:color w:val="auto"/>
        </w:rPr>
      </w:pPr>
    </w:p>
    <w:p>
      <w:pPr>
        <w:jc w:val="both"/>
        <w:ind w:firstLine="1728"/>
        <w:spacing w:after="0" w:line="241"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In addition to Annual Base Salary, Executive shall be eligible to earn an annual performance bonus of up to forty percent (40%)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Times New Roman" w:cs="Times New Roman" w:eastAsia="Times New Roman" w:hAnsi="Times New Roman"/>
          <w:sz w:val="20"/>
          <w:szCs w:val="20"/>
          <w:b w:val="1"/>
          <w:bCs w:val="1"/>
          <w:i w:val="1"/>
          <w:iCs w:val="1"/>
          <w:color w:val="auto"/>
        </w:rPr>
        <w:t>Target Performance Bonus</w:t>
      </w:r>
      <w:r>
        <w:rPr>
          <w:rFonts w:ascii="Times New Roman" w:cs="Times New Roman" w:eastAsia="Times New Roman" w:hAnsi="Times New Roman"/>
          <w:sz w:val="20"/>
          <w:szCs w:val="20"/>
          <w:color w:val="auto"/>
        </w:rPr>
        <w:t>”).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15th following the applicable bonus year. For the 2020 calendar year, if earned, the Target Performance Bonus will be pro-rated from the Start Date. Except as provided in Sections 3.2 and 4.2, Executive shall be eligible to earn the Target Performance Bonus only if Executive is actively employed and in good standing with the Company on both the determination and payment dates for the Target Performance Bonus. In addition to the annual Target Performance Bonus, Company shall pay Executive a onetime sign-on bonus award of $50,000, which shall be payable in full on March 1, 2021 provided that Executive is then employed by Company. Executive agrees that in the event of Executive’s voluntary resignation within the first twelve (12) months after the Start Date, Executive shall repay (and shall allow the Company to withhold from any payments due to Executive) a prorated portion of such sign-on bonus to the Company promptly following the termination of employment. Company and Executive shall determine the prorated portion of any such repayment based on the number of months of employment during such twelve (12) month period. Executive further agrees that in the event of Executive’s termination by the Company for Cause within the first twelve (12) months of the Start Date, Executive shall repay (and shall allow the Company to withhold from any payments due to Executive) the full sign on bonus to the Company promptly following the termination of employment.</w:t>
      </w:r>
    </w:p>
    <w:p>
      <w:pPr>
        <w:spacing w:after="0" w:line="18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b w:val="1"/>
          <w:bCs w:val="1"/>
          <w:color w:val="auto"/>
        </w:rPr>
        <w:t>2.4 Reimbursement of Expenses</w:t>
      </w:r>
      <w:r>
        <w:rPr>
          <w:rFonts w:ascii="Times New Roman" w:cs="Times New Roman" w:eastAsia="Times New Roman" w:hAnsi="Times New Roman"/>
          <w:sz w:val="20"/>
          <w:szCs w:val="20"/>
          <w:color w:val="auto"/>
        </w:rPr>
        <w:t>. Subject to Section 5.10(c), the Company shall reimburse Executive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necessary and reasonable business expenses incurred in connection with Executive’s duties in accordance with the Company’s generally applicable policies.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63" w:name="page64"/>
    <w:bookmarkEnd w:id="63"/>
    <w:tbl>
      <w:tblPr>
        <w:tblLayout w:type="fixed"/>
        <w:tblInd w:w="880" w:type="dxa"/>
        <w:tblCellMar>
          <w:top w:w="0" w:type="dxa"/>
          <w:left w:w="0" w:type="dxa"/>
          <w:bottom w:w="0" w:type="dxa"/>
          <w:right w:w="0" w:type="dxa"/>
        </w:tblCellMar>
      </w:tblPr>
      <w:tr>
        <w:trPr>
          <w:trHeight w:val="262"/>
        </w:trPr>
        <w:tc>
          <w:tcPr>
            <w:tcW w:w="880" w:type="dxa"/>
            <w:vAlign w:val="bottom"/>
          </w:tcPr>
          <w:p>
            <w:pPr>
              <w:spacing w:after="0"/>
              <w:rPr>
                <w:sz w:val="22"/>
                <w:szCs w:val="22"/>
                <w:color w:val="auto"/>
              </w:rPr>
            </w:pPr>
          </w:p>
        </w:tc>
        <w:tc>
          <w:tcPr>
            <w:tcW w:w="9480" w:type="dxa"/>
            <w:vAlign w:val="bottom"/>
          </w:tcPr>
          <w:p>
            <w:pPr>
              <w:jc w:val="center"/>
              <w:ind w:right="1661"/>
              <w:spacing w:after="0"/>
              <w:rPr>
                <w:sz w:val="20"/>
                <w:szCs w:val="20"/>
                <w:color w:val="auto"/>
              </w:rPr>
            </w:pPr>
            <w:r>
              <w:rPr>
                <w:rFonts w:ascii="Times New Roman" w:cs="Times New Roman" w:eastAsia="Times New Roman" w:hAnsi="Times New Roman"/>
                <w:sz w:val="20"/>
                <w:szCs w:val="20"/>
                <w:b w:val="1"/>
                <w:bCs w:val="1"/>
                <w:color w:val="auto"/>
                <w:w w:val="97"/>
              </w:rPr>
              <w:t>ARTICLE 3</w:t>
            </w:r>
          </w:p>
        </w:tc>
      </w:tr>
      <w:tr>
        <w:trPr>
          <w:trHeight w:val="458"/>
        </w:trPr>
        <w:tc>
          <w:tcPr>
            <w:tcW w:w="880" w:type="dxa"/>
            <w:vAlign w:val="bottom"/>
          </w:tcPr>
          <w:p>
            <w:pPr>
              <w:spacing w:after="0"/>
              <w:rPr>
                <w:sz w:val="24"/>
                <w:szCs w:val="24"/>
                <w:color w:val="auto"/>
              </w:rPr>
            </w:pPr>
          </w:p>
        </w:tc>
        <w:tc>
          <w:tcPr>
            <w:tcW w:w="9480" w:type="dxa"/>
            <w:vAlign w:val="bottom"/>
          </w:tcPr>
          <w:p>
            <w:pPr>
              <w:jc w:val="center"/>
              <w:ind w:right="1661"/>
              <w:spacing w:after="0"/>
              <w:rPr>
                <w:sz w:val="20"/>
                <w:szCs w:val="20"/>
                <w:color w:val="auto"/>
              </w:rPr>
            </w:pPr>
            <w:r>
              <w:rPr>
                <w:rFonts w:ascii="Times New Roman" w:cs="Times New Roman" w:eastAsia="Times New Roman" w:hAnsi="Times New Roman"/>
                <w:sz w:val="20"/>
                <w:szCs w:val="20"/>
                <w:b w:val="1"/>
                <w:bCs w:val="1"/>
                <w:color w:val="auto"/>
                <w:w w:val="98"/>
              </w:rPr>
              <w:t>CHANGE IN CONTROL SEVERANCE BENEFITS</w:t>
            </w:r>
          </w:p>
        </w:tc>
      </w:tr>
      <w:tr>
        <w:trPr>
          <w:trHeight w:val="438"/>
        </w:trPr>
        <w:tc>
          <w:tcPr>
            <w:tcW w:w="88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w w:val="87"/>
              </w:rPr>
              <w:t>3.1</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 Upon a Change in Control Termination, and subject to the limitations and conditions set</w:t>
            </w:r>
          </w:p>
        </w:tc>
      </w:tr>
    </w:tbl>
    <w:p>
      <w:pPr>
        <w:jc w:val="both"/>
        <w:spacing w:after="0"/>
        <w:rPr>
          <w:sz w:val="20"/>
          <w:szCs w:val="20"/>
          <w:color w:val="auto"/>
        </w:rPr>
      </w:pPr>
      <w:r>
        <w:rPr>
          <w:rFonts w:ascii="Times New Roman" w:cs="Times New Roman" w:eastAsia="Times New Roman" w:hAnsi="Times New Roman"/>
          <w:sz w:val="20"/>
          <w:szCs w:val="20"/>
          <w:color w:val="auto"/>
        </w:rPr>
        <w:t>forth in this Agreement, Executive shall be eligible to receive the benefits set forth in this Article 3. The receipt of any severance payments or benefits pursuant to this Agreement is subject to Executive signing and not revoking a separation agreement and general release of claims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in substantially the form attached hereto and incorporated herein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as appropriate, which Release must become effective and irrevocable no later than the sixtieth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day following Executive’s termination of employment (the “</w:t>
      </w:r>
      <w:r>
        <w:rPr>
          <w:rFonts w:ascii="Times New Roman" w:cs="Times New Roman" w:eastAsia="Times New Roman" w:hAnsi="Times New Roman"/>
          <w:sz w:val="20"/>
          <w:szCs w:val="20"/>
          <w:b w:val="1"/>
          <w:bCs w:val="1"/>
          <w:i w:val="1"/>
          <w:iCs w:val="1"/>
          <w:color w:val="auto"/>
        </w:rPr>
        <w:t>Release Deadline Date</w:t>
      </w:r>
      <w:r>
        <w:rPr>
          <w:rFonts w:ascii="Times New Roman" w:cs="Times New Roman" w:eastAsia="Times New Roman" w:hAnsi="Times New Roman"/>
          <w:sz w:val="20"/>
          <w:szCs w:val="20"/>
          <w:color w:val="auto"/>
        </w:rPr>
        <w:t>”).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85"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3.2 Salary and Pro-Rata Bonus Payment</w:t>
      </w:r>
      <w:r>
        <w:rPr>
          <w:rFonts w:ascii="Times New Roman" w:cs="Times New Roman" w:eastAsia="Times New Roman" w:hAnsi="Times New Roman"/>
          <w:sz w:val="20"/>
          <w:szCs w:val="20"/>
          <w:color w:val="auto"/>
        </w:rPr>
        <w:t>. In consideration of Executive’s execution and non-revocation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 by the Release Deadline Date in a form provided by the Company and in accordance with Article 4, the Company shall pay Executive a severance payment equal to (a) the sum of Executive’s Monthly Base Salary and Pro-Rata Bonus multiplied by (b) the number of months in the Change in Control Severance Period, less applicable withholdings. The severance payment shall be payable (except as set forth in Article 5) in a lump sum on the first regularly-scheduled payroll date occurring on or after the Release Deadline Date.</w:t>
      </w:r>
    </w:p>
    <w:p>
      <w:pPr>
        <w:sectPr>
          <w:pgSz w:w="11900" w:h="16838" w:orient="portrait"/>
          <w:cols w:equalWidth="0" w:num="1">
            <w:col w:w="11240"/>
          </w:cols>
          <w:pgMar w:left="320" w:top="275" w:right="339" w:bottom="1440" w:gutter="0" w:footer="0" w:header="0"/>
        </w:sectPr>
      </w:pP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b w:val="1"/>
          <w:bCs w:val="1"/>
          <w:color w:val="auto"/>
        </w:rPr>
        <w:t>3.3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Health Continuation Coverage.</w:t>
      </w:r>
    </w:p>
    <w:p>
      <w:pPr>
        <w:spacing w:after="0" w:line="200" w:lineRule="exact"/>
        <w:rPr>
          <w:sz w:val="20"/>
          <w:szCs w:val="20"/>
          <w:color w:val="auto"/>
        </w:rPr>
      </w:pPr>
    </w:p>
    <w:p>
      <w:pPr>
        <w:sectPr>
          <w:pgSz w:w="11900" w:h="16838" w:orient="portrait"/>
          <w:cols w:equalWidth="0" w:num="2">
            <w:col w:w="1700" w:space="720"/>
            <w:col w:w="8820"/>
          </w:cols>
          <w:pgMar w:left="320" w:top="275" w:right="339" w:bottom="1440" w:gutter="0" w:footer="0" w:header="0"/>
          <w:type w:val="continuous"/>
        </w:sectPr>
      </w:pPr>
    </w:p>
    <w:p>
      <w:pPr>
        <w:spacing w:after="0" w:line="31" w:lineRule="exact"/>
        <w:rPr>
          <w:sz w:val="20"/>
          <w:szCs w:val="20"/>
          <w:color w:val="auto"/>
        </w:rPr>
      </w:pPr>
    </w:p>
    <w:p>
      <w:pPr>
        <w:ind w:left="880"/>
        <w:spacing w:after="0"/>
        <w:tabs>
          <w:tab w:leader="none" w:pos="262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9"/>
          <w:szCs w:val="19"/>
          <w:color w:val="auto"/>
        </w:rPr>
        <w:t>Provided that Executive is eligible and has made the necessary elections for continuation coverage pursuant</w:t>
      </w:r>
    </w:p>
    <w:p>
      <w:pPr>
        <w:sectPr>
          <w:pgSz w:w="11900" w:h="16838" w:orient="portrait"/>
          <w:cols w:equalWidth="0" w:num="1">
            <w:col w:w="11240"/>
          </w:cols>
          <w:pgMar w:left="320" w:top="275" w:right="339" w:bottom="1440" w:gutter="0" w:footer="0" w:header="0"/>
          <w:type w:val="continuous"/>
        </w:sectPr>
      </w:pPr>
    </w:p>
    <w:p>
      <w:pPr>
        <w:spacing w:after="0" w:line="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90" w:lineRule="exact"/>
        <w:rPr>
          <w:sz w:val="20"/>
          <w:szCs w:val="20"/>
          <w:color w:val="auto"/>
        </w:rPr>
      </w:pPr>
    </w:p>
    <w:p>
      <w:pPr>
        <w:jc w:val="both"/>
        <w:ind w:firstLine="1728"/>
        <w:spacing w:after="0" w:line="268" w:lineRule="auto"/>
        <w:rPr>
          <w:sz w:val="20"/>
          <w:szCs w:val="20"/>
          <w:color w:val="auto"/>
        </w:rPr>
      </w:pPr>
      <w:r>
        <w:rPr>
          <w:rFonts w:ascii="Times New Roman" w:cs="Times New Roman" w:eastAsia="Times New Roman" w:hAnsi="Times New Roman"/>
          <w:sz w:val="20"/>
          <w:szCs w:val="20"/>
          <w:color w:val="auto"/>
        </w:rPr>
        <w:t>b) For purposes of this Section 3.3, (i) references to COBRA shall be deemed to refer also to analogous provisions of state law, and (ii) any applicable insurance premiums that are paid by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type w:val="continuous"/>
        </w:sectPr>
      </w:pPr>
    </w:p>
    <w:bookmarkStart w:id="64" w:name="page65"/>
    <w:bookmarkEnd w:id="64"/>
    <w:p>
      <w:pPr>
        <w:jc w:val="both"/>
        <w:spacing w:after="0" w:line="268" w:lineRule="auto"/>
        <w:rPr>
          <w:sz w:val="20"/>
          <w:szCs w:val="20"/>
          <w:color w:val="auto"/>
        </w:rPr>
      </w:pPr>
      <w:r>
        <w:rPr>
          <w:rFonts w:ascii="Times New Roman" w:cs="Times New Roman" w:eastAsia="Times New Roman" w:hAnsi="Times New Roman"/>
          <w:sz w:val="20"/>
          <w:szCs w:val="20"/>
          <w:color w:val="auto"/>
        </w:rPr>
        <w:t>Company shall not include any amounts payable by Executive under a Code Section 125 health care reimbursement plan, which amounts, if any, are the sole responsibility of Executive.</w:t>
      </w:r>
    </w:p>
    <w:p>
      <w:pPr>
        <w:spacing w:after="0" w:line="157"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0"/>
          <w:szCs w:val="20"/>
          <w:b w:val="1"/>
          <w:bCs w:val="1"/>
          <w:color w:val="auto"/>
        </w:rPr>
        <w:t>3.4 Stock Awards</w:t>
      </w:r>
      <w:r>
        <w:rPr>
          <w:rFonts w:ascii="Times New Roman" w:cs="Times New Roman" w:eastAsia="Times New Roman" w:hAnsi="Times New Roman"/>
          <w:sz w:val="20"/>
          <w:szCs w:val="20"/>
          <w:color w:val="auto"/>
        </w:rPr>
        <w:t>. Upon a Change in Control Termination, (a) the vesting and exercisability of all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to purchase the Company’s common stock (or stock appreciation rights or other rights with respect to the stock of the Company issued pursuant to any equity incentive plan of the Company) that are held by Executive on the Termination Date shall be accelerated in full,</w:t>
      </w:r>
    </w:p>
    <w:p>
      <w:pPr>
        <w:spacing w:after="0" w:line="1" w:lineRule="exact"/>
        <w:rPr>
          <w:sz w:val="20"/>
          <w:szCs w:val="20"/>
          <w:color w:val="auto"/>
        </w:rPr>
      </w:pPr>
    </w:p>
    <w:p>
      <w:pPr>
        <w:jc w:val="both"/>
        <w:ind w:firstLine="8"/>
        <w:spacing w:after="0"/>
        <w:tabs>
          <w:tab w:leader="none" w:pos="29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(c) 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262"/>
        </w:trPr>
        <w:tc>
          <w:tcPr>
            <w:tcW w:w="880" w:type="dxa"/>
            <w:vAlign w:val="bottom"/>
          </w:tcPr>
          <w:p>
            <w:pPr>
              <w:spacing w:after="0"/>
              <w:rPr>
                <w:sz w:val="22"/>
                <w:szCs w:val="22"/>
                <w:color w:val="auto"/>
              </w:rPr>
            </w:pPr>
          </w:p>
        </w:tc>
        <w:tc>
          <w:tcPr>
            <w:tcW w:w="9480" w:type="dxa"/>
            <w:vAlign w:val="bottom"/>
          </w:tcPr>
          <w:p>
            <w:pPr>
              <w:jc w:val="center"/>
              <w:ind w:right="1661"/>
              <w:spacing w:after="0"/>
              <w:rPr>
                <w:sz w:val="20"/>
                <w:szCs w:val="20"/>
                <w:color w:val="auto"/>
              </w:rPr>
            </w:pPr>
            <w:r>
              <w:rPr>
                <w:rFonts w:ascii="Times New Roman" w:cs="Times New Roman" w:eastAsia="Times New Roman" w:hAnsi="Times New Roman"/>
                <w:sz w:val="20"/>
                <w:szCs w:val="20"/>
                <w:b w:val="1"/>
                <w:bCs w:val="1"/>
                <w:color w:val="auto"/>
                <w:w w:val="97"/>
              </w:rPr>
              <w:t>ARTICLE 4</w:t>
            </w:r>
          </w:p>
        </w:tc>
      </w:tr>
      <w:tr>
        <w:trPr>
          <w:trHeight w:val="458"/>
        </w:trPr>
        <w:tc>
          <w:tcPr>
            <w:tcW w:w="880" w:type="dxa"/>
            <w:vAlign w:val="bottom"/>
          </w:tcPr>
          <w:p>
            <w:pPr>
              <w:spacing w:after="0"/>
              <w:rPr>
                <w:sz w:val="24"/>
                <w:szCs w:val="24"/>
                <w:color w:val="auto"/>
              </w:rPr>
            </w:pPr>
          </w:p>
        </w:tc>
        <w:tc>
          <w:tcPr>
            <w:tcW w:w="9480" w:type="dxa"/>
            <w:vAlign w:val="bottom"/>
          </w:tcPr>
          <w:p>
            <w:pPr>
              <w:jc w:val="center"/>
              <w:ind w:right="1641"/>
              <w:spacing w:after="0"/>
              <w:rPr>
                <w:sz w:val="20"/>
                <w:szCs w:val="20"/>
                <w:color w:val="auto"/>
              </w:rPr>
            </w:pPr>
            <w:r>
              <w:rPr>
                <w:rFonts w:ascii="Times New Roman" w:cs="Times New Roman" w:eastAsia="Times New Roman" w:hAnsi="Times New Roman"/>
                <w:sz w:val="20"/>
                <w:szCs w:val="20"/>
                <w:b w:val="1"/>
                <w:bCs w:val="1"/>
                <w:color w:val="auto"/>
                <w:w w:val="98"/>
              </w:rPr>
              <w:t>COVERED TERMINATION SEVERANCE BENEFITS</w:t>
            </w:r>
          </w:p>
        </w:tc>
      </w:tr>
      <w:tr>
        <w:trPr>
          <w:trHeight w:val="438"/>
        </w:trPr>
        <w:tc>
          <w:tcPr>
            <w:tcW w:w="88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w w:val="87"/>
              </w:rPr>
              <w:t>4.1</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  Upon a Covered Termination, and subject to the limitations and conditions set forth in</w:t>
            </w:r>
          </w:p>
        </w:tc>
      </w:tr>
    </w:tbl>
    <w:p>
      <w:pPr>
        <w:jc w:val="both"/>
        <w:spacing w:after="0"/>
        <w:rPr>
          <w:sz w:val="20"/>
          <w:szCs w:val="20"/>
          <w:color w:val="auto"/>
        </w:rPr>
      </w:pPr>
      <w:r>
        <w:rPr>
          <w:rFonts w:ascii="Times New Roman" w:cs="Times New Roman" w:eastAsia="Times New Roman" w:hAnsi="Times New Roman"/>
          <w:sz w:val="20"/>
          <w:szCs w:val="20"/>
          <w:color w:val="auto"/>
        </w:rPr>
        <w:t>this 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8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4.2 Salary Payment</w:t>
      </w:r>
      <w:r>
        <w:rPr>
          <w:rFonts w:ascii="Times New Roman" w:cs="Times New Roman" w:eastAsia="Times New Roman" w:hAnsi="Times New Roman"/>
          <w:sz w:val="20"/>
          <w:szCs w:val="20"/>
          <w:color w:val="auto"/>
        </w:rPr>
        <w:t>. In consideration of Executive’s timely execution and non-revocation of the Release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 Deadline Date, the Company shall pay Executive a severance payment equal to Executive’s Monthly Base Salary multiplied by the number of months in the Covered Termination Severance Period, less applicable withholdings. The severance payment shall be payable (except as set forth in Article 5) in a lump sum on the first regularly-scheduled payroll date occurring on or after the Release Deadline Date.</w:t>
      </w:r>
    </w:p>
    <w:p>
      <w:pPr>
        <w:spacing w:after="0" w:line="174" w:lineRule="exact"/>
        <w:rPr>
          <w:sz w:val="20"/>
          <w:szCs w:val="20"/>
          <w:color w:val="auto"/>
        </w:rPr>
      </w:pPr>
    </w:p>
    <w:p>
      <w:pPr>
        <w:ind w:left="880"/>
        <w:spacing w:after="0"/>
        <w:tabs>
          <w:tab w:leader="none" w:pos="240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Health Continuation Coverage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735"/>
        <w:spacing w:after="0" w:line="241" w:lineRule="auto"/>
        <w:tabs>
          <w:tab w:leader="none" w:pos="252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5" w:name="page66"/>
    <w:bookmarkEnd w:id="65"/>
    <w:p>
      <w:pPr>
        <w:jc w:val="both"/>
        <w:spacing w:after="0" w:line="245" w:lineRule="auto"/>
        <w:rPr>
          <w:sz w:val="20"/>
          <w:szCs w:val="20"/>
          <w:color w:val="auto"/>
        </w:rPr>
      </w:pPr>
      <w:r>
        <w:rPr>
          <w:rFonts w:ascii="Times New Roman" w:cs="Times New Roman" w:eastAsia="Times New Roman" w:hAnsi="Times New Roman"/>
          <w:sz w:val="20"/>
          <w:szCs w:val="20"/>
          <w:color w:val="auto"/>
        </w:rPr>
        <w:t>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83" w:lineRule="exact"/>
        <w:rPr>
          <w:sz w:val="20"/>
          <w:szCs w:val="20"/>
          <w:color w:val="auto"/>
        </w:rPr>
      </w:pPr>
    </w:p>
    <w:p>
      <w:pPr>
        <w:jc w:val="both"/>
        <w:ind w:firstLine="1728"/>
        <w:spacing w:after="0" w:line="250" w:lineRule="auto"/>
        <w:rPr>
          <w:sz w:val="20"/>
          <w:szCs w:val="20"/>
          <w:color w:val="auto"/>
        </w:rPr>
      </w:pPr>
      <w:r>
        <w:rPr>
          <w:rFonts w:ascii="Times New Roman" w:cs="Times New Roman" w:eastAsia="Times New Roman" w:hAnsi="Times New Roman"/>
          <w:sz w:val="20"/>
          <w:szCs w:val="20"/>
          <w:color w:val="auto"/>
        </w:rPr>
        <w:t>b) 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b w:val="1"/>
          <w:bCs w:val="1"/>
          <w:color w:val="auto"/>
        </w:rPr>
        <w:t>4.4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 Awards</w:t>
      </w:r>
      <w:r>
        <w:rPr>
          <w:rFonts w:ascii="Times New Roman" w:cs="Times New Roman" w:eastAsia="Times New Roman" w:hAnsi="Times New Roman"/>
          <w:sz w:val="19"/>
          <w:szCs w:val="19"/>
          <w:color w:val="auto"/>
        </w:rPr>
        <w:t>. Upon a Covered Termination:</w:t>
      </w:r>
    </w:p>
    <w:p>
      <w:pPr>
        <w:spacing w:after="0" w:line="200" w:lineRule="exact"/>
        <w:rPr>
          <w:sz w:val="20"/>
          <w:szCs w:val="20"/>
          <w:color w:val="auto"/>
        </w:rPr>
      </w:pPr>
    </w:p>
    <w:p>
      <w:pPr>
        <w:sectPr>
          <w:pgSz w:w="11900" w:h="16838" w:orient="portrait"/>
          <w:cols w:equalWidth="0" w:num="2">
            <w:col w:w="1700" w:space="720"/>
            <w:col w:w="8820"/>
          </w:cols>
          <w:pgMar w:left="320" w:top="279" w:right="339" w:bottom="1440" w:gutter="0" w:footer="0" w:header="0"/>
          <w:type w:val="continuous"/>
        </w:sectPr>
      </w:pPr>
    </w:p>
    <w:p>
      <w:pPr>
        <w:spacing w:after="0" w:line="31" w:lineRule="exact"/>
        <w:rPr>
          <w:sz w:val="20"/>
          <w:szCs w:val="20"/>
          <w:color w:val="auto"/>
        </w:rPr>
      </w:pPr>
    </w:p>
    <w:p>
      <w:pPr>
        <w:ind w:left="1740"/>
        <w:spacing w:after="0"/>
        <w:tabs>
          <w:tab w:leader="none" w:pos="382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9"/>
          <w:szCs w:val="19"/>
          <w:color w:val="auto"/>
        </w:rPr>
        <w:t>the vesting and exercisability of all outstanding options to purchase the Company’s common</w:t>
      </w:r>
    </w:p>
    <w:p>
      <w:pPr>
        <w:sectPr>
          <w:pgSz w:w="11900" w:h="16838" w:orient="portrait"/>
          <w:cols w:equalWidth="0" w:num="1">
            <w:col w:w="11240"/>
          </w:cols>
          <w:pgMar w:left="320" w:top="279" w:right="339" w:bottom="1440" w:gutter="0" w:footer="0" w:header="0"/>
          <w:type w:val="continuous"/>
        </w:sectPr>
      </w:pPr>
    </w:p>
    <w:p>
      <w:pPr>
        <w:spacing w:after="0" w:line="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Times New Roman" w:cs="Times New Roman" w:eastAsia="Times New Roman" w:hAnsi="Times New Roman"/>
          <w:sz w:val="20"/>
          <w:szCs w:val="20"/>
          <w:b w:val="1"/>
          <w:bCs w:val="1"/>
          <w:i w:val="1"/>
          <w:iCs w:val="1"/>
          <w:color w:val="auto"/>
        </w:rPr>
        <w:t>Option Shares</w:t>
      </w:r>
      <w:r>
        <w:rPr>
          <w:rFonts w:ascii="Times New Roman" w:cs="Times New Roman" w:eastAsia="Times New Roman" w:hAnsi="Times New Roman"/>
          <w:sz w:val="20"/>
          <w:szCs w:val="20"/>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88" w:lineRule="exact"/>
        <w:rPr>
          <w:sz w:val="20"/>
          <w:szCs w:val="20"/>
          <w:color w:val="auto"/>
        </w:rPr>
      </w:pPr>
    </w:p>
    <w:p>
      <w:pPr>
        <w:jc w:val="both"/>
        <w:ind w:firstLine="1728"/>
        <w:spacing w:after="0" w:line="243" w:lineRule="auto"/>
        <w:rPr>
          <w:sz w:val="20"/>
          <w:szCs w:val="20"/>
          <w:color w:val="auto"/>
        </w:rPr>
      </w:pPr>
      <w:r>
        <w:rPr>
          <w:rFonts w:ascii="Times New Roman" w:cs="Times New Roman" w:eastAsia="Times New Roman" w:hAnsi="Times New Roman"/>
          <w:sz w:val="20"/>
          <w:szCs w:val="20"/>
          <w:color w:val="auto"/>
        </w:rPr>
        <w:t>b) 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Times New Roman" w:cs="Times New Roman" w:eastAsia="Times New Roman" w:hAnsi="Times New Roman"/>
          <w:sz w:val="20"/>
          <w:szCs w:val="20"/>
          <w:b w:val="1"/>
          <w:bCs w:val="1"/>
          <w:i w:val="1"/>
          <w:i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held by the Executive as of the Termination Date shall lapse as to the number of Restricted Shares as equals the number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187" w:lineRule="exact"/>
        <w:rPr>
          <w:sz w:val="20"/>
          <w:szCs w:val="20"/>
          <w:color w:val="auto"/>
        </w:rPr>
      </w:pPr>
    </w:p>
    <w:p>
      <w:pPr>
        <w:jc w:val="both"/>
        <w:ind w:right="20" w:firstLine="1728"/>
        <w:spacing w:after="0" w:line="253" w:lineRule="auto"/>
        <w:rPr>
          <w:sz w:val="20"/>
          <w:szCs w:val="20"/>
          <w:color w:val="auto"/>
        </w:rPr>
      </w:pPr>
      <w:r>
        <w:rPr>
          <w:rFonts w:ascii="Times New Roman" w:cs="Times New Roman" w:eastAsia="Times New Roman" w:hAnsi="Times New Roman"/>
          <w:sz w:val="20"/>
          <w:szCs w:val="20"/>
          <w:color w:val="auto"/>
        </w:rPr>
        <w:t>c) 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262"/>
        </w:trPr>
        <w:tc>
          <w:tcPr>
            <w:tcW w:w="880" w:type="dxa"/>
            <w:vAlign w:val="bottom"/>
          </w:tcPr>
          <w:p>
            <w:pPr>
              <w:spacing w:after="0"/>
              <w:rPr>
                <w:sz w:val="22"/>
                <w:szCs w:val="22"/>
                <w:color w:val="auto"/>
              </w:rPr>
            </w:pPr>
          </w:p>
        </w:tc>
        <w:tc>
          <w:tcPr>
            <w:tcW w:w="9480" w:type="dxa"/>
            <w:vAlign w:val="bottom"/>
          </w:tcPr>
          <w:p>
            <w:pPr>
              <w:jc w:val="center"/>
              <w:ind w:right="1661"/>
              <w:spacing w:after="0"/>
              <w:rPr>
                <w:sz w:val="20"/>
                <w:szCs w:val="20"/>
                <w:color w:val="auto"/>
              </w:rPr>
            </w:pPr>
            <w:r>
              <w:rPr>
                <w:rFonts w:ascii="Times New Roman" w:cs="Times New Roman" w:eastAsia="Times New Roman" w:hAnsi="Times New Roman"/>
                <w:sz w:val="20"/>
                <w:szCs w:val="20"/>
                <w:b w:val="1"/>
                <w:bCs w:val="1"/>
                <w:color w:val="auto"/>
                <w:w w:val="97"/>
              </w:rPr>
              <w:t>ARTICLE 5</w:t>
            </w:r>
          </w:p>
        </w:tc>
      </w:tr>
      <w:tr>
        <w:trPr>
          <w:trHeight w:val="458"/>
        </w:trPr>
        <w:tc>
          <w:tcPr>
            <w:tcW w:w="880" w:type="dxa"/>
            <w:vAlign w:val="bottom"/>
          </w:tcPr>
          <w:p>
            <w:pPr>
              <w:spacing w:after="0"/>
              <w:rPr>
                <w:sz w:val="24"/>
                <w:szCs w:val="24"/>
                <w:color w:val="auto"/>
              </w:rPr>
            </w:pPr>
          </w:p>
        </w:tc>
        <w:tc>
          <w:tcPr>
            <w:tcW w:w="9480" w:type="dxa"/>
            <w:vAlign w:val="bottom"/>
          </w:tcPr>
          <w:p>
            <w:pPr>
              <w:jc w:val="center"/>
              <w:ind w:right="1641"/>
              <w:spacing w:after="0"/>
              <w:rPr>
                <w:sz w:val="20"/>
                <w:szCs w:val="20"/>
                <w:color w:val="auto"/>
              </w:rPr>
            </w:pPr>
            <w:r>
              <w:rPr>
                <w:rFonts w:ascii="Times New Roman" w:cs="Times New Roman" w:eastAsia="Times New Roman" w:hAnsi="Times New Roman"/>
                <w:sz w:val="20"/>
                <w:szCs w:val="20"/>
                <w:b w:val="1"/>
                <w:bCs w:val="1"/>
                <w:color w:val="auto"/>
                <w:w w:val="98"/>
              </w:rPr>
              <w:t>LIMITATIONS AND CONDITIONS ON BENEFITS</w:t>
            </w:r>
          </w:p>
        </w:tc>
      </w:tr>
      <w:tr>
        <w:trPr>
          <w:trHeight w:val="438"/>
        </w:trPr>
        <w:tc>
          <w:tcPr>
            <w:tcW w:w="88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w w:val="87"/>
              </w:rPr>
              <w:t>5.1</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Rights Conditioned on Compliance</w:t>
            </w:r>
            <w:r>
              <w:rPr>
                <w:rFonts w:ascii="Times New Roman" w:cs="Times New Roman" w:eastAsia="Times New Roman" w:hAnsi="Times New Roman"/>
                <w:sz w:val="20"/>
                <w:szCs w:val="20"/>
                <w:color w:val="auto"/>
              </w:rPr>
              <w:t>. Executive’s rights to receive all severance benefits described in Article</w:t>
            </w:r>
          </w:p>
        </w:tc>
      </w:tr>
    </w:tbl>
    <w:p>
      <w:pPr>
        <w:jc w:val="both"/>
        <w:spacing w:after="0" w:line="245" w:lineRule="auto"/>
        <w:rPr>
          <w:sz w:val="20"/>
          <w:szCs w:val="20"/>
          <w:color w:val="auto"/>
        </w:rPr>
      </w:pPr>
      <w:r>
        <w:rPr>
          <w:rFonts w:ascii="Times New Roman" w:cs="Times New Roman" w:eastAsia="Times New Roman" w:hAnsi="Times New Roman"/>
          <w:sz w:val="20"/>
          <w:szCs w:val="20"/>
          <w:color w:val="auto"/>
        </w:rPr>
        <w:t>3 and Article 4 shall be conditioned upon and subject to Executive’s compliance with the limitations and conditions on benefits as described in this Article 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3"/>
        </w:trPr>
        <w:tc>
          <w:tcPr>
            <w:tcW w:w="17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5.2</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Continuation of Service Until Date of Termination</w:t>
            </w:r>
            <w:r>
              <w:rPr>
                <w:rFonts w:ascii="Times New Roman" w:cs="Times New Roman" w:eastAsia="Times New Roman" w:hAnsi="Times New Roman"/>
                <w:sz w:val="20"/>
                <w:szCs w:val="20"/>
                <w:color w:val="auto"/>
              </w:rPr>
              <w:t>.  Executive shall continue to provide service to the</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 good faith until the Termination Date, unless such performance is otherwise excused in writing by the Company.</w:t>
            </w:r>
          </w:p>
        </w:tc>
      </w:tr>
      <w:tr>
        <w:trPr>
          <w:trHeight w:val="438"/>
        </w:trPr>
        <w:tc>
          <w:tcPr>
            <w:tcW w:w="17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5.3</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w w:val="98"/>
              </w:rPr>
              <w:t>Release Prior to Payment of Benefits</w:t>
            </w:r>
            <w:r>
              <w:rPr>
                <w:rFonts w:ascii="Times New Roman" w:cs="Times New Roman" w:eastAsia="Times New Roman" w:hAnsi="Times New Roman"/>
                <w:sz w:val="20"/>
                <w:szCs w:val="20"/>
                <w:color w:val="auto"/>
                <w:w w:val="98"/>
              </w:rPr>
              <w:t>. Upon the occurrence of a Change in Control Termination or a Covered</w:t>
            </w:r>
          </w:p>
        </w:tc>
      </w:tr>
    </w:tbl>
    <w:p>
      <w:pPr>
        <w:jc w:val="both"/>
        <w:spacing w:after="0" w:line="239" w:lineRule="auto"/>
        <w:rPr>
          <w:sz w:val="20"/>
          <w:szCs w:val="20"/>
          <w:color w:val="auto"/>
        </w:rPr>
      </w:pPr>
      <w:r>
        <w:rPr>
          <w:rFonts w:ascii="Times New Roman" w:cs="Times New Roman" w:eastAsia="Times New Roman" w:hAnsi="Times New Roman"/>
          <w:sz w:val="20"/>
          <w:szCs w:val="20"/>
          <w:color w:val="auto"/>
        </w:rPr>
        <w:t>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193"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b w:val="1"/>
          <w:bCs w:val="1"/>
          <w:color w:val="auto"/>
        </w:rPr>
        <w:t>5.4 Return of Company Property</w:t>
      </w:r>
      <w:r>
        <w:rPr>
          <w:rFonts w:ascii="Times New Roman" w:cs="Times New Roman" w:eastAsia="Times New Roman" w:hAnsi="Times New Roman"/>
          <w:sz w:val="20"/>
          <w:szCs w:val="20"/>
          <w:color w:val="auto"/>
        </w:rPr>
        <w:t>. Not later than the Termination Date, Executive shall return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ectPr>
          <w:pgSz w:w="11900" w:h="16838" w:orient="portrait"/>
          <w:cols w:equalWidth="0" w:num="1">
            <w:col w:w="11240"/>
          </w:cols>
          <w:pgMar w:left="320" w:top="275" w:right="339" w:bottom="1440" w:gutter="0" w:footer="0" w:header="0"/>
        </w:sectPr>
      </w:pP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b w:val="1"/>
          <w:bCs w:val="1"/>
          <w:color w:val="auto"/>
        </w:rPr>
        <w:t>5.5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Cooperation and Continued Compliance with Restrictive Covenants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1700" w:space="720"/>
            <w:col w:w="8820"/>
          </w:cols>
          <w:pgMar w:left="320" w:top="275" w:right="339" w:bottom="1440" w:gutter="0" w:footer="0" w:header="0"/>
          <w:type w:val="continuous"/>
        </w:sectPr>
      </w:pPr>
    </w:p>
    <w:p>
      <w:pPr>
        <w:spacing w:after="0" w:line="30" w:lineRule="exact"/>
        <w:rPr>
          <w:sz w:val="20"/>
          <w:szCs w:val="20"/>
          <w:color w:val="auto"/>
        </w:rPr>
      </w:pPr>
    </w:p>
    <w:p>
      <w:pPr>
        <w:ind w:left="1740"/>
        <w:spacing w:after="0"/>
        <w:tabs>
          <w:tab w:leader="none" w:pos="34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From and after the Termination Date, Executive shall cooperate fully with the Company in</w:t>
      </w:r>
    </w:p>
    <w:p>
      <w:pPr>
        <w:sectPr>
          <w:pgSz w:w="11900" w:h="16838" w:orient="portrait"/>
          <w:cols w:equalWidth="0" w:num="1">
            <w:col w:w="11240"/>
          </w:cols>
          <w:pgMar w:left="320" w:top="275" w:right="339" w:bottom="1440" w:gutter="0" w:footer="0" w:header="0"/>
          <w:type w:val="continuous"/>
        </w:sectPr>
      </w:pPr>
    </w:p>
    <w:p>
      <w:pPr>
        <w:spacing w:after="0" w:line="2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type w:val="continuous"/>
        </w:sectPr>
      </w:pPr>
    </w:p>
    <w:bookmarkStart w:id="67" w:name="page68"/>
    <w:bookmarkEnd w:id="67"/>
    <w:p>
      <w:pPr>
        <w:jc w:val="both"/>
        <w:spacing w:after="0" w:line="242" w:lineRule="auto"/>
        <w:rPr>
          <w:sz w:val="20"/>
          <w:szCs w:val="20"/>
          <w:color w:val="auto"/>
        </w:rPr>
      </w:pPr>
      <w:r>
        <w:rPr>
          <w:rFonts w:ascii="Times New Roman" w:cs="Times New Roman" w:eastAsia="Times New Roman" w:hAnsi="Times New Roman"/>
          <w:sz w:val="20"/>
          <w:szCs w:val="20"/>
          <w:color w:val="auto"/>
        </w:rPr>
        <w:t>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92" w:lineRule="exact"/>
        <w:rPr>
          <w:sz w:val="20"/>
          <w:szCs w:val="20"/>
          <w:color w:val="auto"/>
        </w:rPr>
      </w:pPr>
    </w:p>
    <w:p>
      <w:pPr>
        <w:jc w:val="both"/>
        <w:ind w:firstLine="1728"/>
        <w:spacing w:after="0" w:line="268" w:lineRule="auto"/>
        <w:rPr>
          <w:sz w:val="20"/>
          <w:szCs w:val="20"/>
          <w:color w:val="auto"/>
        </w:rPr>
      </w:pPr>
      <w:r>
        <w:rPr>
          <w:rFonts w:ascii="Times New Roman" w:cs="Times New Roman" w:eastAsia="Times New Roman" w:hAnsi="Times New Roman"/>
          <w:sz w:val="20"/>
          <w:szCs w:val="20"/>
          <w:color w:val="auto"/>
        </w:rPr>
        <w:t>b) From and after the Termination Date, Executive shall continue to abide by all of the terms and provisions of the Confidentiality Agreement (and any other comparable agreement signed by Executive), in accordance with its terms.</w:t>
      </w:r>
    </w:p>
    <w:p>
      <w:pPr>
        <w:spacing w:after="0" w:line="161" w:lineRule="exact"/>
        <w:rPr>
          <w:sz w:val="20"/>
          <w:szCs w:val="20"/>
          <w:color w:val="auto"/>
        </w:rPr>
      </w:pPr>
    </w:p>
    <w:p>
      <w:pPr>
        <w:ind w:left="1740"/>
        <w:spacing w:after="0"/>
        <w:tabs>
          <w:tab w:leader="none" w:pos="348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Executive acknowledges and agrees that Executive’s obligations under this Section 5.5 are an</w:t>
      </w:r>
    </w:p>
    <w:p>
      <w:pPr>
        <w:spacing w:after="0" w:line="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4" w:lineRule="exact"/>
        <w:rPr>
          <w:sz w:val="20"/>
          <w:szCs w:val="20"/>
          <w:color w:val="auto"/>
        </w:rPr>
      </w:pPr>
    </w:p>
    <w:p>
      <w:pPr>
        <w:ind w:left="880"/>
        <w:spacing w:after="0"/>
        <w:tabs>
          <w:tab w:leader="none" w:pos="2400" w:val="left"/>
        </w:tabs>
        <w:rPr>
          <w:sz w:val="20"/>
          <w:szCs w:val="20"/>
          <w:color w:val="auto"/>
        </w:rPr>
      </w:pPr>
      <w:r>
        <w:rPr>
          <w:rFonts w:ascii="Times New Roman" w:cs="Times New Roman" w:eastAsia="Times New Roman" w:hAnsi="Times New Roman"/>
          <w:sz w:val="20"/>
          <w:szCs w:val="20"/>
          <w:b w:val="1"/>
          <w:bCs w:val="1"/>
          <w:color w:val="auto"/>
        </w:rPr>
        <w:t>5.6</w:t>
      </w:r>
      <w:r>
        <w:rPr>
          <w:sz w:val="20"/>
          <w:szCs w:val="20"/>
          <w:color w:val="auto"/>
        </w:rPr>
        <w:tab/>
      </w:r>
      <w:r>
        <w:rPr>
          <w:rFonts w:ascii="Times New Roman" w:cs="Times New Roman" w:eastAsia="Times New Roman" w:hAnsi="Times New Roman"/>
          <w:sz w:val="19"/>
          <w:szCs w:val="19"/>
          <w:b w:val="1"/>
          <w:bCs w:val="1"/>
          <w:color w:val="auto"/>
        </w:rPr>
        <w:t>Parachute Payments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735"/>
        <w:spacing w:after="0" w:line="252" w:lineRule="auto"/>
        <w:tabs>
          <w:tab w:leader="none" w:pos="252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Parachute Payment Limitation</w:t>
      </w:r>
      <w:r>
        <w:rPr>
          <w:rFonts w:ascii="Times New Roman" w:cs="Times New Roman" w:eastAsia="Times New Roman" w:hAnsi="Times New Roman"/>
          <w:sz w:val="20"/>
          <w:szCs w:val="20"/>
          <w:color w:val="auto"/>
        </w:rPr>
        <w:t>. If any payment or benefit (including payments and benefits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Executive would receive in connection with a Change in Control from the Company or otherwise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would</w:t>
      </w:r>
    </w:p>
    <w:p>
      <w:pPr>
        <w:spacing w:after="0" w:line="1" w:lineRule="exact"/>
        <w:rPr>
          <w:rFonts w:ascii="Times New Roman" w:cs="Times New Roman" w:eastAsia="Times New Roman" w:hAnsi="Times New Roman"/>
          <w:sz w:val="20"/>
          <w:szCs w:val="20"/>
          <w:color w:val="auto"/>
        </w:rPr>
      </w:pPr>
    </w:p>
    <w:p>
      <w:pPr>
        <w:jc w:val="both"/>
        <w:ind w:firstLine="8"/>
        <w:spacing w:after="0" w:line="239" w:lineRule="auto"/>
        <w:tabs>
          <w:tab w:leader="none" w:pos="24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 a “parachute payment” within the meaning of Section 280G of the Code, and (ii) but for this paragraph,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Times New Roman" w:cs="Times New Roman" w:eastAsia="Times New Roman" w:hAnsi="Times New Roman"/>
          <w:sz w:val="20"/>
          <w:szCs w:val="20"/>
          <w:b w:val="1"/>
          <w:bCs w:val="1"/>
          <w:i w:val="1"/>
          <w:iCs w:val="1"/>
          <w:color w:val="auto"/>
        </w:rPr>
        <w:t>Full Payment</w:t>
      </w:r>
      <w:r>
        <w:rPr>
          <w:rFonts w:ascii="Times New Roman" w:cs="Times New Roman" w:eastAsia="Times New Roman" w:hAnsi="Times New Roman"/>
          <w:sz w:val="20"/>
          <w:szCs w:val="20"/>
          <w:color w:val="auto"/>
        </w:rPr>
        <w:t>”), or (B) payment of only a part of the Payment so that Executive receives the largest payment possible without the imposition of the Excise Tax (a “</w:t>
      </w:r>
      <w:r>
        <w:rPr>
          <w:rFonts w:ascii="Times New Roman" w:cs="Times New Roman" w:eastAsia="Times New Roman" w:hAnsi="Times New Roman"/>
          <w:sz w:val="20"/>
          <w:szCs w:val="20"/>
          <w:b w:val="1"/>
          <w:bCs w:val="1"/>
          <w:i w:val="1"/>
          <w:iCs w:val="1"/>
          <w:color w:val="auto"/>
        </w:rPr>
        <w:t>Reduced Payment</w:t>
      </w:r>
      <w:r>
        <w:rPr>
          <w:rFonts w:ascii="Times New Roman" w:cs="Times New Roman" w:eastAsia="Times New Roman" w:hAnsi="Times New Roman"/>
          <w:sz w:val="20"/>
          <w:szCs w:val="20"/>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jc w:val="both"/>
        <w:ind w:firstLine="1728"/>
        <w:spacing w:after="0" w:line="245" w:lineRule="auto"/>
        <w:rPr>
          <w:sz w:val="20"/>
          <w:szCs w:val="20"/>
          <w:color w:val="auto"/>
        </w:rPr>
      </w:pPr>
      <w:r>
        <w:rPr>
          <w:rFonts w:ascii="Times New Roman" w:cs="Times New Roman" w:eastAsia="Times New Roman" w:hAnsi="Times New Roman"/>
          <w:sz w:val="20"/>
          <w:szCs w:val="20"/>
          <w:color w:val="auto"/>
        </w:rPr>
        <w:t>b) 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83" w:lineRule="exact"/>
        <w:rPr>
          <w:sz w:val="20"/>
          <w:szCs w:val="20"/>
          <w:color w:val="auto"/>
        </w:rPr>
      </w:pPr>
    </w:p>
    <w:p>
      <w:pPr>
        <w:jc w:val="both"/>
        <w:ind w:firstLine="1728"/>
        <w:spacing w:after="0" w:line="250" w:lineRule="auto"/>
        <w:rPr>
          <w:sz w:val="20"/>
          <w:szCs w:val="20"/>
          <w:color w:val="auto"/>
        </w:rPr>
      </w:pPr>
      <w:r>
        <w:rPr>
          <w:rFonts w:ascii="Times New Roman" w:cs="Times New Roman" w:eastAsia="Times New Roman" w:hAnsi="Times New Roman"/>
          <w:sz w:val="20"/>
          <w:szCs w:val="20"/>
          <w:color w:val="auto"/>
        </w:rPr>
        <w:t>c) The independent registered public accounting firm engaged to make the determinations hereunder shall provide its calculations, together with detailed supporting documentation, to the Company and Executive within fifteen</w:t>
      </w:r>
    </w:p>
    <w:p>
      <w:pPr>
        <w:spacing w:after="0" w:line="1" w:lineRule="exact"/>
        <w:rPr>
          <w:sz w:val="20"/>
          <w:szCs w:val="20"/>
          <w:color w:val="auto"/>
        </w:rPr>
      </w:pPr>
    </w:p>
    <w:p>
      <w:pPr>
        <w:jc w:val="both"/>
        <w:ind w:firstLine="8"/>
        <w:spacing w:after="0" w:line="256" w:lineRule="auto"/>
        <w:tabs>
          <w:tab w:leader="none" w:pos="38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7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b w:val="1"/>
          <w:bCs w:val="1"/>
          <w:color w:val="auto"/>
        </w:rPr>
        <w:t>5.7 Certain Reductions and Offsets</w:t>
      </w:r>
      <w:r>
        <w:rPr>
          <w:rFonts w:ascii="Times New Roman" w:cs="Times New Roman" w:eastAsia="Times New Roman" w:hAnsi="Times New Roman"/>
          <w:sz w:val="20"/>
          <w:szCs w:val="20"/>
          <w:color w:val="auto"/>
        </w:rPr>
        <w:t>. To the extent that any federal, state or local laws,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the Worker Adjustment and Retraining Notification Act or any other so-called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84"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5.8 Mitigation</w:t>
      </w:r>
      <w:r>
        <w:rPr>
          <w:rFonts w:ascii="Times New Roman" w:cs="Times New Roman" w:eastAsia="Times New Roman" w:hAnsi="Times New Roman"/>
          <w:sz w:val="20"/>
          <w:szCs w:val="20"/>
          <w:color w:val="auto"/>
        </w:rPr>
        <w:t>. Except as otherwise specifically provided herein, Executive shall not be required to mitigate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178"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b w:val="1"/>
          <w:bCs w:val="1"/>
          <w:color w:val="auto"/>
        </w:rPr>
        <w:t>5.9 Indebtedness of Executive</w:t>
      </w:r>
      <w:r>
        <w:rPr>
          <w:rFonts w:ascii="Times New Roman" w:cs="Times New Roman" w:eastAsia="Times New Roman" w:hAnsi="Times New Roman"/>
          <w:sz w:val="20"/>
          <w:szCs w:val="20"/>
          <w:color w:val="auto"/>
        </w:rPr>
        <w:t>. If Executive is indebted to the Company on the effective date of a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Termination or Covered Termination, the Company reserves the right to offset any severance payments and benefits under this Agreement by the amount of such indebtedness.</w:t>
      </w:r>
    </w:p>
    <w:p>
      <w:pPr>
        <w:spacing w:after="0" w:line="170" w:lineRule="exact"/>
        <w:rPr>
          <w:sz w:val="20"/>
          <w:szCs w:val="20"/>
          <w:color w:val="auto"/>
        </w:rPr>
      </w:pPr>
    </w:p>
    <w:p>
      <w:pPr>
        <w:ind w:left="880"/>
        <w:spacing w:after="0"/>
        <w:tabs>
          <w:tab w:leader="none" w:pos="2500" w:val="left"/>
        </w:tabs>
        <w:rPr>
          <w:sz w:val="20"/>
          <w:szCs w:val="20"/>
          <w:color w:val="auto"/>
        </w:rPr>
      </w:pPr>
      <w:r>
        <w:rPr>
          <w:rFonts w:ascii="Times New Roman" w:cs="Times New Roman" w:eastAsia="Times New Roman" w:hAnsi="Times New Roman"/>
          <w:sz w:val="20"/>
          <w:szCs w:val="20"/>
          <w:b w:val="1"/>
          <w:bCs w:val="1"/>
          <w:color w:val="auto"/>
        </w:rPr>
        <w:t>5.10</w:t>
      </w:r>
      <w:r>
        <w:rPr>
          <w:sz w:val="20"/>
          <w:szCs w:val="20"/>
          <w:color w:val="auto"/>
        </w:rPr>
        <w:tab/>
      </w:r>
      <w:r>
        <w:rPr>
          <w:rFonts w:ascii="Times New Roman" w:cs="Times New Roman" w:eastAsia="Times New Roman" w:hAnsi="Times New Roman"/>
          <w:sz w:val="19"/>
          <w:szCs w:val="19"/>
          <w:b w:val="1"/>
          <w:bCs w:val="1"/>
          <w:color w:val="auto"/>
        </w:rPr>
        <w:t>Application of Section 409A</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735"/>
        <w:spacing w:after="0" w:line="244" w:lineRule="auto"/>
        <w:tabs>
          <w:tab w:leader="none" w:pos="227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Separation from Service</w:t>
      </w:r>
      <w:r>
        <w:rPr>
          <w:rFonts w:ascii="Times New Roman" w:cs="Times New Roman" w:eastAsia="Times New Roman" w:hAnsi="Times New Roman"/>
          <w:sz w:val="20"/>
          <w:szCs w:val="20"/>
          <w:color w:val="auto"/>
        </w:rPr>
        <w:t>. Notwithstanding any provision to the contrary in this Agreement, no amount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day following Executive’s separation from service. Any installment payments that would have been made to Executive during the sixty (60) day period immediately following Executive’s separation from service but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9" w:name="page70"/>
    <w:bookmarkEnd w:id="69"/>
    <w:p>
      <w:pPr>
        <w:ind w:right="20"/>
        <w:spacing w:after="0" w:line="268" w:lineRule="auto"/>
        <w:rPr>
          <w:sz w:val="20"/>
          <w:szCs w:val="20"/>
          <w:color w:val="auto"/>
        </w:rPr>
      </w:pPr>
      <w:r>
        <w:rPr>
          <w:rFonts w:ascii="Times New Roman" w:cs="Times New Roman" w:eastAsia="Times New Roman" w:hAnsi="Times New Roman"/>
          <w:sz w:val="20"/>
          <w:szCs w:val="20"/>
          <w:color w:val="auto"/>
        </w:rPr>
        <w:t>for the preceding sentence shall be paid to Executive on the first regularly-scheduled payroll date occurring on or after the sixtieth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day after Executive’s separation from service and the remaining payments shall be made as provided in this Agreement.</w:t>
      </w:r>
    </w:p>
    <w:p>
      <w:pPr>
        <w:spacing w:after="0" w:line="157" w:lineRule="exact"/>
        <w:rPr>
          <w:sz w:val="20"/>
          <w:szCs w:val="20"/>
          <w:color w:val="auto"/>
        </w:rPr>
      </w:pPr>
    </w:p>
    <w:p>
      <w:pPr>
        <w:jc w:val="both"/>
        <w:ind w:firstLine="1735"/>
        <w:spacing w:after="0" w:line="243" w:lineRule="auto"/>
        <w:tabs>
          <w:tab w:leader="none" w:pos="228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Specified Executive</w:t>
      </w:r>
      <w:r>
        <w:rPr>
          <w:rFonts w:ascii="Times New Roman" w:cs="Times New Roman" w:eastAsia="Times New Roman" w:hAnsi="Times New Roman"/>
          <w:sz w:val="20"/>
          <w:szCs w:val="20"/>
          <w:color w:val="auto"/>
        </w:rPr>
        <w:t>. Notwithstanding any provision to the contrary in this Agreement, if Executive is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 5.10(b) shall be paid in a lump sum to Executive, and any remaining payments due under this Agreement shall be paid as otherwise provided herein.</w:t>
      </w:r>
    </w:p>
    <w:p>
      <w:pPr>
        <w:spacing w:after="0" w:line="183" w:lineRule="exact"/>
        <w:rPr>
          <w:rFonts w:ascii="Times New Roman" w:cs="Times New Roman" w:eastAsia="Times New Roman" w:hAnsi="Times New Roman"/>
          <w:sz w:val="20"/>
          <w:szCs w:val="20"/>
          <w:color w:val="auto"/>
        </w:rPr>
      </w:pPr>
    </w:p>
    <w:p>
      <w:pPr>
        <w:jc w:val="both"/>
        <w:ind w:firstLine="1735"/>
        <w:spacing w:after="0" w:line="247" w:lineRule="auto"/>
        <w:tabs>
          <w:tab w:leader="none" w:pos="227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Expense Reimbursements</w:t>
      </w:r>
      <w:r>
        <w:rPr>
          <w:rFonts w:ascii="Times New Roman" w:cs="Times New Roman" w:eastAsia="Times New Roman" w:hAnsi="Times New Roman"/>
          <w:sz w:val="20"/>
          <w:szCs w:val="20"/>
          <w:color w:val="auto"/>
        </w:rPr>
        <w:t>. To the extent that any reimbursement payable pursuant to this Agreement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7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28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Installments</w:t>
      </w:r>
      <w:r>
        <w:rPr>
          <w:rFonts w:ascii="Times New Roman" w:cs="Times New Roman" w:eastAsia="Times New Roman" w:hAnsi="Times New Roman"/>
          <w:sz w:val="20"/>
          <w:szCs w:val="20"/>
          <w:color w:val="auto"/>
        </w:rPr>
        <w:t>. For purposes of Section 409A of the Code (including, without limitation, for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6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5.11</w:t>
            </w:r>
          </w:p>
        </w:tc>
        <w:tc>
          <w:tcPr>
            <w:tcW w:w="9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All payments under this Agreement shall be subject to applicable withholding for federal,</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income and employment taxes.</w:t>
            </w:r>
          </w:p>
        </w:tc>
      </w:tr>
      <w:tr>
        <w:trPr>
          <w:trHeight w:val="438"/>
        </w:trPr>
        <w:tc>
          <w:tcPr>
            <w:tcW w:w="186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5.12</w:t>
            </w:r>
          </w:p>
        </w:tc>
        <w:tc>
          <w:tcPr>
            <w:tcW w:w="9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No Duplication of Severance Benefits. </w:t>
            </w:r>
            <w:r>
              <w:rPr>
                <w:rFonts w:ascii="Times New Roman" w:cs="Times New Roman" w:eastAsia="Times New Roman" w:hAnsi="Times New Roman"/>
                <w:sz w:val="20"/>
                <w:szCs w:val="20"/>
                <w:color w:val="auto"/>
              </w:rPr>
              <w:t>The severance and other benefits provided in Article 3 and Article 4</w:t>
            </w:r>
          </w:p>
        </w:tc>
      </w:tr>
    </w:tbl>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are mutually exclusive of each other, and in no event shall Executive receive any severance or other benefits pursuant to both Article 3 and Article 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 WITH CAUSE OR BY VOLUNTARY RESIGNATION;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RIGHTS AND BENEFITS</w:t>
      </w:r>
    </w:p>
    <w:p>
      <w:pPr>
        <w:spacing w:after="0" w:line="18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b w:val="1"/>
          <w:bCs w:val="1"/>
          <w:color w:val="auto"/>
        </w:rPr>
        <w:t>6.1 Termination for Cause by the Company</w:t>
      </w:r>
      <w:r>
        <w:rPr>
          <w:rFonts w:ascii="Times New Roman" w:cs="Times New Roman" w:eastAsia="Times New Roman" w:hAnsi="Times New Roman"/>
          <w:sz w:val="20"/>
          <w:szCs w:val="20"/>
          <w:color w:val="auto"/>
        </w:rPr>
        <w:t>. If the Company shall terminate the Executive’s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for Cause, then upon such termination, the Company shall have no further obligation to Executive hereunder except for the payment or provision, as applicable, of (a) the portion of the Annual Base Salary for the period prior to the effective date of termination earned but unpaid (if any), (b) all unreimbursed expenses (if any), subject to Sections 2.4 and 5.10(c), and (c)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Times New Roman" w:cs="Times New Roman" w:eastAsia="Times New Roman" w:hAnsi="Times New Roman"/>
          <w:sz w:val="20"/>
          <w:szCs w:val="20"/>
          <w:b w:val="1"/>
          <w:bCs w:val="1"/>
          <w:i w:val="1"/>
          <w:iCs w:val="1"/>
          <w:color w:val="auto"/>
        </w:rPr>
        <w:t>Other Benefits</w:t>
      </w:r>
      <w:r>
        <w:rPr>
          <w:rFonts w:ascii="Times New Roman" w:cs="Times New Roman" w:eastAsia="Times New Roman" w:hAnsi="Times New Roman"/>
          <w:sz w:val="20"/>
          <w:szCs w:val="20"/>
          <w:color w:val="auto"/>
        </w:rPr>
        <w:t>”). For the avoidance of doubt, Executive shall have no right 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20"/>
          <w:szCs w:val="20"/>
          <w:color w:val="auto"/>
        </w:rPr>
        <w:t>receive (and Other Benefits shall not include) any amounts under any Company severance plan or policy or pursuant to Article 3 or Article 4 upon Executive’s termination for Cause.</w:t>
      </w:r>
    </w:p>
    <w:p>
      <w:pPr>
        <w:spacing w:after="0" w:line="157" w:lineRule="exact"/>
        <w:rPr>
          <w:sz w:val="20"/>
          <w:szCs w:val="20"/>
          <w:color w:val="auto"/>
        </w:rPr>
      </w:pPr>
    </w:p>
    <w:p>
      <w:pPr>
        <w:ind w:left="880"/>
        <w:spacing w:after="0"/>
        <w:tabs>
          <w:tab w:leader="none" w:pos="240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b w:val="1"/>
          <w:bCs w:val="1"/>
          <w:color w:val="auto"/>
        </w:rPr>
        <w:t>Termination  by  Voluntary  Resignation  by  the  Executive  (other  than  Resignation  for  Good</w:t>
      </w:r>
    </w:p>
    <w:p>
      <w:pPr>
        <w:spacing w:after="0" w:line="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color w:val="auto"/>
        </w:rPr>
        <w:t>Reason)</w:t>
      </w:r>
      <w:r>
        <w:rPr>
          <w:rFonts w:ascii="Times New Roman" w:cs="Times New Roman" w:eastAsia="Times New Roman" w:hAnsi="Times New Roman"/>
          <w:sz w:val="20"/>
          <w:szCs w:val="20"/>
          <w:color w:val="auto"/>
        </w:rPr>
        <w:t>. Upon any voluntary resignation by Executive that is not a Resignation for Good Reason, the Company shall have no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to the Executive hereunder except for the payment of (a) the portion of the Annual Base Salary for the period prior to the effective date of termination earned but unpaid (if any), (b) all unreimbursed expenses (if any), subject to Sections 2.4 and 5.10(c), and (c) 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185"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6.3 Other Rights and Benefits. </w:t>
      </w:r>
      <w:r>
        <w:rPr>
          <w:rFonts w:ascii="Times New Roman" w:cs="Times New Roman" w:eastAsia="Times New Roman" w:hAnsi="Times New Roman"/>
          <w:sz w:val="20"/>
          <w:szCs w:val="20"/>
          <w:color w:val="auto"/>
        </w:rPr>
        <w:t>Nothing in this Agreement shall prevent or limit Executive’s continuing or future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2,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Unless otherwise provided, for purposes of this Agreement, the following definitions shall apply:</w:t>
      </w: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262"/>
        </w:trPr>
        <w:tc>
          <w:tcPr>
            <w:tcW w:w="88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w w:val="87"/>
              </w:rPr>
              <w:t>7.1</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tc>
      </w:tr>
      <w:tr>
        <w:trPr>
          <w:trHeight w:val="438"/>
        </w:trPr>
        <w:tc>
          <w:tcPr>
            <w:tcW w:w="88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w w:val="87"/>
              </w:rPr>
              <w:t>7.2</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upon a reasonable determination by the Company, Executive’s: (a) dishonest statements or</w:t>
            </w:r>
          </w:p>
        </w:tc>
      </w:tr>
    </w:tbl>
    <w:p>
      <w:pPr>
        <w:jc w:val="both"/>
        <w:spacing w:after="0"/>
        <w:rPr>
          <w:sz w:val="20"/>
          <w:szCs w:val="20"/>
          <w:color w:val="auto"/>
        </w:rPr>
      </w:pPr>
      <w:r>
        <w:rPr>
          <w:rFonts w:ascii="Times New Roman" w:cs="Times New Roman" w:eastAsia="Times New Roman" w:hAnsi="Times New Roman"/>
          <w:sz w:val="20"/>
          <w:szCs w:val="20"/>
          <w:color w:val="auto"/>
        </w:rPr>
        <w:t>acts with respect to the Company, any subsidiary or any affiliate of the Company or any subsidiary; (b) commission by or indictment for (i) a felony or (ii) 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 (c) gross negligence, willful misconduct or insubordination with respect to the Company, any subsidiary or any affiliate of the Company or any subsidiary; (d) material breach of any of Executive’s obligations under any agreement to which Executive and the Company or any subsidiary are a party; or (e) death or disability. With respect to clause (d),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spacing w:after="0" w:line="183"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the occurrence, in a single transaction or in a series of related transactions,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or more of the following events:</w:t>
      </w:r>
    </w:p>
    <w:p>
      <w:pPr>
        <w:spacing w:after="0" w:line="157" w:lineRule="exact"/>
        <w:rPr>
          <w:sz w:val="20"/>
          <w:szCs w:val="20"/>
          <w:color w:val="auto"/>
        </w:rPr>
      </w:pPr>
    </w:p>
    <w:p>
      <w:pPr>
        <w:jc w:val="both"/>
        <w:ind w:firstLine="1735"/>
        <w:spacing w:after="0" w:line="249" w:lineRule="auto"/>
        <w:tabs>
          <w:tab w:leader="none" w:pos="227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natural person, entity or group within the meaning of Section 13(d) or 14(d) of the Securities Exchange Act of 1934, as amended (“</w:t>
      </w:r>
      <w:r>
        <w:rPr>
          <w:rFonts w:ascii="Times New Roman" w:cs="Times New Roman" w:eastAsia="Times New Roman" w:hAnsi="Times New Roman"/>
          <w:sz w:val="20"/>
          <w:szCs w:val="20"/>
          <w:b w:val="1"/>
          <w:bCs w:val="1"/>
          <w:i w:val="1"/>
          <w:iCs w:val="1"/>
          <w:color w:val="auto"/>
        </w:rPr>
        <w:t>Exchange Act Person</w:t>
      </w:r>
      <w:r>
        <w:rPr>
          <w:rFonts w:ascii="Times New Roman" w:cs="Times New Roman" w:eastAsia="Times New Roman" w:hAnsi="Times New Roman"/>
          <w:sz w:val="20"/>
          <w:szCs w:val="20"/>
          <w:color w:val="auto"/>
        </w:rPr>
        <w:t>”), becomes the owner, directly or indirectly, of securities of the Company representing more than fifty percent (50%) of the combined voting power of the Company’s then outstanding securities other than by virtue of a merger, consolidation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p>
      <w:pPr>
        <w:jc w:val="both"/>
        <w:spacing w:after="0" w:line="242" w:lineRule="auto"/>
        <w:rPr>
          <w:sz w:val="20"/>
          <w:szCs w:val="20"/>
          <w:color w:val="auto"/>
        </w:rPr>
      </w:pPr>
      <w:r>
        <w:rPr>
          <w:rFonts w:ascii="Times New Roman" w:cs="Times New Roman" w:eastAsia="Times New Roman" w:hAnsi="Times New Roman"/>
          <w:sz w:val="20"/>
          <w:szCs w:val="20"/>
          <w:color w:val="auto"/>
        </w:rPr>
        <w:t>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 (ii) solely because the level of ownership held by any Exchange Act Person (the “</w:t>
      </w:r>
      <w:r>
        <w:rPr>
          <w:rFonts w:ascii="Times New Roman" w:cs="Times New Roman" w:eastAsia="Times New Roman" w:hAnsi="Times New Roman"/>
          <w:sz w:val="20"/>
          <w:szCs w:val="20"/>
          <w:b w:val="1"/>
          <w:bCs w:val="1"/>
          <w:i w:val="1"/>
          <w:iCs w:val="1"/>
          <w:color w:val="auto"/>
        </w:rPr>
        <w:t>Subject Person</w:t>
      </w:r>
      <w:r>
        <w:rPr>
          <w:rFonts w:ascii="Times New Roman" w:cs="Times New Roman" w:eastAsia="Times New Roman" w:hAnsi="Times New Roman"/>
          <w:sz w:val="20"/>
          <w:szCs w:val="20"/>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2" w:lineRule="exact"/>
        <w:rPr>
          <w:sz w:val="20"/>
          <w:szCs w:val="20"/>
          <w:color w:val="auto"/>
        </w:rPr>
      </w:pPr>
    </w:p>
    <w:p>
      <w:pPr>
        <w:jc w:val="both"/>
        <w:ind w:firstLine="1735"/>
        <w:spacing w:after="0" w:line="245" w:lineRule="auto"/>
        <w:tabs>
          <w:tab w:leader="none" w:pos="22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82" w:lineRule="exact"/>
        <w:rPr>
          <w:rFonts w:ascii="Times New Roman" w:cs="Times New Roman" w:eastAsia="Times New Roman" w:hAnsi="Times New Roman"/>
          <w:sz w:val="20"/>
          <w:szCs w:val="20"/>
          <w:color w:val="auto"/>
        </w:rPr>
      </w:pPr>
    </w:p>
    <w:p>
      <w:pPr>
        <w:ind w:right="20" w:firstLine="1735"/>
        <w:spacing w:after="0" w:line="268" w:lineRule="auto"/>
        <w:tabs>
          <w:tab w:leader="none" w:pos="227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approve or the Board approves a plan of complete dissolution or liquidation of the Company, or a complete dissolution or liquidation of the Company shall otherwise occur; or</w:t>
      </w:r>
    </w:p>
    <w:p>
      <w:pPr>
        <w:spacing w:after="0" w:line="160" w:lineRule="exact"/>
        <w:rPr>
          <w:rFonts w:ascii="Times New Roman" w:cs="Times New Roman" w:eastAsia="Times New Roman" w:hAnsi="Times New Roman"/>
          <w:sz w:val="20"/>
          <w:szCs w:val="20"/>
          <w:color w:val="auto"/>
        </w:rPr>
      </w:pPr>
    </w:p>
    <w:p>
      <w:pPr>
        <w:jc w:val="both"/>
        <w:ind w:firstLine="1735"/>
        <w:spacing w:after="0" w:line="246" w:lineRule="auto"/>
        <w:tabs>
          <w:tab w:leader="none" w:pos="22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83"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9"/>
          <w:szCs w:val="19"/>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20" w:type="dxa"/>
            <w:vAlign w:val="bottom"/>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7.4</w:t>
            </w:r>
          </w:p>
        </w:tc>
        <w:tc>
          <w:tcPr>
            <w:tcW w:w="12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in</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Control</w:t>
            </w:r>
          </w:p>
        </w:tc>
        <w:tc>
          <w:tcPr>
            <w:tcW w:w="162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Benefits  Period</w:t>
            </w:r>
            <w:r>
              <w:rPr>
                <w:rFonts w:ascii="Times New Roman" w:cs="Times New Roman" w:eastAsia="Times New Roman" w:hAnsi="Times New Roman"/>
                <w:sz w:val="20"/>
                <w:szCs w:val="20"/>
                <w:color w:val="auto"/>
              </w:rPr>
              <w:t>”</w:t>
            </w: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means</w:t>
            </w:r>
          </w:p>
        </w:tc>
        <w:tc>
          <w:tcPr>
            <w:tcW w:w="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w:t>
            </w:r>
          </w:p>
        </w:tc>
        <w:tc>
          <w:tcPr>
            <w:tcW w:w="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w:t>
            </w: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twelve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months</w:t>
            </w:r>
          </w:p>
        </w:tc>
        <w:tc>
          <w:tcPr>
            <w:tcW w:w="1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commencing</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on</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9"/>
              </w:rPr>
              <w:t>the</w:t>
            </w:r>
          </w:p>
        </w:tc>
      </w:tr>
      <w:tr>
        <w:trPr>
          <w:trHeight w:val="258"/>
        </w:trPr>
        <w:tc>
          <w:tcPr>
            <w:tcW w:w="19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96"/>
              </w:rPr>
              <w:t>Termination Date.</w:t>
            </w: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16"/>
        </w:trPr>
        <w:tc>
          <w:tcPr>
            <w:tcW w:w="1920" w:type="dxa"/>
            <w:vAlign w:val="bottom"/>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7.5</w:t>
            </w:r>
          </w:p>
        </w:tc>
        <w:tc>
          <w:tcPr>
            <w:tcW w:w="12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Control</w:t>
            </w:r>
          </w:p>
        </w:tc>
        <w:tc>
          <w:tcPr>
            <w:tcW w:w="1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Severance Period</w:t>
            </w:r>
            <w:r>
              <w:rPr>
                <w:rFonts w:ascii="Times New Roman" w:cs="Times New Roman" w:eastAsia="Times New Roman" w:hAnsi="Times New Roman"/>
                <w:sz w:val="20"/>
                <w:szCs w:val="20"/>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7"/>
              </w:rPr>
              <w:t>means</w:t>
            </w: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7"/>
              </w:rPr>
              <w:t>the</w:t>
            </w:r>
          </w:p>
        </w:tc>
        <w:tc>
          <w:tcPr>
            <w:tcW w:w="6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7"/>
              </w:rPr>
              <w:t>period</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of</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twelve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months</w:t>
            </w:r>
          </w:p>
        </w:tc>
        <w:tc>
          <w:tcPr>
            <w:tcW w:w="1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commencing</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on</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7"/>
              </w:rPr>
              <w:t>the</w:t>
            </w:r>
          </w:p>
        </w:tc>
      </w:tr>
      <w:tr>
        <w:trPr>
          <w:trHeight w:val="258"/>
        </w:trPr>
        <w:tc>
          <w:tcPr>
            <w:tcW w:w="19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96"/>
              </w:rPr>
              <w:t>Termination Date.</w:t>
            </w: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38"/>
        </w:trPr>
        <w:tc>
          <w:tcPr>
            <w:tcW w:w="1920" w:type="dxa"/>
            <w:vAlign w:val="bottom"/>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7.6</w:t>
            </w:r>
          </w:p>
        </w:tc>
        <w:tc>
          <w:tcPr>
            <w:tcW w:w="9320" w:type="dxa"/>
            <w:vAlign w:val="bottom"/>
            <w:gridSpan w:val="14"/>
          </w:tcPr>
          <w:p>
            <w:pPr>
              <w:ind w:left="50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Change in Control Termination</w:t>
            </w:r>
            <w:r>
              <w:rPr>
                <w:rFonts w:ascii="Times New Roman" w:cs="Times New Roman" w:eastAsia="Times New Roman" w:hAnsi="Times New Roman"/>
                <w:sz w:val="20"/>
                <w:szCs w:val="20"/>
                <w:color w:val="auto"/>
                <w:w w:val="99"/>
              </w:rPr>
              <w:t>” means an “</w:t>
            </w:r>
            <w:r>
              <w:rPr>
                <w:rFonts w:ascii="Times New Roman" w:cs="Times New Roman" w:eastAsia="Times New Roman" w:hAnsi="Times New Roman"/>
                <w:sz w:val="20"/>
                <w:szCs w:val="20"/>
                <w:b w:val="1"/>
                <w:bCs w:val="1"/>
                <w:i w:val="1"/>
                <w:iCs w:val="1"/>
                <w:color w:val="auto"/>
                <w:w w:val="99"/>
              </w:rPr>
              <w:t>Involuntary Termination Without Cause</w:t>
            </w:r>
            <w:r>
              <w:rPr>
                <w:rFonts w:ascii="Times New Roman" w:cs="Times New Roman" w:eastAsia="Times New Roman" w:hAnsi="Times New Roman"/>
                <w:sz w:val="20"/>
                <w:szCs w:val="20"/>
                <w:color w:val="auto"/>
                <w:w w:val="99"/>
              </w:rPr>
              <w:t>” or “</w:t>
            </w:r>
            <w:r>
              <w:rPr>
                <w:rFonts w:ascii="Times New Roman" w:cs="Times New Roman" w:eastAsia="Times New Roman" w:hAnsi="Times New Roman"/>
                <w:sz w:val="20"/>
                <w:szCs w:val="20"/>
                <w:b w:val="1"/>
                <w:bCs w:val="1"/>
                <w:i w:val="1"/>
                <w:iCs w:val="1"/>
                <w:color w:val="auto"/>
                <w:w w:val="99"/>
              </w:rPr>
              <w:t>Resignation for</w:t>
            </w:r>
          </w:p>
        </w:tc>
      </w:tr>
    </w:tbl>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either of which occurs on, or within three (3) months prior to, or within twelve (12) months following, the effective date of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Change in Control, provided that any such termination is a “separation from service” within the meaning of Treasury Regulation Section 1.409A-1(h). Death and disability shall not be deemed Change in Control Terminations.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62"/>
        </w:trPr>
        <w:tc>
          <w:tcPr>
            <w:tcW w:w="18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7.7</w:t>
            </w:r>
          </w:p>
        </w:tc>
        <w:tc>
          <w:tcPr>
            <w:tcW w:w="9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means the Consolidated Omnibus Budget Reconciliation Act of 1985, as amended.</w:t>
            </w:r>
          </w:p>
        </w:tc>
      </w:tr>
      <w:tr>
        <w:trPr>
          <w:trHeight w:val="445"/>
        </w:trPr>
        <w:tc>
          <w:tcPr>
            <w:tcW w:w="18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7.8</w:t>
            </w:r>
          </w:p>
        </w:tc>
        <w:tc>
          <w:tcPr>
            <w:tcW w:w="9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tc>
      </w:tr>
      <w:tr>
        <w:trPr>
          <w:trHeight w:val="416"/>
        </w:trPr>
        <w:tc>
          <w:tcPr>
            <w:tcW w:w="18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7.9</w:t>
            </w:r>
          </w:p>
        </w:tc>
        <w:tc>
          <w:tcPr>
            <w:tcW w:w="9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Syndax Pharmaceuticals, Inc. or, following a Change in Control, the surviving entity</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resulting from such transaction, or any subsequent surviving entity resulting from any subsequent Change in Control.</w:t>
            </w:r>
          </w:p>
        </w:tc>
      </w:tr>
      <w:tr>
        <w:trPr>
          <w:trHeight w:val="416"/>
        </w:trPr>
        <w:tc>
          <w:tcPr>
            <w:tcW w:w="18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7.10</w:t>
            </w:r>
          </w:p>
        </w:tc>
        <w:tc>
          <w:tcPr>
            <w:tcW w:w="9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Confidentiality Agreement</w:t>
            </w:r>
            <w:r>
              <w:rPr>
                <w:rFonts w:ascii="Times New Roman" w:cs="Times New Roman" w:eastAsia="Times New Roman" w:hAnsi="Times New Roman"/>
                <w:sz w:val="20"/>
                <w:szCs w:val="20"/>
                <w:color w:val="auto"/>
              </w:rPr>
              <w:t>” means Executive’s Assignment of Developments, Non-Disclosure, and Non-</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Solicitation Agreement with the Company (or any successor agreement thereto).</w:t>
            </w:r>
          </w:p>
        </w:tc>
      </w:tr>
      <w:tr>
        <w:trPr>
          <w:trHeight w:val="438"/>
        </w:trPr>
        <w:tc>
          <w:tcPr>
            <w:tcW w:w="18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7.11</w:t>
            </w:r>
          </w:p>
        </w:tc>
        <w:tc>
          <w:tcPr>
            <w:tcW w:w="9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Termination</w:t>
            </w:r>
            <w:r>
              <w:rPr>
                <w:rFonts w:ascii="Times New Roman" w:cs="Times New Roman" w:eastAsia="Times New Roman" w:hAnsi="Times New Roman"/>
                <w:sz w:val="20"/>
                <w:szCs w:val="20"/>
                <w:color w:val="auto"/>
              </w:rPr>
              <w:t>” means an “</w:t>
            </w:r>
            <w:r>
              <w:rPr>
                <w:rFonts w:ascii="Times New Roman" w:cs="Times New Roman" w:eastAsia="Times New Roman" w:hAnsi="Times New Roman"/>
                <w:sz w:val="20"/>
                <w:szCs w:val="20"/>
                <w:b w:val="1"/>
                <w:bCs w:val="1"/>
                <w:i w:val="1"/>
                <w:iCs w:val="1"/>
                <w:color w:val="auto"/>
              </w:rPr>
              <w:t>Involuntary Termination Without Cause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Resignation for Good</w:t>
            </w:r>
          </w:p>
        </w:tc>
      </w:tr>
    </w:tbl>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Reason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provided that any such termination is a “separation from service” within the meaning of Treasury Regulation Section 1.409A-1(h).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Death and disability shall not be deemed Covered Terminations. If an Involuntary Termination Without Cause or Resignation for Good Reason qualifies as a Change in Control Termination, it shall not constitute a Covered Termination.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80" w:type="dxa"/>
            <w:vAlign w:val="bottom"/>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7.12</w:t>
            </w:r>
          </w:p>
        </w:tc>
        <w:tc>
          <w:tcPr>
            <w:tcW w:w="13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w:t>
            </w:r>
          </w:p>
        </w:tc>
        <w:tc>
          <w:tcPr>
            <w:tcW w:w="112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w w:val="98"/>
              </w:rPr>
              <w:t>Termination</w:t>
            </w:r>
          </w:p>
        </w:tc>
        <w:tc>
          <w:tcPr>
            <w:tcW w:w="162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Benefits  Period</w:t>
            </w:r>
            <w:r>
              <w:rPr>
                <w:rFonts w:ascii="Times New Roman" w:cs="Times New Roman" w:eastAsia="Times New Roman" w:hAnsi="Times New Roman"/>
                <w:sz w:val="20"/>
                <w:szCs w:val="20"/>
                <w:color w:val="auto"/>
              </w:rPr>
              <w:t>”</w:t>
            </w:r>
          </w:p>
        </w:tc>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means</w:t>
            </w: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the</w:t>
            </w: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period</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nine</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w:t>
            </w:r>
          </w:p>
        </w:tc>
        <w:tc>
          <w:tcPr>
            <w:tcW w:w="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months</w:t>
            </w:r>
          </w:p>
        </w:tc>
        <w:tc>
          <w:tcPr>
            <w:tcW w:w="1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commencing</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w:t>
            </w:r>
          </w:p>
        </w:tc>
      </w:t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Termination Date.</w:t>
            </w:r>
          </w:p>
        </w:tc>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16"/>
        </w:trPr>
        <w:tc>
          <w:tcPr>
            <w:tcW w:w="1980" w:type="dxa"/>
            <w:vAlign w:val="bottom"/>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7.13</w:t>
            </w:r>
          </w:p>
        </w:tc>
        <w:tc>
          <w:tcPr>
            <w:tcW w:w="13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w:t>
            </w:r>
          </w:p>
        </w:tc>
        <w:tc>
          <w:tcPr>
            <w:tcW w:w="1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Termination</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Severance Period</w:t>
            </w:r>
            <w:r>
              <w:rPr>
                <w:rFonts w:ascii="Times New Roman" w:cs="Times New Roman" w:eastAsia="Times New Roman" w:hAnsi="Times New Roman"/>
                <w:sz w:val="20"/>
                <w:szCs w:val="20"/>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means</w:t>
            </w: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7"/>
              </w:rPr>
              <w:t>the</w:t>
            </w:r>
          </w:p>
        </w:tc>
        <w:tc>
          <w:tcPr>
            <w:tcW w:w="6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7"/>
              </w:rPr>
              <w:t>period</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5"/>
              </w:rPr>
              <w:t>of</w:t>
            </w:r>
          </w:p>
        </w:tc>
        <w:tc>
          <w:tcPr>
            <w:tcW w:w="4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8"/>
              </w:rPr>
              <w:t>nine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months</w:t>
            </w:r>
          </w:p>
        </w:tc>
        <w:tc>
          <w:tcPr>
            <w:tcW w:w="1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commencing</w:t>
            </w: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w:t>
            </w:r>
          </w:p>
        </w:tc>
      </w:t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Termination Date.</w:t>
            </w:r>
          </w:p>
        </w:tc>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16"/>
        </w:trPr>
        <w:tc>
          <w:tcPr>
            <w:tcW w:w="1980" w:type="dxa"/>
            <w:vAlign w:val="bottom"/>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7.14</w:t>
            </w:r>
          </w:p>
        </w:tc>
        <w:tc>
          <w:tcPr>
            <w:tcW w:w="9260" w:type="dxa"/>
            <w:vAlign w:val="bottom"/>
            <w:gridSpan w:val="13"/>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Involuntary Termination Without Cause</w:t>
            </w:r>
            <w:r>
              <w:rPr>
                <w:rFonts w:ascii="Times New Roman" w:cs="Times New Roman" w:eastAsia="Times New Roman" w:hAnsi="Times New Roman"/>
                <w:sz w:val="20"/>
                <w:szCs w:val="20"/>
                <w:color w:val="auto"/>
              </w:rPr>
              <w:t>” means Executive’s dismissal or discharge by the Company for</w:t>
            </w:r>
          </w:p>
        </w:tc>
      </w:tr>
      <w:tr>
        <w:trPr>
          <w:trHeight w:val="258"/>
        </w:trPr>
        <w:tc>
          <w:tcPr>
            <w:tcW w:w="60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reasons other than Cause and other than as a result of death or disability.</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38"/>
        </w:trPr>
        <w:tc>
          <w:tcPr>
            <w:tcW w:w="1980" w:type="dxa"/>
            <w:vAlign w:val="bottom"/>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7.15</w:t>
            </w:r>
          </w:p>
        </w:tc>
        <w:tc>
          <w:tcPr>
            <w:tcW w:w="9260" w:type="dxa"/>
            <w:vAlign w:val="bottom"/>
            <w:gridSpan w:val="13"/>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Monthly Base Salary</w:t>
            </w:r>
            <w:r>
              <w:rPr>
                <w:rFonts w:ascii="Times New Roman" w:cs="Times New Roman" w:eastAsia="Times New Roman" w:hAnsi="Times New Roman"/>
                <w:sz w:val="20"/>
                <w:szCs w:val="20"/>
                <w:color w:val="auto"/>
              </w:rPr>
              <w:t>” means 1/12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of the greater of (i) Executive’s annual base salary (excluding incentive</w:t>
            </w:r>
          </w:p>
        </w:tc>
      </w:tr>
    </w:tbl>
    <w:p>
      <w:pPr>
        <w:jc w:val="both"/>
        <w:spacing w:after="0" w:line="241" w:lineRule="auto"/>
        <w:rPr>
          <w:sz w:val="20"/>
          <w:szCs w:val="20"/>
          <w:color w:val="auto"/>
        </w:rPr>
      </w:pPr>
      <w:r>
        <w:rPr>
          <w:rFonts w:ascii="Times New Roman" w:cs="Times New Roman" w:eastAsia="Times New Roman" w:hAnsi="Times New Roman"/>
          <w:sz w:val="20"/>
          <w:szCs w:val="20"/>
          <w:color w:val="auto"/>
        </w:rPr>
        <w:t>pay, premium pay, commissions, 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spacing w:after="0" w:line="183"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7.16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Pro-Rata Bonus</w:t>
      </w:r>
      <w:r>
        <w:rPr>
          <w:rFonts w:ascii="Times New Roman" w:cs="Times New Roman" w:eastAsia="Times New Roman" w:hAnsi="Times New Roman"/>
          <w:sz w:val="20"/>
          <w:szCs w:val="20"/>
          <w:color w:val="auto"/>
        </w:rPr>
        <w:t>” means 1/12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greater of (i) the average Target Performance Bonus paid to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three years preceding the date of a Change in Control Termination (or such lesser number of years during which Executive has been employed by the Company), or (ii) the Target Performance Bonus, as in effect on the date of a Change in Control Termination.</w:t>
      </w:r>
    </w:p>
    <w:p>
      <w:pPr>
        <w:spacing w:after="0" w:line="17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Resignation for Good Reason</w:t>
      </w:r>
      <w:r>
        <w:rPr>
          <w:rFonts w:ascii="Times New Roman" w:cs="Times New Roman" w:eastAsia="Times New Roman" w:hAnsi="Times New Roman"/>
          <w:sz w:val="20"/>
          <w:szCs w:val="20"/>
          <w:color w:val="auto"/>
        </w:rPr>
        <w:t>” means Executive’s resignation from all employee positions Executive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holds 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78" w:lineRule="exact"/>
        <w:rPr>
          <w:sz w:val="20"/>
          <w:szCs w:val="20"/>
          <w:color w:val="auto"/>
        </w:rPr>
      </w:pPr>
    </w:p>
    <w:p>
      <w:pPr>
        <w:jc w:val="both"/>
        <w:ind w:firstLine="1735"/>
        <w:spacing w:after="0" w:line="253" w:lineRule="auto"/>
        <w:tabs>
          <w:tab w:leader="none" w:pos="227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3" w:name="page74"/>
    <w:bookmarkEnd w:id="73"/>
    <w:p>
      <w:pPr>
        <w:jc w:val="both"/>
        <w:ind w:firstLine="1735"/>
        <w:spacing w:after="0" w:line="249" w:lineRule="auto"/>
        <w:tabs>
          <w:tab w:leader="none" w:pos="22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duties or responsibilities are materially diminished (not simply a change in title or reporting relationships); provided, that Executive shall not be deemed to have a “</w:t>
      </w:r>
      <w:r>
        <w:rPr>
          <w:rFonts w:ascii="Times New Roman" w:cs="Times New Roman" w:eastAsia="Times New Roman" w:hAnsi="Times New Roman"/>
          <w:sz w:val="20"/>
          <w:szCs w:val="20"/>
          <w:b w:val="1"/>
          <w:bCs w:val="1"/>
          <w:i w:val="1"/>
          <w:iCs w:val="1"/>
          <w:color w:val="auto"/>
        </w:rPr>
        <w:t>Resignation for Good Reason</w:t>
      </w:r>
      <w:r>
        <w:rPr>
          <w:rFonts w:ascii="Times New Roman" w:cs="Times New Roman" w:eastAsia="Times New Roman" w:hAnsi="Times New Roman"/>
          <w:sz w:val="20"/>
          <w:szCs w:val="20"/>
          <w:color w:val="auto"/>
        </w:rPr>
        <w:t>” if the Company survives as a separate legal entity or business unit following the Change in Control and Executive holds materially the same position in such legal entity or business unit as Executive held before the Change in Control;</w:t>
      </w:r>
    </w:p>
    <w:p>
      <w:pPr>
        <w:spacing w:after="0" w:line="178" w:lineRule="exact"/>
        <w:rPr>
          <w:rFonts w:ascii="Times New Roman" w:cs="Times New Roman" w:eastAsia="Times New Roman" w:hAnsi="Times New Roman"/>
          <w:sz w:val="20"/>
          <w:szCs w:val="20"/>
          <w:color w:val="auto"/>
        </w:rPr>
      </w:pPr>
    </w:p>
    <w:p>
      <w:pPr>
        <w:jc w:val="both"/>
        <w:ind w:firstLine="1735"/>
        <w:spacing w:after="0" w:line="246" w:lineRule="auto"/>
        <w:tabs>
          <w:tab w:leader="none" w:pos="227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 Executive is required to establish residence in a location more than fifty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Times New Roman" w:cs="Times New Roman" w:eastAsia="Times New Roman" w:hAnsi="Times New Roman"/>
          <w:sz w:val="20"/>
          <w:szCs w:val="20"/>
          <w:b w:val="1"/>
          <w:bCs w:val="1"/>
          <w:i w:val="1"/>
          <w:iCs w:val="1"/>
          <w:color w:val="auto"/>
        </w:rPr>
        <w:t>Executive’s Principal Place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of Business</w:t>
      </w:r>
      <w:r>
        <w:rPr>
          <w:rFonts w:ascii="Times New Roman" w:cs="Times New Roman" w:eastAsia="Times New Roman" w:hAnsi="Times New Roman"/>
          <w:sz w:val="20"/>
          <w:szCs w:val="20"/>
          <w:color w:val="auto"/>
        </w:rPr>
        <w:t>”) as a result of a change in location by the Company of Executive’s Principal Place of Business; or</w:t>
      </w:r>
    </w:p>
    <w:p>
      <w:pPr>
        <w:spacing w:after="0" w:line="183" w:lineRule="exact"/>
        <w:rPr>
          <w:rFonts w:ascii="Times New Roman" w:cs="Times New Roman" w:eastAsia="Times New Roman" w:hAnsi="Times New Roman"/>
          <w:sz w:val="20"/>
          <w:szCs w:val="20"/>
          <w:color w:val="auto"/>
        </w:rPr>
      </w:pPr>
    </w:p>
    <w:p>
      <w:pPr>
        <w:ind w:firstLine="1735"/>
        <w:spacing w:after="0" w:line="268" w:lineRule="auto"/>
        <w:tabs>
          <w:tab w:leader="none" w:pos="22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Company to obtain a satisfactory agreement from any successor to materially assume and materially agree to perform under the terms of this Agreement.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7.18</w:t>
            </w:r>
          </w:p>
        </w:tc>
        <w:tc>
          <w:tcPr>
            <w:tcW w:w="9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means the effective date of the Change in Control Termination, the Covered Termination</w:t>
            </w:r>
          </w:p>
        </w:tc>
      </w:tr>
      <w:tr>
        <w:trPr>
          <w:trHeight w:val="258"/>
        </w:trPr>
        <w:tc>
          <w:tcPr>
            <w:tcW w:w="11240" w:type="dxa"/>
            <w:vAlign w:val="bottom"/>
            <w:gridSpan w:val="2"/>
          </w:tcPr>
          <w:p>
            <w:pPr>
              <w:jc w:val="right"/>
              <w:ind w:right="7881"/>
              <w:spacing w:after="0"/>
              <w:rPr>
                <w:sz w:val="20"/>
                <w:szCs w:val="20"/>
                <w:color w:val="auto"/>
              </w:rPr>
            </w:pPr>
            <w:r>
              <w:rPr>
                <w:rFonts w:ascii="Times New Roman" w:cs="Times New Roman" w:eastAsia="Times New Roman" w:hAnsi="Times New Roman"/>
                <w:sz w:val="20"/>
                <w:szCs w:val="20"/>
                <w:color w:val="auto"/>
                <w:w w:val="98"/>
              </w:rPr>
              <w:t>or a termination for Cause, as applicable.</w:t>
            </w:r>
          </w:p>
        </w:tc>
      </w:tr>
      <w:tr>
        <w:trPr>
          <w:trHeight w:val="445"/>
        </w:trPr>
        <w:tc>
          <w:tcPr>
            <w:tcW w:w="1820" w:type="dxa"/>
            <w:vAlign w:val="bottom"/>
          </w:tcPr>
          <w:p>
            <w:pPr>
              <w:spacing w:after="0"/>
              <w:rPr>
                <w:sz w:val="24"/>
                <w:szCs w:val="24"/>
                <w:color w:val="auto"/>
              </w:rPr>
            </w:pPr>
          </w:p>
        </w:tc>
        <w:tc>
          <w:tcPr>
            <w:tcW w:w="9420" w:type="dxa"/>
            <w:vAlign w:val="bottom"/>
          </w:tcPr>
          <w:p>
            <w:pPr>
              <w:jc w:val="right"/>
              <w:ind w:right="5001"/>
              <w:spacing w:after="0"/>
              <w:rPr>
                <w:sz w:val="20"/>
                <w:szCs w:val="20"/>
                <w:color w:val="auto"/>
              </w:rPr>
            </w:pPr>
            <w:r>
              <w:rPr>
                <w:rFonts w:ascii="Times New Roman" w:cs="Times New Roman" w:eastAsia="Times New Roman" w:hAnsi="Times New Roman"/>
                <w:sz w:val="20"/>
                <w:szCs w:val="20"/>
                <w:b w:val="1"/>
                <w:bCs w:val="1"/>
                <w:color w:val="auto"/>
              </w:rPr>
              <w:t>ARTICLE 8</w:t>
            </w:r>
          </w:p>
        </w:tc>
      </w:tr>
      <w:tr>
        <w:trPr>
          <w:trHeight w:val="458"/>
        </w:trPr>
        <w:tc>
          <w:tcPr>
            <w:tcW w:w="1820" w:type="dxa"/>
            <w:vAlign w:val="bottom"/>
          </w:tcPr>
          <w:p>
            <w:pPr>
              <w:spacing w:after="0"/>
              <w:rPr>
                <w:sz w:val="24"/>
                <w:szCs w:val="24"/>
                <w:color w:val="auto"/>
              </w:rPr>
            </w:pPr>
          </w:p>
        </w:tc>
        <w:tc>
          <w:tcPr>
            <w:tcW w:w="9420" w:type="dxa"/>
            <w:vAlign w:val="bottom"/>
          </w:tcPr>
          <w:p>
            <w:pPr>
              <w:jc w:val="right"/>
              <w:ind w:right="4381"/>
              <w:spacing w:after="0"/>
              <w:rPr>
                <w:sz w:val="20"/>
                <w:szCs w:val="20"/>
                <w:color w:val="auto"/>
              </w:rPr>
            </w:pPr>
            <w:r>
              <w:rPr>
                <w:rFonts w:ascii="Times New Roman" w:cs="Times New Roman" w:eastAsia="Times New Roman" w:hAnsi="Times New Roman"/>
                <w:sz w:val="20"/>
                <w:szCs w:val="20"/>
                <w:b w:val="1"/>
                <w:bCs w:val="1"/>
                <w:color w:val="auto"/>
              </w:rPr>
              <w:t>GENERAL PROVISIONS</w:t>
            </w:r>
          </w:p>
        </w:tc>
      </w:tr>
      <w:tr>
        <w:trPr>
          <w:trHeight w:val="438"/>
        </w:trPr>
        <w:tc>
          <w:tcPr>
            <w:tcW w:w="18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8.1</w:t>
            </w:r>
          </w:p>
        </w:tc>
        <w:tc>
          <w:tcPr>
            <w:tcW w:w="9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Employment Status</w:t>
            </w:r>
            <w:r>
              <w:rPr>
                <w:rFonts w:ascii="Times New Roman" w:cs="Times New Roman" w:eastAsia="Times New Roman" w:hAnsi="Times New Roman"/>
                <w:sz w:val="20"/>
                <w:szCs w:val="20"/>
                <w:color w:val="auto"/>
              </w:rPr>
              <w:t>. This Agreement does not constitute a contract of employment or impose upon Executive</w:t>
            </w:r>
          </w:p>
        </w:tc>
      </w:tr>
    </w:tbl>
    <w:p>
      <w:pPr>
        <w:jc w:val="both"/>
        <w:spacing w:after="0" w:line="245" w:lineRule="auto"/>
        <w:rPr>
          <w:sz w:val="20"/>
          <w:szCs w:val="20"/>
          <w:color w:val="auto"/>
        </w:rPr>
      </w:pPr>
      <w:r>
        <w:rPr>
          <w:rFonts w:ascii="Times New Roman" w:cs="Times New Roman" w:eastAsia="Times New Roman" w:hAnsi="Times New Roman"/>
          <w:sz w:val="20"/>
          <w:szCs w:val="20"/>
          <w:color w:val="auto"/>
        </w:rPr>
        <w:t>any obligation to remain as an employee, or impose on the Company any obligation (i) to retain Executive as an employee, (ii) to change the status of Executive as an at-will employee or (iii) to change the Company’s policies regarding termination of employment.</w:t>
      </w:r>
    </w:p>
    <w:p>
      <w:pPr>
        <w:spacing w:after="0" w:line="179"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8.2 Notices</w:t>
      </w:r>
      <w:r>
        <w:rPr>
          <w:rFonts w:ascii="Times New Roman" w:cs="Times New Roman" w:eastAsia="Times New Roman" w:hAnsi="Times New Roman"/>
          <w:sz w:val="20"/>
          <w:szCs w:val="20"/>
          <w:color w:val="auto"/>
        </w:rPr>
        <w:t>. Any notices provided hereunder must be in writing, and such notices or any other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shall be deemed effective upon 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spacing w:after="0" w:line="178"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8.3 Severability</w:t>
      </w:r>
      <w:r>
        <w:rPr>
          <w:rFonts w:ascii="Times New Roman" w:cs="Times New Roman" w:eastAsia="Times New Roman" w:hAnsi="Times New Roman"/>
          <w:sz w:val="20"/>
          <w:szCs w:val="20"/>
          <w:color w:val="auto"/>
        </w:rPr>
        <w:t>. Whenever possible, each provision of this Agreement will be interpreted in such manner as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8.4</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If either party should waive any breach of any provisions of this Agreement, he, she or it shall not</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thereby be deemed to have waived any preceding or succeeding breach of the same or any other provision of this Agreement.</w:t>
            </w:r>
          </w:p>
        </w:tc>
      </w:tr>
      <w:tr>
        <w:trPr>
          <w:trHeight w:val="438"/>
        </w:trPr>
        <w:tc>
          <w:tcPr>
            <w:tcW w:w="17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8.5</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Complete Agreement</w:t>
            </w:r>
            <w:r>
              <w:rPr>
                <w:rFonts w:ascii="Times New Roman" w:cs="Times New Roman" w:eastAsia="Times New Roman" w:hAnsi="Times New Roman"/>
                <w:sz w:val="20"/>
                <w:szCs w:val="20"/>
                <w:color w:val="auto"/>
              </w:rPr>
              <w:t>.  This  Agreement,  including</w:t>
            </w:r>
            <w:r>
              <w:rPr>
                <w:rFonts w:ascii="Times New Roman" w:cs="Times New Roman" w:eastAsia="Times New Roman" w:hAnsi="Times New Roman"/>
                <w:sz w:val="20"/>
                <w:szCs w:val="20"/>
                <w:b w:val="1"/>
                <w:bCs w:val="1"/>
                <w:color w:val="auto"/>
              </w:rPr>
              <w:t xml:space="preserve">  Exhibit 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Exhibit  B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Exhibit  C</w:t>
            </w:r>
            <w:r>
              <w:rPr>
                <w:rFonts w:ascii="Times New Roman" w:cs="Times New Roman" w:eastAsia="Times New Roman" w:hAnsi="Times New Roman"/>
                <w:sz w:val="20"/>
                <w:szCs w:val="20"/>
                <w:color w:val="auto"/>
              </w:rPr>
              <w:t>,  and  the</w:t>
            </w:r>
          </w:p>
        </w:tc>
      </w:tr>
    </w:tbl>
    <w:p>
      <w:pPr>
        <w:jc w:val="both"/>
        <w:spacing w:after="0" w:line="242" w:lineRule="auto"/>
        <w:rPr>
          <w:sz w:val="20"/>
          <w:szCs w:val="20"/>
          <w:color w:val="auto"/>
        </w:rPr>
      </w:pPr>
      <w:r>
        <w:rPr>
          <w:rFonts w:ascii="Times New Roman" w:cs="Times New Roman" w:eastAsia="Times New Roman" w:hAnsi="Times New Roman"/>
          <w:sz w:val="20"/>
          <w:szCs w:val="20"/>
          <w:color w:val="auto"/>
        </w:rPr>
        <w:t>Confidentiality Agreement constitute the entire agreement between Executive and the Company and is the complete, final and exclusive embodiment of their agreement with regard to this subject matter, wholly superseding all written and oral agreements with respect to payments and benefits to Executive 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4" w:name="page75"/>
    <w:bookmarkEnd w:id="74"/>
    <w:p>
      <w:pPr>
        <w:jc w:val="both"/>
        <w:spacing w:after="0" w:line="268" w:lineRule="auto"/>
        <w:rPr>
          <w:sz w:val="20"/>
          <w:szCs w:val="20"/>
          <w:color w:val="auto"/>
        </w:rPr>
      </w:pPr>
      <w:r>
        <w:rPr>
          <w:rFonts w:ascii="Times New Roman" w:cs="Times New Roman" w:eastAsia="Times New Roman" w:hAnsi="Times New Roman"/>
          <w:sz w:val="20"/>
          <w:szCs w:val="20"/>
          <w:color w:val="auto"/>
        </w:rPr>
        <w:t>the event of employment termination. It is entered into without reliance on any promise or representation other than those expressly contained herein.</w:t>
      </w:r>
    </w:p>
    <w:p>
      <w:pPr>
        <w:spacing w:after="0" w:line="157" w:lineRule="exact"/>
        <w:rPr>
          <w:sz w:val="20"/>
          <w:szCs w:val="20"/>
          <w:color w:val="auto"/>
        </w:rPr>
      </w:pPr>
    </w:p>
    <w:p>
      <w:pPr>
        <w:ind w:left="880"/>
        <w:spacing w:after="0"/>
        <w:tabs>
          <w:tab w:leader="none" w:pos="2400" w:val="left"/>
        </w:tabs>
        <w:rPr>
          <w:sz w:val="20"/>
          <w:szCs w:val="20"/>
          <w:color w:val="auto"/>
        </w:rPr>
      </w:pPr>
      <w:r>
        <w:rPr>
          <w:rFonts w:ascii="Times New Roman" w:cs="Times New Roman" w:eastAsia="Times New Roman" w:hAnsi="Times New Roman"/>
          <w:sz w:val="20"/>
          <w:szCs w:val="20"/>
          <w:b w:val="1"/>
          <w:bCs w:val="1"/>
          <w:color w:val="auto"/>
        </w:rPr>
        <w:t>8.6</w:t>
      </w:r>
      <w:r>
        <w:rPr>
          <w:sz w:val="20"/>
          <w:szCs w:val="20"/>
          <w:color w:val="auto"/>
        </w:rPr>
        <w:tab/>
      </w:r>
      <w:r>
        <w:rPr>
          <w:rFonts w:ascii="Times New Roman" w:cs="Times New Roman" w:eastAsia="Times New Roman" w:hAnsi="Times New Roman"/>
          <w:sz w:val="19"/>
          <w:szCs w:val="19"/>
          <w:b w:val="1"/>
          <w:bCs w:val="1"/>
          <w:color w:val="auto"/>
        </w:rPr>
        <w:t>Amendment or Termination of Agreement; Continuation of Agreement</w:t>
      </w:r>
      <w:r>
        <w:rPr>
          <w:rFonts w:ascii="Times New Roman" w:cs="Times New Roman" w:eastAsia="Times New Roman" w:hAnsi="Times New Roman"/>
          <w:sz w:val="19"/>
          <w:szCs w:val="19"/>
          <w:color w:val="auto"/>
        </w:rPr>
        <w:t>. This Agreement may be changed</w:t>
      </w:r>
    </w:p>
    <w:p>
      <w:pPr>
        <w:spacing w:after="0" w:line="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or terminated only upon the mutual 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 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3 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8.7</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separate counterparts, any one of which need not contain</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signatures of more than one party, but all of which taken together will constitute one and the same Agreement.</w:t>
            </w:r>
          </w:p>
        </w:tc>
      </w:tr>
      <w:tr>
        <w:trPr>
          <w:trHeight w:val="416"/>
        </w:trPr>
        <w:tc>
          <w:tcPr>
            <w:tcW w:w="17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8.8</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w w:val="99"/>
              </w:rPr>
              <w:t>Headings</w:t>
            </w:r>
            <w:r>
              <w:rPr>
                <w:rFonts w:ascii="Times New Roman" w:cs="Times New Roman" w:eastAsia="Times New Roman" w:hAnsi="Times New Roman"/>
                <w:sz w:val="20"/>
                <w:szCs w:val="20"/>
                <w:color w:val="auto"/>
                <w:w w:val="99"/>
              </w:rPr>
              <w:t>. The headings of the Articles and Sections hereof are inserted for convenience only and shall not be</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deemed to constitute a part hereof nor to affect the meaning thereof.</w:t>
            </w:r>
          </w:p>
        </w:tc>
      </w:tr>
      <w:tr>
        <w:trPr>
          <w:trHeight w:val="438"/>
        </w:trPr>
        <w:tc>
          <w:tcPr>
            <w:tcW w:w="17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8.9</w:t>
            </w:r>
          </w:p>
        </w:tc>
        <w:tc>
          <w:tcPr>
            <w:tcW w:w="94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w w:val="99"/>
              </w:rPr>
              <w:t>Successors and Assigns</w:t>
            </w:r>
            <w:r>
              <w:rPr>
                <w:rFonts w:ascii="Times New Roman" w:cs="Times New Roman" w:eastAsia="Times New Roman" w:hAnsi="Times New Roman"/>
                <w:sz w:val="20"/>
                <w:szCs w:val="20"/>
                <w:color w:val="auto"/>
                <w:w w:val="99"/>
              </w:rPr>
              <w:t>. This Agreement is intended to bind and inure to the benefit of and be enforceable by</w:t>
            </w:r>
          </w:p>
        </w:tc>
      </w:tr>
    </w:tbl>
    <w:p>
      <w:pPr>
        <w:jc w:val="both"/>
        <w:spacing w:after="0"/>
        <w:rPr>
          <w:sz w:val="20"/>
          <w:szCs w:val="20"/>
          <w:color w:val="auto"/>
        </w:rPr>
      </w:pPr>
      <w:r>
        <w:rPr>
          <w:rFonts w:ascii="Times New Roman" w:cs="Times New Roman" w:eastAsia="Times New Roman" w:hAnsi="Times New Roman"/>
          <w:sz w:val="20"/>
          <w:szCs w:val="20"/>
          <w:color w:val="auto"/>
        </w:rPr>
        <w:t>Executive, and the Company, and 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18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b w:val="1"/>
          <w:bCs w:val="1"/>
          <w:color w:val="auto"/>
        </w:rPr>
        <w:t>8.10 Choice of Law</w:t>
      </w:r>
      <w:r>
        <w:rPr>
          <w:rFonts w:ascii="Times New Roman" w:cs="Times New Roman" w:eastAsia="Times New Roman" w:hAnsi="Times New Roman"/>
          <w:sz w:val="20"/>
          <w:szCs w:val="20"/>
          <w:color w:val="auto"/>
        </w:rPr>
        <w:t>. Because of the Company’s and Executive’s interests in ensuring that disputes regarding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spacing w:after="0" w:line="184"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8.11 Arbitration. </w:t>
      </w:r>
      <w:r>
        <w:rPr>
          <w:rFonts w:ascii="Times New Roman" w:cs="Times New Roman" w:eastAsia="Times New Roman" w:hAnsi="Times New Roman"/>
          <w:sz w:val="20"/>
          <w:szCs w:val="20"/>
          <w:color w:val="auto"/>
        </w:rPr>
        <w:t>To ensure the rapid and economical resolution of any disputes that may arise under or relate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or Executive’s 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and shall be administered by the Judicial Arbitration &amp; Mediation Services, Inc. (“</w:t>
      </w:r>
      <w:r>
        <w:rPr>
          <w:rFonts w:ascii="Times New Roman" w:cs="Times New Roman" w:eastAsia="Times New Roman" w:hAnsi="Times New Roman"/>
          <w:sz w:val="20"/>
          <w:szCs w:val="20"/>
          <w:b w:val="1"/>
          <w:bCs w:val="1"/>
          <w:i w:val="1"/>
          <w:iCs w:val="1"/>
          <w:color w:val="auto"/>
        </w:rPr>
        <w:t>JAMS</w:t>
      </w:r>
      <w:r>
        <w:rPr>
          <w:rFonts w:ascii="Times New Roman" w:cs="Times New Roman" w:eastAsia="Times New Roman" w:hAnsi="Times New Roman"/>
          <w:sz w:val="20"/>
          <w:szCs w:val="20"/>
          <w:color w:val="auto"/>
        </w:rPr>
        <w:t>”), in accordance with its then-current Employment Arbitration Rules &amp; Procedures (the “</w:t>
      </w:r>
      <w:r>
        <w:rPr>
          <w:rFonts w:ascii="Times New Roman" w:cs="Times New Roman" w:eastAsia="Times New Roman" w:hAnsi="Times New Roman"/>
          <w:sz w:val="20"/>
          <w:szCs w:val="20"/>
          <w:b w:val="1"/>
          <w:bCs w:val="1"/>
          <w:i w:val="1"/>
          <w:iCs w:val="1"/>
          <w:color w:val="auto"/>
        </w:rPr>
        <w:t>JAMS Rules</w:t>
      </w:r>
      <w:r>
        <w:rPr>
          <w:rFonts w:ascii="Times New Roman" w:cs="Times New Roman" w:eastAsia="Times New Roman" w:hAnsi="Times New Roman"/>
          <w:sz w:val="20"/>
          <w:szCs w:val="20"/>
          <w:color w:val="auto"/>
        </w:rPr>
        <w:t xml:space="preserve">”). The JAMS Rules are also available online at </w:t>
      </w:r>
      <w:r>
        <w:rPr>
          <w:rFonts w:ascii="Times New Roman" w:cs="Times New Roman" w:eastAsia="Times New Roman" w:hAnsi="Times New Roman"/>
          <w:sz w:val="20"/>
          <w:szCs w:val="20"/>
          <w:u w:val="single" w:color="auto"/>
          <w:color w:val="auto"/>
        </w:rPr>
        <w:t>http://www.jamsadr.com/rules-employment-arbitration/</w:t>
      </w:r>
      <w:r>
        <w:rPr>
          <w:rFonts w:ascii="Times New Roman" w:cs="Times New Roman" w:eastAsia="Times New Roman" w:hAnsi="Times New Roman"/>
          <w:sz w:val="20"/>
          <w:szCs w:val="20"/>
          <w:color w:val="auto"/>
        </w:rPr>
        <w:t>. The parties or their representatives may also call JAMS at 800.352.5267 if they have questions about the arbitration process. If the JAMS Rules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5" w:name="page76"/>
    <w:bookmarkEnd w:id="75"/>
    <w:p>
      <w:pPr>
        <w:jc w:val="both"/>
        <w:spacing w:after="0" w:line="243" w:lineRule="auto"/>
        <w:rPr>
          <w:sz w:val="20"/>
          <w:szCs w:val="20"/>
          <w:color w:val="auto"/>
        </w:rPr>
      </w:pPr>
      <w:r>
        <w:rPr>
          <w:rFonts w:ascii="Times New Roman" w:cs="Times New Roman" w:eastAsia="Times New Roman" w:hAnsi="Times New Roman"/>
          <w:sz w:val="20"/>
          <w:szCs w:val="20"/>
          <w:color w:val="auto"/>
        </w:rPr>
        <w:t>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8.12</w:t>
            </w:r>
          </w:p>
        </w:tc>
        <w:tc>
          <w:tcPr>
            <w:tcW w:w="93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w w:val="99"/>
              </w:rPr>
              <w:t>Construction of Agreement</w:t>
            </w:r>
            <w:r>
              <w:rPr>
                <w:rFonts w:ascii="Times New Roman" w:cs="Times New Roman" w:eastAsia="Times New Roman" w:hAnsi="Times New Roman"/>
                <w:sz w:val="20"/>
                <w:szCs w:val="20"/>
                <w:color w:val="auto"/>
                <w:w w:val="99"/>
              </w:rPr>
              <w:t>. In the event of a conflict between the text of this Agreement and any summary,</w:t>
            </w:r>
          </w:p>
        </w:tc>
      </w:tr>
      <w:tr>
        <w:trPr>
          <w:trHeight w:val="258"/>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or other information regarding this Agreement, the text of this Agreement shall control.</w:t>
            </w:r>
          </w:p>
        </w:tc>
      </w:tr>
      <w:tr>
        <w:trPr>
          <w:trHeight w:val="438"/>
        </w:trPr>
        <w:tc>
          <w:tcPr>
            <w:tcW w:w="186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8.13</w:t>
            </w:r>
          </w:p>
        </w:tc>
        <w:tc>
          <w:tcPr>
            <w:tcW w:w="938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Circular 230 Disclaimer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FOLLOWING DISCLAIMER IS PROVIDED IN ACCORDANCE</w:t>
            </w:r>
          </w:p>
        </w:tc>
      </w:tr>
    </w:tbl>
    <w:p>
      <w:pPr>
        <w:jc w:val="both"/>
        <w:spacing w:after="0"/>
        <w:rPr>
          <w:sz w:val="20"/>
          <w:szCs w:val="20"/>
          <w:color w:val="auto"/>
        </w:rPr>
      </w:pPr>
      <w:r>
        <w:rPr>
          <w:rFonts w:ascii="Times New Roman" w:cs="Times New Roman" w:eastAsia="Times New Roman" w:hAnsi="Times New Roman"/>
          <w:sz w:val="20"/>
          <w:szCs w:val="20"/>
          <w:b w:val="1"/>
          <w:bCs w:val="1"/>
          <w:color w:val="auto"/>
        </w:rPr>
        <w:t>WITH 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6" w:name="page77"/>
    <w:bookmarkEnd w:id="76"/>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on the Effective Date written above.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SYNDAX PHARMACEUTICALS, INC.</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EXECUTIVE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Borders>
              <w:bottom w:val="single" w:sz="8" w:color="auto"/>
            </w:tcBorders>
            <w:gridSpan w:val="2"/>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By:</w:t>
            </w:r>
          </w:p>
        </w:tc>
        <w:tc>
          <w:tcPr>
            <w:tcW w:w="3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vMerge w:val="continue"/>
          </w:tcPr>
          <w:p>
            <w:pPr>
              <w:spacing w:after="0"/>
              <w:rPr>
                <w:sz w:val="19"/>
                <w:szCs w:val="19"/>
                <w:color w:val="auto"/>
              </w:rPr>
            </w:pPr>
          </w:p>
        </w:tc>
        <w:tc>
          <w:tcPr>
            <w:tcW w:w="484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0"/>
                <w:szCs w:val="20"/>
                <w:color w:val="auto"/>
              </w:rPr>
              <w:t>/s/ Luke J. Albrecht</w:t>
            </w:r>
          </w:p>
        </w:tc>
        <w:tc>
          <w:tcPr>
            <w:tcW w:w="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94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0"/>
                <w:szCs w:val="20"/>
                <w:color w:val="auto"/>
              </w:rPr>
              <w:t>/s/ Daphne Karydas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0"/>
        </w:trPr>
        <w:tc>
          <w:tcPr>
            <w:tcW w:w="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Luke J. Albrecht</w:t>
            </w:r>
          </w:p>
        </w:tc>
        <w:tc>
          <w:tcPr>
            <w:tcW w:w="100" w:type="dxa"/>
            <w:vAlign w:val="bottom"/>
          </w:tcPr>
          <w:p>
            <w:pPr>
              <w:spacing w:after="0"/>
              <w:rPr>
                <w:sz w:val="24"/>
                <w:szCs w:val="24"/>
                <w:color w:val="auto"/>
              </w:rPr>
            </w:pPr>
          </w:p>
        </w:tc>
        <w:tc>
          <w:tcPr>
            <w:tcW w:w="588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rPr>
              <w:t>Name:   Daphne Karydas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450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General Counsel, Secretary</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Release (Individual Termination – Age 40 or Older)</w:t>
      </w:r>
    </w:p>
    <w:p>
      <w:pPr>
        <w:spacing w:after="0" w:line="16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Release (Individual and Group Termination – Under Age 40)</w:t>
      </w:r>
    </w:p>
    <w:p>
      <w:pPr>
        <w:spacing w:after="0" w:line="16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Release (Group Termination – Age 40 or Older)</w:t>
      </w: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342"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(INDIVIDUAL TERMINATION – AGE 40 OR OLDER)</w:t>
      </w:r>
    </w:p>
    <w:p>
      <w:pPr>
        <w:spacing w:after="0" w:line="323"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Certain capitalized terms used in this Release are defined in the Executive Employment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I have executed and of which this Release is a part.</w:t>
      </w:r>
    </w:p>
    <w:p>
      <w:pPr>
        <w:spacing w:after="0" w:line="1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 hereby confirm my obligations under the Confidentiality Agreement (or other comparable agreement that I have signed, if any).</w:t>
      </w:r>
    </w:p>
    <w:p>
      <w:pPr>
        <w:spacing w:after="0" w:line="161"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xml:space="preserve">”),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w:t>
      </w:r>
      <w:r>
        <w:rPr>
          <w:rFonts w:ascii="Times New Roman" w:cs="Times New Roman" w:eastAsia="Times New Roman" w:hAnsi="Times New Roman"/>
          <w:sz w:val="20"/>
          <w:szCs w:val="20"/>
          <w:b w:val="1"/>
          <w:bCs w:val="1"/>
          <w:color w:val="auto"/>
        </w:rPr>
        <w:t>States</w:t>
      </w:r>
      <w:r>
        <w:rPr>
          <w:rFonts w:ascii="Times New Roman" w:cs="Times New Roman" w:eastAsia="Times New Roman" w:hAnsi="Times New Roman"/>
          <w:sz w:val="20"/>
          <w:szCs w:val="20"/>
          <w:color w:val="auto"/>
        </w:rPr>
        <w:t xml:space="preserve"> Equal Employment Opportunity Commission (“</w:t>
      </w:r>
      <w:r>
        <w:rPr>
          <w:rFonts w:ascii="Times New Roman" w:cs="Times New Roman" w:eastAsia="Times New Roman" w:hAnsi="Times New Roman"/>
          <w:sz w:val="20"/>
          <w:szCs w:val="20"/>
          <w:b w:val="1"/>
          <w:bCs w:val="1"/>
          <w:i w:val="1"/>
          <w:iCs w:val="1"/>
          <w:color w:val="auto"/>
        </w:rPr>
        <w:t>EEOC</w:t>
      </w:r>
      <w:r>
        <w:rPr>
          <w:rFonts w:ascii="Times New Roman" w:cs="Times New Roman" w:eastAsia="Times New Roman" w:hAnsi="Times New Roman"/>
          <w:sz w:val="20"/>
          <w:szCs w:val="20"/>
          <w:color w:val="auto"/>
        </w:rPr>
        <w:t>”), the National Labor Relations Board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45"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8" w:name="page79"/>
    <w:bookmarkEnd w:id="78"/>
    <w:p>
      <w:pPr>
        <w:jc w:val="both"/>
        <w:spacing w:after="0" w:line="268" w:lineRule="auto"/>
        <w:rPr>
          <w:sz w:val="20"/>
          <w:szCs w:val="20"/>
          <w:color w:val="auto"/>
        </w:rPr>
      </w:pPr>
      <w:r>
        <w:rPr>
          <w:rFonts w:ascii="Times New Roman" w:cs="Times New Roman" w:eastAsia="Times New Roman" w:hAnsi="Times New Roman"/>
          <w:sz w:val="20"/>
          <w:szCs w:val="20"/>
          <w:color w:val="auto"/>
        </w:rPr>
        <w:t>Company’s Chief Executive Officer; and (E) this Release shall not be effective until the date upon which the revocation period has expired, which shall be the eighth (8th) day after I execute this Release (provided that I do not revoke it).</w:t>
      </w:r>
    </w:p>
    <w:p>
      <w:pPr>
        <w:spacing w:after="0" w:line="107"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22"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1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(INDIVIDUAL AND GROUP TERMINATION – UNDER AGE 40)</w:t>
      </w:r>
    </w:p>
    <w:p>
      <w:pPr>
        <w:spacing w:after="0" w:line="323"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Certain capitalized terms used in this Release are defined in the Executive Employment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I have executed and of which this Release is a part.</w:t>
      </w:r>
    </w:p>
    <w:p>
      <w:pPr>
        <w:spacing w:after="0" w:line="1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 hereby confirm my obligations under the Confidentiality Agreement (or other comparable agreement that I have signed, if any).</w:t>
      </w:r>
    </w:p>
    <w:p>
      <w:pPr>
        <w:spacing w:after="0" w:line="161"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Times New Roman" w:cs="Times New Roman" w:eastAsia="Times New Roman" w:hAnsi="Times New Roman"/>
          <w:sz w:val="20"/>
          <w:szCs w:val="20"/>
          <w:b w:val="1"/>
          <w:bCs w:val="1"/>
          <w:i w:val="1"/>
          <w:iCs w:val="1"/>
          <w:color w:val="auto"/>
        </w:rPr>
        <w:t>EEOC</w:t>
      </w:r>
      <w:r>
        <w:rPr>
          <w:rFonts w:ascii="Times New Roman" w:cs="Times New Roman" w:eastAsia="Times New Roman" w:hAnsi="Times New Roman"/>
          <w:sz w:val="20"/>
          <w:szCs w:val="20"/>
          <w:color w:val="auto"/>
        </w:rPr>
        <w:t>”), the National Labor Relations Board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4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29"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0" w:name="page81"/>
    <w:bookmarkEnd w:id="80"/>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1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(GROUP TERMINATION – AGE 40 OR OLDER)</w:t>
      </w:r>
    </w:p>
    <w:p>
      <w:pPr>
        <w:spacing w:after="0" w:line="323"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Certain capitalized terms used in this Release are defined in the Executive Employment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I have executed and of which this Release is a part.</w:t>
      </w:r>
    </w:p>
    <w:p>
      <w:pPr>
        <w:spacing w:after="0" w:line="1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 hereby confirm my obligations under the Confidentiality Agreement (or other comparable agreement that I have signed, if any).</w:t>
      </w:r>
    </w:p>
    <w:p>
      <w:pPr>
        <w:spacing w:after="0" w:line="161"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Times New Roman" w:cs="Times New Roman" w:eastAsia="Times New Roman" w:hAnsi="Times New Roman"/>
          <w:sz w:val="20"/>
          <w:szCs w:val="20"/>
          <w:b w:val="1"/>
          <w:bCs w:val="1"/>
          <w:i w:val="1"/>
          <w:iCs w:val="1"/>
          <w:color w:val="auto"/>
        </w:rPr>
        <w:t>EEOC</w:t>
      </w:r>
      <w:r>
        <w:rPr>
          <w:rFonts w:ascii="Times New Roman" w:cs="Times New Roman" w:eastAsia="Times New Roman" w:hAnsi="Times New Roman"/>
          <w:sz w:val="20"/>
          <w:szCs w:val="20"/>
          <w:color w:val="auto"/>
        </w:rPr>
        <w:t>”), the National Labor Relations Board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45"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9"/>
          <w:szCs w:val="19"/>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 of revocation to the Company’s Chief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2" w:name="page83"/>
    <w:bookmarkEnd w:id="82"/>
    <w:p>
      <w:pPr>
        <w:jc w:val="both"/>
        <w:spacing w:after="0" w:line="249" w:lineRule="auto"/>
        <w:rPr>
          <w:sz w:val="20"/>
          <w:szCs w:val="20"/>
          <w:color w:val="auto"/>
        </w:rPr>
      </w:pPr>
      <w:r>
        <w:rPr>
          <w:rFonts w:ascii="Times New Roman" w:cs="Times New Roman" w:eastAsia="Times New Roman" w:hAnsi="Times New Roman"/>
          <w:sz w:val="20"/>
          <w:szCs w:val="20"/>
          <w:color w:val="auto"/>
        </w:rPr>
        <w:t>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24"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9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1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w:t>
      </w:r>
    </w:p>
    <w:p>
      <w:pPr>
        <w:sectPr>
          <w:pgSz w:w="11900" w:h="16838" w:orient="portrait"/>
          <w:cols w:equalWidth="0" w:num="1">
            <w:col w:w="11240"/>
          </w:cols>
          <w:pgMar w:left="320" w:top="44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Briggs W. Morrison, M.D., certify that:</w:t>
      </w:r>
    </w:p>
    <w:p>
      <w:pPr>
        <w:spacing w:after="0" w:line="225" w:lineRule="exact"/>
        <w:rPr>
          <w:sz w:val="20"/>
          <w:szCs w:val="20"/>
          <w:color w:val="auto"/>
        </w:rPr>
      </w:pPr>
    </w:p>
    <w:p>
      <w:pPr>
        <w:ind w:left="700" w:hanging="182"/>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4"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60" w:firstLine="518"/>
        <w:spacing w:after="0" w:line="281" w:lineRule="auto"/>
        <w:tabs>
          <w:tab w:leader="none" w:pos="6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00" w:firstLine="518"/>
        <w:spacing w:after="0" w:line="265" w:lineRule="auto"/>
        <w:tabs>
          <w:tab w:leader="none" w:pos="6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right="440" w:firstLine="483"/>
        <w:spacing w:after="0" w:line="265" w:lineRule="auto"/>
        <w:tabs>
          <w:tab w:leader="none" w:pos="12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180" w:firstLine="483"/>
        <w:spacing w:after="0" w:line="265" w:lineRule="auto"/>
        <w:tabs>
          <w:tab w:leader="none" w:pos="12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00" w:firstLine="483"/>
        <w:spacing w:after="0" w:line="281" w:lineRule="auto"/>
        <w:tabs>
          <w:tab w:leader="none" w:pos="12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260" w:firstLine="483"/>
        <w:spacing w:after="0" w:line="265" w:lineRule="auto"/>
        <w:tabs>
          <w:tab w:leader="none" w:pos="12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60" w:firstLine="518"/>
        <w:spacing w:after="0" w:line="281" w:lineRule="auto"/>
        <w:tabs>
          <w:tab w:leader="none" w:pos="6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20" w:firstLine="483"/>
        <w:spacing w:after="0" w:line="281" w:lineRule="auto"/>
        <w:tabs>
          <w:tab w:leader="none" w:pos="12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00" w:firstLine="483"/>
        <w:spacing w:after="0" w:line="281" w:lineRule="auto"/>
        <w:tabs>
          <w:tab w:leader="none" w:pos="12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69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By:  /s/ Briggs W. Morrison, M.D.</w:t>
            </w:r>
          </w:p>
        </w:tc>
      </w:tr>
      <w:tr>
        <w:trPr>
          <w:trHeight w:val="191"/>
        </w:trPr>
        <w:tc>
          <w:tcPr>
            <w:tcW w:w="4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Briggs W. Morrison, M.D.</w:t>
            </w:r>
          </w:p>
        </w:tc>
      </w:tr>
      <w:tr>
        <w:trPr>
          <w:trHeight w:val="216"/>
        </w:trPr>
        <w:tc>
          <w:tcPr>
            <w:tcW w:w="4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Karydas, certify that:</w:t>
      </w:r>
    </w:p>
    <w:p>
      <w:pPr>
        <w:spacing w:after="0" w:line="225" w:lineRule="exact"/>
        <w:rPr>
          <w:sz w:val="20"/>
          <w:szCs w:val="20"/>
          <w:color w:val="auto"/>
        </w:rPr>
      </w:pPr>
    </w:p>
    <w:p>
      <w:pPr>
        <w:ind w:left="700" w:hanging="182"/>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4"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60" w:firstLine="518"/>
        <w:spacing w:after="0" w:line="281"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00" w:firstLine="518"/>
        <w:spacing w:after="0" w:line="265"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right="440" w:firstLine="483"/>
        <w:spacing w:after="0" w:line="265" w:lineRule="auto"/>
        <w:tabs>
          <w:tab w:leader="none" w:pos="12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180" w:firstLine="483"/>
        <w:spacing w:after="0" w:line="265" w:lineRule="auto"/>
        <w:tabs>
          <w:tab w:leader="none" w:pos="126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00" w:firstLine="483"/>
        <w:spacing w:after="0" w:line="281" w:lineRule="auto"/>
        <w:tabs>
          <w:tab w:leader="none" w:pos="12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260" w:firstLine="483"/>
        <w:spacing w:after="0" w:line="265" w:lineRule="auto"/>
        <w:tabs>
          <w:tab w:leader="none" w:pos="126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60" w:firstLine="518"/>
        <w:spacing w:after="0" w:line="281"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20" w:firstLine="483"/>
        <w:spacing w:after="0" w:line="281" w:lineRule="auto"/>
        <w:tabs>
          <w:tab w:leader="none" w:pos="12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00" w:firstLine="483"/>
        <w:spacing w:after="0" w:line="281" w:lineRule="auto"/>
        <w:tabs>
          <w:tab w:leader="none" w:pos="126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69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Daphne Karydas</w:t>
            </w:r>
          </w:p>
        </w:tc>
      </w:tr>
      <w:tr>
        <w:trPr>
          <w:trHeight w:val="191"/>
        </w:trPr>
        <w:tc>
          <w:tcPr>
            <w:tcW w:w="4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Daphne Karydas</w:t>
            </w:r>
          </w:p>
        </w:tc>
      </w:tr>
      <w:tr>
        <w:trPr>
          <w:trHeight w:val="216"/>
        </w:trPr>
        <w:tc>
          <w:tcPr>
            <w:tcW w:w="4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50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80" w:firstLine="51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September 30, 2020, as filed with the Securities and Exchange Commission on the date hereof (the “Report”), each of the undersigned officers of the Company hereby certifies, pursuant to 18 U.S.C. Section 1350, that to his or her knowledge:</w:t>
      </w:r>
    </w:p>
    <w:p>
      <w:pPr>
        <w:spacing w:after="0" w:line="177" w:lineRule="exact"/>
        <w:rPr>
          <w:sz w:val="20"/>
          <w:szCs w:val="20"/>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00" w:right="580" w:hanging="493"/>
        <w:spacing w:after="0" w:line="28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Briggs W. Morrison, M.D.</w:t>
            </w:r>
          </w:p>
        </w:tc>
      </w:tr>
      <w:tr>
        <w:trPr>
          <w:trHeight w:val="191"/>
        </w:trPr>
        <w:tc>
          <w:tcPr>
            <w:tcW w:w="4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Briggs W. Morrison, M.D.</w:t>
            </w:r>
          </w:p>
        </w:tc>
      </w:tr>
      <w:tr>
        <w:trPr>
          <w:trHeight w:val="234"/>
        </w:trPr>
        <w:tc>
          <w:tcPr>
            <w:tcW w:w="4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1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Daphne Karydas</w:t>
            </w:r>
          </w:p>
        </w:tc>
      </w:tr>
      <w:tr>
        <w:trPr>
          <w:trHeight w:val="191"/>
        </w:trPr>
        <w:tc>
          <w:tcPr>
            <w:tcW w:w="4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Daphne Karydas</w:t>
            </w:r>
          </w:p>
        </w:tc>
      </w:tr>
      <w:tr>
        <w:trPr>
          <w:trHeight w:val="234"/>
        </w:trPr>
        <w:tc>
          <w:tcPr>
            <w:tcW w:w="4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0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upperLetter"/>
      <w:start w:val="1"/>
    </w:lvl>
  </w:abstractNum>
  <w:abstractNum w:abstractNumId="30">
    <w:nsid w:val="7724C67E"/>
    <w:multiLevelType w:val="hybridMultilevel"/>
    <w:lvl w:ilvl="0">
      <w:lvlJc w:val="left"/>
      <w:lvlText w:val="(%1)"/>
      <w:numFmt w:val="lowerLetter"/>
      <w:start w:val="2"/>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Roman"/>
      <w:start w:val="1"/>
    </w:lvl>
    <w:lvl w:ilvl="1">
      <w:lvlJc w:val="left"/>
      <w:lvlText w:val="%2)"/>
      <w:numFmt w:val="lowerLetter"/>
      <w:start w:val="1"/>
    </w:lvl>
  </w:abstractNum>
  <w:abstractNum w:abstractNumId="33">
    <w:nsid w:val="5E884ADC"/>
    <w:multiLevelType w:val="hybridMultilevel"/>
    <w:lvl w:ilvl="0">
      <w:lvlJc w:val="left"/>
      <w:lvlText w:val="(%1)"/>
      <w:numFmt w:val="lowerRoman"/>
      <w:start w:val="1"/>
    </w:lvl>
    <w:lvl w:ilvl="1">
      <w:lvlJc w:val="left"/>
      <w:lvlText w:val="%2"/>
      <w:numFmt w:val="lowerLetter"/>
      <w:start w:val="1"/>
    </w:lvl>
  </w:abstractNum>
  <w:abstractNum w:abstractNumId="34">
    <w:nsid w:val="51EAD36B"/>
    <w:multiLevelType w:val="hybridMultilevel"/>
    <w:lvl w:ilvl="0">
      <w:lvlJc w:val="left"/>
      <w:lvlText w:val="(%1)"/>
      <w:numFmt w:val="decimal"/>
      <w:start w:val="15"/>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2"/>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2"/>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86" Type="http://schemas.openxmlformats.org/officeDocument/2006/relationships/hyperlink" Target="http://www.sec.gov/Archives/edgar/data/1395937/000119312516496764/d119516dex31.htm" TargetMode="External"/><Relationship Id="rId87" Type="http://schemas.openxmlformats.org/officeDocument/2006/relationships/hyperlink" Target="http://www.sec.gov/Archives/edgar/data/1395937/000119312516496764/d119516dex32.htm" TargetMode="External"/><Relationship Id="rId88" Type="http://schemas.openxmlformats.org/officeDocument/2006/relationships/hyperlink" Target="http://www.sec.gov/Archives/edgar/data/1395937/000119312520023646/d88005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2020-11-05T16:22:12Z</dcterms:created>
  <dcterms:modified xsi:type="dcterms:W3CDTF">2020-11-05T16:22:12Z</dcterms:modified>
</cp:coreProperties>
</file>