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ndx-20250930.htm"/>
      <w:bookmarkStart w:id="1" w:name="kssndx20250930"/>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quarterly period ended September 30, 2025</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Commission File Number: 001-37708</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tbl>
      <w:tblPr>
        <w:tblW w:w="4502" w:type="dxa"/>
        <w:jc w:val="left"/>
        <w:tblInd w:w="0" w:type="dxa"/>
        <w:tblLayout w:type="fixed"/>
        <w:tblCellMar>
          <w:top w:w="28" w:type="dxa"/>
          <w:left w:w="28" w:type="dxa"/>
          <w:bottom w:w="28" w:type="dxa"/>
          <w:right w:w="28" w:type="dxa"/>
        </w:tblCellMar>
      </w:tblPr>
      <w:tblGrid>
        <w:gridCol w:w="301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32-0162505</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730 Third Avenue,</w:t>
            </w:r>
            <w:r>
              <w:rPr>
                <w:rFonts w:ascii="Times New Roman" w:hAnsi="Times New Roman"/>
                <w:color w:val="000000"/>
                <w:sz w:val="20"/>
              </w:rPr>
              <w:t xml:space="preserve"> </w:t>
            </w:r>
            <w:r>
              <w:rPr>
                <w:rFonts w:ascii="Times New Roman" w:hAnsi="Times New Roman"/>
                <w:b/>
                <w:color w:val="000000"/>
                <w:sz w:val="18"/>
              </w:rPr>
              <w:t>9th Floor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New York</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10017</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18"/>
        </w:rPr>
        <w:t>(781) 419-1400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6498" w:type="dxa"/>
        <w:jc w:val="left"/>
        <w:tblInd w:w="0" w:type="dxa"/>
        <w:tblLayout w:type="fixed"/>
        <w:tblCellMar>
          <w:top w:w="28" w:type="dxa"/>
          <w:left w:w="28" w:type="dxa"/>
          <w:bottom w:w="28" w:type="dxa"/>
          <w:right w:w="28" w:type="dxa"/>
        </w:tblCellMar>
      </w:tblPr>
      <w:tblGrid>
        <w:gridCol w:w="1456"/>
        <w:gridCol w:w="1561"/>
        <w:gridCol w:w="3481"/>
      </w:tblGrid>
      <w:tr>
        <w:trPr/>
        <w:tc>
          <w:tcPr>
            <w:tcW w:w="14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45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14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5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SNDX</w:t>
            </w:r>
          </w:p>
        </w:tc>
        <w:tc>
          <w:tcPr>
            <w:tcW w:w="3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color w:val="000000"/>
          <w:sz w:val="18"/>
        </w:rPr>
        <w:t>Yes</w:t>
      </w:r>
      <w:r>
        <w:rPr>
          <w:rFonts w:ascii="Times New Roman" w:hAnsi="Times New Roman"/>
          <w:color w:val="000000"/>
          <w:sz w:val="20"/>
        </w:rPr>
        <w:t xml:space="preserve"> ☒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hAnsi="Times New Roman"/>
          <w:b/>
          <w:color w:val="000000"/>
          <w:sz w:val="18"/>
        </w:rPr>
        <w:t>Yes</w:t>
      </w:r>
      <w:r>
        <w:rPr>
          <w:rFonts w:ascii="Times New Roman" w:hAnsi="Times New Roman"/>
          <w:color w:val="000000"/>
          <w:sz w:val="20"/>
        </w:rPr>
        <w:t xml:space="preserve"> ☒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950" w:type="dxa"/>
        <w:jc w:val="left"/>
        <w:tblInd w:w="0" w:type="dxa"/>
        <w:tblLayout w:type="fixed"/>
        <w:tblCellMar>
          <w:top w:w="28" w:type="dxa"/>
          <w:left w:w="28" w:type="dxa"/>
          <w:bottom w:w="28" w:type="dxa"/>
          <w:right w:w="28" w:type="dxa"/>
        </w:tblCellMar>
      </w:tblPr>
      <w:tblGrid>
        <w:gridCol w:w="2101"/>
        <w:gridCol w:w="316"/>
        <w:gridCol w:w="146"/>
        <w:gridCol w:w="2026"/>
        <w:gridCol w:w="361"/>
      </w:tblGrid>
      <w:tr>
        <w:trPr/>
        <w:tc>
          <w:tcPr>
            <w:tcW w:w="21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Emerging growth company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accounting standards provided pursuant to Section 13(a) of the Exchange Act.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b/>
          <w:color w:val="000000"/>
          <w:sz w:val="18"/>
        </w:rPr>
        <w:t xml:space="preserve">Yes </w:t>
      </w:r>
      <w:r>
        <w:rPr>
          <w:rFonts w:ascii="Times New Roman" w:hAnsi="Times New Roman"/>
          <w:color w:val="000000"/>
          <w:sz w:val="20"/>
        </w:rPr>
        <w:t xml:space="preserve">☐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of October 31, 2025, there were 86,914,838</w:t>
      </w:r>
      <w:r>
        <w:rPr>
          <w:rFonts w:ascii="Times New Roman" w:hAnsi="Times New Roman"/>
          <w:color w:val="000000"/>
          <w:sz w:val="20"/>
        </w:rPr>
        <w:t xml:space="preserve"> </w:t>
      </w:r>
      <w:r>
        <w:rPr>
          <w:rFonts w:ascii="Times New Roman" w:hAnsi="Times New Roman"/>
          <w:color w:val="000000"/>
          <w:sz w:val="18"/>
        </w:rPr>
        <w:t>shares of the registrant’s Common Stock, par value $0.0001 per share, outstanding.</w:t>
      </w:r>
      <w:r>
        <w:rPr>
          <w:rFonts w:ascii="Times New Roman" w:hAnsi="Times New Roman"/>
          <w:color w:val="000000"/>
          <w:sz w:val="20"/>
        </w:rPr>
        <w:t xml:space="preserve"> </w:t>
      </w:r>
    </w:p>
    <w:p>
      <w:pPr>
        <w:pStyle w:val="TextBody"/>
        <w:bidi w:val="0"/>
        <w:spacing w:before="120" w:after="283"/>
        <w:jc w:val="left"/>
        <w:rPr/>
      </w:pPr>
      <w:r>
        <w:rPr/>
        <w:t> </w:t>
      </w:r>
    </w:p>
    <w:p>
      <w:pPr>
        <w:pStyle w:val="TextBody"/>
        <w:pBdr>
          <w:bottom w:val="double" w:sz="4" w:space="1" w:color="000000"/>
        </w:pBdr>
        <w:bidi w:val="0"/>
        <w:jc w:val="left"/>
        <w:rPr>
          <w:rFonts w:ascii="Times New Roman" w:hAnsi="Times New Roman"/>
          <w:color w:val="000000"/>
          <w:sz w:val="8"/>
        </w:rPr>
      </w:pPr>
      <w:r>
        <w:rPr>
          <w:rFonts w:ascii="Times New Roman" w:hAnsi="Times New Roman"/>
          <w:color w:val="000000"/>
          <w:sz w:val="8"/>
        </w:rPr>
        <w:t>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or this Quarterly Report, contains forward-looking statements and information within the meaning of Section 27A of the Securities Act of 1933, as amended, and Section 21E of the Securities Exchange Act of 1934, as amended, which are subject to the "safe harbor" created by those sections. All statements other than statements of historical fact are “forward-looking statements” for purposes of this Quarterly Report on Form 10-Q. In some cases, you can identify forward-looking statements by terminology such as “anticipate,” “believe,” “could,” “estimate,” “expects,” “intend,” “may,” “plan,” “potential,” “predict,” “project,” “should,” “will,” “would” or the negative or plural of those terms, and similar expressions.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regarding our expenses, future revenues, anticipated capital requirements and our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cost, timing, progress and results of our research and development activities,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replicate results in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safety, efficacy or clinical utility of our product candidates as well as the potential use of our product candidates to treat various cancer indications and fibrotic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for our product candidates and the timing or likelihood of regulatory filings and approvals for such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our licenses with UCB Biopharma Sprl, and Vitae Pharmaceuticals, LLC, a subsidiary of AbbVie Inc.;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collaboration with Incyte Corporation, or Incyte, to further develop and commercialize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milestone and royalty payments under certain of our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establish and maintain for intellectual property rights covering our product candidates and our technology;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market adoption of REVUFORJ</w:t>
      </w:r>
      <w:r>
        <w:rPr>
          <w:rFonts w:ascii="Times New Roman" w:hAnsi="Times New Roman"/>
          <w:color w:val="000000"/>
          <w:sz w:val="13"/>
        </w:rPr>
        <w:t>®</w:t>
      </w:r>
      <w:r>
        <w:rPr>
          <w:color w:val="000000"/>
        </w:rPr>
        <w:t xml:space="preserve"> </w:t>
      </w:r>
      <w:r>
        <w:rPr>
          <w:rFonts w:ascii="Times New Roman" w:hAnsi="Times New Roman"/>
          <w:color w:val="000000"/>
          <w:sz w:val="20"/>
        </w:rPr>
        <w:t>(revumenib) and NIKTIMVO (axatilimab-csfr) and our other product candidates by physicians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geopolitical actions, including tariffs, war or the perception that hostilities may be imminent (such as the ongoing war between Russia and Ukraine), adverse global economic conditions, terrorism, public health crises, funding shortages at governmental and regulatory agencies on which we rely,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25"/>
        <w:gridCol w:w="420"/>
        <w:gridCol w:w="8402"/>
        <w:gridCol w:w="146"/>
        <w:gridCol w:w="512"/>
      </w:tblGrid>
      <w:tr>
        <w:trPr/>
        <w:tc>
          <w:tcPr>
            <w:tcW w:w="72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Consolidated Balance Sheets as of September 30, 2025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compre">
              <w:r>
                <w:rPr>
                  <w:rStyle w:val="InternetLink"/>
                  <w:rFonts w:ascii="Times New Roman" w:hAnsi="Times New Roman"/>
                  <w:color w:val="0000FF"/>
                  <w:sz w:val="20"/>
                  <w:u w:val="single"/>
                </w:rPr>
                <w:t>Consolidated Statements of Comprehensive Loss for the three and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soe">
              <w:r>
                <w:rPr>
                  <w:rStyle w:val="InternetLink"/>
                  <w:rFonts w:ascii="Times New Roman" w:hAnsi="Times New Roman"/>
                  <w:color w:val="0000FF"/>
                  <w:sz w:val="20"/>
                  <w:u w:val="single"/>
                </w:rPr>
                <w:t>Consolidated Statements of Changes in Stockholders' Equity for the three and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cash_f">
              <w:r>
                <w:rPr>
                  <w:rStyle w:val="InternetLink"/>
                  <w:rFonts w:ascii="Times New Roman" w:hAnsi="Times New Roman"/>
                  <w:color w:val="0000FF"/>
                  <w:sz w:val="20"/>
                  <w:u w:val="single"/>
                </w:rPr>
                <w:t>Consolidated Statements of Cash Flows for the nine months ended September 30,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5_other_info">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spacing w:before="240" w:after="283"/>
        <w:jc w:val="left"/>
        <w:rPr>
          <w:rFonts w:ascii="Times New Roman" w:hAnsi="Times New Roman"/>
          <w:color w:val="000000"/>
          <w:sz w:val="2"/>
        </w:rPr>
      </w:pPr>
      <w:r>
        <w:rPr>
          <w:rFonts w:ascii="Times New Roman" w:hAnsi="Times New Roman"/>
          <w:color w:val="000000"/>
          <w:sz w:val="2"/>
        </w:rPr>
        <w:t>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8"/>
        <w:gridCol w:w="146"/>
        <w:gridCol w:w="266"/>
        <w:gridCol w:w="1252"/>
        <w:gridCol w:w="166"/>
        <w:gridCol w:w="146"/>
        <w:gridCol w:w="259"/>
        <w:gridCol w:w="1218"/>
        <w:gridCol w:w="394"/>
      </w:tblGrid>
      <w:tr>
        <w:trPr/>
        <w:tc>
          <w:tcPr>
            <w:tcW w:w="6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154,083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418,801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603,057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724,816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royalty interest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right-of-use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capital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103,549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financing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331,565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333,143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436,692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 shares authorized; 0 shares</w:t>
              <w:br/>
              <w:t>   outstanding at September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Common stock, $0.0001 par value, 200,000,000 shares authorized; 86,905,343</w:t>
            </w:r>
            <w:r>
              <w:rPr>
                <w:rFonts w:ascii="Times New Roman" w:hAnsi="Times New Roman"/>
                <w:color w:val="FF0000"/>
                <w:sz w:val="20"/>
              </w:rPr>
              <w:br/>
            </w:r>
            <w:r>
              <w:rPr>
                <w:rFonts w:ascii="Times New Roman" w:hAnsi="Times New Roman"/>
                <w:color w:val="000000"/>
                <w:sz w:val="20"/>
              </w:rPr>
              <w:t>   and 85,694,443 shares issued and outstanding at September 30, 2025 and</w:t>
              <w:br/>
              <w:t>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1,509,110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(1,221,158</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724,816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compre"/>
      <w:bookmarkEnd w:id="5"/>
      <w:r>
        <w:rPr>
          <w:rFonts w:ascii="Times New Roman" w:hAnsi="Times New Roman"/>
          <w:b/>
          <w:color w:val="000000"/>
          <w:sz w:val="20"/>
        </w:rPr>
        <w:t>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70"/>
        <w:gridCol w:w="211"/>
        <w:gridCol w:w="1036"/>
        <w:gridCol w:w="166"/>
        <w:gridCol w:w="146"/>
        <w:gridCol w:w="211"/>
        <w:gridCol w:w="1036"/>
        <w:gridCol w:w="366"/>
        <w:gridCol w:w="346"/>
        <w:gridCol w:w="211"/>
        <w:gridCol w:w="1036"/>
        <w:gridCol w:w="166"/>
        <w:gridCol w:w="146"/>
        <w:gridCol w:w="211"/>
        <w:gridCol w:w="1036"/>
        <w:gridCol w:w="411"/>
      </w:tblGrid>
      <w:tr>
        <w:trPr/>
        <w:tc>
          <w:tcPr>
            <w:tcW w:w="3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Milestone and license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31,106</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103,297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102,077</w:t>
            </w:r>
          </w:p>
        </w:tc>
        <w:tc>
          <w:tcPr>
            <w:tcW w:w="3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259,307</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(84,126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on marketable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(82,938</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share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used in calculating:</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share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86,620,992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85,433,569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86,531,218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85,307,660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solidated_soe"/>
      <w:bookmarkEnd w:id="6"/>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94"/>
        <w:gridCol w:w="146"/>
        <w:gridCol w:w="146"/>
        <w:gridCol w:w="1036"/>
        <w:gridCol w:w="146"/>
        <w:gridCol w:w="146"/>
        <w:gridCol w:w="261"/>
        <w:gridCol w:w="430"/>
        <w:gridCol w:w="146"/>
        <w:gridCol w:w="146"/>
        <w:gridCol w:w="211"/>
        <w:gridCol w:w="931"/>
        <w:gridCol w:w="166"/>
        <w:gridCol w:w="146"/>
        <w:gridCol w:w="311"/>
        <w:gridCol w:w="710"/>
        <w:gridCol w:w="166"/>
        <w:gridCol w:w="146"/>
        <w:gridCol w:w="211"/>
        <w:gridCol w:w="991"/>
        <w:gridCol w:w="166"/>
        <w:gridCol w:w="146"/>
        <w:gridCol w:w="233"/>
        <w:gridCol w:w="863"/>
        <w:gridCol w:w="211"/>
      </w:tblGrid>
      <w:tr>
        <w:trPr/>
        <w:tc>
          <w:tcPr>
            <w:tcW w:w="1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9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br/>
              <w:t>$0.0001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85,694,443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86,047,032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86,059,077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86,905,343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8"/>
        <w:gridCol w:w="146"/>
        <w:gridCol w:w="146"/>
        <w:gridCol w:w="1036"/>
        <w:gridCol w:w="146"/>
        <w:gridCol w:w="146"/>
        <w:gridCol w:w="261"/>
        <w:gridCol w:w="430"/>
        <w:gridCol w:w="146"/>
        <w:gridCol w:w="146"/>
        <w:gridCol w:w="211"/>
        <w:gridCol w:w="931"/>
        <w:gridCol w:w="146"/>
        <w:gridCol w:w="146"/>
        <w:gridCol w:w="275"/>
        <w:gridCol w:w="746"/>
        <w:gridCol w:w="166"/>
        <w:gridCol w:w="146"/>
        <w:gridCol w:w="211"/>
        <w:gridCol w:w="991"/>
        <w:gridCol w:w="166"/>
        <w:gridCol w:w="146"/>
        <w:gridCol w:w="211"/>
        <w:gridCol w:w="781"/>
        <w:gridCol w:w="211"/>
      </w:tblGrid>
      <w:tr>
        <w:trPr/>
        <w:tc>
          <w:tcPr>
            <w:tcW w:w="2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br/>
              <w:t>$0.0001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84,826,632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84,979,686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 value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85,028,629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85,285,488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482"/>
        <w:gridCol w:w="146"/>
        <w:gridCol w:w="225"/>
        <w:gridCol w:w="900"/>
        <w:gridCol w:w="177"/>
        <w:gridCol w:w="155"/>
        <w:gridCol w:w="225"/>
        <w:gridCol w:w="900"/>
        <w:gridCol w:w="995"/>
      </w:tblGrid>
      <w:tr>
        <w:trPr/>
        <w:tc>
          <w:tcPr>
            <w:tcW w:w="6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(217,408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(224,589</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30,729</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(11,567</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Collaboration (payable)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7,484</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(217,515</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 and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(132,691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(180,738</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sales and 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341,280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229,936</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208,458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49,198</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7,759</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(162,375</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154,300</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295,611</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117,025</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133,236</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SYNDAX PHARMACEUTICALS, INC.</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8" w:name="notes_to_consolidated_financial_statemen"/>
      <w:bookmarkEnd w:id="8"/>
      <w:r>
        <w:rPr>
          <w:rFonts w:ascii="Times New Roman" w:hAnsi="Times New Roman"/>
          <w:b/>
          <w:color w:val="000000"/>
          <w:sz w:val="20"/>
        </w:rPr>
        <w:t>1. 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Syndax Pharmaceuticals, Inc. is a commercial-stage biopharmaceutical company advancing innovative cancer therapies. We currently have two commercially approved products and a robust slate of clinical development programs. We were incorporated in Delaware in 2005. We have operations in New York, NY, and we operate in one segment. References in these notes to unaudited consolidated financial statements to “Syndax,” “the Company,” “we,” “us” or “our” refer to Syndax Pharmaceuticals, Inc. and its wholly owned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revenue generation from Revuforj and Niktimvo; obtaining regulatory approval of additional indications for our approved products;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2. Basis of Presentation </w:t>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unaudited consolidated financial statements have been prepared in conformity with U.S. generally accepted accounting principles, or U.S. GAAP. Any reference in these notes to applicable guidance is meant to refer to U.S. GAAP as found in the Accounting Standards Codification, or ASC, and Accounting Standards Updates, or ASU, of the Financial Accounting Standards Board, or FASB.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prior amounts reported in the accompanying consolidated financial statements and notes thereto have been reclassified to conform to the current year presentation. Specifically, the change in royalty payable presented within the consolidated balance sheet for the period ended December 31, 2024, of $0.3 million was originally reported within the caption royalty payable and has been separately presented in the comparative presentation. For the period ended September 30, 2025, the royalty payable to AbbVie and UCB, based on net sales of Revuforj and Niktimvo, is included in accrued expenses and other current liabilities. Such reclassification did not affect loss from operations, total assets, total liabilities, cash used in operations, or net loss.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opinion of management, the accompanying unaudited interim financial statements include all normal and recurring adjustments (which consist primarily of accruals and estimates that impact the financial statements) considered necessary to present fairly the Company’s financial position as of September 30, 2025 and its results of operations for the three and nine months ended September 30, 2025 and 2024 and cash flows for the nine months ended September 30, 2025 and 2024. Operating results for the three and nine months ended September 30, 2025 are not necessarily indicative of the results that may be expected for the year ending December 31, 2025. The unaudited interim financial statements presented herein do not contain the required disclosures under U.S. GAAP for annual financial statements. The accompanying unaudited interim financial statements should be read in conjunction with the annual audited financial statements and related notes as of and for the year ended December 31, 2024 contained in the Company’s annual report on Form 10-K, filed with the Securities and Exchange Commission, or SEC, on March 3,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2011, the Company established a wholly owned subsidiary in the United Kingdom, which the Company dissolved in June 2024. In 2014, the Company established a wholly owned U.S. subsidiary, which the Company dissolved in July 2025. In 2021, the Company established a wholly owned subsidiary in the Netherlands. To date, there have been no material activities for these entities. All intercompany balances and transactions have been eliminated in consolidation.</w:t>
      </w:r>
    </w:p>
    <w:p>
      <w:pPr>
        <w:pStyle w:val="TextBody"/>
        <w:bidi w:val="0"/>
        <w:spacing w:before="360" w:after="283"/>
        <w:jc w:val="left"/>
        <w:rPr>
          <w:rFonts w:ascii="Times New Roman" w:hAnsi="Times New Roman"/>
          <w:sz w:val="20"/>
        </w:rPr>
      </w:pPr>
      <w:r>
        <w:rPr>
          <w:rFonts w:ascii="Times New Roman" w:hAnsi="Times New Roman"/>
          <w:b/>
          <w:color w:val="000000"/>
          <w:sz w:val="20"/>
        </w:rPr>
        <w:t>3.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which are disclosed in the audited consolidated financial statements for the year ended December 31, 2024, and the notes thereto are included in the Company’s Annual Report on Form 10-K that was filed with the SEC on March 3, 2025. Since the date of filing, there have been no material changes to the Company’s significant accounting policies, except as noted below.</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unaudited consolidated financial statements in conformity with U.S. GAAP requires management to make estimates and assumptions that affect the reported amounts of assets and liabilities and the disclosure of contingent assets and liabilities at the date of the unaudited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and assumptions about future events and their effects cannot be determined with certainty and therefore require the exercise of judgment. As of the date of issuance of these unaudited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unaudited consolidated financial statements as soon as they become known. Actual results could differ from those estimates and any such differences may be material to the Company’s unaudited consolidated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accordance with Topic ASC 270, </w:t>
      </w:r>
      <w:r>
        <w:rPr>
          <w:rFonts w:ascii="Times New Roman" w:hAnsi="Times New Roman"/>
          <w:i/>
          <w:color w:val="000000"/>
          <w:sz w:val="20"/>
        </w:rPr>
        <w:t>Interim Reporting</w:t>
      </w:r>
      <w:r>
        <w:rPr>
          <w:rFonts w:ascii="Times New Roman" w:hAnsi="Times New Roman"/>
          <w:color w:val="000000"/>
          <w:sz w:val="20"/>
        </w:rPr>
        <w:t xml:space="preserve">, and Topic ASC 740, </w:t>
      </w:r>
      <w:r>
        <w:rPr>
          <w:rFonts w:ascii="Times New Roman" w:hAnsi="Times New Roman"/>
          <w:i/>
          <w:color w:val="000000"/>
          <w:sz w:val="20"/>
        </w:rPr>
        <w:t>Income Taxes</w:t>
      </w:r>
      <w:r>
        <w:rPr>
          <w:rFonts w:ascii="Times New Roman" w:hAnsi="Times New Roman"/>
          <w:color w:val="000000"/>
          <w:sz w:val="20"/>
        </w:rPr>
        <w:t>, the Company is required at the end of each interim period to determine the best estimate of its annual effective tax rate and then apply that rate in providing for income taxes on a current year-to-date (interim period) basis. For the nine months ended September 30, 2025 and 2024, the Company recorded no tax expense or benefit due to the expected current year loss and its historical losses. As of September 30, 2025 and December 31, 2024, the Company concluded that a full valuation allowance would be necessary for all of its net deferred tax assets. The Company had no amounts recorded for uncertain tax positions, interest or penalties in the accompanying unaudited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July 4, 2025, the One Big Beautiful Bill Act, or OBBBA, was enacted in the United States. The OBBBA includes significant changes to the Internal Revenue Code of 1986, or the Tax Code, such as the permanent extension of certain expiring provisions of the Tax Cuts and Jobs Act of 2017, or the TCJA, modifications to certain aspects of the international tax framework and the restoration of favorable tax treatment for certain business expense provisions. The OBBBA introduced several U.S. tax law changes, including the ability to immediately expense domestic research and experimental, or R&amp;E, expenditures starting in 2025, and an election to accelerate any unamortized domestic R&amp;E expenditures over a one or two year period beginning with the 2025 tax year. In accordance with ASC 740, </w:t>
      </w:r>
      <w:r>
        <w:rPr>
          <w:rFonts w:ascii="Times New Roman" w:hAnsi="Times New Roman"/>
          <w:i/>
          <w:color w:val="000000"/>
          <w:sz w:val="20"/>
        </w:rPr>
        <w:t>Accounting for Income Taxes</w:t>
      </w:r>
      <w:r>
        <w:rPr>
          <w:rFonts w:ascii="Times New Roman" w:hAnsi="Times New Roman"/>
          <w:color w:val="000000"/>
          <w:sz w:val="20"/>
        </w:rPr>
        <w:t>, the impacts of the OBBBA did not affect the Company’s U.S. deferred tax assets or liabilities, as the Company continues to maintain a full valuation allowance against those balances</w:t>
      </w: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comprehensive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Comprehensive loss consists of two components, net loss and other comprehensive loss, net of tax. The Company’s other comprehensive loss, net of tax, consists of unrealized gains (losses) on the Company’s investments.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Collaboration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2021, the Company entered into the Incyte License and Collaboration Agreement, or the Incyte License, with Incyte Corporation, or Incyte, covering the worldwide development and commercialization of axatilimab. In August 2024, the U.S. Food and Drug Administration, or FDA, approved Niktimvo for the treatment of chronic graft-versus host disease, or cGVHD, after failure of at least two prior lines of systemic therapy in adult and pediatric patients weighing at least 40 kg (88.2 lbs). See Note 4 — Significant Collaborative Research and License Agreements — Incyte Collaboration for further details on the Incyte License and Collaboration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accordance with Topic ASC 808, </w:t>
      </w:r>
      <w:r>
        <w:rPr>
          <w:rFonts w:ascii="Times New Roman" w:hAnsi="Times New Roman"/>
          <w:i/>
          <w:color w:val="000000"/>
          <w:sz w:val="20"/>
        </w:rPr>
        <w:t>Collaboration Arrangements,</w:t>
      </w:r>
      <w:r>
        <w:rPr>
          <w:rFonts w:ascii="Times New Roman" w:hAnsi="Times New Roman"/>
          <w:color w:val="000000"/>
          <w:sz w:val="20"/>
        </w:rPr>
        <w:t xml:space="preserve"> Incyte has been identified as the principal in product sales, therefore, the Company will recognize its share of any profits or losses in the amount of net product sales less cost of goods sold and shared commercial costs, royalties and other expenses, in the period in which the underlying sales and costs are recognized. The Company’s share of net profits in connection with commercialization of products will be presented as “Collaboration revenue, net” and its share of net losses will be presented as “Collaboration loss” within operating expenses. The year to date “Collaboration revenue, net” or “Collaboration loss” will be presented as the net cumulative amount for all periods reported on in the financial statements. The Company will continue to recognize the costs associated with ongoing development services in the R&amp;D operating expense line, including any cost-sharing components with Incyte.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accounting standard setting bodies that we adopt as of the specified effective date. Unless otherwise discussed below, we do not believe that the adoption of recently issued standards have or may have a material impact on our unaudited consolidated financial statements or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 (ASU “2024-03”)</w:t>
      </w:r>
      <w:r>
        <w:rPr>
          <w:rFonts w:ascii="Times New Roman" w:hAnsi="Times New Roman"/>
          <w:color w:val="000000"/>
          <w:sz w:val="20"/>
        </w:rPr>
        <w:t>. Among other items, the requirements include expanded disclosures around employee compensation and selling expenses. ASU 2024-03 will be effective for the Company for the year ending December 31, 2027. The Company is still evaluating the impact of this new guidance on its unaudited consolidated financial statements but expects the adoption to result in disclosure changes only.</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Significant Collaborative Research and License Agreements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Incyte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the Company entered into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are co-commercializing and co-promoting axatilimab as Niktimvo (axatilimab-csfr). The Company and Incyte share equally the profits and losses from co-commercialization efforts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Incyte have agreed to continue to co-develop axatilimab and to share development costs associated with global and additional U.S.-specific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post-marketing authorization sale of a licensed product in that country, and (c) the expiration of any regulatory exclusivity for that licensed product in that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2024, the FDA approved Niktimvo for the treatment of cGVHD after failure of at least two prior lines of systemic therapy in adult and pediatric patients weighing at least 40 kg (88.2 lbs).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the Company has recognized collaboration revenue of $13.9 million and $23.0 million, respectively. As of September 30, 2025, the Company has recorded approximately $20.9 million as a collaboration receivable due from Incyte related to the Collaboration revenue and the Company’s development and pre-commercialization costs under the Incyte Agreements and has recorded approximately $5.2 million as a collaboration payable due to Incyte for development and pre-commercialization costs incurred by Incyte, research and development expense and cost offset are recorded as part of operating expenses. The Company’s share of Collaboration profit or loss is based on net sales of Niktimvo and the collaborative commercialization expenses.</w:t>
      </w:r>
    </w:p>
    <w:p>
      <w:pPr>
        <w:pStyle w:val="TextBody"/>
        <w:bidi w:val="0"/>
        <w:spacing w:before="120" w:after="283"/>
        <w:jc w:val="left"/>
        <w:rPr>
          <w:rFonts w:ascii="Times New Roman" w:hAnsi="Times New Roman"/>
          <w:sz w:val="20"/>
        </w:rPr>
      </w:pPr>
      <w:r>
        <w:rPr>
          <w:rFonts w:ascii="Times New Roman" w:hAnsi="Times New Roman"/>
          <w:b/>
          <w:color w:val="000000"/>
          <w:sz w:val="20"/>
        </w:rPr>
        <w:t>Vitae Pharmaceuticals,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2017, the Company entered into a license agreement, or the Vitae License Agreement, with Vitae Pharmaceuticals, Inc., or Vitae, a subsidiary of AbbVie, Inc., or AbbVie, under which the Company was granted an exclusive, sublicensable, worldwide license to a portfolio of preclinical, orally available, small molecule inhibitors of the Menin–KMT2A binding interaction, or the Menin Assets. Upon execution of the Vitae License Agreement, the Company agreed to pay Allergan (the predecessor in interest to AbbVie) up to $99.0 million in one-time development and regulatory milestone payments over the term of the Vitae License Agreement, subject to the achievement of certain milestone events. In the event that the Company or any of its affiliates or sublicensees commercializes the Menin Assets, the Company will also be obligated to pay Vitae low single to low double-digit percentage royalties on sales, subject to reduction in certain circumstances, as well as up to an aggregate of $70.0 million in potential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one-time, sales-based milestone payments based on achievement of certain annual sales thresholds. The Company is solely responsible for the development and commercialization of the Menin Assets. Each party may terminate the Vitae License Agreement for the other party’s uncured material breach or insolvency, and the Company may terminate the Vitae License Agreement at any time upon advance written notice to Vitae. Vitae may terminate the Vitae License Agreement if the Company or any of its affiliates or sublicensees institutes a legal challenge to the validity, enforceability, or patentability of the licensed patent rights. Unless terminated earlier in accordance with its terms, the Vitae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the Vitae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the second quarter of 2025 the Company submitted a supplemental New Drug Application to the FDA for a second indication for Revuforj. As a result, an expense of $5.0 million was recognized under the Vitae License Agreement for the successful completion of the first pivotal trial of a second indication for Revuforj. Since the inception of the Vitae License Agreement, we have recognized, in the aggregate, $31.0 million of expense for the achievement of development and regulatory milestones. AbbVie is eligible to receive up to $68.0 million of additional future contingent development and regulatory milestones. The Company has not recognized any expense for the achievement of sales-based milestones since the inception of the Vitae License Agreement.</w:t>
      </w:r>
    </w:p>
    <w:p>
      <w:pPr>
        <w:pStyle w:val="TextBody"/>
        <w:bidi w:val="0"/>
        <w:spacing w:before="240" w:after="283"/>
        <w:jc w:val="left"/>
        <w:rPr>
          <w:rFonts w:ascii="Times New Roman" w:hAnsi="Times New Roman"/>
          <w:sz w:val="20"/>
        </w:rPr>
      </w:pPr>
      <w:r>
        <w:rPr>
          <w:rFonts w:ascii="Times New Roman" w:hAnsi="Times New Roman"/>
          <w:b/>
          <w:color w:val="000000"/>
          <w:sz w:val="20"/>
        </w:rPr>
        <w:t>UCB Biopharma Sprl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2016, the Company entered into a license agreement, or the UCB License Agreement, as amended from time to time, with UCB Biopharma Sprl, or UCB, under which UCB granted to the Company a worldwide, sublicensable, exclusive license to UCB6352, which the Company refers to as axatilimab, an anti-CSF-1R monoclonal antibody. Upon execution of the agreement, the Company agreed to pay UCB up to $119.5 million in one-time development and regulatory milestone payments over the term of the UCB License Agreement, subject to the achievement of certain milestone events. In the event that the Company or any of its affiliates or sublicensees commercializes axatilimab, the Company will also be obligated to pay UCB low double-digit percentage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was responsible for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In connection with its most recent amendment of the UCB License Agreement, in the second quarter of 2022 the Company paid UCB $5.8 million, which was recognized as a milestone expense. In the first quarter of 2025, the Company paid a $10.0 million milestone as a result of the first patient dosed in a Phase III Study with the licensed compound in a combination with another agent for any indication. Since the inception of the agreement, we have recognized in the aggregate, $41.0 million of expense for the achievement of development and regulatory milestones. UCB is eligible to receive up to $78.5 million of additional future contingent development and regulatory milestones. The Company has not recognized any expense for the achievement of sales-based milestones since the inception of the agreement.</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 </w:t>
      </w:r>
    </w:p>
    <w:p>
      <w:pPr>
        <w:pStyle w:val="TextBody"/>
        <w:bidi w:val="0"/>
        <w:spacing w:before="120" w:after="283"/>
        <w:jc w:val="left"/>
        <w:rPr/>
      </w:pPr>
      <w:r>
        <w:rPr/>
        <w:t> </w:t>
      </w:r>
    </w:p>
    <w:tbl>
      <w:tblPr>
        <w:tblW w:w="10141" w:type="dxa"/>
        <w:jc w:val="left"/>
        <w:tblInd w:w="0" w:type="dxa"/>
        <w:tblLayout w:type="fixed"/>
        <w:tblCellMar>
          <w:top w:w="28" w:type="dxa"/>
          <w:left w:w="28" w:type="dxa"/>
          <w:bottom w:w="28" w:type="dxa"/>
          <w:right w:w="28" w:type="dxa"/>
        </w:tblCellMar>
      </w:tblPr>
      <w:tblGrid>
        <w:gridCol w:w="4006"/>
        <w:gridCol w:w="211"/>
        <w:gridCol w:w="1036"/>
        <w:gridCol w:w="166"/>
        <w:gridCol w:w="146"/>
        <w:gridCol w:w="211"/>
        <w:gridCol w:w="1036"/>
        <w:gridCol w:w="166"/>
        <w:gridCol w:w="146"/>
        <w:gridCol w:w="211"/>
        <w:gridCol w:w="1036"/>
        <w:gridCol w:w="166"/>
        <w:gridCol w:w="146"/>
        <w:gridCol w:w="211"/>
        <w:gridCol w:w="103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w:t>
              <w:br/>
              <w:t>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w:t>
              <w:br/>
              <w:t>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Numerator—basic and diluted:</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w:t>
              <w:br/>
              <w:t>   stockholders—basic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w:t>
              <w:br/>
              <w:t>   stockholders—basic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Denominator—basic and diluted:</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common shares </w:t>
              <w:br/>
              <w:t>   used to compute net loss per share attributable</w:t>
              <w:br/>
              <w:t>   to common stockholders—basic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86,620,992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85,433,569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86,531,218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85,307,660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potentially dilutive securities have been excluded from the computation of diluted weighted-average shares outstanding because such securities have an antidilutive impact due to losses reported (in common stock equivalent shares): </w:t>
      </w:r>
    </w:p>
    <w:tbl>
      <w:tblPr>
        <w:tblW w:w="6384" w:type="dxa"/>
        <w:jc w:val="left"/>
        <w:tblInd w:w="0" w:type="dxa"/>
        <w:tblLayout w:type="fixed"/>
        <w:tblCellMar>
          <w:top w:w="28" w:type="dxa"/>
          <w:left w:w="28" w:type="dxa"/>
          <w:bottom w:w="28" w:type="dxa"/>
          <w:right w:w="28" w:type="dxa"/>
        </w:tblCellMar>
      </w:tblPr>
      <w:tblGrid>
        <w:gridCol w:w="3391"/>
        <w:gridCol w:w="146"/>
        <w:gridCol w:w="146"/>
        <w:gridCol w:w="1036"/>
        <w:gridCol w:w="146"/>
        <w:gridCol w:w="146"/>
        <w:gridCol w:w="146"/>
        <w:gridCol w:w="1036"/>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13,506,676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12,205,960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1,461,005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related to the Company’s common stock see Note 12 — Stock Based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Other Receivables,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2024, entinostat received marketing approval in China, and as a result, the Company recorded $3.5 million of milestone revenue in 2024. As of September 30, 2025, the Company had recorded a $3.7 million receivable related to milestones (plus accrued interest) under the license agreement with Eddingpharm. As the receivable remains outstanding, the Company has recorded a full reserve against the asset as a selling, general and administrative expense as of September, 30, 2025. </w:t>
      </w:r>
    </w:p>
    <w:p>
      <w:pPr>
        <w:pStyle w:val="TextBody"/>
        <w:bidi w:val="0"/>
        <w:spacing w:before="360" w:after="283"/>
        <w:jc w:val="left"/>
        <w:rPr>
          <w:rFonts w:ascii="Times New Roman" w:hAnsi="Times New Roman"/>
          <w:sz w:val="20"/>
        </w:rPr>
      </w:pPr>
      <w:r>
        <w:rPr>
          <w:rFonts w:ascii="Times New Roman" w:hAnsi="Times New Roman"/>
          <w:b/>
          <w:color w:val="000000"/>
          <w:sz w:val="20"/>
        </w:rPr>
        <w:t>7.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Quoted prices (unadjusted) in active markets that are accessible at the market date for identical unrestricted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Unobservable inputs that are supported by little or no market activity and that are significant to the fair value of the assets or liabilities.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presents information about the Company’s assets and liabilities that are regularly measured and carried at fair value and indicate the level within the fair value hierarchy of valuation techniques the Company utilized to determine such fair values (in thousands): </w:t>
      </w:r>
    </w:p>
    <w:tbl>
      <w:tblPr>
        <w:tblW w:w="8179" w:type="dxa"/>
        <w:jc w:val="left"/>
        <w:tblInd w:w="0" w:type="dxa"/>
        <w:tblLayout w:type="fixed"/>
        <w:tblCellMar>
          <w:top w:w="28" w:type="dxa"/>
          <w:left w:w="28" w:type="dxa"/>
          <w:bottom w:w="28" w:type="dxa"/>
          <w:right w:w="28" w:type="dxa"/>
        </w:tblCellMar>
      </w:tblPr>
      <w:tblGrid>
        <w:gridCol w:w="2466"/>
        <w:gridCol w:w="146"/>
        <w:gridCol w:w="211"/>
        <w:gridCol w:w="781"/>
        <w:gridCol w:w="146"/>
        <w:gridCol w:w="146"/>
        <w:gridCol w:w="217"/>
        <w:gridCol w:w="803"/>
        <w:gridCol w:w="146"/>
        <w:gridCol w:w="146"/>
        <w:gridCol w:w="211"/>
        <w:gridCol w:w="781"/>
        <w:gridCol w:w="146"/>
        <w:gridCol w:w="146"/>
        <w:gridCol w:w="414"/>
        <w:gridCol w:w="682"/>
        <w:gridCol w:w="591"/>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(unadjusted)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material impairments of our assets measured and carried at fair value during the periods ended September 30, 2025 and 2024. In addition, there have been no changes in valuation techniques during the periods ended September 30, 2025 and 2024. The fair value of Level 1 instruments classified as cash equivalents are valued using quoted market prices in active markets. The fair value of Level 2 instruments classified as short and long-term investments are determined based on quoted prices in active markets, which are either directly or indirectly observable as of the reporting date with fair value being determined using models or other valuation methodologies.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short and long-term investments are classified as available-for-sale securities. As of September 30, 2025, the remaining contractual maturities of the available-for-sale securities were 1 to 14 months, and the balance in the Company’s accumulated other comprehensive gain was comprised solely of activity related to the Company’s available-for-sale securities. There were no realized gains or losses recognized on the sale or maturity of available-for-sale securities, during the three and nine months ended September 30, 2025 and 2024. As a result, the Company did not reclassify any amounts out of accumulated other comprehensive gain for the same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available-for-sale securities: </w:t>
      </w:r>
    </w:p>
    <w:p>
      <w:pPr>
        <w:pStyle w:val="TextBody"/>
        <w:bidi w:val="0"/>
        <w:spacing w:before="240" w:after="283"/>
        <w:jc w:val="left"/>
        <w:rPr/>
      </w:pPr>
      <w:r>
        <w:rPr/>
        <w:t> </w:t>
      </w:r>
    </w:p>
    <w:tbl>
      <w:tblPr>
        <w:tblW w:w="6995" w:type="dxa"/>
        <w:jc w:val="left"/>
        <w:tblInd w:w="0" w:type="dxa"/>
        <w:tblLayout w:type="fixed"/>
        <w:tblCellMar>
          <w:top w:w="28" w:type="dxa"/>
          <w:left w:w="28" w:type="dxa"/>
          <w:bottom w:w="28" w:type="dxa"/>
          <w:right w:w="28" w:type="dxa"/>
        </w:tblCellMar>
      </w:tblPr>
      <w:tblGrid>
        <w:gridCol w:w="1806"/>
        <w:gridCol w:w="146"/>
        <w:gridCol w:w="211"/>
        <w:gridCol w:w="781"/>
        <w:gridCol w:w="146"/>
        <w:gridCol w:w="146"/>
        <w:gridCol w:w="295"/>
        <w:gridCol w:w="591"/>
        <w:gridCol w:w="146"/>
        <w:gridCol w:w="146"/>
        <w:gridCol w:w="318"/>
        <w:gridCol w:w="568"/>
        <w:gridCol w:w="166"/>
        <w:gridCol w:w="146"/>
        <w:gridCol w:w="211"/>
        <w:gridCol w:w="781"/>
        <w:gridCol w:w="391"/>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tbl>
      <w:tblPr>
        <w:tblW w:w="8055" w:type="dxa"/>
        <w:jc w:val="left"/>
        <w:tblInd w:w="0" w:type="dxa"/>
        <w:tblLayout w:type="fixed"/>
        <w:tblCellMar>
          <w:top w:w="28" w:type="dxa"/>
          <w:left w:w="28" w:type="dxa"/>
          <w:bottom w:w="28" w:type="dxa"/>
          <w:right w:w="28" w:type="dxa"/>
        </w:tblCellMar>
      </w:tblPr>
      <w:tblGrid>
        <w:gridCol w:w="3931"/>
        <w:gridCol w:w="146"/>
        <w:gridCol w:w="477"/>
        <w:gridCol w:w="1293"/>
        <w:gridCol w:w="146"/>
        <w:gridCol w:w="146"/>
        <w:gridCol w:w="465"/>
        <w:gridCol w:w="1260"/>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state and local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Inventory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Inventory consisted of the following (in thousands):</w:t>
      </w:r>
    </w:p>
    <w:p>
      <w:pPr>
        <w:pStyle w:val="TextBody"/>
        <w:bidi w:val="0"/>
        <w:jc w:val="left"/>
        <w:rPr/>
      </w:pPr>
      <w:r>
        <w:rPr/>
        <w:t> </w:t>
      </w:r>
    </w:p>
    <w:tbl>
      <w:tblPr>
        <w:tblW w:w="5580" w:type="dxa"/>
        <w:jc w:val="left"/>
        <w:tblInd w:w="0" w:type="dxa"/>
        <w:tblLayout w:type="fixed"/>
        <w:tblCellMar>
          <w:top w:w="28" w:type="dxa"/>
          <w:left w:w="28" w:type="dxa"/>
          <w:bottom w:w="28" w:type="dxa"/>
          <w:right w:w="28" w:type="dxa"/>
        </w:tblCellMar>
      </w:tblPr>
      <w:tblGrid>
        <w:gridCol w:w="1456"/>
        <w:gridCol w:w="146"/>
        <w:gridCol w:w="420"/>
        <w:gridCol w:w="1350"/>
        <w:gridCol w:w="146"/>
        <w:gridCol w:w="146"/>
        <w:gridCol w:w="574"/>
        <w:gridCol w:w="115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are stated at the lower of cost or net realizable value, as determined on a first-in, first-out basis.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Accrued Expenses and Other Current Liabilities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8385" w:type="dxa"/>
        <w:jc w:val="left"/>
        <w:tblInd w:w="0" w:type="dxa"/>
        <w:tblLayout w:type="fixed"/>
        <w:tblCellMar>
          <w:top w:w="28" w:type="dxa"/>
          <w:left w:w="28" w:type="dxa"/>
          <w:bottom w:w="28" w:type="dxa"/>
          <w:right w:w="28" w:type="dxa"/>
        </w:tblCellMar>
      </w:tblPr>
      <w:tblGrid>
        <w:gridCol w:w="4261"/>
        <w:gridCol w:w="146"/>
        <w:gridCol w:w="420"/>
        <w:gridCol w:w="1350"/>
        <w:gridCol w:w="146"/>
        <w:gridCol w:w="146"/>
        <w:gridCol w:w="409"/>
        <w:gridCol w:w="131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study and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selling, general, and administrative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milestone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royalty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royalty interest financing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Royalty Interest Financing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4, 2024, the Company entered into a Purchase and Sale Agreement, or the Purchase and Sale Agreement, with Royalty Pharma Development Funding, LLC, or Royalty Pharma, pursuant to which Royalty Pharma purchased rights to certain revenue streams from net sales of products comprising or containing axatilimab (including Niktimvo) by the Company, its affiliates and its licensees in the United States and its respective territories, districts, commonwealths and possessions (including Guam and Puerto Rico) in exchange for an upfront fee of $350 million.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Purchase and Sale Agreement, Royalty Pharma purchased the right to receive a percentage of net sales equal to a royalty rate of 13.8% on quarterly net sales of Niktimvo in the United States and its respective territories; provided that the royalty rate is subject to certain adjustments based on future aggregate net sales of the product in the United States and its respective territories, or the Revenue Participation Right. Aggregate payments made to Royalty Pharma in respect of the Revenue Participation Right will be capped at $822.5 million, or the Royalty Cap. </w:t>
      </w:r>
    </w:p>
    <w:p>
      <w:pPr>
        <w:pStyle w:val="TextBody"/>
        <w:bidi w:val="0"/>
        <w:jc w:val="left"/>
        <w:rPr>
          <w:rFonts w:ascii="Times New Roman" w:hAnsi="Times New Roman"/>
          <w:color w:val="000000"/>
          <w:sz w:val="20"/>
        </w:rPr>
      </w:pPr>
      <w:r>
        <w:rPr>
          <w:rFonts w:ascii="Times New Roman" w:hAnsi="Times New Roman"/>
          <w:color w:val="000000"/>
          <w:sz w:val="20"/>
        </w:rPr>
        <w:t xml:space="preserve">The Purchase and Sale Agreement contains customary representations, warranties and indemnities of the Company and Royalty Pharma and customary covenants relating to the royalty payments, including the grant of a back-up security interest in the purchased royalties and certain assets related to the product and restrictions on the incurrence of additional indebtedness and on the existence of liens on the Company’s assets related to the product.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Upon a change of control, the Company will have the right, but not the obligation, to repurchase the Revenue Participation Right at a repurchase price set forth in the Purchase and Sale Agreement. In addition, the Purchase and Sale Agreement provides that if certain events of default occur, including certain bankruptcy events or certain termination events with respect to the Company’s license agreement with UCB Biopharma Srl, Royalty Pharma may require the Company to repurchase Royalty Pharma’s interests in the Revenue Participation Right at a repurchase price equal to the Royalty Cap.</w:t>
      </w:r>
    </w:p>
    <w:p>
      <w:pPr>
        <w:pStyle w:val="TextBody"/>
        <w:bidi w:val="0"/>
        <w:jc w:val="left"/>
        <w:rPr>
          <w:rFonts w:ascii="Times New Roman" w:hAnsi="Times New Roman"/>
          <w:sz w:val="20"/>
        </w:rPr>
      </w:pPr>
      <w:r>
        <w:rPr>
          <w:rFonts w:ascii="Times New Roman" w:hAnsi="Times New Roman"/>
          <w:color w:val="000000"/>
          <w:sz w:val="20"/>
        </w:rPr>
        <w:t xml:space="preserve">The Company assessed the Purchase and Sale Agreement and identified it as a sale of future revenue in the form of a debt instrument to be accounted for as a liability under Topic ASC 470, </w:t>
      </w:r>
      <w:r>
        <w:rPr>
          <w:rFonts w:ascii="Times New Roman" w:hAnsi="Times New Roman"/>
          <w:i/>
          <w:color w:val="000000"/>
          <w:sz w:val="20"/>
        </w:rPr>
        <w:t>Borrower’s Accounting for Debt Modifications</w:t>
      </w:r>
      <w:r>
        <w:rPr>
          <w:rFonts w:ascii="Times New Roman" w:hAnsi="Times New Roman"/>
          <w:color w:val="000000"/>
          <w:sz w:val="20"/>
        </w:rPr>
        <w:t>. The Company has elected to use the prospective method in its calculation of its effective interest rate and will update this calculation quarterly when there are changes in the projected sales. The debt is allocated on the balance sheet as short term and long term. The short term portion represents the royalty payments owed over the next 12 months. The long term portion is recorded on the balance sheet as net of issuance costs. Issuance costs pursuant to the Purchase and Sale Agreement consisted primarily of bank and legal fees and totaled $6.3 million. These issuance costs were recorded as a direct deduction to the carrying amount of the liability and will be amortized under the effective interest method over the estimated period the liability will be repaid. For the period ended September 30, 2025, the Company estimated an effective annual interest rate of approximately 9.14%. Over the course of the Purchase and Sale Agreement, the annual interest rate will be affected by the amount and timing of net Niktimvo revenue recognized and change in timing of forecasted net Niktimvo revenue. On a quarterly basis, the Company reassesses the expected timing of the net Niktimvo revenue, recalculates the amortization and effective interest rate, and adjusts the accounting prospectively, as needed. For the three and nine months ended September 30, 2025, the Company recognized royalty interest expense of $8.3 million and $24.2 million, respectively, related to the Purchase and Sale Agreement.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4606"/>
        <w:gridCol w:w="146"/>
        <w:gridCol w:w="374"/>
        <w:gridCol w:w="1396"/>
        <w:gridCol w:w="166"/>
        <w:gridCol w:w="146"/>
        <w:gridCol w:w="367"/>
        <w:gridCol w:w="1358"/>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royalty interest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interest financing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royalty interest financing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12.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number of shares of common stock available for issuance under the Company’s 2015 Omnibus Incentive Plan, or the 2015 Plan, was increased by 3,427,778 shares of common stock due to the automatic annual provision to increase shares of common stock available under the 2015 Plan. Additionally in July 2024 and in December 2024, the Company’s board of directors approved increases of 500,000 shares and 1,200,000 shares, respectively, of common stock available for issuance under the Company’s 2023 Inducement Plan, or the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there were 4,238,174 shares of common stock available for issuance under the 2015 Plan and 717,779 shares of common stock available for issuance under the Inducement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stock-based compensation expense related to the issuance of stock option awards and restricted stock units to employees and non-employees and related to the Company’s 2015 Employee Stock Purchase Plan, or ESPP, in the consolidated statements of comprehensive loss as follows: </w:t>
      </w:r>
    </w:p>
    <w:tbl>
      <w:tblPr>
        <w:tblW w:w="8715" w:type="dxa"/>
        <w:jc w:val="left"/>
        <w:tblInd w:w="0" w:type="dxa"/>
        <w:tblLayout w:type="fixed"/>
        <w:tblCellMar>
          <w:top w:w="28" w:type="dxa"/>
          <w:left w:w="28" w:type="dxa"/>
          <w:bottom w:w="28" w:type="dxa"/>
          <w:right w:w="28" w:type="dxa"/>
        </w:tblCellMar>
      </w:tblPr>
      <w:tblGrid>
        <w:gridCol w:w="2956"/>
        <w:gridCol w:w="274"/>
        <w:gridCol w:w="878"/>
        <w:gridCol w:w="189"/>
        <w:gridCol w:w="189"/>
        <w:gridCol w:w="274"/>
        <w:gridCol w:w="878"/>
        <w:gridCol w:w="146"/>
        <w:gridCol w:w="146"/>
        <w:gridCol w:w="265"/>
        <w:gridCol w:w="849"/>
        <w:gridCol w:w="183"/>
        <w:gridCol w:w="183"/>
        <w:gridCol w:w="265"/>
        <w:gridCol w:w="849"/>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24,107</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36,249</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Compensation expense by type of award in the three and nine months ended September 30, 2025 and 2024 was as follows: </w:t>
      </w:r>
    </w:p>
    <w:p>
      <w:pPr>
        <w:pStyle w:val="TextBody"/>
        <w:bidi w:val="0"/>
        <w:jc w:val="left"/>
        <w:rPr/>
      </w:pPr>
      <w:r>
        <w:rPr/>
        <w:t> </w:t>
      </w:r>
    </w:p>
    <w:tbl>
      <w:tblPr>
        <w:tblW w:w="7005" w:type="dxa"/>
        <w:jc w:val="left"/>
        <w:tblInd w:w="0" w:type="dxa"/>
        <w:tblLayout w:type="fixed"/>
        <w:tblCellMar>
          <w:top w:w="28" w:type="dxa"/>
          <w:left w:w="28" w:type="dxa"/>
          <w:bottom w:w="28" w:type="dxa"/>
          <w:right w:w="28" w:type="dxa"/>
        </w:tblCellMar>
      </w:tblPr>
      <w:tblGrid>
        <w:gridCol w:w="1246"/>
        <w:gridCol w:w="274"/>
        <w:gridCol w:w="878"/>
        <w:gridCol w:w="189"/>
        <w:gridCol w:w="189"/>
        <w:gridCol w:w="274"/>
        <w:gridCol w:w="878"/>
        <w:gridCol w:w="146"/>
        <w:gridCol w:w="146"/>
        <w:gridCol w:w="265"/>
        <w:gridCol w:w="849"/>
        <w:gridCol w:w="183"/>
        <w:gridCol w:w="183"/>
        <w:gridCol w:w="265"/>
        <w:gridCol w:w="849"/>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36,249</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stock-based compensation expense of $0.3 million was capitalized to inventory as of September 30, 2025, which represents the stock-based compensation expense incurred related to employees involved in the manufacturing process of finished goods and samples. No stock-based compensation expense was capitalized to inventory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there were $86.1 million of unrecognized compensation costs related to employee and non-employee unvested stock options and RSUs granted under the Inducement Plan, 2015 Plan and the Company’s 2007 Stock Plan, which are expected to be recognized over a weighted-average remaining service period of 2.50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Benefit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defined contribution 401(k) retirement plan. For the three and nine months ended September 30, 2025, the Company made $0.3 million and $3.0 million of contributions to the plan, respectively. For the three and nine months ended September 30, 2024, the Company made $0.4 million and $2.5 million of contributions to the plan, respectively. The Company’s contributions are made in cash.</w:t>
      </w:r>
    </w:p>
    <w:p>
      <w:pPr>
        <w:pStyle w:val="TextBody"/>
        <w:bidi w:val="0"/>
        <w:spacing w:before="0" w:after="160"/>
        <w:jc w:val="left"/>
        <w:rPr/>
      </w:pPr>
      <w:r>
        <w:rPr/>
        <w:t> </w:t>
      </w:r>
    </w:p>
    <w:p>
      <w:pPr>
        <w:pStyle w:val="TextBody"/>
        <w:bidi w:val="0"/>
        <w:jc w:val="left"/>
        <w:rPr>
          <w:rFonts w:ascii="Times New Roman" w:hAnsi="Times New Roman"/>
          <w:sz w:val="20"/>
        </w:rPr>
      </w:pPr>
      <w:r>
        <w:rPr>
          <w:rFonts w:ascii="Times New Roman" w:hAnsi="Times New Roman"/>
          <w:b/>
          <w:color w:val="000000"/>
          <w:sz w:val="20"/>
        </w:rPr>
        <w:t>13. Stockholders’ Equity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2021, the Company sold pre-funded warrants to purchase 1,142,856 shares of common stock. As of September 30, 2025, 285,714 pre-funded warrants were issued and outstanding. </w:t>
      </w:r>
    </w:p>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 Commitments and Contingencies</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obligated to pay royalties pursuant to the Vitae License Agreement and the UCB License Agreement as a percentage of net product sales for direct licensed products, such as Revuforj and Niktimvo. The obligation to pay royalties expires, on a country-by-country basis and licensed product-by-licensed product basis at the later of (i) the expiration of all of the licensed patent rights in such country; (ii) the expiration of all regulatory exclusivity applicable to the product in such country; and (iii) 10 years from the date of the first commercial sale of the product in such country. These fees were recorded as cost of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September 30, 2025.</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15. Segment Reporting</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manages its business activities on a consolidated basis and operate as a single operating and reportable segment: Syndax Pharmaceuticals. The Company primarily derives revenue in the United States through milestone revenue and product sales on the approved products, Revuforj® (revumenib) and Niktimvo (axatilimab-csfr). The accounting policies of the segment are the same as those described in Note 3 – Summary of Significant Accounting Policies.</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assess performance, the Company’s Chief Operating Decision Maker, or CODM, Michael Metzger, uses consolidated net loss as the segment’s measure of segment profit or loss. The CODM uses net loss in the budget and forecasting process and considers budget-to actual variances on a quarterly basis when making decisions about the allocation of operating and capital resources.</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the operating financial results of our biopharmaceutical cancer therapeutics segment:</w:t>
      </w:r>
    </w:p>
    <w:tbl>
      <w:tblPr>
        <w:tblW w:w="10120" w:type="dxa"/>
        <w:jc w:val="left"/>
        <w:tblInd w:w="0" w:type="dxa"/>
        <w:tblLayout w:type="fixed"/>
        <w:tblCellMar>
          <w:top w:w="28" w:type="dxa"/>
          <w:left w:w="28" w:type="dxa"/>
          <w:bottom w:w="28" w:type="dxa"/>
          <w:right w:w="28" w:type="dxa"/>
        </w:tblCellMar>
      </w:tblPr>
      <w:tblGrid>
        <w:gridCol w:w="3796"/>
        <w:gridCol w:w="146"/>
        <w:gridCol w:w="256"/>
        <w:gridCol w:w="896"/>
        <w:gridCol w:w="202"/>
        <w:gridCol w:w="177"/>
        <w:gridCol w:w="256"/>
        <w:gridCol w:w="896"/>
        <w:gridCol w:w="166"/>
        <w:gridCol w:w="146"/>
        <w:gridCol w:w="226"/>
        <w:gridCol w:w="903"/>
        <w:gridCol w:w="178"/>
        <w:gridCol w:w="156"/>
        <w:gridCol w:w="226"/>
        <w:gridCol w:w="903"/>
        <w:gridCol w:w="5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Significant and 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Revumenib-related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Axatilimab-related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R&amp;D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SG&amp;A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(60,715</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(217,408</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16. Subsequent Events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October 24, 2025, the Company announced FDA approval of Revuforj</w:t>
      </w:r>
      <w:r>
        <w:rPr>
          <w:rFonts w:ascii="Times New Roman" w:hAnsi="Times New Roman"/>
          <w:color w:val="000000"/>
          <w:sz w:val="13"/>
        </w:rPr>
        <w:t>®</w:t>
      </w:r>
      <w:r>
        <w:rPr>
          <w:rFonts w:ascii="Times New Roman" w:hAnsi="Times New Roman"/>
          <w:color w:val="000000"/>
          <w:sz w:val="20"/>
        </w:rPr>
        <w:t xml:space="preserve"> (revumenib) for the treatment of relapsed or refractory (R/R) acute myeloid leukemia (AML) with a susceptible nucleophosmin 1 (NPM1) mutation in adult and pediatric patients one year and older who have no satisfactory alternative treatment options. As a result of the approval, a development and regulatory milestone of $7 million was triggered under the Vitae License Agreement for the first commercial sale in the second indication in the United States. The milestone expense was recognized in October 2025.</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3, 2025.</w:t>
      </w:r>
    </w:p>
    <w:p>
      <w:pPr>
        <w:pStyle w:val="TextBody"/>
        <w:bidi w:val="0"/>
        <w:spacing w:before="360" w:after="283"/>
        <w:jc w:val="left"/>
        <w:rPr>
          <w:rFonts w:ascii="Times New Roman" w:hAnsi="Times New Roman"/>
          <w:sz w:val="20"/>
        </w:rPr>
      </w:pPr>
      <w:r>
        <w:rPr>
          <w:rFonts w:ascii="Times New Roman" w:hAnsi="Times New Roman"/>
          <w:b/>
          <w:color w:val="000000"/>
          <w:sz w:val="20"/>
        </w:rPr>
        <w:t>Company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a commercial-stage biopharmaceutical company advancing innovative cancer therapies. We currently have two commercially approved products, Revuforj</w:t>
      </w:r>
      <w:r>
        <w:rPr>
          <w:rFonts w:ascii="Times New Roman" w:hAnsi="Times New Roman"/>
          <w:color w:val="000000"/>
          <w:sz w:val="13"/>
        </w:rPr>
        <w:t>®</w:t>
      </w:r>
      <w:r>
        <w:rPr>
          <w:rFonts w:ascii="Times New Roman" w:hAnsi="Times New Roman"/>
          <w:color w:val="000000"/>
          <w:sz w:val="20"/>
        </w:rPr>
        <w:t xml:space="preserve"> (revumenib) and Niktimvo (axatilimab-csfr), and a robust slate of clinical development programs. Revuforj is our first-in-class menin inhibitor that was approved by the U.S. Food and Drug Administration, or FDA, in November 2024 for the treatment of relapsed or refractory, or R/R, acute leukemia with a lysine methyltransferase 2A gene, or KMT2A, translocation in adult and pediatric patients one year and older. In October 2025, Revuforj received a second approval from the FDA for the treatment of R/R acute myeloid leukemia, or AML, with a susceptible nucleophosmin 1 mutation, or NPM1m, in adult and pediatric patients one year and older who have no satisfactory alternative treatment option. We are also studying revumenib in combination with standard-of-care agents in NPM1m AML or KMT2A-rearranged acute leukemia across the treatment landscape, including in newly diagnosed patients. Additionally, we are exploring the use of revumenib as a treatment in solid tumors, specifically its activity in metastatic colorectal cancer. Niktimvo is our first-in-class colony stimulating factor-1 receptor, or CSF-1R, blocking antibody that was approved by the FDA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standard-of-care therapies, as well for the treatment of idiopathic pulmonary fibrosis, or IPF. We plan to continue to leverage the technical and business expertise of our management team and scientific collaborators to license, acquire and develop additional therapeutics to expand 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begun generating product revenue from sales of Revuforj and collaboration revenue from sales of Niktimvo. We continue to incur significant research and development and other expenses related to our ongoing operations. Except for 2021, we have not been profitable and have incurred losses in each period since our inception in 2005. For the nine months ended September 30, 2025 and 2024, we reported a net loss of $217.4 million and $224.6 million, respectively. As of September 30, 2025, we had an accumulated deficit of $1.4 billion. As of September 30, 2025, we had cash, cash equivalents and short- and long-term investments of $456.1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Business Update</w:t>
      </w:r>
    </w:p>
    <w:p>
      <w:pPr>
        <w:pStyle w:val="TextBody"/>
        <w:bidi w:val="0"/>
        <w:spacing w:before="120" w:after="283"/>
        <w:jc w:val="left"/>
        <w:rPr>
          <w:rFonts w:ascii="Times New Roman" w:hAnsi="Times New Roman"/>
          <w:sz w:val="20"/>
        </w:rPr>
      </w:pPr>
      <w:r>
        <w:rPr>
          <w:rFonts w:ascii="Times New Roman" w:hAnsi="Times New Roman"/>
          <w:b/>
          <w:i/>
          <w:color w:val="000000"/>
          <w:sz w:val="20"/>
        </w:rPr>
        <w:t>Revuforj</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b/>
          <w:i/>
          <w:color w:val="000000"/>
          <w:sz w:val="20"/>
        </w:rPr>
        <w:t>(revumenib)</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Achieved $32.0 million in Revuforj net revenue in the third quarter of 2025, representing a 12% increase over the second quarter of 2025. Total Revuforj prescriptions in the third quarter of 2025 were approximately 850, a 25% increase over total prescriptions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Received U.S. FDA approval for Revuforj on October 24, 2025, for the treatment of R/R AML with a susceptible NPM1 mutation in adult and pediatric patients one year and older who have no satisfactory alternative treatment options. Revuforj is now the first and only FDA-approved therapy for both R/R AML with an NPM1 mutation and R/R acute leukemia with a KMT2A translocation.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Announced the inclusion of revumenib in the National Comprehensive Cancer Network</w:t>
      </w:r>
      <w:r>
        <w:rPr>
          <w:rFonts w:ascii="Times New Roman" w:hAnsi="Times New Roman"/>
          <w:color w:val="000000"/>
          <w:sz w:val="11"/>
        </w:rPr>
        <w:t>®</w:t>
      </w:r>
      <w:r>
        <w:rPr>
          <w:color w:val="000000"/>
        </w:rPr>
        <w:t xml:space="preserve"> </w:t>
      </w:r>
      <w:r>
        <w:rPr>
          <w:rFonts w:ascii="Times New Roman" w:hAnsi="Times New Roman"/>
          <w:color w:val="000000"/>
          <w:sz w:val="20"/>
        </w:rPr>
        <w:t>Clinical Practice Guidelines in Oncology (NCCN Guidelines</w:t>
      </w:r>
      <w:r>
        <w:rPr>
          <w:rFonts w:ascii="Times New Roman" w:hAnsi="Times New Roman"/>
          <w:color w:val="000000"/>
          <w:sz w:val="11"/>
        </w:rPr>
        <w:t>®</w:t>
      </w:r>
      <w:r>
        <w:rPr>
          <w:rFonts w:ascii="Times New Roman" w:hAnsi="Times New Roman"/>
          <w:color w:val="000000"/>
          <w:sz w:val="20"/>
        </w:rPr>
        <w:t xml:space="preserve">) for AML as a category 2A recommended treatment option for R/R NPM1m AML on September 18, 2025. The guideline update was based on positive pivotal results from the AUGMENT-101 trial of revumenib which were published in the journal Blood in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Announced that data from 12 revumenib abstracts, including 3 oral presentations, will be highlighted at the 67th American Society of Hematology, or ASH, Annual Meeting. We believe the abstracts present compelling results with revumenib in multiple acute leukemia subtypes across the R/R, frontline, and post-stem cell transplant settings.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trials evaluating revumenib in NPM1m and KMT2Ar acute leukemia across the treatment landscape are ongoing. These trials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EVOLVE-2: A pivotal, Phase 3, randomized, double-blind, placebo-controlled trial evaluating revumenib in combination with venetoclax and azacitidine in newly diagnosed NPM1m AML patients who are unfit for intensive chemotherapy. The trial is being conducted in collaboration with the HOVON network, a leading cooperative clinical trial group with extensive experience studying novel therapies for hematologic malignancies.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SAVE: A Phase 1/2 trial evaluating an all-oral combination of revumenib with venetoclax and decitabine/cedazuridine in pediatric and adult patients with newly diagnosed and R/R AML or mixed-lineage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acute leukemia harboring either NPM1m, KMT2Ar, or NUP98r alterations. The trial is being conducted by investigators from MD Anderson Cancer Center. Data from the first cohort of newly diagnosed patients will be highlighted at the ASH 2025 Annual Meeting in an oral presentation.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Intensive chemotherapy: Two ongoing Phase 1 trials evaluating the combination of revumenib with intensive chemotherapy (7+3) followed by revumenib maintenance treatment in newly diagnosed NPM1m or KMT2Ar acute leukemia patients. Preliminary data from both trials will be presented at the ASH 2025 Annual Meeting.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BEAT AML: A Phase 1 trial evaluating the combination of revumenib with venetoclax and azacitidine in newly diagnosed older adults (≥60 years) with NPM1m or KMT2Ar AML. The trial is being conducted as part of the Leukemia &amp; Lymphoma Society's Beat AML</w:t>
      </w:r>
      <w:r>
        <w:rPr>
          <w:rFonts w:ascii="Times New Roman" w:hAnsi="Times New Roman"/>
          <w:color w:val="000000"/>
          <w:sz w:val="11"/>
        </w:rPr>
        <w:t>®</w:t>
      </w:r>
      <w:r>
        <w:rPr>
          <w:color w:val="000000"/>
        </w:rPr>
        <w:t xml:space="preserve"> </w:t>
      </w:r>
      <w:r>
        <w:rPr>
          <w:rFonts w:ascii="Times New Roman" w:hAnsi="Times New Roman"/>
          <w:color w:val="000000"/>
          <w:sz w:val="20"/>
        </w:rPr>
        <w:t xml:space="preserve">Master Clinical Trial.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Break </w:t>
      </w:r>
      <w:r>
        <w:rPr>
          <w:rFonts w:ascii="Times New Roman" w:hAnsi="Times New Roman"/>
          <w:i/>
          <w:color w:val="000000"/>
          <w:sz w:val="20"/>
        </w:rPr>
        <w:t>Through</w:t>
      </w:r>
      <w:r>
        <w:rPr>
          <w:color w:val="000000"/>
        </w:rPr>
        <w:t xml:space="preserve"> </w:t>
      </w:r>
      <w:r>
        <w:rPr>
          <w:rFonts w:ascii="Times New Roman" w:hAnsi="Times New Roman"/>
          <w:color w:val="000000"/>
          <w:sz w:val="20"/>
        </w:rPr>
        <w:t xml:space="preserve">Cancer: A Phase 2 trial studying whether the combination of revumenib and venetoclax can eliminate MRD in patients with AML and extend progression-free survival. The trial is being conducted by Break </w:t>
      </w:r>
      <w:r>
        <w:rPr>
          <w:rFonts w:ascii="Times New Roman" w:hAnsi="Times New Roman"/>
          <w:i/>
          <w:color w:val="000000"/>
          <w:sz w:val="20"/>
        </w:rPr>
        <w:t>Through</w:t>
      </w:r>
      <w:r>
        <w:rPr>
          <w:color w:val="000000"/>
        </w:rPr>
        <w:t xml:space="preserve"> </w:t>
      </w:r>
      <w:r>
        <w:rPr>
          <w:rFonts w:ascii="Times New Roman" w:hAnsi="Times New Roman"/>
          <w:color w:val="000000"/>
          <w:sz w:val="20"/>
        </w:rPr>
        <w:t xml:space="preserve">Cancer, a collaboration between leading U.S. cancer research centers.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INTERCEPT: A Phase 1 trial evaluating the use of novel therapies, including revumenib, to target MRD and early relapse in AML. The trial is being conducted by the Australasian Leukaemia and Lymphoma Group as part of the INTERCEPT AML master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Start-up activities are underway for two trials, known as the REVEAL trials, that will evaluate revumenib in combination with standard of care regimens in newly diagnosed acute leukemia patients with NPM1m or KMT2A-rearranged AML who are fit to receive intensive chemotherapy, with trial initiation expected by the end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evaluating revumenib in patients with R/R metastatic microsatellite stable colorectal cancer. The Company expects to report data from the trial at a medical conference in the first quarter of 2026.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Niktimvo (axatilimab-csfr)</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Achieved $45.8 million in Niktimvo net revenue in the third quarter of 2025, representing a 27% increase over the second quarter of 2025. We are co-commercializing Niktimvo with Incyte. We record 50% of the Niktimvo net commercial profit/loss, defined as net product revenue minus the cost of sales and commercial expenses. For the third quarter of 2025, our share of the Niktimvo product contribution, reported as collaboration revenue, was $13.9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Announced that data from 11 axatilimab abstracts, including 3 oral presentations, will be showcased at the 2025 ASH Annual Meeting. The abstracts highlight the potential for axatilimab to provide long-term benefit in recurrent or refractory cGVHD and the tolerability of axatilimab with ruxolitinib in newly diagnosed cGVHD.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Two trials evaluating axatilimab in combination with standard of care therapies in newly diagnosed chronic GVHD patients are ongoing,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Phase 2, open-label, randomized, multicenter trial of axatilimab in combination with ruxolitinib in patients ≥ 12 years of age with newly diagnosed cGVHD.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pivotal Phase 3, randomized, double-blind, placebo-controlled, multi-center trial of axatilimab in combination with corticosteroids in patients ≥ 12 years of age with newly diagnosed cGVHD.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Enrollment is ongoing in MAXPIRe, a Phase 2, 26-week randomized, double-blinded, placebo-controlled trial of axatilimab on top of standard of care in patients with IPF. The Company expects to complete enrollment in the trial by the end of 2025 with topline data anticipated in the second half of 2026.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second FDA-approved product, Revuforj, was approved by the FDA for commercial sale in the U.S. on November 15, 2024. In accordance with GAAP, we determine net product revenue for Revuforj, with specific assumptions for variable consideration components including, but not limited to, trade discounts and allowances, co-pay assistance programs and payor 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generated no product revenue during the three and nine months ended September 30,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September 2021, we entered into the Incyte License and Collaboration Agreement, or the Incyte License, with Incyte covering the worldwide development and commercialization of axatilimab. In August 2024, the FDA approved Niktimvo for the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treatment of cGVHD after failure of at least two prior lines of systemic therapy in adult and pediatric patients weighing at least 40 kg (88.2 lbs).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Topic ASC 808, </w:t>
      </w:r>
      <w:r>
        <w:rPr>
          <w:rFonts w:ascii="Times New Roman" w:hAnsi="Times New Roman"/>
          <w:i/>
          <w:color w:val="000000"/>
          <w:sz w:val="20"/>
        </w:rPr>
        <w:t>Collaboration Arrangements,</w:t>
      </w:r>
      <w:r>
        <w:rPr>
          <w:rFonts w:ascii="Times New Roman" w:hAnsi="Times New Roman"/>
          <w:color w:val="000000"/>
          <w:sz w:val="20"/>
        </w:rPr>
        <w:t xml:space="preserve"> Incyte has been identified as the principal in product sales, therefore, we will recognize its 50% share of any profits or losses in the amount of net product sales less cost of goods sold and shared commercial and other expenses, in the period in which the underlying sales and costs are recognized. Our share of net profits in connection with commercialization of Niktimvo will be presented as “Collaboration revenue, net” and our share of net losses will be presented as “Collaboration loss” within operating expenses. Collaboration revenue or expense is made up of our share of the 50% profit with Incyte. We record collaboration revenue net of commercial expenses, including any royalties owed on license agreements. We will continue to recognize the costs associated with ongoing development services in the R&amp;D operating expense line, including any cost-sharing components with Incyte.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Product Sales</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cost of product sales includes the cost of goods sold and royalties associated with Revuforj sales in the United States.</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primarily focused on our clinical development programs. Research and development expenses consist primarily of costs incurred for the development of our product candidates and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related to our clinical trials, including the costs for investigative sites and contract research organizations that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associated with our research and development activities, including salaries, benefits, travel and non-cash stock-based compensation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process-development, clinical supplies and technology-transfer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fees and milestone payments under our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consulting fees paid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allocated facilities and overhead expenses;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regulatory operations and regulatory compliance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difficult to determine, with certainty, the duration and completion costs of our current or future preclinical programs, research studies and clinical trials of our product candidates. The duration, costs and timing of research studies and clinical trials of our product candidates will depend on a variety of factors that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that participate;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clinical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additional safety monitoring or other studies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monitoring;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the product candidates; and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receipt of any regulatory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probability of success for each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drug candidates may commence. Clinical development timelines, the probability of success and development costs can differ materially from expectations.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consist primarily of commercialization costs as well as employee-related expenses, including salaries, benefits, non-cash stock-based compensation and travel expenses, for our employees in executive, finance, human resources, information technology, business development and support functions, as well as sales and marketing expenses to support the launch and commercialization of Revuforj and Niktimvo. Other selling, general and administrative expenses include facility-related costs not otherwise allocated to research and development expenses and accounting, tax, legal, information technology and consulting services. We anticipate that our selling, general and administrative expenses will remain stable in the next few years.</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Royalty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Royalty interest expense consists of interest expense related to the Purchase and Sale Agreement with Royalty Pharma.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interest expense consists of interest expense related to our operational and capital leases.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income earned on our cash, cash equivalents and short- and long-term investment balances.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includes expense consisting of revaluation of foreign currency related to trade payables and amortization of debt issuance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discussion of new accounting pronouncements please read Note 3 - Summary of Significant Accounting Policies to our unaudited consolidated financial statements included in this Quarterly Report. </w:t>
      </w:r>
    </w:p>
    <w:p>
      <w:pPr>
        <w:pStyle w:val="TextBody"/>
        <w:bidi w:val="0"/>
        <w:spacing w:before="240" w:after="283"/>
        <w:jc w:val="left"/>
        <w:rPr>
          <w:rFonts w:ascii="Times New Roman" w:hAnsi="Times New Roman"/>
          <w:sz w:val="20"/>
        </w:rPr>
      </w:pPr>
      <w:r>
        <w:rPr>
          <w:rFonts w:ascii="Times New Roman" w:hAnsi="Times New Roman"/>
          <w:b/>
          <w:i/>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are based on our financial statements, which have been prepared in accordance with accounting principles generally accepted in the United States, or U.S. GAAP. The preparation of these financial statements requires us to make estimates, judgments and assumptions that may affect the reported amounts of assets, liabilities, equity, revenue and expenses and related disclosures of contingent assets and liabilities.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described in the “Management’s Discussion and Analysis of Financial Condition and Results of Operations” contained in our Annual Report on Form 10-K for the fiscal year ended December 31, 2024.</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and nine months ended September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1"/>
        <w:gridCol w:w="146"/>
        <w:gridCol w:w="214"/>
        <w:gridCol w:w="793"/>
        <w:gridCol w:w="168"/>
        <w:gridCol w:w="148"/>
        <w:gridCol w:w="214"/>
        <w:gridCol w:w="793"/>
        <w:gridCol w:w="166"/>
        <w:gridCol w:w="146"/>
        <w:gridCol w:w="211"/>
        <w:gridCol w:w="736"/>
        <w:gridCol w:w="166"/>
        <w:gridCol w:w="146"/>
        <w:gridCol w:w="212"/>
        <w:gridCol w:w="846"/>
        <w:gridCol w:w="167"/>
        <w:gridCol w:w="146"/>
        <w:gridCol w:w="212"/>
        <w:gridCol w:w="846"/>
        <w:gridCol w:w="166"/>
        <w:gridCol w:w="146"/>
        <w:gridCol w:w="211"/>
        <w:gridCol w:w="736"/>
        <w:gridCol w:w="619"/>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80,649</w:t>
            </w:r>
          </w:p>
        </w:tc>
        <w:tc>
          <w:tcPr>
            <w:tcW w:w="6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Collaboration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22,975</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Milestone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87,624</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180,143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6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129,753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46,564</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103,297</w:t>
            </w:r>
          </w:p>
        </w:tc>
        <w:tc>
          <w:tcPr>
            <w:tcW w:w="1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314,160</w:t>
            </w:r>
          </w:p>
        </w:tc>
        <w:tc>
          <w:tcPr>
            <w:tcW w:w="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259,307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54,853</w:t>
            </w:r>
          </w:p>
        </w:tc>
        <w:tc>
          <w:tcPr>
            <w:tcW w:w="6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(210,536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(32,771</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Royalty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(24,186</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6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(25,590</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(217,408</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we began to generate product revenue from sales of Revuforj in the United States. We record product revenue net of estimated discounts, chargebacks, rebates, product returns, and other gross-to-net revenue deductions. Product revenue, net from sales of Revuforj was $32.0 million and $80.6 million for the three and nine months ended September 30, 2025,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Collaboration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February 2025, we began to generate sales of Niktimvo in the United States in collaboration with our partner, Incyte. Our Collaboration revenue, net was $13.9 million for the three months ended September 30, 2025. Our Collaboration revenue, net was $23.0 million for the nine months ended September 30, 2025, and includes the $0.2 million of Collaboration loss recognized in the first quarter.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Product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cost of product sales were $2.1 million and $4.3 million for the three and nine months ended September 30, 2025, respectively, resulting from increased sales of Revuforj. Included in cost of product sales are royalties owed to AbbVie on Revuforj sales as part of the Vitae License Agreement.</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research and development expenses for the three and nine months ended September 30, 2025 and 2024:</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2"/>
        <w:gridCol w:w="146"/>
        <w:gridCol w:w="226"/>
        <w:gridCol w:w="726"/>
        <w:gridCol w:w="156"/>
        <w:gridCol w:w="156"/>
        <w:gridCol w:w="226"/>
        <w:gridCol w:w="726"/>
        <w:gridCol w:w="146"/>
        <w:gridCol w:w="146"/>
        <w:gridCol w:w="211"/>
        <w:gridCol w:w="736"/>
        <w:gridCol w:w="166"/>
        <w:gridCol w:w="146"/>
        <w:gridCol w:w="218"/>
        <w:gridCol w:w="808"/>
        <w:gridCol w:w="151"/>
        <w:gridCol w:w="151"/>
        <w:gridCol w:w="218"/>
        <w:gridCol w:w="808"/>
        <w:gridCol w:w="146"/>
        <w:gridCol w:w="146"/>
        <w:gridCol w:w="211"/>
        <w:gridCol w:w="676"/>
        <w:gridCol w:w="417"/>
      </w:tblGrid>
      <w:tr>
        <w:trPr/>
        <w:tc>
          <w:tcPr>
            <w:tcW w:w="2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Revumenib-related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Axatilimab-related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10,720</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56,280</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September 30, 2025, our total research and development expenses decreased by $14.7 million from the comparable prior year period. The decrease was primarily due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revumenib-related costs due to completion of a relapse or refractory NPM1m AML registrational trial that was ongoing in 2024 and a reduction in CMC expenses due to capitalization of inventory for commercial use, offset by 2025 period expenses in planning for and initiation of frontline trials evaluating revumenib in NPM1m and KM2Ar acute leukemias.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the period-over-period decrease in expense was driven by an axatilimab-related $15.0 million milestone payment for Niktimvo's approval, incurred in the third quarter of 2024 and not incurred in the 2025 period. This decrease was partially offset by costs incurred in the 2025 period for the ongoing Phase 2 IPF trial as well as the frontline cGVHD combination trial with ruxolitinib.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nine months ended September 30, 2025, total research and development expenses increased $4.0 million from the comparable prior year period. The increase was primarily due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2025 period expenses in planning for and initiation of frontline trials evaluating revumenib in NPM1m and KM2Ar acute leukemias, offset by a decrease in revumenib-related costs due to completion of a relapse or refractory NPM1m AMLregistrational trial that was ongoing in 2024 and a reduction in CMC expenses due to capitalization of inventory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costs incurred in the 2025 period for the ongoing Phase 2 IPF trial as well as the frontline cGVHD combination trial with ruxolitinib, offset by an axatilimab-related $15.0 million milestone payment for Niktimvo's approval incurred in the 2024 period and not incurred in the 2025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personnel costs to support on-going clinical trials, preparation of a supplemental New Drug Application, and medical affairs activities in support of commercialization of Revuforj and Niktimvo.</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summarizes the selling, general and administrative expenses for the three and nine months ended September 30, 2025 and 2024: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41"/>
        <w:gridCol w:w="146"/>
        <w:gridCol w:w="231"/>
        <w:gridCol w:w="742"/>
        <w:gridCol w:w="160"/>
        <w:gridCol w:w="160"/>
        <w:gridCol w:w="231"/>
        <w:gridCol w:w="742"/>
        <w:gridCol w:w="146"/>
        <w:gridCol w:w="146"/>
        <w:gridCol w:w="211"/>
        <w:gridCol w:w="676"/>
        <w:gridCol w:w="146"/>
        <w:gridCol w:w="146"/>
        <w:gridCol w:w="224"/>
        <w:gridCol w:w="830"/>
        <w:gridCol w:w="155"/>
        <w:gridCol w:w="155"/>
        <w:gridCol w:w="224"/>
        <w:gridCol w:w="719"/>
        <w:gridCol w:w="146"/>
        <w:gridCol w:w="146"/>
        <w:gridCol w:w="211"/>
        <w:gridCol w:w="676"/>
        <w:gridCol w:w="395"/>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54,186</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20,551</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24,107</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44,917</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129,753</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our total selling, general and administrative expenses increased $13.8 million and $46.6 million, respectively, from the comparable prior year period. The increases were primarily due to commercial-related costs, driven by ongoing activities in 2025 associated with the commercial launches for Revuforj and Niktimvo. The increases in personnel and stock-based compensation costs were primarily related to higher costs in headcount in 2025 to support the commercialization of Revuforj and Niktimvo.</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Interest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2025, royalty interest expense increased due to the interest expense recognized related to the Royalty Pharma Purchase and Sale Agreement signed in November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2025, other interest expense decreased from the comparable period due to less interest expense recognized related to capital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interest income decreased from the comparable period. The decrease of interest income was primarily due to the fluctuation of interest rates and the average balance of cash equivalents and short and long-term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2025, other expense increased from the comparable period primarily related to the current period amortization of debt issuance costs related to the Royalty Pharma Purchase and Sale Agreement.</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and cash equivalents for each period set forth below: </w:t>
      </w:r>
    </w:p>
    <w:p>
      <w:pPr>
        <w:pStyle w:val="TextBody"/>
        <w:bidi w:val="0"/>
        <w:spacing w:before="120" w:after="283"/>
        <w:jc w:val="left"/>
        <w:rPr/>
      </w:pPr>
      <w:r>
        <w:rPr/>
        <w:t> </w:t>
      </w:r>
    </w:p>
    <w:tbl>
      <w:tblPr>
        <w:tblW w:w="7480" w:type="dxa"/>
        <w:jc w:val="left"/>
        <w:tblInd w:w="0" w:type="dxa"/>
        <w:tblLayout w:type="fixed"/>
        <w:tblCellMar>
          <w:top w:w="28" w:type="dxa"/>
          <w:left w:w="28" w:type="dxa"/>
          <w:bottom w:w="28" w:type="dxa"/>
          <w:right w:w="28" w:type="dxa"/>
        </w:tblCellMar>
      </w:tblPr>
      <w:tblGrid>
        <w:gridCol w:w="4531"/>
        <w:gridCol w:w="146"/>
        <w:gridCol w:w="226"/>
        <w:gridCol w:w="903"/>
        <w:gridCol w:w="178"/>
        <w:gridCol w:w="156"/>
        <w:gridCol w:w="226"/>
        <w:gridCol w:w="903"/>
        <w:gridCol w:w="2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increased from $217.5 million for the nine months ended September 30, 2024 to $253.5 million for the nine months ended September 30, 2025, primarily due to an increase in accounts receivable, inventory, collaboration receivable, and short term deposits, and a decrease in collaboration payable.</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nine months ended September 30, 2025, was $208.5 million and was related to $341.3 million from the maturities of available-for-sale securities, offset by the purchase of $132.7 million of available-for-sale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nine months ended September 30, 2024, was $49.2 million and was related to $229.9 million from the maturities of available-for-sale securities, offset by the purchase of $180.7 million of available-for-sale securities.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nine months ended September 30, 2025, increased by $1.8 million from the comparable prior year period primarily due to an increase in proceeds from the exercise of stock options in the current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 and Sale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2024, we entered into a purchase and sale agreement with Royalty Pharma, pursuant to which Royalty Pharma purchased the right to receive 13.8% on quarterly net sales of Niktimvo in the United States and its respective territories, districts, commonwealths and possessions (including Guam and Puerto Rico) in exchange for an upfront payment of $350.0 million (gross) at closing, received in November 2024. Aggregate payments to Royalty Pharma pursuant to the Royalty Agreement will be capped at $822.5 million or 2.35 times the funded amount.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details on our purchase and sale agreement with Royalty Pharma, see Note 11 - “Royalty Interest Financing Liability” to our consolidated financial statements in this Quarterly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combination of our available cash, cash equivalents, short-term and long-term investments, as well as our expected Revuforj gross contribution and Niktimvo collaboration revenue, is sufficient to fund existing and planned cash requirements. Our primary uses of capital are, and we expect will continue to be, compensation and related expenses, third-party clinical research and development services, clinical costs, commercialization costs, legal and other regulatory expenses and general overhead costs. We have based our estimates on assumptions that may prove to be incorrect, and we could use our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process of testing product candidates in clinical trials is costly, and the timing, progress and outcomes in these trials is uncertain. We cannot estimate the actual amounts necessary to successfully complete the development and commercialization of our product candidates or whether, or when, we may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timing, costs and results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seeking and obtaining additional regulatory approvals from the FDA and comparable foreign regulatory authorities, including the potential for such authorities to require that we perform more trials than we currently expect;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selecting, auditing and developing manufacturing capabilities, and potentially validating manufacturing sites for commercial-scale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for obtaining pricing and reimbursement, which may require additional trials to address pharmacoeconomic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sales, marketing and distribution capabilities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licensing or investing in additional businesses, products,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interruption of key clinical trial activities, such as clinical trial site monitoring;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disruption to our supply chain and operations, and associated delays in the manufacturing and supply of our products, which would adversely impact our ability to continue our clinical trial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 as we grow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support our future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material contractual obligations and commitments as of September 30, 2025, primarily relate to our maturities of operating leases for office space and equipment and capital leases for office equipment. As of September 30, 2025, we have $0.3 million payable within 12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as disclosed above, we have no material non-cancelable purchase commitments with service providers, as we have generally contracted on a cancelable, purchase-order basis. We enter into contracts in the normal course of business with equipment and reagent vendors, CROs, contract manufacturing organizations, and other third parties for clinical trials, preclinical research studies and testing and manufacturing services. These contracts are cancelable by us upon prior notice. Payments due upon cancellation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consist only of payments for services provided or expenses incurred, including noncancelable obligations of our service providers, up to the date of cancellation. These payments are not determinable.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losses and cumulative negative cash flows from operations since our inception, excluding the year ended December 31, 2021. As of September 30, 2025, we had an accumulated deficit of $1.4 billion. We anticipate that we will likely continue to incur significant losses for at least the next couple years.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sales agreement with Cowen and Company, LLC, or TD Cowen, under which we could, from time to time, issue and sell shares of our common stock having aggregate sales proceeds of up to $200.0 million, in a series of one or more at-the-market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333-277424), which became automatically effective upon filing on February 27, 2024. Our common stock will be sold at prevailing market prices at the time of the sale, and as a result, prices may vary. For the three and nine months ended September 30, 2025, we did not sell any shares of common stock under the 2023 ATM Program. As of September 30, 2025, we had $157.9 million available under the 2023 ATM Program.</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Significant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interest rates and geo-political unrest could result in further economic uncertainty and volatility in the capital markets in the near term and, as a result, could negatively affect our operations and could make it difficult for us to obtain traditional financing on acceptable terms, if at all. Furthermore, such economic conditions have produced downward pressure on share prices. Although we do not believe that inflation has had a material impact on our financial position or results of operations to date, the return of a high inflationary environment could increase our operating costs, including our labor costs and research and development costs. These costs may also be negatively impacted due to supply chain constraints, geopolitical tensions, including tariffs, the ongoing wars between Russia and Ukraine and Israel and Hamas as well as other conflicts in the Middle East, including between Israel and Hezbollah, worsening macroeconomic conditions and employee availability and wage increases, which may result in additional stress on our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additional indications for our approved products;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 See the section titled “Risk Factors” located elsewhere in this report for additional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0" w:name="quantitative_and_qualitative_disclosures"/>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market risk inherent in our financial instruments and in our financial position represents the potential loss arising from adverse changes in interest rates. As of September 30, 2025, we had cash and cash equivalents of $116.8 million, consisting of overnight investments, interest-bearing money market funds and commercial paper, and short and long-term investments of $339.3 million, consisting of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ability to hold our investments until maturity, and therefore, we would not expect our operating results or cash flows to be affected to any significant degree by the effect of a change in market interest rates on our investment portfolio.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believe that inflation and changing prices had a significant impact on our results of operations for any periods presented herein.</w:t>
      </w:r>
    </w:p>
    <w:p>
      <w:pPr>
        <w:pStyle w:val="TextBody"/>
        <w:bidi w:val="0"/>
        <w:spacing w:before="36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 and Internal Control over Financial Reporting</w:t>
      </w:r>
    </w:p>
    <w:p>
      <w:pPr>
        <w:pStyle w:val="TextBody"/>
        <w:bidi w:val="0"/>
        <w:spacing w:before="120" w:after="283"/>
        <w:jc w:val="left"/>
        <w:rPr>
          <w:rFonts w:ascii="Times New Roman" w:hAnsi="Times New Roman"/>
          <w:sz w:val="20"/>
        </w:rPr>
      </w:pPr>
      <w:r>
        <w:rPr>
          <w:rFonts w:ascii="Times New Roman" w:hAnsi="Times New Roman"/>
          <w:b/>
          <w:i/>
          <w:color w:val="000000"/>
          <w:sz w:val="20"/>
        </w:rPr>
        <w:t>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or the Exchange Act), as of September 30, 2025. Based upon that evaluation, our principal executive officer and principal financial officer concluded that, as of the end of the period covered by this report, our disclosure controls and procedures are effective in ensuring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to be disclosed by us in the reports we file or submit under the Exchange Act is recorded, processed, summarized and reported within the time periods specified in the SEC’s rules and forms;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is accumulated and communicated to our management, including our principal executive officer and principal financial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during the quarter ended September 30, 2025, that has materially affected, or is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_or_information"/>
      <w:bookmarkEnd w:id="12"/>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2025, we were not party to any material legal or arbitration proceedings. No governmental proceedings are pending or, to our knowledge, contemplated against us.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the other information contained elsewhere in this report, you should carefully consider the risks and uncertainties described in “Part I, Item 1A—Risk Factors” of our Annual Report on Form 10-K for the year ended December 31, 2024, or 2024 Form 10-K, filed with the Securities and Exchange Commission, or SEC, on March 3, 2025, and in “Part II, Item 1A—Risk Factors” of our Quarterly Report on Form 10-Q for the quarter ended March 31, 2025, or Q1 2025 Form 10-Q, filed with the SEC on May 5, 2025, which could materially and adversely affect our business, prospects, financial condition and results of operations. New risk factors can emerge from time to time, and it is not possible to predict the impact that any factor or combination of factors may have on our business, prospects, financial condition and results of operations. The risk factors disclosure in our 2024 Form 10-K and Q1 2025 Form 10-Q is qualified by the information that is described in this Quarterly Report on Form 10-Q. The risks described in our 2024 Form 10-K and Q1 2025 Form 10-Q are not our only risks. Additional risks and uncertainties not currently known to us or that we currently deem to be immaterial also may materially adversely affect our business, financial condition or future results. There have been no material changes in our risk factors previously disclosed in our 2024 Form 10-K and Q1 2025 Form 10-Q, except as indicated below.</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products and product candidates may cause undesirable side effects or have other properties that could delay or prevent their regulatory approval, limit the commercial scope of their approved use, or result in significant negative consequences following any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our products and product candidates could cause the interruption, delay or halting of the trials and could result in a more restrictive label or the delay or denial of regulatory approval by the FDA or other foreign regulatory authorities. For example, the Revuforj U.S. Prescribing Information label contains a boxed warning for differentiation syndrome, which can be fatal, as well as QTc prolongation and Torsades de Pointes.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our product candidates receive marketing approval, and we or others later identify undesirable side effects,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suspend marketing of, or withdraw or recall,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product labels;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issue safety alerts, Dear Healthcare Provider letters, press releases or other communications containing warnings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require the establishment or modification of a risk evaluation and mitigation strategy or foreign regulatory authorities may require the establishment or modification of a similar strategy that may, for instance, restrict distribution of the product and impose burdensome implementation requirements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that we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subjects or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our product candidates for use in targeted indications or otherwise materially harm its commercial prospects, if approved, and could harm our business, results of operations and prospects.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Revuforj, Niktimvo and any product candidate that receives approval in the future would face significant competition from other therapies in the relevant indication. For example, cGVHD has historically been managed by off-label treatments. However, in the past several years, the FDA has approved three drugs, ibrutinib (</w:t>
      </w:r>
      <w:r>
        <w:rPr>
          <w:rFonts w:ascii="Times New Roman" w:hAnsi="Times New Roman"/>
          <w:i/>
          <w:color w:val="000000"/>
          <w:sz w:val="20"/>
        </w:rPr>
        <w:t>Imbruvica</w:t>
      </w:r>
      <w:r>
        <w:rPr>
          <w:rFonts w:ascii="Times New Roman" w:hAnsi="Times New Roman"/>
          <w:i/>
          <w:color w:val="000000"/>
          <w:sz w:val="13"/>
        </w:rPr>
        <w:t>®</w:t>
      </w:r>
      <w:r>
        <w:rPr>
          <w:rFonts w:ascii="Times New Roman" w:hAnsi="Times New Roman"/>
          <w:color w:val="000000"/>
          <w:sz w:val="20"/>
        </w:rPr>
        <w:t>), belomosidil (</w:t>
      </w:r>
      <w:r>
        <w:rPr>
          <w:rFonts w:ascii="Times New Roman" w:hAnsi="Times New Roman"/>
          <w:i/>
          <w:color w:val="000000"/>
          <w:sz w:val="20"/>
        </w:rPr>
        <w:t>Rezurock</w:t>
      </w:r>
      <w:r>
        <w:rPr>
          <w:rFonts w:ascii="Times New Roman" w:hAnsi="Times New Roman"/>
          <w:color w:val="000000"/>
          <w:sz w:val="13"/>
        </w:rPr>
        <w:t>®</w:t>
      </w:r>
      <w:r>
        <w:rPr>
          <w:rFonts w:ascii="Times New Roman" w:hAnsi="Times New Roman"/>
          <w:color w:val="000000"/>
          <w:sz w:val="20"/>
        </w:rPr>
        <w:t>) and ruxolitinib (</w:t>
      </w:r>
      <w:r>
        <w:rPr>
          <w:rFonts w:ascii="Times New Roman" w:hAnsi="Times New Roman"/>
          <w:i/>
          <w:color w:val="000000"/>
          <w:sz w:val="20"/>
        </w:rPr>
        <w:t>Jakafi</w:t>
      </w:r>
      <w:r>
        <w:rPr>
          <w:rFonts w:ascii="Times New Roman" w:hAnsi="Times New Roman"/>
          <w:color w:val="000000"/>
          <w:sz w:val="13"/>
        </w:rPr>
        <w:t>®</w:t>
      </w:r>
      <w:r>
        <w:rPr>
          <w:rFonts w:ascii="Times New Roman" w:hAnsi="Times New Roman"/>
          <w:color w:val="000000"/>
          <w:sz w:val="20"/>
        </w:rPr>
        <w:t>), for use in patients with cGVHD after failure of one or more lines of systemic therapy. All three of these drugs may compete with Niktimvo in patients diagnosed with cGVHD.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initially developed revumenib for the treatment of R/R adult and pediatric patients with KMT2Ar ALL, KMT2Ar AML and NPM1 mutant AML. At this time, other than Revuforj, there are no drugs approved for these defined populations and patients are managed using the standard of care treatment regimens developed for general AML and ALL populations. However, there are other agents in development for similar populations that may in the future be approved for these defined populations and that may prove to be more effective than Revuforj. We are also advancing a pipeline of frontline trials of revumenib in combination with standard of care therapies to support potential additional listings in the National Comprehensive Cancer Network, or NCCN, Guidelines® and/or label expansion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or potential competitors have or may have substantially greater financial, technical and human resources than we do and significantly greater experience in the discovery and development of product candidates, obtaining FDA and other regulatory approvals of product candidates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ability to successfully compete will depend on,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adoption of Revuforj, Niktimvo and our product candidates by physicians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of our product candidates relative to marketed products and product candidates in development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it takes for our product candidates to complete clinical development and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commercialize Revuforj, Niktimvo and our product candidates if they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Revuforj, Niktimvo and our product candidates, including in comparison to branded or generic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coverage and adequate levels of reimbursement are available under private and governmental health insurance plans, including Medicare;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commercial quantities of Revuforj, Niktimvo and our product candidates, if they receive regulatory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preferential formulary status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regulatory approval of our other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Off-label use or misuse of our products may harm our reputation in the marketplace or result in injuries that lead to costly product liability suits.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regulatory approval to market Revuforj in the U.S. for the treatment of (i) R/R acute leukemia with a KMT2A translocation in adult and pediatric patients one year old and older and (ii) R/R AML with a susceptible NPM1 mutation in adult and pediatric patients one year and older who have no satisfactory alternative treatment options, and regulatory approval to market Niktimvo for the treatment of cGVHD after failure of at least two prior lines of systemic therapy in adult and pediatric patients weighing at least 40 kg. We may only promote or market Revuforj, Niktimvo, and our other product candidates, if approved by the FDA, for their specifically approved indications and in a manner consistent with the approved labeling. We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any off-label uses, which could lead to product liability lawsuits that might require significant financial and management resources and that could harm our reputation. Additionally, the FDA imposes stringent restrictions on manufacturers’ communications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regarding off-label uses and if we, or our collaborators, do not promote our products in a manner consistent with the approved labeling, we, or they, may be subject to warnings or enforcement action for off-label marketing. Violation of the Federal Food, Drug, and Cosmetic Act, or FCA, and other statutes, including the FCA, relating to the promotion and advertising of prescription drugs may lead to investigations or allegations of violations of federal and state healthcare fraud and abuse laws and state consumer protection laws.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Disruptions at the FDA, the SEC and other government agencies and regulatory authorities caused by funding shortages or a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jc w:val="left"/>
        <w:rPr>
          <w:rFonts w:ascii="Times New Roman" w:hAnsi="Times New Roman"/>
          <w:color w:val="000000"/>
          <w:sz w:val="20"/>
        </w:rPr>
      </w:pPr>
      <w:r>
        <w:rPr>
          <w:rFonts w:ascii="Times New Roman" w:hAnsi="Times New Roman"/>
          <w:color w:val="000000"/>
          <w:sz w:val="20"/>
        </w:rPr>
        <w:t>The ability of the FDA and comparable foreign regulatory authorities to review and approve new products can be affected by a variety of factors, including government budget and funding levels, government shutdowns,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and comparable regulatory authorities may also slow the time necessary for new drugs or biologics to be reviewed and/or approved by necessary government agencies and regulatory authorities, which would adversely affect our business. For example, over the last several years, including the ongoing government shutdown that began on October 1, 2025, and previously from December 22, 2018 to January 25, 2019, the U.S. government has shut down several times and certain regulatory agencies, such as the FDA and the SEC, have had to furlough critical FDA, SEC and other government employees and stop critical activities. If the current government shutdown continues or a prolonged government shutdown occurs, it could significantly impact the ability of the FDA to timely review and process our regulatory submissions, which could have a material adverse effect on our business</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bookmarkStart w:id="15" w:name="item_5_other_info"/>
      <w:bookmarkEnd w:id="15"/>
      <w:r>
        <w:rPr>
          <w:rFonts w:ascii="Times New Roman" w:hAnsi="Times New Roman"/>
          <w:b/>
          <w:color w:val="000000"/>
          <w:sz w:val="20"/>
        </w:rPr>
        <w:t>Item 5. Other Information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2025, none of our directors and officers (as defined in Rule 16a-1 (f) under the Exchange Act) adopted or terminated a “Rule 10b5-1 trading arrangement” or a “non-Rule 10b5-1 trading arrangement,” as defined in Regulation S-K Item 408 for the purchase or sale of our securities.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item_6_exhibits"/>
      <w:bookmarkEnd w:id="16"/>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71"/>
        <w:gridCol w:w="254"/>
        <w:gridCol w:w="9180"/>
      </w:tblGrid>
      <w:tr>
        <w:trPr/>
        <w:tc>
          <w:tcPr>
            <w:tcW w:w="77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77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254"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180"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Company (incorporated herein by reference to Exhibit 3.1 to the Company’s Current Report on Form 8-K (File No. 001-37708), as filed with the SEC on March 8, 2016).</w:t>
              </w:r>
            </w:hyperlink>
            <w:r>
              <w:rPr>
                <w:rFonts w:ascii="Times New Roman" w:hAnsi="Times New Roman"/>
                <w:color w:val="000000"/>
                <w:sz w:val="20"/>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Amended and Restated Certificate of Incorporation of the Company (incorporated herein by reference to Exhibit 3.1 to the Company’s Current Report on Form 8-K (File No. 001-37708), as filed with the SEC on May 18, 2023).</w:t>
              </w:r>
            </w:hyperlink>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3.3</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the Company (incorporated herein by reference to Exhibit 3.2 to the Company’s Current Report on Form 8-K (File No. 001-37708), as filed with the SEC on March 8, 2016).</w:t>
              </w:r>
            </w:hyperlink>
            <w:r>
              <w:rPr>
                <w:rFonts w:ascii="Times New Roman" w:hAnsi="Times New Roman"/>
                <w:color w:val="000000"/>
                <w:sz w:val="20"/>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31.1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sndx-ex31_1.htm">
              <w:r>
                <w:rPr>
                  <w:rStyle w:val="InternetLink"/>
                  <w:rFonts w:ascii="Times New Roman" w:hAnsi="Times New Roman"/>
                  <w:color w:val="0000FF"/>
                  <w:sz w:val="20"/>
                  <w:u w:val="single"/>
                </w:rPr>
                <w:t>Certification of Principal Executive Officer pursuant to Rules 13a-14(a) and 15d-14(a) promulgated under the Securities Exchange Act of 1934, as amended.</w:t>
              </w:r>
            </w:hyperlink>
            <w:r>
              <w:rPr>
                <w:rFonts w:ascii="Times New Roman" w:hAnsi="Times New Roman"/>
                <w:color w:val="000000"/>
                <w:sz w:val="20"/>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31.2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sndx-ex31_2.htm">
              <w:r>
                <w:rPr>
                  <w:rStyle w:val="InternetLink"/>
                  <w:rFonts w:ascii="Times New Roman" w:hAnsi="Times New Roman"/>
                  <w:color w:val="0000FF"/>
                  <w:sz w:val="20"/>
                  <w:u w:val="single"/>
                </w:rPr>
                <w:t>Certification of Principal Financial Officer pursuant to Rules 13a-14(a) and 15d-14(a) promulgated under the Securities Exchange Act of 1934, as amended.</w:t>
              </w:r>
            </w:hyperlink>
            <w:r>
              <w:rPr>
                <w:rFonts w:ascii="Times New Roman" w:hAnsi="Times New Roman"/>
                <w:color w:val="000000"/>
                <w:sz w:val="20"/>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32.1*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sndx-ex32_1.htm">
              <w:r>
                <w:rPr>
                  <w:rStyle w:val="InternetLink"/>
                  <w:rFonts w:ascii="Times New Roman" w:hAnsi="Times New Roman"/>
                  <w:color w:val="0000FF"/>
                  <w:sz w:val="20"/>
                  <w:u w:val="single"/>
                </w:rPr>
                <w:t>Certifications of Chief Executive Officer and Chief Financial Officer pursuant to 18 U.S.C. Section 1350, as adopted pursuant to Section 906 of the Sarbanes-Oxley Act of 2002.</w:t>
              </w:r>
            </w:hyperlink>
            <w:r>
              <w:rPr>
                <w:rFonts w:ascii="Times New Roman" w:hAnsi="Times New Roman"/>
                <w:color w:val="000000"/>
                <w:sz w:val="20"/>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101.INS</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101.SCH</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and not deemed to be “filed” for purposes of Section 18 of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November 3, 2025 </w:t>
      </w:r>
    </w:p>
    <w:p>
      <w:pPr>
        <w:pStyle w:val="TextBody"/>
        <w:bidi w:val="0"/>
        <w:jc w:val="left"/>
        <w:rPr/>
      </w:pPr>
      <w:r>
        <w:rPr/>
        <w:t> </w:t>
      </w:r>
    </w:p>
    <w:tbl>
      <w:tblPr>
        <w:tblW w:w="3043" w:type="dxa"/>
        <w:jc w:val="left"/>
        <w:tblInd w:w="0" w:type="dxa"/>
        <w:tblLayout w:type="fixed"/>
        <w:tblCellMar>
          <w:top w:w="28" w:type="dxa"/>
          <w:left w:w="28" w:type="dxa"/>
          <w:bottom w:w="28" w:type="dxa"/>
          <w:right w:w="28" w:type="dxa"/>
        </w:tblCellMar>
      </w:tblPr>
      <w:tblGrid>
        <w:gridCol w:w="421"/>
        <w:gridCol w:w="146"/>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713" w:type="dxa"/>
        <w:jc w:val="left"/>
        <w:tblInd w:w="0" w:type="dxa"/>
        <w:tblLayout w:type="fixed"/>
        <w:tblCellMar>
          <w:top w:w="28" w:type="dxa"/>
          <w:left w:w="28" w:type="dxa"/>
          <w:bottom w:w="28" w:type="dxa"/>
          <w:right w:w="28" w:type="dxa"/>
        </w:tblCellMar>
      </w:tblPr>
      <w:tblGrid>
        <w:gridCol w:w="421"/>
        <w:gridCol w:w="146"/>
        <w:gridCol w:w="514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Goldan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17" w:name="sndx-ex31_1.htm"/>
      <w:bookmarkStart w:id="18" w:name="kssndxex31_1"/>
      <w:bookmarkEnd w:id="17"/>
      <w:bookmarkEnd w:id="1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A. Metzger,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Syndax Pharmaceuticals,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5275" w:type="dxa"/>
        <w:jc w:val="left"/>
        <w:tblInd w:w="0" w:type="dxa"/>
        <w:tblLayout w:type="fixed"/>
        <w:tblCellMar>
          <w:top w:w="28" w:type="dxa"/>
          <w:left w:w="28" w:type="dxa"/>
          <w:bottom w:w="28" w:type="dxa"/>
          <w:right w:w="28" w:type="dxa"/>
        </w:tblCellMar>
      </w:tblPr>
      <w:tblGrid>
        <w:gridCol w:w="2101"/>
        <w:gridCol w:w="146"/>
        <w:gridCol w:w="406"/>
        <w:gridCol w:w="146"/>
        <w:gridCol w:w="247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A. Metzger</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 w:name="sndx-ex31_2.htm"/>
      <w:bookmarkStart w:id="20" w:name="kssndxex31_2"/>
      <w:bookmarkEnd w:id="19"/>
      <w:bookmarkEnd w:id="2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Keith A. Goldan,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Syndax Pharmaceuticals,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20" w:after="283"/>
        <w:jc w:val="left"/>
        <w:rPr/>
      </w:pPr>
      <w:r>
        <w:rPr/>
        <w:t> </w:t>
      </w:r>
    </w:p>
    <w:tbl>
      <w:tblPr>
        <w:tblW w:w="7945" w:type="dxa"/>
        <w:jc w:val="left"/>
        <w:tblInd w:w="0" w:type="dxa"/>
        <w:tblLayout w:type="fixed"/>
        <w:tblCellMar>
          <w:top w:w="28" w:type="dxa"/>
          <w:left w:w="28" w:type="dxa"/>
          <w:bottom w:w="28" w:type="dxa"/>
          <w:right w:w="28" w:type="dxa"/>
        </w:tblCellMar>
      </w:tblPr>
      <w:tblGrid>
        <w:gridCol w:w="2101"/>
        <w:gridCol w:w="146"/>
        <w:gridCol w:w="406"/>
        <w:gridCol w:w="146"/>
        <w:gridCol w:w="514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Goldan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Keith A. Goldan</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 and Treasurer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sndx-ex32_1.htm"/>
      <w:bookmarkStart w:id="22" w:name="kssndxex32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Syndax Pharmaceuticals, Inc. (the “Company”) for the period ended September 30, 2025, as filed with the Securities and Exchange Commission on the date hereof (the “Report”), each of the undersigned officers of the Company hereby certifies, pursuant to 18 U.S.C. Section 1350, that to his or her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5890" w:type="dxa"/>
        <w:jc w:val="left"/>
        <w:tblInd w:w="0" w:type="dxa"/>
        <w:tblLayout w:type="fixed"/>
        <w:tblCellMar>
          <w:top w:w="28" w:type="dxa"/>
          <w:left w:w="28" w:type="dxa"/>
          <w:bottom w:w="28" w:type="dxa"/>
          <w:right w:w="28" w:type="dxa"/>
        </w:tblCellMar>
      </w:tblPr>
      <w:tblGrid>
        <w:gridCol w:w="2101"/>
        <w:gridCol w:w="146"/>
        <w:gridCol w:w="346"/>
        <w:gridCol w:w="146"/>
        <w:gridCol w:w="315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A. Metzger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Goldan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Keith A. Goldan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Chief Financial Officer and Treasurer</w:t>
            </w:r>
          </w:p>
        </w:tc>
      </w:tr>
    </w:tbl>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Syndax Pharmaceuticals,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5937/000119312516496764/d119516dex31.htm" TargetMode="External"/><Relationship Id="rId3" Type="http://schemas.openxmlformats.org/officeDocument/2006/relationships/hyperlink" Target="https://www.sec.gov/Archives/edgar/data/1395937/000095017023022802/sndx-ex3_1.htm" TargetMode="External"/><Relationship Id="rId4" Type="http://schemas.openxmlformats.org/officeDocument/2006/relationships/hyperlink" Target="https://www.sec.gov/Archives/edgar/data/1395937/000119312516496764/d119516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18201</Words>
  <Characters>101791</Characters>
  <CharactersWithSpaces>121534</CharactersWithSpaces>
  <Paragraphs>5539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