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108585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2020</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62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-4445</wp:posOffset>
            </wp:positionV>
            <wp:extent cx="1189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114300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3" w:lineRule="exact"/>
        <w:rPr>
          <w:sz w:val="24"/>
          <w:szCs w:val="24"/>
          <w:color w:val="auto"/>
        </w:rPr>
      </w:pPr>
    </w:p>
    <w:tbl>
      <w:tblPr>
        <w:tblLayout w:type="fixed"/>
        <w:tblInd w:w="1820" w:type="dxa"/>
        <w:tblCellMar>
          <w:top w:w="0" w:type="dxa"/>
          <w:left w:w="0" w:type="dxa"/>
          <w:bottom w:w="0" w:type="dxa"/>
          <w:right w:w="0" w:type="dxa"/>
        </w:tblCellMar>
      </w:tblPr>
      <w:tr>
        <w:trPr>
          <w:trHeight w:val="193"/>
        </w:trPr>
        <w:tc>
          <w:tcPr>
            <w:tcW w:w="55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1"/>
              </w:rPr>
              <w:t>Delaware</w:t>
            </w:r>
          </w:p>
        </w:tc>
        <w:tc>
          <w:tcPr>
            <w:tcW w:w="1220" w:type="dxa"/>
            <w:vAlign w:val="bottom"/>
          </w:tcPr>
          <w:p>
            <w:pPr>
              <w:jc w:val="right"/>
              <w:ind w:right="105"/>
              <w:spacing w:after="0"/>
              <w:rPr>
                <w:sz w:val="20"/>
                <w:szCs w:val="20"/>
                <w:color w:val="auto"/>
              </w:rPr>
            </w:pPr>
            <w:r>
              <w:rPr>
                <w:rFonts w:ascii="Arial" w:cs="Arial" w:eastAsia="Arial" w:hAnsi="Arial"/>
                <w:sz w:val="16"/>
                <w:szCs w:val="16"/>
                <w:b w:val="1"/>
                <w:bCs w:val="1"/>
                <w:color w:val="auto"/>
              </w:rPr>
              <w:t>32-0162505</w:t>
            </w:r>
          </w:p>
        </w:tc>
      </w:tr>
      <w:tr>
        <w:trPr>
          <w:trHeight w:val="148"/>
        </w:trPr>
        <w:tc>
          <w:tcPr>
            <w:tcW w:w="5580" w:type="dxa"/>
            <w:vAlign w:val="bottom"/>
          </w:tcPr>
          <w:p>
            <w:pPr>
              <w:jc w:val="center"/>
              <w:ind w:right="276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80" w:type="dxa"/>
            <w:vAlign w:val="bottom"/>
          </w:tcPr>
          <w:p>
            <w:pPr>
              <w:jc w:val="center"/>
              <w:ind w:right="2744"/>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5"/>
              <w:spacing w:after="0"/>
              <w:rPr>
                <w:sz w:val="20"/>
                <w:szCs w:val="20"/>
                <w:color w:val="auto"/>
              </w:rPr>
            </w:pPr>
            <w:r>
              <w:rPr>
                <w:rFonts w:ascii="Arial" w:cs="Arial" w:eastAsia="Arial" w:hAnsi="Arial"/>
                <w:sz w:val="14"/>
                <w:szCs w:val="14"/>
                <w:b w:val="1"/>
                <w:bCs w:val="1"/>
                <w:color w:val="auto"/>
                <w:w w:val="96"/>
              </w:rPr>
              <w:t>Identification No.)</w:t>
            </w:r>
          </w:p>
        </w:tc>
      </w:tr>
      <w:tr>
        <w:trPr>
          <w:trHeight w:val="403"/>
        </w:trPr>
        <w:tc>
          <w:tcPr>
            <w:tcW w:w="55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220" w:type="dxa"/>
            <w:vAlign w:val="bottom"/>
          </w:tcPr>
          <w:p>
            <w:pPr>
              <w:spacing w:after="0"/>
              <w:rPr>
                <w:sz w:val="24"/>
                <w:szCs w:val="24"/>
                <w:color w:val="auto"/>
              </w:rPr>
            </w:pPr>
          </w:p>
        </w:tc>
      </w:tr>
      <w:tr>
        <w:trPr>
          <w:trHeight w:val="207"/>
        </w:trPr>
        <w:tc>
          <w:tcPr>
            <w:tcW w:w="55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0"/>
              </w:rPr>
              <w:t>Waltham, Massachusetts</w:t>
            </w:r>
          </w:p>
        </w:tc>
        <w:tc>
          <w:tcPr>
            <w:tcW w:w="1220" w:type="dxa"/>
            <w:vAlign w:val="bottom"/>
          </w:tcPr>
          <w:p>
            <w:pPr>
              <w:jc w:val="right"/>
              <w:ind w:right="285"/>
              <w:spacing w:after="0"/>
              <w:rPr>
                <w:sz w:val="20"/>
                <w:szCs w:val="20"/>
                <w:color w:val="auto"/>
              </w:rPr>
            </w:pPr>
            <w:r>
              <w:rPr>
                <w:rFonts w:ascii="Arial" w:cs="Arial" w:eastAsia="Arial" w:hAnsi="Arial"/>
                <w:sz w:val="16"/>
                <w:szCs w:val="16"/>
                <w:b w:val="1"/>
                <w:bCs w:val="1"/>
                <w:color w:val="auto"/>
              </w:rPr>
              <w:t>02451</w:t>
            </w:r>
          </w:p>
        </w:tc>
      </w:tr>
      <w:tr>
        <w:trPr>
          <w:trHeight w:val="186"/>
        </w:trPr>
        <w:tc>
          <w:tcPr>
            <w:tcW w:w="5580" w:type="dxa"/>
            <w:vAlign w:val="bottom"/>
          </w:tcPr>
          <w:p>
            <w:pPr>
              <w:jc w:val="center"/>
              <w:ind w:right="276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5"/>
              <w:spacing w:after="0"/>
              <w:rPr>
                <w:sz w:val="20"/>
                <w:szCs w:val="20"/>
                <w:color w:val="auto"/>
              </w:rPr>
            </w:pPr>
            <w:r>
              <w:rPr>
                <w:rFonts w:ascii="Arial" w:cs="Arial" w:eastAsia="Arial" w:hAnsi="Arial"/>
                <w:sz w:val="14"/>
                <w:szCs w:val="14"/>
                <w:b w:val="1"/>
                <w:bCs w:val="1"/>
                <w:color w:val="auto"/>
                <w:w w:val="95"/>
              </w:rPr>
              <w:t>(Zip Code)</w:t>
            </w:r>
          </w:p>
        </w:tc>
      </w:tr>
      <w:tr>
        <w:trPr>
          <w:trHeight w:val="272"/>
        </w:trPr>
        <w:tc>
          <w:tcPr>
            <w:tcW w:w="5580" w:type="dxa"/>
            <w:vAlign w:val="bottom"/>
          </w:tcPr>
          <w:p>
            <w:pPr>
              <w:jc w:val="right"/>
              <w:ind w:right="1204"/>
              <w:spacing w:after="0"/>
              <w:rPr>
                <w:sz w:val="20"/>
                <w:szCs w:val="20"/>
                <w:color w:val="auto"/>
              </w:rPr>
            </w:pPr>
            <w:r>
              <w:rPr>
                <w:rFonts w:ascii="Arial" w:cs="Arial" w:eastAsia="Arial" w:hAnsi="Arial"/>
                <w:sz w:val="16"/>
                <w:szCs w:val="16"/>
                <w:b w:val="1"/>
                <w:bCs w:val="1"/>
                <w:color w:val="auto"/>
              </w:rPr>
              <w:t>(781) 419-1400</w:t>
            </w:r>
          </w:p>
        </w:tc>
        <w:tc>
          <w:tcPr>
            <w:tcW w:w="1220" w:type="dxa"/>
            <w:vAlign w:val="bottom"/>
          </w:tcPr>
          <w:p>
            <w:pPr>
              <w:spacing w:after="0"/>
              <w:rPr>
                <w:sz w:val="23"/>
                <w:szCs w:val="23"/>
                <w:color w:val="auto"/>
              </w:rPr>
            </w:pPr>
          </w:p>
        </w:tc>
      </w:tr>
      <w:tr>
        <w:trPr>
          <w:trHeight w:val="186"/>
        </w:trPr>
        <w:tc>
          <w:tcPr>
            <w:tcW w:w="5580" w:type="dxa"/>
            <w:vAlign w:val="bottom"/>
          </w:tcPr>
          <w:p>
            <w:pPr>
              <w:jc w:val="center"/>
              <w:ind w:left="194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76200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1"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590" w:type="dxa"/>
        <w:tblCellMar>
          <w:top w:w="0" w:type="dxa"/>
          <w:left w:w="0" w:type="dxa"/>
          <w:bottom w:w="0" w:type="dxa"/>
          <w:right w:w="0" w:type="dxa"/>
        </w:tblCellMar>
      </w:tblPr>
      <w:tr>
        <w:trPr>
          <w:trHeight w:val="213"/>
        </w:trPr>
        <w:tc>
          <w:tcPr>
            <w:tcW w:w="338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98" w:lineRule="exact"/>
        <w:rPr>
          <w:sz w:val="24"/>
          <w:szCs w:val="24"/>
          <w:color w:val="auto"/>
        </w:rPr>
      </w:pPr>
    </w:p>
    <w:p>
      <w:pPr>
        <w:ind w:right="220" w:firstLine="38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7" w:lineRule="exact"/>
        <w:rPr>
          <w:sz w:val="24"/>
          <w:szCs w:val="24"/>
          <w:color w:val="auto"/>
        </w:rPr>
      </w:pPr>
    </w:p>
    <w:p>
      <w:pPr>
        <w:ind w:firstLine="38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7" w:lineRule="exact"/>
        <w:rPr>
          <w:sz w:val="24"/>
          <w:szCs w:val="24"/>
          <w:color w:val="auto"/>
        </w:rPr>
      </w:pPr>
    </w:p>
    <w:p>
      <w:pPr>
        <w:ind w:right="28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99" w:lineRule="exact"/>
        <w:rPr>
          <w:sz w:val="24"/>
          <w:szCs w:val="24"/>
          <w:color w:val="auto"/>
        </w:rPr>
      </w:pPr>
    </w:p>
    <w:p>
      <w:pPr>
        <w:ind w:right="180" w:firstLine="38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380" w:right="22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2020, there were 36,094,929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00" w:right="14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regarding the impact of the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6"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hormone receptor positive, human epidermal growth factor receptor 2 negative (HR+, HER2-) breast cancer;</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timing of the progress and receipt of data from the Phase 1b/2 clinical trial of axatilimab in chronic Graft Versus Host Disease (cGVHD);</w:t>
      </w:r>
    </w:p>
    <w:p>
      <w:pPr>
        <w:spacing w:after="0" w:line="139"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1/2 clinical trial of SNDX-5613 in patients with relapsed/refractory (R/R) acute leukemia and the potential use of SNDX-5613 to treat acute leukemias;</w:t>
      </w:r>
    </w:p>
    <w:p>
      <w:pPr>
        <w:spacing w:after="0" w:line="61"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 of entinostat with Tecentriq® (atezolizumab) from Genentech, Inc., a member of the Roche Group, in advanced HR+, HER2- breast cancer;</w:t>
      </w:r>
    </w:p>
    <w:p>
      <w:pPr>
        <w:spacing w:after="0" w:line="61"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axatilimab and the potential use of axatilimab to treat various cancer and cancer-related indications;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39"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6"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1"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Kirin Co., Ltd., UCB Biopharma Sprl, and Vitae Pharmaceuticals, Inc., a subsidiary of Allergan plc;</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6"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social and economic instability, natural disasters or public health crisis, including but not limited to the COVID-19 pandemic, in countries where we or our collaborators do business.</w:t>
      </w:r>
    </w:p>
    <w:p>
      <w:pPr>
        <w:spacing w:after="0" w:line="16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ind w:firstLine="51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331"/>
        </w:trPr>
        <w:tc>
          <w:tcPr>
            <w:tcW w:w="10460" w:type="dxa"/>
            <w:vAlign w:val="bottom"/>
            <w:gridSpan w:val="10"/>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FINANCIAL INFORMATION</w:t>
              </w:r>
            </w:hyperlink>
          </w:p>
        </w:tc>
        <w:tc>
          <w:tcPr>
            <w:tcW w:w="780" w:type="dxa"/>
            <w:vAlign w:val="bottom"/>
          </w:tcPr>
          <w:p>
            <w:pPr>
              <w:spacing w:after="0"/>
              <w:rPr>
                <w:sz w:val="24"/>
                <w:szCs w:val="24"/>
                <w:color w:val="auto"/>
              </w:rPr>
            </w:pP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Financial Statements:</w:t>
              </w:r>
            </w:hyperlink>
          </w:p>
        </w:tc>
        <w:tc>
          <w:tcPr>
            <w:tcW w:w="780" w:type="dxa"/>
            <w:vAlign w:val="bottom"/>
          </w:tcPr>
          <w:p>
            <w:pPr>
              <w:spacing w:after="0"/>
              <w:rPr>
                <w:sz w:val="24"/>
                <w:szCs w:val="24"/>
                <w:color w:val="auto"/>
              </w:rPr>
            </w:pPr>
          </w:p>
        </w:tc>
      </w:tr>
      <w:tr>
        <w:trPr>
          <w:trHeight w:val="337"/>
        </w:trPr>
        <w:tc>
          <w:tcPr>
            <w:tcW w:w="840" w:type="dxa"/>
            <w:vAlign w:val="bottom"/>
          </w:tcPr>
          <w:p>
            <w:pPr>
              <w:spacing w:after="0"/>
              <w:rPr>
                <w:sz w:val="24"/>
                <w:szCs w:val="24"/>
                <w:color w:val="auto"/>
              </w:rPr>
            </w:pP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March 31, 2020 and December 31,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40" w:type="dxa"/>
            <w:vAlign w:val="bottom"/>
          </w:tcPr>
          <w:p>
            <w:pPr>
              <w:spacing w:after="0"/>
              <w:rPr>
                <w:sz w:val="24"/>
                <w:szCs w:val="24"/>
                <w:color w:val="auto"/>
              </w:rPr>
            </w:pPr>
          </w:p>
        </w:tc>
        <w:tc>
          <w:tcPr>
            <w:tcW w:w="9620" w:type="dxa"/>
            <w:vAlign w:val="bottom"/>
            <w:gridSpan w:val="9"/>
          </w:tcPr>
          <w:p>
            <w:pPr>
              <w:ind w:left="200"/>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 for the three months ended</w:t>
              </w:r>
            </w:hyperlink>
          </w:p>
        </w:tc>
        <w:tc>
          <w:tcPr>
            <w:tcW w:w="7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140" w:type="dxa"/>
            <w:vAlign w:val="bottom"/>
            <w:tcBorders>
              <w:top w:val="single" w:sz="8" w:color="0000EE"/>
            </w:tcBorders>
            <w:gridSpan w:val="5"/>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March 31, 2020 and 201</w:t>
              </w:r>
              <w:r>
                <w:rPr>
                  <w:rFonts w:ascii="Arial" w:cs="Arial" w:eastAsia="Arial" w:hAnsi="Arial"/>
                  <w:sz w:val="18"/>
                  <w:szCs w:val="18"/>
                  <w:color w:val="000000"/>
                </w:rPr>
                <w:t>9</w:t>
              </w:r>
            </w:hyperlink>
          </w:p>
        </w:tc>
        <w:tc>
          <w:tcPr>
            <w:tcW w:w="3040" w:type="dxa"/>
            <w:vAlign w:val="bottom"/>
            <w:gridSpan w:val="2"/>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7"/>
        </w:trPr>
        <w:tc>
          <w:tcPr>
            <w:tcW w:w="840" w:type="dxa"/>
            <w:vAlign w:val="bottom"/>
          </w:tcPr>
          <w:p>
            <w:pPr>
              <w:spacing w:after="0"/>
              <w:rPr>
                <w:sz w:val="24"/>
                <w:szCs w:val="24"/>
                <w:color w:val="auto"/>
              </w:rPr>
            </w:pPr>
          </w:p>
        </w:tc>
        <w:tc>
          <w:tcPr>
            <w:tcW w:w="9620" w:type="dxa"/>
            <w:vAlign w:val="bottom"/>
            <w:gridSpan w:val="9"/>
          </w:tcPr>
          <w:p>
            <w:pPr>
              <w:ind w:left="200"/>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2020</w:t>
              </w:r>
            </w:hyperlink>
          </w:p>
        </w:tc>
        <w:tc>
          <w:tcPr>
            <w:tcW w:w="7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60" w:type="dxa"/>
            <w:vAlign w:val="bottom"/>
            <w:tcBorders>
              <w:top w:val="single" w:sz="8" w:color="0000EE"/>
            </w:tcBorders>
            <w:gridSpan w:val="6"/>
          </w:tcPr>
          <w:p>
            <w:pPr>
              <w:spacing w:after="0" w:line="195" w:lineRule="exact"/>
              <w:rPr>
                <w:rFonts w:ascii="Arial" w:cs="Arial" w:eastAsia="Arial" w:hAnsi="Arial"/>
                <w:sz w:val="18"/>
                <w:szCs w:val="18"/>
                <w:color w:val="0000EE"/>
              </w:rPr>
            </w:pPr>
            <w:hyperlink w:anchor="page7">
              <w:r>
                <w:rPr>
                  <w:rFonts w:ascii="Arial" w:cs="Arial" w:eastAsia="Arial" w:hAnsi="Arial"/>
                  <w:sz w:val="18"/>
                  <w:szCs w:val="18"/>
                  <w:color w:val="0000EE"/>
                </w:rPr>
                <w:t>and 201</w:t>
              </w:r>
              <w:r>
                <w:rPr>
                  <w:rFonts w:ascii="Arial" w:cs="Arial" w:eastAsia="Arial" w:hAnsi="Arial"/>
                  <w:sz w:val="18"/>
                  <w:szCs w:val="18"/>
                  <w:color w:val="000000"/>
                </w:rPr>
                <w:t>9</w:t>
              </w:r>
            </w:hyperlink>
          </w:p>
        </w:tc>
        <w:tc>
          <w:tcPr>
            <w:tcW w:w="2520" w:type="dxa"/>
            <w:vAlign w:val="bottom"/>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5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840" w:type="dxa"/>
            <w:vAlign w:val="bottom"/>
          </w:tcPr>
          <w:p>
            <w:pPr>
              <w:spacing w:after="0"/>
              <w:rPr>
                <w:sz w:val="24"/>
                <w:szCs w:val="24"/>
                <w:color w:val="auto"/>
              </w:rPr>
            </w:pP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7"/>
        </w:trPr>
        <w:tc>
          <w:tcPr>
            <w:tcW w:w="10460" w:type="dxa"/>
            <w:vAlign w:val="bottom"/>
            <w:gridSpan w:val="10"/>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PART II. OTHER INFORMATION</w:t>
              </w:r>
            </w:hyperlink>
          </w:p>
        </w:tc>
        <w:tc>
          <w:tcPr>
            <w:tcW w:w="780" w:type="dxa"/>
            <w:vAlign w:val="bottom"/>
          </w:tcPr>
          <w:p>
            <w:pPr>
              <w:spacing w:after="0"/>
              <w:rPr>
                <w:sz w:val="24"/>
                <w:szCs w:val="24"/>
                <w:color w:val="auto"/>
              </w:rPr>
            </w:pP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620" w:type="dxa"/>
            <w:vAlign w:val="bottom"/>
            <w:gridSpan w:val="9"/>
          </w:tcPr>
          <w:p>
            <w:pPr>
              <w:ind w:left="20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104,206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net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105,155</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8,998</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right-of-use liability</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Deferred revenue, less current portion</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12,754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Right-of-use liability, less current portion</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Loan payable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19,792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32,856</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Commitments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0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0 shares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380"/>
              <w:spacing w:after="0"/>
              <w:rPr>
                <w:sz w:val="20"/>
                <w:szCs w:val="20"/>
                <w:color w:val="auto"/>
              </w:rPr>
            </w:pPr>
            <w:r>
              <w:rPr>
                <w:rFonts w:ascii="Arial" w:cs="Arial" w:eastAsia="Arial" w:hAnsi="Arial"/>
                <w:sz w:val="18"/>
                <w:szCs w:val="18"/>
                <w:color w:val="auto"/>
              </w:rPr>
              <w:t>outstanding at March 31, 2020 and December 31, 2019</w:t>
            </w:r>
          </w:p>
        </w:tc>
        <w:tc>
          <w:tcPr>
            <w:tcW w:w="24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100,000,000 shares authorized; 30,240,838</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27,140,484 shares issued and outstanding at March 31, 2020 and</w:t>
            </w: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respectively</w:t>
            </w:r>
          </w:p>
        </w:tc>
        <w:tc>
          <w:tcPr>
            <w:tcW w:w="2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564,164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527,067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(510,706)</w:t>
            </w:r>
          </w:p>
        </w:tc>
        <w:tc>
          <w:tcPr>
            <w:tcW w:w="1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(495,470)</w:t>
            </w:r>
          </w:p>
        </w:tc>
        <w:tc>
          <w:tcPr>
            <w:tcW w:w="0" w:type="dxa"/>
            <w:vAlign w:val="bottom"/>
          </w:tcPr>
          <w:p>
            <w:pPr>
              <w:spacing w:after="0"/>
              <w:rPr>
                <w:sz w:val="1"/>
                <w:szCs w:val="1"/>
                <w:color w:val="auto"/>
              </w:rPr>
            </w:pP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53,509</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105,155</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73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4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vMerge w:val="continue"/>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stockholders—basic</w:t>
            </w:r>
          </w:p>
        </w:tc>
        <w:tc>
          <w:tcPr>
            <w:tcW w:w="4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(0.56)</w:t>
            </w:r>
          </w:p>
        </w:tc>
        <w:tc>
          <w:tcPr>
            <w:tcW w:w="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number of common shares used to compute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net loss per share attributable to common stockholders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34,328,640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27,023,466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(15,236)</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(14,302)</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accretion of investments</w:t>
            </w:r>
          </w:p>
        </w:tc>
        <w:tc>
          <w:tcPr>
            <w:tcW w:w="8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Non-cash operating lease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8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8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(15,925)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(16,831)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8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(34,938)</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(20,628)</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short-term investments</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15,885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33,380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(19,053)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8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direct stock offering, net</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34,866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27,571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debt agreement,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Proceeds from stock option exercises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54,998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28,426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20,020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24,347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24,724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44,744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58,332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Pr>
          <w:p>
            <w:pPr>
              <w:ind w:left="140"/>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Issuance costs debt included in accounts payable and accrued expenses</w:t>
            </w: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2020, and the results of operations and comprehensive loss for the three months ended March 31, 2020 and 2019, and cash flows for the three months ended March 31, 2020 and 2019. The results for the three months ended March 31, 2020 are not necessarily indicative of the results to be expected for the year ending December 31, 2020, any other interim periods, or any future year or period. These interim financial statements should be read in conjunction with the audited financial statements as of and for the year ended December 31, 2019, and the notes thereto, which are included in the Company’s Annual Report on Form 10-K that was filed with the Securities and Exchange Commission (“SEC”) on March 5, 2020.</w:t>
      </w:r>
    </w:p>
    <w:p>
      <w:pPr>
        <w:spacing w:after="0" w:line="182"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252" w:lineRule="exact"/>
        <w:rPr>
          <w:sz w:val="20"/>
          <w:szCs w:val="20"/>
          <w:color w:val="auto"/>
        </w:rPr>
      </w:pPr>
    </w:p>
    <w:p>
      <w:pPr>
        <w:ind w:left="520" w:right="7680" w:hanging="512"/>
        <w:spacing w:after="0" w:line="399"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significant accounting policies, which are disclosed in the audited consolidated financial statements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the notes thereto are included in the Company’s Annual Report on Form 10-K that was filed with the SEC on March 5, 2020. Since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that filing, there have been no material changes to the Company’s significant accounting policies except as noted below.</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With the global spread of the ongoing COVID-19 pandemic in the first and second quarters of 2020, we have implemented business continuity plans designed to address and mitigate the impact of the COVID-19 pandemic on our business. We anticipate that the COVID-19 pandemic could have an impact on the clinical development timelines for one or more of our clinical programs. The extent to which the COVID-19 pandemic impacts our business, our clinical 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our business, financial condition, results of operations and growth prospects.</w:t>
      </w:r>
    </w:p>
    <w:p>
      <w:pPr>
        <w:spacing w:after="0" w:line="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Debt Issuance Cost</w:t>
      </w:r>
    </w:p>
    <w:p>
      <w:pPr>
        <w:spacing w:after="0" w:line="117"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280" w:firstLine="510"/>
        <w:spacing w:after="0" w:line="301" w:lineRule="auto"/>
        <w:rPr>
          <w:sz w:val="20"/>
          <w:szCs w:val="20"/>
          <w:color w:val="auto"/>
        </w:rPr>
      </w:pPr>
      <w:r>
        <w:rPr>
          <w:rFonts w:ascii="Arial" w:cs="Arial" w:eastAsia="Arial" w:hAnsi="Arial"/>
          <w:sz w:val="16"/>
          <w:szCs w:val="16"/>
          <w:color w:val="auto"/>
        </w:rPr>
        <w:t>The Company accounts for derivative financial instruments as either equity or liabilities in accordance with Accounting Standards Codification Topic 815, Derivatives and Hedging, based on the characteristics and provisions of each instrument. Embedded derivatives are required to be bifurcated from the host instruments and recorded at fair value if the derivatives are not clearly and closely related to the host instruments on issuance date. The Company did not have any material embedded derivatives that required bifurcation upon issuance or as of March 31, 2020.</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83"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anticipate that the COVID-19 pandemic will have an impact on the clinical and pre-clinical development timelines for our clinical and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from Contracts with Customers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On December 19, 2014 (the “Effective Date”), the Company entered into a license agreement with Kyowa Kirin, Co., Ltd. (the KKC License Agreement), under which the Company granted KKC an exclusive license to develop and commercialize entinostat in Japan and Korea. Under the terms of the KKC License Agreement, the Company will be responsible for the manufacture and supply of the products during the development activities. In addition to the license and manufacturing obligations, the Company is obligated to provide KKC access to know-how and regulatory information the Company may develop over the life of the entinostat patent. Lastly, to the extent additional intellectual property is developed during the term of the agreement, KKC will receive the right to the intellectual property when and if available. KKC will conduct the development, regulatory approval filings, and commercialization activities of entinostat in Japan and Korea. KKC paid the Company $25.0 million upfront, which included a $7.5 million equity investment and a $17.5 million non-refundable cash payment. In addition, to the extent certain development and commercial milestones are achieved, KKC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7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equity purchase and the up-front payment of the license fee were accounted for separately. The Company allocated the amount of consideration equal to the fair value of the shares on the Effective Date, which resulted in $7.7 million of proceeds allocated to the equity purchase and the remaining consideration of $17.3 million allocated to the up-front license fee.</w:t>
      </w:r>
    </w:p>
    <w:p>
      <w:pPr>
        <w:spacing w:after="0" w:line="183"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October 2017, the Company announced that KKC enrolled the first Japanese patient into a local pivotal study of entinostat for the treatment of hormone receptor positive, human epidermal growth factor receptor 2 negative breast cancer. In accordance with the terms of the license agreement, KKC paid the Company a $5.0 million milestone payment which the Company received in December 2017.</w:t>
      </w:r>
    </w:p>
    <w:p>
      <w:pPr>
        <w:spacing w:after="0" w:line="7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The Company determined that the performance obligations associated with the KKC License Agreement include (i) the combined license, rights to access and use materials and data, and rights to additional intellectual property, and (ii) the clinical supply obligation. All other goods or services promised to KHK are immaterial in the context of the agreement. Under ASC 606, the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ind w:right="120"/>
        <w:spacing w:after="0" w:line="285" w:lineRule="auto"/>
        <w:rPr>
          <w:sz w:val="20"/>
          <w:szCs w:val="20"/>
          <w:color w:val="auto"/>
        </w:rPr>
      </w:pPr>
      <w:r>
        <w:rPr>
          <w:rFonts w:ascii="Arial" w:cs="Arial" w:eastAsia="Arial" w:hAnsi="Arial"/>
          <w:sz w:val="16"/>
          <w:szCs w:val="16"/>
          <w:color w:val="auto"/>
        </w:rPr>
        <w:t>identification of the clinical supply obligation as a distinct performance obligation separate and apart from the license performance obligation resulted in a change in the performance period. The start of the performance period under ASC 606 was determined to be the contract inception date, December 19, 2014. The clinical supply was identified as a separate performance obligation under ASC 606 as (i) the Company is not providing a significant service of integration whereby the clinical supply and other promises are inputs into a combined output, (ii) the clinical supply does not significantly modify or customize the other promises nor is it significantly modified or customized by them, and (iii) the clinical supply is not highly interdependent or highly interrelated with the other promises in the agreement as KKC could choose not to purchase the clinical supply from the Company without significantly affecting the other promised goods or services. The Company further concluded that the clinical supply represented an immaterial performance obligation and therefore the entire $17.3 million allocated to the upfront payment was allocated to the combined license and will be recognized ratably over the performance period, representing contract inception though 2029. In 2017, KKC achieved a development milestone, and was required to pay the Company $5.0 million. The Company is recognizing the development milestone consideration over the performance period coinciding with the license to intellectual property. As the Company determined that its performance obligations associated with the KKC Agreement at contract inception were not distinct and represented a single performance obligation, and that the obligations for goods and services provided would be completed over the performance period of the agreement, any payments received by the Company from KKC, including the upfront payment and progress-dependent development and regulatory milestone payments, are recognized as revenue using a time-based proportional performance model over the contract term (December 2014 through 2029) of the collaboration, within license fees. To date no commercial milestone payments or royalties have been achieved.</w:t>
      </w:r>
    </w:p>
    <w:p>
      <w:pPr>
        <w:spacing w:after="0" w:line="175" w:lineRule="exact"/>
        <w:rPr>
          <w:sz w:val="20"/>
          <w:szCs w:val="20"/>
          <w:color w:val="auto"/>
        </w:rPr>
      </w:pPr>
    </w:p>
    <w:p>
      <w:pPr>
        <w:ind w:right="140" w:firstLine="510"/>
        <w:spacing w:after="0" w:line="307" w:lineRule="auto"/>
        <w:rPr>
          <w:sz w:val="20"/>
          <w:szCs w:val="20"/>
          <w:color w:val="auto"/>
        </w:rPr>
      </w:pPr>
      <w:r>
        <w:rPr>
          <w:rFonts w:ascii="Arial" w:cs="Arial" w:eastAsia="Arial" w:hAnsi="Arial"/>
          <w:sz w:val="17"/>
          <w:szCs w:val="17"/>
          <w:color w:val="auto"/>
        </w:rPr>
        <w:t>Contract liabilities consisted of deferred revenue, as presented on the consolidated balance sheet, as of March 31, 2020. Deferred revenue related to the KHK License Agreement was $14.3 million as of March 31, 2020 and will be recognized over the remainder of the contract term.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1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40" w:type="dxa"/>
            <w:vAlign w:val="bottom"/>
            <w:gridSpan w:val="5"/>
          </w:tcPr>
          <w:p>
            <w:pPr>
              <w:jc w:val="center"/>
              <w:ind w:right="333"/>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4"/>
          </w:tcPr>
          <w:p>
            <w:pPr>
              <w:jc w:val="center"/>
              <w:ind w:left="798"/>
              <w:spacing w:after="0"/>
              <w:rPr>
                <w:sz w:val="20"/>
                <w:szCs w:val="20"/>
                <w:color w:val="auto"/>
              </w:rPr>
            </w:pPr>
            <w:r>
              <w:rPr>
                <w:rFonts w:ascii="Arial" w:cs="Arial" w:eastAsia="Arial" w:hAnsi="Arial"/>
                <w:sz w:val="14"/>
                <w:szCs w:val="14"/>
                <w:b w:val="1"/>
                <w:bCs w:val="1"/>
                <w:color w:val="auto"/>
                <w:w w:val="90"/>
              </w:rPr>
              <w:t>share data)</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(15,236)</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 due to warrant reset</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120"/>
              <w:spacing w:after="0"/>
              <w:rPr>
                <w:sz w:val="20"/>
                <w:szCs w:val="20"/>
                <w:color w:val="auto"/>
              </w:rPr>
            </w:pPr>
            <w:r>
              <w:rPr>
                <w:rFonts w:ascii="Arial" w:cs="Arial" w:eastAsia="Arial" w:hAnsi="Arial"/>
                <w:sz w:val="18"/>
                <w:szCs w:val="18"/>
                <w:color w:val="auto"/>
              </w:rPr>
              <w:t>stockholders—basic and diluted</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(19,142)</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195"/>
        </w:trPr>
        <w:tc>
          <w:tcPr>
            <w:tcW w:w="61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42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(0.56)</w:t>
            </w:r>
          </w:p>
        </w:tc>
        <w:tc>
          <w:tcPr>
            <w:tcW w:w="5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used to compute net loss per share attributable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 common stockholders—basic and diluted</w:t>
            </w: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34,328,640</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27,023,466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6,897,802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5,629,120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4,595,039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4,595,039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24,214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Non-vested restricted stock units (RSUs)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0"/>
                <w:szCs w:val="20"/>
                <w:color w:val="auto"/>
              </w:rPr>
            </w:pPr>
          </w:p>
        </w:tc>
      </w:tr>
      <w:tr>
        <w:trPr>
          <w:trHeight w:val="646"/>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40" w:type="dxa"/>
            <w:vAlign w:val="bottom"/>
          </w:tcPr>
          <w:p>
            <w:pPr>
              <w:jc w:val="right"/>
              <w:ind w:right="890"/>
              <w:spacing w:after="0"/>
              <w:rPr>
                <w:sz w:val="20"/>
                <w:szCs w:val="20"/>
                <w:color w:val="auto"/>
              </w:rPr>
            </w:pPr>
            <w:r>
              <w:rPr>
                <w:rFonts w:ascii="Arial" w:cs="Arial" w:eastAsia="Arial" w:hAnsi="Arial"/>
                <w:sz w:val="18"/>
                <w:szCs w:val="18"/>
                <w:color w:val="auto"/>
              </w:rPr>
              <w:t>6</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0" w:name="page11"/>
    <w:bookmarkEnd w:id="10"/>
    <w:p>
      <w:pPr>
        <w:ind w:right="60" w:firstLine="510"/>
        <w:spacing w:after="0" w:line="255" w:lineRule="auto"/>
        <w:rPr>
          <w:sz w:val="20"/>
          <w:szCs w:val="20"/>
          <w:color w:val="auto"/>
        </w:rPr>
      </w:pPr>
      <w:r>
        <w:rPr>
          <w:rFonts w:ascii="Arial" w:cs="Arial" w:eastAsia="Arial" w:hAnsi="Arial"/>
          <w:sz w:val="18"/>
          <w:szCs w:val="18"/>
          <w:color w:val="auto"/>
        </w:rPr>
        <w:t>In June 2018, the Company signed an exchange agreement with an investor under which the investor exchanged 2,000,000 shares of common stock for 2,000,000 warrants. Further, as discussed in Note 13, in March 2019, the Company sold 2,095,039 shares of common stock as well as 2,500,000 pre-funded warrants and 4,595,039 Series 1 and Series 2 warrants. The pre-funded warrants are exercisable into shares of common stock for $0.0001 per share. In January 2020, the Company sold 3,036,719 shares of common stock as well as 1,338,287 pre-funded warrants. The warrants are exercisable into shares of common stock for $0.0001 per share. The shares of common stock into which the pre-funded warrants may be exercised are considered outstanding for the purposes of computing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plc (“Allergan”), under which Allergan granted the Company an exclusive, sublicensable, worldwide license to a portfolio of preclinical, orally available, small molecule inhibitors of the interaction of Menin with the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As a result, in June 2019, the Company recorded $4.0 million as research and development expense. The $4.0 million payable has been recorded in accounts payable as of March 31, 2020.</w:t>
      </w:r>
    </w:p>
    <w:p>
      <w:pPr>
        <w:spacing w:after="0" w:line="3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jc w:val="both"/>
        <w:ind w:right="260" w:firstLine="510"/>
        <w:spacing w:after="0" w:line="287" w:lineRule="auto"/>
        <w:rPr>
          <w:sz w:val="20"/>
          <w:szCs w:val="20"/>
          <w:color w:val="auto"/>
        </w:rPr>
      </w:pPr>
      <w:r>
        <w:rPr>
          <w:rFonts w:ascii="Arial" w:cs="Arial" w:eastAsia="Arial" w:hAnsi="Arial"/>
          <w:sz w:val="16"/>
          <w:szCs w:val="16"/>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2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we have entered into a number of amendments to the agreement to provide for additional study activities resulting in an increase of the contractual obligation of $5.1 million. We have agreed to provide this additional financial support to fund the additional activities required to ensure that the E2112 clinical trial will satisfy FDA registration requirements. As of March 31, 2020, the Company’s aggregate payment obligations under this agreement are approximately $24.6 million; and its remaining payment obligations are approximately $5.8 million, which are estimated to be paid over a period of approximately two years.</w:t>
      </w:r>
    </w:p>
    <w:p>
      <w:pPr>
        <w:spacing w:after="0" w:line="7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8" w:lineRule="exact"/>
        <w:rPr>
          <w:sz w:val="20"/>
          <w:szCs w:val="20"/>
          <w:color w:val="auto"/>
        </w:rPr>
      </w:pPr>
    </w:p>
    <w:p>
      <w:pPr>
        <w:ind w:left="1200" w:right="300" w:hanging="687"/>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75"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both"/>
        <w:ind w:firstLine="510"/>
        <w:spacing w:after="0" w:line="263"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6"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Prices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(unadjusted)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6"/>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5"/>
          </w:tcPr>
          <w:p>
            <w:pPr>
              <w:jc w:val="center"/>
              <w:ind w:right="30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March 31, 2020</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2480" w:type="dxa"/>
            <w:vAlign w:val="bottom"/>
            <w:tcBorders>
              <w:top w:val="single" w:sz="8" w:color="CFF0FC"/>
            </w:tcBorders>
            <w:gridSpan w:val="2"/>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3"/>
            <w:shd w:val="clear" w:color="auto" w:fill="CFF0FC"/>
          </w:tcPr>
          <w:p>
            <w:pPr>
              <w:ind w:left="460"/>
              <w:spacing w:after="0"/>
              <w:rPr>
                <w:sz w:val="20"/>
                <w:szCs w:val="20"/>
                <w:color w:val="auto"/>
              </w:rPr>
            </w:pPr>
            <w:r>
              <w:rPr>
                <w:rFonts w:ascii="Arial" w:cs="Arial" w:eastAsia="Arial" w:hAnsi="Arial"/>
                <w:sz w:val="18"/>
                <w:szCs w:val="18"/>
                <w:color w:val="auto"/>
              </w:rPr>
              <w:t>Total assets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gridSpan w:val="4"/>
            <w:vMerge w:val="continue"/>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Assets: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Short-term investments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Total assets</w:t>
            </w:r>
          </w:p>
        </w:tc>
        <w:tc>
          <w:tcPr>
            <w:tcW w:w="1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firstLine="510"/>
        <w:spacing w:after="0" w:line="296" w:lineRule="auto"/>
        <w:rPr>
          <w:sz w:val="20"/>
          <w:szCs w:val="20"/>
          <w:color w:val="auto"/>
        </w:rPr>
      </w:pPr>
      <w:r>
        <w:rPr>
          <w:rFonts w:ascii="Arial" w:cs="Arial" w:eastAsia="Arial" w:hAnsi="Arial"/>
          <w:sz w:val="16"/>
          <w:szCs w:val="16"/>
          <w:color w:val="auto"/>
        </w:rPr>
        <w:t>Cash and cash equivalents of $44.6 million and $23.4 million as of March 31, 2020 and December 31, 2019, respectively, consisted of overnight investments and money market funds and are classified within Level 1 of the fair value hierarchy because they are valued using quoted market prices in active markets. Cash equivalents of $1.2 million as of December 31, 2019,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6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Short-term investments of $54.4 million and $35.2 million as of March 31, 2020 and December 31, 2019, respectively, consisted of commercial paper, highly rated corporate bonds and asset backed securities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3" w:name="page14"/>
    <w:bookmarkEnd w:id="13"/>
    <w:p>
      <w:pPr>
        <w:ind w:firstLine="510"/>
        <w:spacing w:after="0" w:line="271" w:lineRule="auto"/>
        <w:rPr>
          <w:sz w:val="20"/>
          <w:szCs w:val="20"/>
          <w:color w:val="auto"/>
        </w:rPr>
      </w:pPr>
      <w:r>
        <w:rPr>
          <w:rFonts w:ascii="Arial" w:cs="Arial" w:eastAsia="Arial" w:hAnsi="Arial"/>
          <w:sz w:val="17"/>
          <w:szCs w:val="17"/>
          <w:color w:val="auto"/>
        </w:rPr>
        <w:t>The short-term investments are classified as available-for-sale securities. As of March 31, 2020,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months ended March 31, 2020 and 2019. As a result, the Company did not reclassify any amounts out of accumulated other comprehensive income for the same periods. The Company has a limited number of available-for-sale securities in insignificant loss positions as of March 31, 2020, which the Company does not intend to sell and has concluded it will not be required to sell before recovery of the amortized cost for the investment at maturity. The following table summarizes the available-for-sale securities: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9"/>
          </w:tcPr>
          <w:p>
            <w:pPr>
              <w:jc w:val="right"/>
              <w:ind w:right="86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52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March 31, 2020</w:t>
            </w:r>
          </w:p>
        </w:tc>
        <w:tc>
          <w:tcPr>
            <w:tcW w:w="1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Borders>
              <w:top w:val="single" w:sz="8" w:color="auto"/>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7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36,987</w:t>
            </w:r>
          </w:p>
        </w:tc>
        <w:tc>
          <w:tcPr>
            <w:tcW w:w="360" w:type="dxa"/>
            <w:vAlign w:val="bottom"/>
            <w:gridSpan w:val="2"/>
          </w:tcPr>
          <w:p>
            <w:pPr>
              <w:jc w:val="center"/>
              <w:ind w:left="70"/>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9"/>
              </w:rPr>
              <w:t>85</w:t>
            </w:r>
          </w:p>
        </w:tc>
        <w:tc>
          <w:tcPr>
            <w:tcW w:w="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54,328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86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15,675</w:t>
            </w:r>
          </w:p>
        </w:tc>
        <w:tc>
          <w:tcPr>
            <w:tcW w:w="3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36,336</w:t>
            </w:r>
          </w:p>
        </w:tc>
        <w:tc>
          <w:tcPr>
            <w:tcW w:w="22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8. Prepaid Expenses and Other Current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5"/>
          </w:tcPr>
          <w:p>
            <w:pPr>
              <w:ind w:left="520"/>
              <w:spacing w:after="0"/>
              <w:rPr>
                <w:sz w:val="20"/>
                <w:szCs w:val="20"/>
                <w:color w:val="auto"/>
              </w:rPr>
            </w:pPr>
            <w:r>
              <w:rPr>
                <w:rFonts w:ascii="Arial" w:cs="Arial" w:eastAsia="Arial" w:hAnsi="Arial"/>
                <w:sz w:val="18"/>
                <w:szCs w:val="18"/>
                <w:color w:val="auto"/>
                <w:w w:val="94"/>
              </w:rPr>
              <w:t>Prepaid expenses and other current assets consisted of the following:</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4"/>
              </w:rPr>
              <w:t>March 31, 2020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7"/>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Prepaid clinical supplies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Reimbursable costs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347</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8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5"/>
          </w:tcPr>
          <w:p>
            <w:pPr>
              <w:ind w:left="520"/>
              <w:spacing w:after="0"/>
              <w:rPr>
                <w:sz w:val="20"/>
                <w:szCs w:val="20"/>
                <w:color w:val="auto"/>
              </w:rPr>
            </w:pPr>
            <w:r>
              <w:rPr>
                <w:rFonts w:ascii="Arial" w:cs="Arial" w:eastAsia="Arial" w:hAnsi="Arial"/>
                <w:sz w:val="18"/>
                <w:szCs w:val="18"/>
                <w:color w:val="auto"/>
                <w:w w:val="91"/>
              </w:rPr>
              <w:t>Accrued expenses and other current liabilities consisted of the following:</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4"/>
              </w:rPr>
              <w:t>March 31, 2020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7"/>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Accrued compensation and related costs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6,726</w:t>
            </w:r>
          </w:p>
        </w:tc>
        <w:tc>
          <w:tcPr>
            <w:tcW w:w="80" w:type="dxa"/>
            <w:vAlign w:val="bottom"/>
            <w:tcBorders>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266</w:t>
            </w:r>
          </w:p>
        </w:tc>
        <w:tc>
          <w:tcPr>
            <w:tcW w:w="8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99"/>
              </w:rPr>
              <w:t>Total accrued expenses and other current liabilities</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10,195</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January 2020, the number of shares of common stock available for issuance under the 2015 Omnibus Incentive Plan (“2015 Plan”), was increased by 1,085,619 shares due to the automatic annual provision to increase shares available under the 2015 Plan. As of March 31, 2020, the total number of shares of common stock available for issuance under the 2015 Plan was 765,348. The Company recognized stock-based compensation expense related to the issuance of stock option awards to employees and non-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employees and related to the 2015 Employee Stock Purchase Plan (“ESPP”) in the condensed consolidated statements of comprehensive loss as follows:</w:t>
      </w:r>
    </w:p>
    <w:p>
      <w:pPr>
        <w:spacing w:after="0" w:line="34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7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FF0FC"/>
          </w:tcPr>
          <w:p>
            <w:pPr>
              <w:spacing w:after="0"/>
              <w:rPr>
                <w:sz w:val="19"/>
                <w:szCs w:val="19"/>
                <w:color w:val="auto"/>
              </w:rPr>
            </w:pPr>
          </w:p>
        </w:tc>
      </w:tr>
      <w:tr>
        <w:trPr>
          <w:trHeight w:val="229"/>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1,297</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1,829</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expense by type of award in the three months ended March 31, 2020 and 2019 was as follows:</w:t>
      </w: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3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3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24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1,793</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FF0FC"/>
          </w:tcPr>
          <w:p>
            <w:pPr>
              <w:spacing w:after="0"/>
              <w:rPr>
                <w:sz w:val="19"/>
                <w:szCs w:val="19"/>
                <w:color w:val="auto"/>
              </w:rPr>
            </w:pPr>
          </w:p>
        </w:tc>
      </w:tr>
      <w:tr>
        <w:trPr>
          <w:trHeight w:val="229"/>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4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FF0FC"/>
            </w:tcBorders>
          </w:tcPr>
          <w:p>
            <w:pPr>
              <w:spacing w:after="0"/>
              <w:rPr>
                <w:sz w:val="19"/>
                <w:szCs w:val="19"/>
                <w:color w:val="auto"/>
              </w:rPr>
            </w:pPr>
          </w:p>
        </w:tc>
      </w:tr>
      <w:tr>
        <w:trPr>
          <w:trHeight w:val="223"/>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1,829</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During the three months ended March 31, 2020, the Company granted 1,121,825 stock options to certain executives and employees having service-based vesting conditions. The grant date fair value of the options granted in the three months ended March 31, 2020, was $7.3 million, or $6.52 per share on a weighted-average basis and will be recognized as compensation expense over the requisite service period of three to four years.</w:t>
      </w:r>
    </w:p>
    <w:p>
      <w:pPr>
        <w:spacing w:after="0" w:line="148"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In 2019, the Company granted 583,000 stock options to certain employees to purchase shares of common stock that contain certain performance-based vesting criteria, primarily related to the achievement of certain clinical and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spacing w:after="0" w:line="191"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The achievement of one of the performance milestones was considered to be probable and the Company recorded approximately $50,000 of stock compensation expense associated with these awards for the three months ended March 31, 2020. One performance milestone was not achieved by December 31, 2019, and therefore 194,338 stock options were cancelled on January 1, 2020. For the remaining award containing performance-based vesting criteria, the achievement of the milestone was considered not probable, nor met, and therefore no expense has been recognized related to this award for the three months ended March 31, 2020.</w:t>
      </w:r>
    </w:p>
    <w:p>
      <w:pPr>
        <w:spacing w:after="0" w:line="19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During the three months ended March 31, 2020, 51,034 options were exercised for cash proceeds of $338,000. No options were exercised in the three months ended March 31, 2019.</w:t>
      </w:r>
    </w:p>
    <w:p>
      <w:pPr>
        <w:spacing w:after="0" w:line="169"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of March 31, 2020, there was $15.6 million of unrecognized compensation cost related to employee and non-employee unvested stock options granted under the 2015 and 2007 Plans, which is expected to be recognized over a weighted-average remaining service period of 2.7 years. Stock compensation costs have not been capitalized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right="600" w:firstLine="510"/>
        <w:spacing w:after="0" w:line="286" w:lineRule="auto"/>
        <w:rPr>
          <w:sz w:val="20"/>
          <w:szCs w:val="20"/>
          <w:color w:val="auto"/>
        </w:rPr>
      </w:pPr>
      <w:r>
        <w:rPr>
          <w:rFonts w:ascii="Arial" w:cs="Arial" w:eastAsia="Arial" w:hAnsi="Arial"/>
          <w:sz w:val="17"/>
          <w:szCs w:val="17"/>
          <w:color w:val="auto"/>
        </w:rPr>
        <w:t>During the three months ended March 31, 2020, the Company granted 15,000 shares of the Company’s restricted stock units. The shares are scheduled to vest in equal annual tranches over a four-year period on the anniversary date of the related grant. The fair value of these shares totaled $142,000 at the grant date, representing a weighted-average grant date fair value per share of $9.47.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Stock Purchase Plan</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January 2020, the number of shares of common stock available for issuance under the ESPP, was increased by 271,404 shares as a result of the automatic increase provision of the ESPP. As of March 31, 2020, the total number of shares of common stock available for issuance under the ESPP was 1,115,797. The Company issued 12,601 shares during the first three months of 2020.</w:t>
      </w:r>
    </w:p>
    <w:p>
      <w:pPr>
        <w:spacing w:after="0" w:line="183"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ESPP is considered a compensatory plan with the related compensation cost expensed over the six-month offering period starting on February 1 and on August 1. The compensation expense related to the ESPP for the three months ended March 31, 2020,</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 w:name="page16"/>
    <w:bookmarkEnd w:id="15"/>
    <w:p>
      <w:pPr>
        <w:ind w:right="560"/>
        <w:spacing w:after="0" w:line="277" w:lineRule="auto"/>
        <w:rPr>
          <w:sz w:val="20"/>
          <w:szCs w:val="20"/>
          <w:color w:val="auto"/>
        </w:rPr>
      </w:pPr>
      <w:r>
        <w:rPr>
          <w:rFonts w:ascii="Arial" w:cs="Arial" w:eastAsia="Arial" w:hAnsi="Arial"/>
          <w:sz w:val="18"/>
          <w:szCs w:val="18"/>
          <w:color w:val="auto"/>
        </w:rPr>
        <w:t>was approximately $36,000. The compensation expense related to the ESPP recorded in the three months ended March 31, 2019, was approximately $33,000.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Loan Payable</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February 2020, the Company entered into a loan and security agreement (the “Loan Agreement”) with Hercules Capital, Inc. (“Hercules”), which provided for aggregate maximum borrowings of up to $30.0 million, consisting of (i) a term loan of up to $20.0 million, which was funded on February 7, 2020 (the “Initial Advance”), and (ii) subject to Hercules’ investment committee approval, an additional term loan of up to $10.0 million, available for borrowing from February 7, 2020 to December 15, 2020 (the “Tranche 2 Advance”). Borrowings under the Loan Agreement bear interest at an annual rate equal to the greater of (i) 9.85% or (ii) 5.10% plus the Wall Street Journal prime rate. As of March 31, 2020, the Company’s interest rate under the Loan Agreement was 9.85%.</w:t>
      </w:r>
    </w:p>
    <w:p>
      <w:pPr>
        <w:spacing w:after="0" w:line="19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Borrowings under the Loan Agreement are repayable in monthly interest-only payments through October 1, 2021, or April 1, 2022 if the Phase 3 clinical trial of entinostat (E2112) in patients with advanced hormone receptor positive, human epidermal growth factor receptor 2 negative, breast cancer has achieved the primary efficacy endpoint sufficient to file an NDA as the next step in clinical development (“Performance Milestone”). After the interest-only payment period, borrowings under the Loan Agreement are repayable in equal monthly payments of principal and accrued interest until the maturity date of the loan, which is either (i) September 1, 2023, or (ii) March 1, 2024 upon achievement of the Performance Milestone (the “Maturity Date”). At the Company’s option, the Company may prepay all, but not less than all, of the outstanding borrowings, subject to a prepayment premium equal to (i) 2.0% of the principal amount outstanding if the prepayment occurs during the first year following the applicable loan being funded, (ii) 1.5% of the principal amount outstanding if the prepayment occurs during the second year following the applicable loan being funded, and (iii) 1.0% of the principal amount outstanding at any time thereafter but prior to the Maturity Date. In addition, the Company paid a $100,000 facility charge upon closing, which is being expensed over the term of the debt, and will pay a $50,000 facility charge in connection with the Tranche 2 Advance. The Loan Agreement also provides for a final payment, payable upon maturity or the repayment in full of all obligations under the agreement, of up to 4.99% of the aggregate principal amount of the Term Loan Advances (as defined in the Loan Agreement). The final payment will be accrued over the term of the debt.</w:t>
      </w:r>
    </w:p>
    <w:p>
      <w:pPr>
        <w:spacing w:after="0" w:line="17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Borrowings under the Loan Agreement are collateralized by substantially all of the Company’s and its subsidiaries personal property and other assets, other than its intellectual property. The Loan Agreement includes a minimum cash covenant of $12.5 million that applies commencing on October 1, 2020, subject to reduction upon satisfaction of certain conditions as set forth in the Loan Agreement.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Loan Agreement also includes customary events of default, including payment defaults, breaches of covenants following any applicable cure period, the occurrence of certain events that could reasonably be expected to have a “material adverse effect” as set forth in the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Loan Agreement.</w:t>
      </w:r>
    </w:p>
    <w:p>
      <w:pPr>
        <w:spacing w:after="0" w:line="179"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In connection with the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During the quarter ended March 31, 2020, the Company recognized $0.4 million of interest expense related to the Initial Advance pursuant to the Loan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As of March 31, 2020, the Company’s maturities of principal obligations under its long-term debt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Amount</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principal outstanding</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Unamortized final fee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13. Stockholders’ Equity</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gridSpan w:val="12"/>
          </w:tcPr>
          <w:p>
            <w:pPr>
              <w:ind w:left="520"/>
              <w:spacing w:after="0"/>
              <w:rPr>
                <w:sz w:val="20"/>
                <w:szCs w:val="20"/>
                <w:color w:val="auto"/>
              </w:rPr>
            </w:pPr>
            <w:r>
              <w:rPr>
                <w:rFonts w:ascii="Arial" w:cs="Arial" w:eastAsia="Arial" w:hAnsi="Arial"/>
                <w:sz w:val="18"/>
                <w:szCs w:val="18"/>
                <w:color w:val="auto"/>
                <w:w w:val="91"/>
              </w:rPr>
              <w:t>The following table presents the changes in stockholders’ equity for the three months ended March 31, 2020: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32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21"/>
                <w:szCs w:val="2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1"/>
                <w:szCs w:val="21"/>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360" w:type="dxa"/>
            <w:vAlign w:val="bottom"/>
            <w:gridSpan w:val="3"/>
          </w:tcPr>
          <w:p>
            <w:pPr>
              <w:jc w:val="center"/>
              <w:ind w:left="655"/>
              <w:spacing w:after="0" w:line="149" w:lineRule="exact"/>
              <w:rPr>
                <w:sz w:val="20"/>
                <w:szCs w:val="20"/>
                <w:color w:val="auto"/>
              </w:rPr>
            </w:pPr>
            <w:r>
              <w:rPr>
                <w:rFonts w:ascii="Arial" w:cs="Arial" w:eastAsia="Arial" w:hAnsi="Arial"/>
                <w:sz w:val="14"/>
                <w:szCs w:val="14"/>
                <w:b w:val="1"/>
                <w:bCs w:val="1"/>
                <w:color w:val="auto"/>
                <w:w w:val="90"/>
              </w:rPr>
              <w:t>$0.0001</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2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360" w:type="dxa"/>
            <w:vAlign w:val="bottom"/>
            <w:gridSpan w:val="3"/>
          </w:tcPr>
          <w:p>
            <w:pPr>
              <w:jc w:val="center"/>
              <w:ind w:left="675"/>
              <w:spacing w:after="0"/>
              <w:rPr>
                <w:sz w:val="20"/>
                <w:szCs w:val="20"/>
                <w:color w:val="auto"/>
              </w:rPr>
            </w:pPr>
            <w:r>
              <w:rPr>
                <w:rFonts w:ascii="Arial" w:cs="Arial" w:eastAsia="Arial" w:hAnsi="Arial"/>
                <w:sz w:val="14"/>
                <w:szCs w:val="14"/>
                <w:b w:val="1"/>
                <w:bCs w:val="1"/>
                <w:color w:val="auto"/>
                <w:w w:val="93"/>
              </w:rPr>
              <w:t>Par Value</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Income / (Loss)</w:t>
            </w:r>
          </w:p>
        </w:tc>
        <w:tc>
          <w:tcPr>
            <w:tcW w:w="200" w:type="dxa"/>
            <w:vAlign w:val="bottom"/>
          </w:tcPr>
          <w:p>
            <w:pPr>
              <w:spacing w:after="0"/>
              <w:rPr>
                <w:sz w:val="14"/>
                <w:szCs w:val="14"/>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27,140,484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527,067</w:t>
            </w:r>
          </w:p>
        </w:tc>
        <w:tc>
          <w:tcPr>
            <w:tcW w:w="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gridSpan w:val="2"/>
            <w:shd w:val="clear" w:color="auto" w:fill="CFF0FC"/>
          </w:tcPr>
          <w:p>
            <w:pPr>
              <w:jc w:val="right"/>
              <w:ind w:right="525"/>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(495,470)</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31,600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Stock purchase under ESPP</w:t>
            </w:r>
          </w:p>
        </w:tc>
        <w:tc>
          <w:tcPr>
            <w:tcW w:w="960" w:type="dxa"/>
            <w:vAlign w:val="bottom"/>
          </w:tcPr>
          <w:p>
            <w:pPr>
              <w:jc w:val="right"/>
              <w:spacing w:after="0"/>
              <w:rPr>
                <w:sz w:val="20"/>
                <w:szCs w:val="20"/>
                <w:color w:val="auto"/>
              </w:rPr>
            </w:pPr>
            <w:r>
              <w:rPr>
                <w:rFonts w:ascii="Arial" w:cs="Arial" w:eastAsia="Arial" w:hAnsi="Arial"/>
                <w:sz w:val="18"/>
                <w:szCs w:val="18"/>
                <w:color w:val="auto"/>
              </w:rPr>
              <w:t>12,601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00" w:type="dxa"/>
            <w:vAlign w:val="bottom"/>
            <w:gridSpan w:val="2"/>
          </w:tcPr>
          <w:p>
            <w:pPr>
              <w:spacing w:after="0"/>
              <w:rPr>
                <w:sz w:val="20"/>
                <w:szCs w:val="20"/>
                <w:color w:val="auto"/>
              </w:rPr>
            </w:pPr>
            <w:r>
              <w:rPr>
                <w:rFonts w:ascii="Arial" w:cs="Arial" w:eastAsia="Arial" w:hAnsi="Arial"/>
                <w:sz w:val="18"/>
                <w:szCs w:val="18"/>
                <w:color w:val="auto"/>
              </w:rPr>
              <w:t>Proceeds from direct offering, net of $93</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offering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3,036,719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24,201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Proceeds from pre-funded common stock</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warrant from direct offering, net of $41</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offering expenses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gridSpan w:val="2"/>
          </w:tcPr>
          <w:p>
            <w:pPr>
              <w:spacing w:after="0"/>
              <w:rPr>
                <w:sz w:val="20"/>
                <w:szCs w:val="20"/>
                <w:color w:val="auto"/>
              </w:rPr>
            </w:pPr>
            <w:r>
              <w:rPr>
                <w:rFonts w:ascii="Arial" w:cs="Arial" w:eastAsia="Arial" w:hAnsi="Arial"/>
                <w:sz w:val="18"/>
                <w:szCs w:val="18"/>
                <w:color w:val="auto"/>
              </w:rPr>
              <w:t>Deemed dividend from repricing Series 1</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40"/>
              <w:spacing w:after="0"/>
              <w:rPr>
                <w:sz w:val="20"/>
                <w:szCs w:val="20"/>
                <w:color w:val="auto"/>
              </w:rPr>
            </w:pPr>
            <w:r>
              <w:rPr>
                <w:rFonts w:ascii="Arial" w:cs="Arial" w:eastAsia="Arial" w:hAnsi="Arial"/>
                <w:sz w:val="18"/>
                <w:szCs w:val="18"/>
                <w:color w:val="auto"/>
              </w:rPr>
              <w:t>and 2 warrants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Repricing Series 1 and 2 warrants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51,034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Unrealized gains on short-term investments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Employee withholdings ESPP</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(15,236)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Balance as of March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30,240,838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564,164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(510,706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12"/>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months ended March 31,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900" w:type="dxa"/>
            <w:vAlign w:val="bottom"/>
            <w:gridSpan w:val="3"/>
            <w:vMerge w:val="restart"/>
          </w:tcPr>
          <w:p>
            <w:pPr>
              <w:jc w:val="center"/>
              <w:ind w:left="115"/>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900" w:type="dxa"/>
            <w:vAlign w:val="bottom"/>
            <w:gridSpan w:val="3"/>
          </w:tcPr>
          <w:p>
            <w:pPr>
              <w:jc w:val="center"/>
              <w:ind w:left="115"/>
              <w:spacing w:after="0" w:line="149" w:lineRule="exact"/>
              <w:rPr>
                <w:sz w:val="20"/>
                <w:szCs w:val="20"/>
                <w:color w:val="auto"/>
              </w:rPr>
            </w:pPr>
            <w:r>
              <w:rPr>
                <w:rFonts w:ascii="Arial" w:cs="Arial" w:eastAsia="Arial" w:hAnsi="Arial"/>
                <w:sz w:val="14"/>
                <w:szCs w:val="14"/>
                <w:b w:val="1"/>
                <w:bCs w:val="1"/>
                <w:color w:val="auto"/>
                <w:w w:val="90"/>
              </w:rPr>
              <w:t>$0.0001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6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190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 (Loss)</w:t>
            </w:r>
          </w:p>
        </w:tc>
        <w:tc>
          <w:tcPr>
            <w:tcW w:w="180" w:type="dxa"/>
            <w:vAlign w:val="bottom"/>
          </w:tcPr>
          <w:p>
            <w:pPr>
              <w:spacing w:after="0"/>
              <w:rPr>
                <w:sz w:val="14"/>
                <w:szCs w:val="14"/>
                <w:color w:val="auto"/>
              </w:rPr>
            </w:pPr>
          </w:p>
        </w:tc>
        <w:tc>
          <w:tcPr>
            <w:tcW w:w="980" w:type="dxa"/>
            <w:vAlign w:val="bottom"/>
            <w:gridSpan w:val="2"/>
          </w:tcPr>
          <w:p>
            <w:pPr>
              <w:jc w:val="right"/>
              <w:ind w:right="40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24,835,951</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492,493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tcBorders>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(439,423)</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53,047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60" w:type="dxa"/>
            <w:vAlign w:val="bottom"/>
          </w:tcPr>
          <w:p>
            <w:pPr>
              <w:jc w:val="right"/>
              <w:spacing w:after="0"/>
              <w:rPr>
                <w:sz w:val="20"/>
                <w:szCs w:val="20"/>
                <w:color w:val="auto"/>
              </w:rPr>
            </w:pPr>
            <w:r>
              <w:rPr>
                <w:rFonts w:ascii="Arial" w:cs="Arial" w:eastAsia="Arial" w:hAnsi="Arial"/>
                <w:sz w:val="18"/>
                <w:szCs w:val="18"/>
                <w:color w:val="auto"/>
              </w:rPr>
              <w:t>23,970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offering, net of</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$34 offering expenses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140,819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direct offering, net of $1,571 in</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warrants, $78 offering</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expenses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2,095,039</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Proceeds from pre-funded common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warrant from direct offering, net of $1,875</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40"/>
              <w:spacing w:after="0"/>
              <w:rPr>
                <w:sz w:val="20"/>
                <w:szCs w:val="20"/>
                <w:color w:val="auto"/>
              </w:rPr>
            </w:pPr>
            <w:r>
              <w:rPr>
                <w:rFonts w:ascii="Arial" w:cs="Arial" w:eastAsia="Arial" w:hAnsi="Arial"/>
                <w:sz w:val="18"/>
                <w:szCs w:val="18"/>
                <w:color w:val="auto"/>
              </w:rPr>
              <w:t>in common stock warrants, $93 offering</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warrant with direct</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offering</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(14,302)</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(14,302)</w:t>
            </w: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2019</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27,095,779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(453,725</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(the “2017 ATM Program”) equity offerings. Cowen is not required to sell any specific amount, but acts as our sales agent using commercially reasonable efforts consistent with its normal trading and sales practices. The Company pays Cowen up to 3% of the gross proceeds from any common stock sold through this sales agreement. In the first quarter of 2019, the Company sold 140,819 shares of common stock under the 2017 ATM Program for net proceeds of $0.8 million.</w:t>
      </w:r>
    </w:p>
    <w:p>
      <w:pPr>
        <w:spacing w:after="0" w:line="191"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In August 2019, the Company entered into a new sales agreement with Cowen under which the Company may issue and sell shares of its common stock having aggregate sales proceeds of up to $50.0 million from time to time through Cowen, acting as agent, in a series of one or more ATM equity offerings (the “2019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 (Registration No. 333-233564), which was declared effective on September 10, 2019. The Company’s common stock will be sold at prevailing market prices at the time of the sale; and as a result, prices may vary. In the first quarter of 2020, and through May 6, 2020, the Company sold no additional shares of common stock under the ATM program.</w:t>
      </w:r>
    </w:p>
    <w:p>
      <w:pPr>
        <w:spacing w:after="0" w:line="181"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In March 2019, the Company issued 2,095,039 shares of its common stock and pre-funded warrants to purchase 2,500,000 shares of common stock to certain investors in a registered direct offering. The pre-funded warrants are exercisable immediately upon issuance at an exercise price of $0.0001 per share and have a term of 20 years. The Company sold the shares of common stock and pre-funded warrants together with two series of warrants, Series 1 Warrants and Series 2 Warrants, to purchase an aggregate of 4,595,039 shares of the Company’s common stock (collectively, the “Series Warrants”). The offering price for the securities was $6.00 per share (or $5.9999 for each Pre-Funded Warrant). The aggregate gross proceeds to the Company from this offering were $27.6 million, excluding any proceeds the Company may receive upon exercise of the pre-funded warrants and Series Warrants and offering costs of $0.2 million. No underwriter or placement agent participated in the offering.</w:t>
      </w:r>
    </w:p>
    <w:p>
      <w:pPr>
        <w:spacing w:after="0" w:line="181"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The Series Warrants are immediately exercisable. Each Series 1 Warrant has an initial exercise price of $12.00 per share of common stock and each Series 2 Warrant has an initial exercise price of $18.00 per share of common stock, in each case subject to certain adjustments. The Series Warrants expire on the earlier of (i) 90 days following the Company’s confirmation to holders of the Company’s release of positive data confirming the achievement of the specified primary endpoint of overall survival benefit in the E2112 clinical trial in breast cancer patients, or (ii) December 31, 2020.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firstLine="510"/>
        <w:spacing w:after="0" w:line="270" w:lineRule="auto"/>
        <w:rPr>
          <w:sz w:val="20"/>
          <w:szCs w:val="20"/>
          <w:color w:val="auto"/>
        </w:rPr>
      </w:pPr>
      <w:r>
        <w:rPr>
          <w:rFonts w:ascii="Arial" w:cs="Arial" w:eastAsia="Arial" w:hAnsi="Arial"/>
          <w:sz w:val="17"/>
          <w:szCs w:val="17"/>
          <w:color w:val="auto"/>
        </w:rPr>
        <w:t>If, prior to the expiration date of the Series Warrant, the Company sells additional capital stock or derivative securities convertible into or exercisable for capital stock, as defined, in one or more related transactions primarily for the purpose of raising capital at a Weighted-Average Price (as described below) below $12.00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$6.00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spacing w:after="0" w:line="178" w:lineRule="exact"/>
        <w:rPr>
          <w:sz w:val="20"/>
          <w:szCs w:val="20"/>
          <w:color w:val="auto"/>
        </w:rPr>
      </w:pPr>
    </w:p>
    <w:p>
      <w:pPr>
        <w:jc w:val="both"/>
        <w:ind w:right="60" w:firstLine="510"/>
        <w:spacing w:after="0" w:line="301" w:lineRule="auto"/>
        <w:rPr>
          <w:sz w:val="20"/>
          <w:szCs w:val="20"/>
          <w:color w:val="auto"/>
        </w:rPr>
      </w:pPr>
      <w:r>
        <w:rPr>
          <w:rFonts w:ascii="Arial" w:cs="Arial" w:eastAsia="Arial" w:hAnsi="Arial"/>
          <w:sz w:val="16"/>
          <w:szCs w:val="16"/>
          <w:color w:val="auto"/>
        </w:rPr>
        <w:t>The Pre-Funded Warrants and the Series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limitation shall not be effective until 61 days after such notice is delivered.</w:t>
      </w:r>
    </w:p>
    <w:p>
      <w:pPr>
        <w:spacing w:after="0" w:line="156"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The Series Warrants were classified as a component of permanent equity and were recorded at the issuance date using a relative fair value allocation method. The Series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shares of common stock upon exercise. In addition, such warrants do not provide any guarantee of value or return</w:t>
      </w:r>
      <w:r>
        <w:rPr>
          <w:rFonts w:ascii="Arial" w:cs="Arial" w:eastAsia="Arial" w:hAnsi="Arial"/>
          <w:sz w:val="21"/>
          <w:szCs w:val="21"/>
          <w:color w:val="auto"/>
        </w:rPr>
        <w:t>.</w:t>
      </w:r>
      <w:r>
        <w:rPr>
          <w:rFonts w:ascii="Arial" w:cs="Arial" w:eastAsia="Arial" w:hAnsi="Arial"/>
          <w:sz w:val="18"/>
          <w:szCs w:val="18"/>
          <w:color w:val="auto"/>
        </w:rPr>
        <w:t xml:space="preserve"> The Company valued the Series Warrants at issuance in March 2019 using the Black Scholes option pricing model and determined the fair value of the 4,595,039 Series Warrants at $3.4 million. The key inputs to the valuation model included the weighted average volatility of 89.1% and the weighted-average expected term of 1.4 years.</w:t>
      </w:r>
    </w:p>
    <w:p>
      <w:pPr>
        <w:spacing w:after="0" w:line="19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January 2020, the Company sold 3,036,719 shares of common stock, and pre-funded warrants to purchase 1,338,287 shares of common stock. The offering price for the securities was $8.00 per share of common stock or $7.9999 for each pre-funded warrant. As a result of this offering, the exercise price of Series 1 Warrants and Series 2 Warrants outstanding reset from $12.00 per share to $10.00 per share and from $18.00 per share to $13.00, respectively. The Company recorded $3.9 million as a deemed dividend which represents the value transferred to the warrant holders due to the Series Warrant adjustment mechanism being triggered. The deemed dividend was recorded as both an increase and a decrease in Additional Paid-in-Capital and reduced net income available to common stockholders by the same amount. The key inputs to the valuation model included the weighted average volatility of 96.74% and the weighted average expected term of 0.4 years.</w:t>
      </w:r>
    </w:p>
    <w:p>
      <w:pPr>
        <w:spacing w:after="0" w:line="18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120" w:type="dxa"/>
            <w:vAlign w:val="bottom"/>
            <w:gridSpan w:val="2"/>
          </w:tcPr>
          <w:p>
            <w:pPr>
              <w:ind w:left="820"/>
              <w:spacing w:after="0"/>
              <w:rPr>
                <w:sz w:val="20"/>
                <w:szCs w:val="20"/>
                <w:color w:val="auto"/>
              </w:rPr>
            </w:pPr>
            <w:r>
              <w:rPr>
                <w:rFonts w:ascii="Arial" w:cs="Arial" w:eastAsia="Arial" w:hAnsi="Arial"/>
                <w:sz w:val="18"/>
                <w:szCs w:val="18"/>
                <w:b w:val="1"/>
                <w:bCs w:val="1"/>
                <w:color w:val="auto"/>
                <w:w w:val="99"/>
              </w:rPr>
              <w:t>March 31, 2020</w:t>
            </w:r>
          </w:p>
        </w:tc>
      </w:tr>
      <w:tr>
        <w:trPr>
          <w:trHeight w:val="223"/>
        </w:trPr>
        <w:tc>
          <w:tcPr>
            <w:tcW w:w="6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5,838,287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Series 1 and 2 warrants</w:t>
            </w:r>
          </w:p>
        </w:tc>
        <w:tc>
          <w:tcPr>
            <w:tcW w:w="2020" w:type="dxa"/>
            <w:vAlign w:val="bottom"/>
          </w:tcPr>
          <w:p>
            <w:pPr>
              <w:jc w:val="right"/>
              <w:spacing w:after="0"/>
              <w:rPr>
                <w:sz w:val="20"/>
                <w:szCs w:val="20"/>
                <w:color w:val="auto"/>
              </w:rPr>
            </w:pPr>
            <w:r>
              <w:rPr>
                <w:rFonts w:ascii="Arial" w:cs="Arial" w:eastAsia="Arial" w:hAnsi="Arial"/>
                <w:sz w:val="18"/>
                <w:szCs w:val="18"/>
                <w:color w:val="auto"/>
              </w:rPr>
              <w:t>4,595,039</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765,348</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2020" w:type="dxa"/>
            <w:vAlign w:val="bottom"/>
          </w:tcPr>
          <w:p>
            <w:pPr>
              <w:jc w:val="right"/>
              <w:spacing w:after="0"/>
              <w:rPr>
                <w:sz w:val="20"/>
                <w:szCs w:val="20"/>
                <w:color w:val="auto"/>
              </w:rPr>
            </w:pPr>
            <w:r>
              <w:rPr>
                <w:rFonts w:ascii="Arial" w:cs="Arial" w:eastAsia="Arial" w:hAnsi="Arial"/>
                <w:sz w:val="18"/>
                <w:szCs w:val="18"/>
                <w:color w:val="auto"/>
              </w:rPr>
              <w:t>1,115,797</w:t>
            </w:r>
          </w:p>
        </w:tc>
        <w:tc>
          <w:tcPr>
            <w:tcW w:w="100" w:type="dxa"/>
            <w:vAlign w:val="bottom"/>
          </w:tcPr>
          <w:p>
            <w:pPr>
              <w:spacing w:after="0"/>
              <w:rPr>
                <w:sz w:val="20"/>
                <w:szCs w:val="20"/>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Company’s chief executive officer and member of the board of directors is also an Executive Partner at MPM Asset Management, LLC, which holds an investment in the Company’s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May 2020, the Company closed an underwritten public offering whereby the Company sold 5,555,556 shares of common stock at a price of $18.00 per share. The aggregate net proceeds received by the Company were $93.7 million, net of underwriting discounts and commissions and estimated offering expenses payable by the Company. The offering allows for an additional 833,333 shares to be issued pursuant to the underwriters’ exercise of their option to purchase additional shares of common stock.</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9" w:name="page20"/>
    <w:bookmarkEnd w:id="19"/>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5,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are a clinical stage biopharmaceutical company developing an innovative pipeline of cancer therapies. We are developing our lead product candidate, entinostat, a once-weekly, oral, small molecule, Class I HDAC inhibitor, in combination with exemestane and several approved PD-1/PD-L1 antagonists. Our pipeline also includes SNDX-6352, or axatilimab, a monoclonal antibody that blocks the colony stimulating factor 1, or CSF-1 receptor, as well as SNDX-5613, targeting the binding interaction of menin with the mixed lineage leukemia 1 (MLL1) protein for the treatment of MLL-rearranged, or MLLr, acute leukemias and nucleophosmin 1, or NPM1, mutant acute myeloid leukemia (AML). We plan to continue to leverage the technical and business expertise of our management team and scientific collaborators to license, acquire and develop additional cancer therapies to expand our pipeline.</w:t>
      </w:r>
    </w:p>
    <w:p>
      <w:pPr>
        <w:spacing w:after="0" w:line="5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three months ended March 31, 2020 and 2019, we reported a net loss of $15.2 million and $14.3 million, respectively. We reported a net loss attributable to shareholders as of March 31, 2020, of $19.3 million. As of March 31, 2020, we had an accumulated deficit of $510.7 million, which included non-cash charges for stock-based compensation, preferred stock accretion and extinguishment charges. As of March 31, 2020, we had cash, cash equivalents and short-term investments of $99.0 million.</w:t>
      </w:r>
    </w:p>
    <w:p>
      <w:pPr>
        <w:spacing w:after="0" w:line="6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continue to monitor our daily operations and program timelines during the evolving coronavirus 2019 (COVID-19) pandemic. The health and safety of our employees as well as the patients and people participating in and operating our clinical trials are of paramount importance. COVID-19 has not impacted our financial guidance or changed our timelines for clinical data in 2020, to date.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continue to anticipate that the E2112 trial will reach 410 death events this quarter, which will trigger the final overall survival (OS) analysis.</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E2112 is the NCI-sponsored, ECOG-ACRIN-led Phase 3 registration trial of entinostat, a Class I selective HDAC inhibitor, plus exemestane in advanced hormone receptor positive, human epidermal growth factor receptor 2 negative (HR+, HER2-) breast cancer. A positive OS assessment would allow us to file for full regulatory approval in the U.S.</w:t>
      </w:r>
    </w:p>
    <w:p>
      <w:pPr>
        <w:spacing w:after="0" w:line="8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E2112 trial design was informed by the Phase 2b ENCORE 301 trial, the results of which led to entinostat's Breakthrough Therapy designation in HR+ breast cancer, in which patients receiving the entinostat/exemestane combination demonstrated a clinically meaningful OS benefit over treatment with exemestane alone. In preparation for the potential launch of entinostat in the U.S. in 2021, we are actively engaged in the expansion of our commercial and medical affairs functions.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SNDX-5613</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recently announced initial clinical data from the Phase 1 portion of its ongoing open-label Phase 1/2 AUGMENT-101 trial of SNDX-5613, our potent, highly selective oral menin inhibitor. Data presented serve as the first clinical evidence that inhibition of the menin-MLL1 interaction can induce response in patients with mixed lineage leukemia rearranged (MLL-r) acute leukemias. The presentation, which was featured at the 2020 American Association for Cancer Research (AACR) Virtual Annual Meeting I, also highlighted preclinical findings, including data recently published in Cancer Cell and Science magazine, supporting the potential of single-agent menin-MLL inhibition to serve as an effective intervention for both MLL-r acute leukemias and nucleophosmin (NPM1) mutant acute myeloid leukemia (AML). A copy of the presentation is available on our website under Publications, Menin-MLLR Inhibitors.</w:t>
      </w:r>
    </w:p>
    <w:p>
      <w:pPr>
        <w:spacing w:after="0" w:line="8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AUGMENT-101 trial is a Phase 1/2 open-label trial designed to evaluate the safety, tolerability, pharmacokinetics and efficacy of orally administered SNDX-5613. The Phase 1 dose escalation portion of AUGMENT-101 was recently separated into two cohorts based on concomitant treatment with a strong CYP3A4 inhibitor. Arm A will enroll patients not receiving a strong CYP3A4 inhibitor, while Arm B will enroll patients receiving a strong CYP3A4 inhibitor. The Phase 1 dose escalation portion of AUGMENT-101 is currently enrolling adults with relapsed/refractory acute leukemias including MLL-r and NPM1 mutant acute leukemias and is expected to establish a recommended Phase 2 dose for both cohorts by the fourth quarter of 2020. The Phase 2 portion will evaluate efficacy, as defined by complete response rate (per International Working Group response criteria), across three expansion cohorts: MLL-r acute lymphoblastic leukemia (ALL), MLL-r AML and NPM1 mutant AML. We expect to present additional results from AUGMENT-101 at a medical conference in the fourth quarter of 2020.</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120" w:firstLine="510"/>
        <w:spacing w:after="0" w:line="277" w:lineRule="auto"/>
        <w:rPr>
          <w:sz w:val="20"/>
          <w:szCs w:val="20"/>
          <w:color w:val="auto"/>
        </w:rPr>
      </w:pPr>
      <w:r>
        <w:rPr>
          <w:rFonts w:ascii="Arial" w:cs="Arial" w:eastAsia="Arial" w:hAnsi="Arial"/>
          <w:sz w:val="18"/>
          <w:szCs w:val="18"/>
          <w:color w:val="auto"/>
        </w:rPr>
        <w:t>We recently announced that SNDX-5613 was granted Orphan Drug Designation for the treatment of adult and pediatric AML by the U.S. Food and Drug Administration (FDA).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Enrollment continues across the Phase 1/2 trial evaluating axatilimab, our anti-CSF-1R monoclonal antibody, for the treatment of chronic graft versus host disease (cGVHD). The Phase 1 portion continues to explore alternate dose and schedules, while the Phase 2 expansion is evaluating the benefit of treatment at 1 mg/kg every two weeks. We expect to present additional results from the Phase 1/2 trial in the fourth quarter of 2020.</w:t>
      </w:r>
    </w:p>
    <w:p>
      <w:pPr>
        <w:spacing w:after="0" w:line="56"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color w:val="auto"/>
        </w:rPr>
        <w:t>Data from the Phase 1 trials exploring axatilimab, both as a monotherapy and in combination with IMFINZI® (durvalumab) in patients with locally-advanced or metastatic solid tumors, were summarized in two oral presentations at the AACR Virtual Annual Meeting I. The data indicate that axatilimab is tolerated well in solid tumor patients, and provide evidence of its ability to deplete circulating pro-inflammatory monocytes. A recommended Phase 2 dose of axatilimab for the treatment of patients with solid tumors was determined as monotherapy and in combination with IMFINZI® (durvalumab). A copy of each presentation is available on our website under Publications, Axatilimab.</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22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With the global spread of the ongoing COVID-19 pandemic in the first and second quarters of 2020, we have implemented business continuity plans designed to address and mitigate the impact of the COVID-19 pandemic on our employees and our business. While we are not experiencing financial impacts at this time, given the global economic slowdown, the overall disruption of global healthcare systems and the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transitioned to working remotely. We are currently considering plans to reopen our offices to allow employees to return to the office, which will be based on a approach that is principles-based and local in design, with a focus on patient continuity, employee safety and optimal work environment.</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Chain</w:t>
      </w:r>
    </w:p>
    <w:p>
      <w:pPr>
        <w:spacing w:after="0" w:line="117"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We are working closely our third-party manufacturers, distributors and other partners to manage our supply chain activities and mitigate potential disruptions to our product supplies as a result of the COVID-19 pandemic. We currently expect to have adequate supplies of entinostat, axatilimab and SNDX-5613 in 2020, as well as adequate commercial product availability for entinostat to support a planned U.S. launch if the E2112 trial is positive and the FDA approves entinostat in 2021. If the COVID-19 pandemic persists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generate sales of and revenues from entinostat, if approved, and to continue our clinical trial operations.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With respect to clinical development, we have taken measures to implement remote and virtual approaches, including remote patient monitoring where possible, to maintain patient safety and trial continuity and to preserve study integrity. We have not yet, but may experience a disruption or delay in our ability to initiate trial sites and enroll and assess patients. As the COVID-19 pandemic continues, we anticipate a potential impact on our ability to maintain patient enrollment in the AUGMENT-101 and cGVHD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clinical development timelines, which would adversely affect our business, financial condition, results of operations and growth prospects.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Corporate Development</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With our strong cash balance, including the proceeds of our recent registered direct offering and draw of the first tranche under our loan agreement, we anticipate having sufficient liquidity to make planned investments in our business this year in support of our long-term growth strategy. We believe that our cash, cash equivalents and marketable securities as of May 7, 2020 will fund our current operating plans through at least the next 12 months. However, our operating plan may change as a result of many factors currently unknown to us, and we may need to seek additional funds sooner than planned, through public or private equity or debt financings, third-party funding, marketing and distribution arrangements, as well as other collaborations, strategic alliances and licensing arrangements, or any combination of these approaches. However,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Other Financial and Corporate Impacts</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While we continue evaluation whether the COVID-19 pandemic will adversely affect our business operations and financial results, our clinical development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For example, if remote work policies for certain portions of our business, or that of our business partners, are extended longer than we currently expect, we may need to reassess our priorities and our corporate objectives for the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To date, we have not generated any product revenues. Our ability to generate revenue and become profitable depends upon our ability to obtain marketing approval of and successfully commercialize our product candidates. Our revenues for the three months ended March 31, 2020 and 2019 have been solely derived from our license, development and commercialization agreement with Kyowa Kirin Co., Ltd., or KKC, under which we granted KKC an exclusive license to develop and commercialize entinostat in Japan and Korea, or the KKC license agreement. In 2015, we received a $25.0 million upfront payment from KHK, inclusive of an equity investment. We allocated $17.3 million of the upfront payment to the license fee, and such fee is being recognized as revenue ratably over our expected performance period (currently expected to be through 2029). The balance of the upfront payment of $7.7 million was allocated to KKC’s purchase of shares of our convertible preferred stock.</w:t>
      </w:r>
    </w:p>
    <w:p>
      <w:pPr>
        <w:spacing w:after="0" w:line="73"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October 2017, KKC enrolled the first Japanese patient into a local pivotal study of entinostat for the treatment of hormone receptor positive, human epidermal growth factor 2 negative breast cancer. In accordance with the terms of the KKC License Agreement, in December 2017 we received a $5.0 million milestone payment from KKC for achievement of the development milestone.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00" w:right="9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1"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2" w:name="page23"/>
    <w:bookmarkEnd w:id="22"/>
    <w:p>
      <w:pPr>
        <w:ind w:right="180" w:firstLine="510"/>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85"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March 31, 2020, we have incurred $264.3 million in research and development expenses.</w:t>
      </w:r>
    </w:p>
    <w:p>
      <w:pPr>
        <w:spacing w:after="0" w:line="19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5"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8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described in the “Management’s Discussion and Analysis of Financial Condition and Results of Operations” contained in our Annual Report.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(1,717)</w:t>
            </w: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(15,100)</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(14,811)</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5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Other (expense) income</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(15,236)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(14,302)</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For the three months ended March 31, 2020 and 2019, we recognized license fees of $0.4 million and $0.4 million respectively, derived from the KKC license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For the three months ended March 31, 2020, our total research and development expenses decreased $1.7 million, or 15%, to $9.6 million from $11.3 million for the comparable quarter in the prior year. The decrease in research and development expenses was primarily due to decreases in clinical activities of $1.4 million, a decrease in employee related expenses of $0.6 million partially offset by increased professional fees of $0.3 million. The decrease in clinical activities was primarily due to reduced clinical activities in our ENCORE programs of $2.3 million partially offset by an increase in clinical activities for our SNDX-5613 program of $0.9 million. The decrease in employee-related expenses is primarily due to a decrease in headcount. We expect research and development expenses to fluctuate from quarter to quarter depending on the timing of clinical trial activities, clinical manufacturing and other development activities.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500" w:type="dxa"/>
            <w:vAlign w:val="bottom"/>
            <w:gridSpan w:val="2"/>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6,146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(1,127)</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3,416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9,562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0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For the three months ended March 31, 2020, our total general and administrative expenses increased $2.0 million, or 51%, to $5.9 million from $3.9 million for the comparable period in the prior year. The increase in general and administrative expenses was primarily due to increased pre-commercialization activities of $1.2 million, increased employee expenses of $0.7 million and increased director’s and officer’s insurance of $0.1 million. The increase in employee expenses is primarily due to increased headcount of $0.5 million and increased stock compensation expense of $0.2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For the three months ended March 31, 2020, interest expense, decreased from the comparable period in the prior year primarily due to the interest expense on the loan payable.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For the three months ended March 31, 2020, interest income, decreased from the comparable period in the prior year primarily due interest income on a decrease average balance on cash equivalents and short-term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As of March 31, 2020, we had cash, cash equivalents and short-term investments totaling $99.0 million. Our operations have been primarily financed by net proceeds from our initial public offering, our follow-on stock offerings and proceeds from our license agreements. We believe that our present cash, cash equivalents and short-term investments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May 2020, we sold 5,555,556 shares of our common stock at a price per share of $18.00 for net proceeds of approximately $93.7 million.</w:t>
      </w:r>
    </w:p>
    <w:p>
      <w:pPr>
        <w:spacing w:after="0" w:line="128"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January 2020, we sold 3,036,719 shares of our common stock at a price per share of $8.00 and pre-funded warrants to purchase 1,338,287 shares of our common stock for gross proceeds of approximately $35.0 million. Upon the completion of the January 2020 offering, we had 5,838,287 pre-funded warrant shares outstanding. The pre-funded warrants are exercisable into shares of common stock for $0.0001 per share. The pre-funded warrants enable the holder to make a cash investment in our common stock without increasing their beneficial ownership in our common stock because the shares of common stock underlying the pre-funded warrant are not issued or issuable until the warrant is actually exercised or becomes exercisable without exceeding the ownership limitations set forth in the pre-funded warrant.</w:t>
      </w:r>
    </w:p>
    <w:p>
      <w:pPr>
        <w:spacing w:after="0" w:line="6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March 2019, we issued to certain investors an aggregate of 2,095,039 shares of our common stock and 2,500,000 pre-funded warrants to purchase shares of our common stock, at a price of $6.00 per share of common stock and $5.9999 for each pre-funded warrant. We sold the shares of common stock and prefunded warrants together with two series of warrants, Series 1 warrants and Series 2 warrants, to purchase an aggregate of 4,595,039 shares of our common stock. The pre-funded warrants are exercisable into shares of common stock for $0.0001 per share. Each Series 1 warrant has an initial exercise price of $12.00 per share of common stock and each Series 2 warrant has an initial exercise price of $18.00 per share of common stock, in each case subject to certain adjustments. The Series 1 warrants and Series 2 warrants contain a one-time exercise price adjustment. If we sell shares or share equivalents at less than $12.00 per share at a time when our Series 1 warrants and Series 2 warrants are outstanding, then an exercise price for those warrants would be adjusted downward, which will result in us receiving less proceeds than we otherwise would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right="20"/>
        <w:spacing w:after="0" w:line="341" w:lineRule="auto"/>
        <w:rPr>
          <w:sz w:val="20"/>
          <w:szCs w:val="20"/>
          <w:color w:val="auto"/>
        </w:rPr>
      </w:pPr>
      <w:r>
        <w:rPr>
          <w:rFonts w:ascii="Arial" w:cs="Arial" w:eastAsia="Arial" w:hAnsi="Arial"/>
          <w:sz w:val="16"/>
          <w:szCs w:val="16"/>
          <w:color w:val="auto"/>
        </w:rPr>
        <w:t>could result in further dilution to our stockholders if such warrants were then exercised. As a result of the January 2020 offering, the initial exercise price of the Series 1 warrants was reduced to $10.00 per share and the initial exercise price of the Series 2 warrants was reduced to $13.00 per share.</w:t>
      </w:r>
    </w:p>
    <w:p>
      <w:pPr>
        <w:spacing w:after="0" w:line="17" w:lineRule="exact"/>
        <w:rPr>
          <w:sz w:val="20"/>
          <w:szCs w:val="20"/>
          <w:color w:val="auto"/>
        </w:rPr>
      </w:pPr>
    </w:p>
    <w:p>
      <w:pPr>
        <w:ind w:right="320" w:firstLine="510"/>
        <w:spacing w:after="0" w:line="341" w:lineRule="auto"/>
        <w:rPr>
          <w:sz w:val="20"/>
          <w:szCs w:val="20"/>
          <w:color w:val="auto"/>
        </w:rPr>
      </w:pPr>
      <w:r>
        <w:rPr>
          <w:rFonts w:ascii="Arial" w:cs="Arial" w:eastAsia="Arial" w:hAnsi="Arial"/>
          <w:sz w:val="16"/>
          <w:szCs w:val="16"/>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February 7, 2020, we entered into a loan and security agreement, or the Loan Agreement, with Hercules Capital, Inc., or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Borrowings under the Loan Agreement are repayable in monthly interest-only payments through October 1, 2021, or April 1, 2022 if the Performance Milestone is achieved. After the interest-only payment period, borrowings under the Loan Agreement are repayable in equal monthly payments of principal and accrued interest until the maturity date of the loan, which is either (i) September 1, 2023, or (ii) March 1, 2024 upon achievement of the Performance Milestone. Borrowings under the Loan Agreement bear interest at an annual rate equal to the greater of (i) 9.85% or (ii) 5.10% plus the Wall Street Journal prime rate. The Wall Street Journal prime rate as of March 31, 2020, was 3.45%.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For additional information regarding the Loan Agreement with Hercules, see Note 12 to our condensed consolidated financial statements located elsewhere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August 2019, we entered into a new sales agreement with Cowen and Company, LLC, or Cowen, under which we may issue and sell shares of our common stock having aggregate sales proceeds of up to $50.0 million from time to time pursuant to the ATM program, or the 2019 ATM Program. Cowen is not required to sell any specific amount but acts as our sales agent using commercially reasonable efforts consistent with their normal trading and sales practices. This agreement replaced the sales agreement signed in April 2017. Shares sold pursuant to the sales agreement will be sold pursuant to a shelf registration statement on Form S-3 (Registration No. 333-233564), which was declared effective on September 10, 2019. Our common stock will be sold at prevailing market prices at the time of the sale; and as a result, prices may vary. We will pay Cowen up to 3% of the gross proceeds from any common stock sold through the sales agreement. The proceeds from the offerings, if any, will be used to fund the research and development of our product candidates, acquire or invest in businesses, products or technologies that are complementary to our own, although we have no current plans, commitments or agreements with respect to any acquisitions as of the date of this prospectus, and for working capital and general corporate purposes. As of March 31, 2020, $50.0 million of common stock remained available for sale under the 2019 ATM Program.</w:t>
      </w:r>
    </w:p>
    <w:p>
      <w:pPr>
        <w:spacing w:after="0" w:line="5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April 2017, we entered into a sales agreement with Cowen, under which we issued and sold shares of our common stock having aggregate sales proceeds of up to $50.0 million from time to time, or the 2017 ATM Program. Shares sold pursuant to the sales agreement were sold pursuant to a shelf registration statement on Form S-3 (Registration No. 333-217172), which was declared effective on April 20, 2017. The proceeds from the offerings, if any, were used for general corporate purposes, including expenditures for research and development of our drug products. In 2019, prior to the effectiveness of the 2019 ATM Program, we sold 140,819 shares of common stock, with net proceeds of $0.9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83"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drug candidates;</w:t>
      </w:r>
    </w:p>
    <w:p>
      <w:pPr>
        <w:spacing w:after="0" w:line="116" w:lineRule="exact"/>
        <w:rPr>
          <w:rFonts w:ascii="Arial" w:cs="Arial" w:eastAsia="Arial" w:hAnsi="Arial"/>
          <w:sz w:val="18"/>
          <w:szCs w:val="18"/>
          <w:color w:val="auto"/>
        </w:rPr>
      </w:pPr>
    </w:p>
    <w:p>
      <w:pPr>
        <w:ind w:left="1000" w:right="360" w:hanging="493"/>
        <w:spacing w:after="0" w:line="307"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ind w:left="1000" w:right="32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drug candidates;</w:t>
      </w:r>
    </w:p>
    <w:p>
      <w:pPr>
        <w:spacing w:after="0" w:line="116"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000" w:right="18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1000" w:right="240" w:hanging="493"/>
        <w:spacing w:after="0" w:line="307"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9" w:lineRule="exact"/>
        <w:rPr>
          <w:rFonts w:ascii="Arial" w:cs="Arial" w:eastAsia="Arial" w:hAnsi="Arial"/>
          <w:sz w:val="17"/>
          <w:szCs w:val="17"/>
          <w:color w:val="auto"/>
        </w:rPr>
      </w:pPr>
    </w:p>
    <w:p>
      <w:pPr>
        <w:ind w:left="1000" w:right="6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4" w:lineRule="exact"/>
        <w:rPr>
          <w:rFonts w:ascii="Arial" w:cs="Arial" w:eastAsia="Arial" w:hAnsi="Arial"/>
          <w:sz w:val="18"/>
          <w:szCs w:val="18"/>
          <w:color w:val="auto"/>
        </w:rPr>
      </w:pPr>
    </w:p>
    <w:p>
      <w:pPr>
        <w:ind w:left="1000" w:right="40" w:hanging="493"/>
        <w:spacing w:after="0" w:line="34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 of disruptions to our supply chain and operations, and associated delays in the manufacturing and supply of our products, which would adversely impact our ability to generate sales of and revenues from entinostat, if approved, and to continue our clinical trial operations.</w:t>
      </w:r>
    </w:p>
    <w:p>
      <w:pPr>
        <w:spacing w:after="0" w:line="16" w:lineRule="exact"/>
        <w:rPr>
          <w:rFonts w:ascii="Arial" w:cs="Arial" w:eastAsia="Arial" w:hAnsi="Arial"/>
          <w:sz w:val="16"/>
          <w:szCs w:val="16"/>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6"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69"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5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have incurred losses and cumulative negative cash flows from operations since our inception; and as of March 31, 2020, we had an accumulated deficit of $510.7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32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55"/>
        </w:trPr>
        <w:tc>
          <w:tcPr>
            <w:tcW w:w="5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(15,925)</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(16,831)</w:t>
            </w: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(19,053)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12,752</w:t>
            </w:r>
          </w:p>
        </w:tc>
        <w:tc>
          <w:tcPr>
            <w:tcW w:w="8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54,998</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28,426</w:t>
            </w:r>
          </w:p>
        </w:tc>
        <w:tc>
          <w:tcPr>
            <w:tcW w:w="80" w:type="dxa"/>
            <w:vAlign w:val="bottom"/>
            <w:shd w:val="clear" w:color="auto" w:fill="CFF0FC"/>
          </w:tcPr>
          <w:p>
            <w:pPr>
              <w:spacing w:after="0"/>
              <w:rPr>
                <w:sz w:val="19"/>
                <w:szCs w:val="19"/>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20,020</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24,347</w:t>
            </w:r>
          </w:p>
        </w:tc>
        <w:tc>
          <w:tcPr>
            <w:tcW w:w="8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Net cash used in operating activities for the three months ended March 31, 2020, was $15.9 million and primarily consisted of our net loss of $15.2 million adjusted for non-cash items, including stock-based compensation of $1.8 million, a net decrease in operating assets and liabilities of $2.9 million, an investment amortization of $0.1 million and non-cash interest expense associated with the term loan of $0.1 million. The increased net loss is primarily due to increased pre-commercialization expenses, offset by decreased clinical trial activities and CMC expenses. The net decrease in operating assets and liabilities primarily consisted of increased accounts payable of $2.8 million, offset by decreased prepayments and deposits of $2.5 million, decreased accrued expenses and other liabilities of $2.5 million and decreased deferred revenue of $0.4 million.</w:t>
      </w:r>
    </w:p>
    <w:p>
      <w:pPr>
        <w:spacing w:after="0" w:line="68" w:lineRule="exact"/>
        <w:rPr>
          <w:sz w:val="20"/>
          <w:szCs w:val="20"/>
          <w:color w:val="auto"/>
        </w:rPr>
      </w:pPr>
    </w:p>
    <w:p>
      <w:pPr>
        <w:ind w:right="560" w:firstLine="510"/>
        <w:spacing w:after="0" w:line="290" w:lineRule="auto"/>
        <w:rPr>
          <w:sz w:val="20"/>
          <w:szCs w:val="20"/>
          <w:color w:val="auto"/>
        </w:rPr>
      </w:pPr>
      <w:r>
        <w:rPr>
          <w:rFonts w:ascii="Arial" w:cs="Arial" w:eastAsia="Arial" w:hAnsi="Arial"/>
          <w:sz w:val="16"/>
          <w:szCs w:val="16"/>
          <w:color w:val="auto"/>
        </w:rPr>
        <w:t>Net cash used in operating activities for the three months ended March 31, 2019, was $16.8 million and primarily consisted of our net loss of $14.3 million adjusted for non-cash items, including stock-based compensation of $1.6 million, a net decrease in operating assets and liabilities of</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$3.9 million and a net decrease in investment amortization of $0.2 million. The increase in our net loss was primarily due to the increase in our clinical trial activities and CMC expenses. The significant items in the decrease in operating assets and liabilities included an increase in prepaid expenses and other assets of $2.5 million and a decrease in deferred revenue of $0.4 million and a decrease in accrued expenses and other liabilities of $4.0 million partially offset by an increase in accounts payable of $2.9 million.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2020, was $19.1 million and was primarily due to the purchase of $34.9 million of available-for-sale marketable securities from the proceeds of the direct offering partially offset by $15.8 million of proceeds from the maturities of available-for-sale securities, which will primarily be used to fund the next period’s operating activities.</w:t>
      </w:r>
    </w:p>
    <w:p>
      <w:pPr>
        <w:spacing w:after="0" w:line="75" w:lineRule="exact"/>
        <w:rPr>
          <w:sz w:val="20"/>
          <w:szCs w:val="20"/>
          <w:color w:val="auto"/>
        </w:rPr>
      </w:pPr>
    </w:p>
    <w:p>
      <w:pPr>
        <w:jc w:val="both"/>
        <w:ind w:right="120" w:firstLine="510"/>
        <w:spacing w:after="0" w:line="341" w:lineRule="auto"/>
        <w:rPr>
          <w:sz w:val="20"/>
          <w:szCs w:val="20"/>
          <w:color w:val="auto"/>
        </w:rPr>
      </w:pPr>
      <w:r>
        <w:rPr>
          <w:rFonts w:ascii="Arial" w:cs="Arial" w:eastAsia="Arial" w:hAnsi="Arial"/>
          <w:sz w:val="16"/>
          <w:szCs w:val="16"/>
          <w:color w:val="auto"/>
        </w:rPr>
        <w:t>Net cash provided by investing activities for the three months ended March 31, 2019, was $12.8 million and was primarily due to the $33.4 million of proceeds from the maturities of available-for-sale securities partially offset by the purchase of $20.6 million of available-for-sale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2020, of $55.0 million was primarily due to the proceeds from our direct placement, net of fees, of $34.9 million, proceeds from our term loan of $19.7 million, proceeds from stock option exercises of $0.3 million and employee participation in our Employee Stock Purchase Plan of $0.1 million.</w:t>
      </w:r>
    </w:p>
    <w:p>
      <w:pPr>
        <w:spacing w:after="0" w:line="7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2019, of $28.4 million was primarily due to proceeds from sales of shares of our common stock and a pre-funded warrant, net of fees, of $27.4 million, our at-the-market offering, net of discounts and commissions of $0.8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February 7, 2020, we entered into a Loan Agreement with Hercules, which provides for aggregate maximum borrowings of up to $30.0 million, consisting of (i) a term loan of up to $20.0 million, which was funded on February 7, 2020, and (ii) subject to Hercules’ investment committee approval, an additional term loan of up to $10.0 million, available for borrowing from February 7, 2020 to December 15, 2020, which we refer to as the Tranche 2 Advance. Borrowings under the Loan Agreement are repayable in monthly interest-only payments through October 1, 2021, or April 1, 2022 if the Performance Milestone is achieved. After the interest-only payment period, borrowings under the Loan Agreement are repayable in equal monthly payments of principal and accrued interest until the maturity date of the loan, which is either (i) September 1, 2023, or (ii) March 1, 2024 upon achievement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 w:name="page29"/>
    <w:bookmarkEnd w:id="28"/>
    <w:p>
      <w:pPr>
        <w:ind w:right="160"/>
        <w:spacing w:after="0" w:line="296" w:lineRule="auto"/>
        <w:rPr>
          <w:sz w:val="20"/>
          <w:szCs w:val="20"/>
          <w:color w:val="auto"/>
        </w:rPr>
      </w:pPr>
      <w:r>
        <w:rPr>
          <w:rFonts w:ascii="Arial" w:cs="Arial" w:eastAsia="Arial" w:hAnsi="Arial"/>
          <w:sz w:val="16"/>
          <w:szCs w:val="16"/>
          <w:color w:val="auto"/>
        </w:rPr>
        <w:t>the Performance Milestone. Borrowings under the Loan Agreement bear interest at an annual rate equal to the greater of (i) 9.85% or (ii) 5.10% plus the Wall Street Journal prime rate. At our option, we may prepay all, but not less than all, of the outstanding borrowings, subject to a prepayment premium. Borrowings under the Loan Agreement are collateralized by substantially all of our and our subsidiaries personal property and other assets, other than our intellectual property. As of March 31, 2020, $20.0 million was outstanding under the Loan Agreement. For additional information regarding the Loan Agreement with Hercules, see Note 13 to our condensed consolidated financial statements located elsewhere in this report.</w:t>
      </w:r>
    </w:p>
    <w:p>
      <w:pPr>
        <w:spacing w:after="0" w:line="5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Other than the Loan Agreement, there have been no material changes to our contractual obligations from those described in our Annual Report on Form 10-K that was filed with the SEC on March 5,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2020, we had cash and cash equivalents of $44.6 million, consisting of overnight investments, interest-bearing money market funds, commercial papers and short-term corporate bonds, and short-term investments of $54.4 million, consisting of commercial paper, highly rated corporate bonds and credit card asset backed securities.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also have exposure to market risk on our Hercules Loan Agreement with Hercules. Our Loan Agreement accrues interest from its date of issue at a variable interest rate equal to greater of (i) 9.85% and (ii) 5.10% plus the Wall Street Journal prime rate. As of March 31, 2020, $20.0 million was outstanding under the Loan Agreement. The effect of a 100 basis points adverse change in market interest rates on our 2020 Loan Payable, in excess of applicable minimum floors, on our interest expense would be approximately $0.5 million.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5" w:lineRule="exact"/>
        <w:rPr>
          <w:sz w:val="20"/>
          <w:szCs w:val="20"/>
          <w:color w:val="auto"/>
        </w:rPr>
      </w:pPr>
    </w:p>
    <w:p>
      <w:pPr>
        <w:ind w:right="120" w:firstLine="510"/>
        <w:spacing w:after="0" w:line="256" w:lineRule="auto"/>
        <w:rPr>
          <w:sz w:val="20"/>
          <w:szCs w:val="20"/>
          <w:color w:val="auto"/>
        </w:rPr>
      </w:pPr>
      <w:r>
        <w:rPr>
          <w:rFonts w:ascii="Arial" w:cs="Arial" w:eastAsia="Arial" w:hAnsi="Arial"/>
          <w:sz w:val="18"/>
          <w:szCs w:val="18"/>
          <w:color w:val="auto"/>
        </w:rPr>
        <w:t>As of March 31, 2020,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180"/>
        <w:spacing w:after="0" w:line="277" w:lineRule="auto"/>
        <w:rPr>
          <w:sz w:val="20"/>
          <w:szCs w:val="20"/>
          <w:color w:val="auto"/>
        </w:rPr>
      </w:pPr>
      <w:r>
        <w:rPr>
          <w:rFonts w:ascii="Arial" w:cs="Arial" w:eastAsia="Arial" w:hAnsi="Arial"/>
          <w:sz w:val="18"/>
          <w:szCs w:val="18"/>
          <w:color w:val="auto"/>
        </w:rPr>
        <w:t>concluded based upon the evaluation described above that, as of March 31, 2020, our disclosure controls and procedures were effective at the reasonable assurance level.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There was no change in our internal control over financial reporting that occurred during our most recent fiscal quarter that materially affected, or is reasonably likely to materially affect, our internal control over financial reporting. We have not experienced any material impact to our internal controls over financial reporting despite the fact that our employees are working remotely due to the COVID-19 pandemic. We are continually monitoring and assessing the COVID-19 situation on our internal controls to minimize the impact on their design and operating effectiveness.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2020, we were not party to any material legal or arbitration proceedings. No governmental proceedings are pending or, to our knowledge, contemplated against us.</w:t>
      </w: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5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December 2019, a novel strain of coronavirus, SARS-CoV-2, causing COVID-19, was initially reported and has since been declared a pandemic by the World Health Organization. The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the shelter-in-place (“SIP”) orders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7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Quarantines, SIP and similar government orders related to COVID-19 may adversely impact our business operations and the business operations of our contract research organizations conducting our clinical trials and our third-party manufacturing facilities in the United States and other countries. In particular, if the COVID-19 pandemic persists for an extended period of time and begins to impact essential distribution systems such as FedEx and postal delivery or if it results in facility closures facility closures for cleaning and/or insufficient staff, we could experience disruptions to our supply chain and operations, and associated delays in the manufacturing and supply of our products, which would adversely impact our ability to generate sales of and revenues from entinostat, if approved, and to continue our clinical trial operations.</w:t>
      </w:r>
    </w:p>
    <w:p>
      <w:pPr>
        <w:spacing w:after="0" w:line="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In addition, our clinical trials may be affected by the COVID-19 pandemic. For example, clinical site initiation and patient enrollment may be delayed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6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2"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global pandemic of COVID-19 continues to rapidly evolve. 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SIP orders, social distancing requirements, business closures in the United States and other countries,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 w:name="page32"/>
    <w:bookmarkEnd w:id="31"/>
    <w:p>
      <w:pPr>
        <w:ind w:right="300" w:firstLine="51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7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4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Cancer Research Group, or ECOG-ACRIN, to conduct the Phase 3 clinical trial of entinostat in combination with exemestane in advanced hormone receptor positive, human epidermal growth factor receptor 2 negative, or (HR+, HER2-, breast cancer patients. The National Cancer Institute, or NCI, designed the trial to measure two primary endpoints, progression-free survival, or PFS, and overall survival, or OS. We received the final PFS analysis from ECOG-ACRIN in October 2018 and we expect to receive the final OS analysis no later than the second quarter of 2020. In October 2018, ECOG-ACRIN informed us that the trial did not achieve the first primary endpoint of improving PFS, which would have provided the earliest regulatory filing opportunity. In accordance with the trial protocol, ECOG-ACRIN is confidentially holding the findings from the PFS analysis until reporting final OS results. We will not be able to submit an NDA unless and until we receive data demonstrating that the trial has achieved the primary endpoint for OS. In addition, based on scientific advice that we received from the European Medicines Agency, the current Phase 3 clinical trial may not be sufficient to receive regulatory approval in Europe for entinostat to treat advanced HR+, HER2- breast cancer, and it is unclear whether we would be able to complete an alternate clinical trial that would be sufficient.</w:t>
      </w:r>
    </w:p>
    <w:p>
      <w:pPr>
        <w:spacing w:after="0" w:line="61" w:lineRule="exact"/>
        <w:rPr>
          <w:sz w:val="20"/>
          <w:szCs w:val="20"/>
          <w:color w:val="auto"/>
        </w:rPr>
      </w:pPr>
    </w:p>
    <w:p>
      <w:pPr>
        <w:ind w:right="360" w:firstLine="510"/>
        <w:spacing w:after="0" w:line="256" w:lineRule="auto"/>
        <w:rPr>
          <w:sz w:val="20"/>
          <w:szCs w:val="20"/>
          <w:color w:val="auto"/>
        </w:rPr>
      </w:pPr>
      <w:r>
        <w:rPr>
          <w:rFonts w:ascii="Arial" w:cs="Arial" w:eastAsia="Arial" w:hAnsi="Arial"/>
          <w:sz w:val="18"/>
          <w:szCs w:val="18"/>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adverse drug reactions in the Phase 3 clinical trial.</w:t>
      </w:r>
    </w:p>
    <w:p>
      <w:pPr>
        <w:spacing w:after="0" w:line="83"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7"/>
          <w:szCs w:val="17"/>
          <w:i w:val="1"/>
          <w:iCs w:val="1"/>
          <w:color w:val="auto"/>
        </w:rPr>
        <w:t>Verzenio</w:t>
      </w:r>
      <w:r>
        <w:rPr>
          <w:rFonts w:ascii="Arial" w:cs="Arial" w:eastAsia="Arial" w:hAnsi="Arial"/>
          <w:sz w:val="17"/>
          <w:szCs w:val="17"/>
          <w:color w:val="auto"/>
        </w:rPr>
        <w:t>,</w:t>
      </w:r>
      <w:r>
        <w:rPr>
          <w:rFonts w:ascii="Arial" w:cs="Arial" w:eastAsia="Arial" w:hAnsi="Arial"/>
          <w:sz w:val="17"/>
          <w:szCs w:val="17"/>
          <w:i w:val="1"/>
          <w:iCs w:val="1"/>
          <w:color w:val="auto"/>
        </w:rPr>
        <w:t xml:space="preserve"> Kisqali</w:t>
      </w:r>
      <w:r>
        <w:rPr>
          <w:rFonts w:ascii="Arial" w:cs="Arial" w:eastAsia="Arial" w:hAnsi="Arial"/>
          <w:sz w:val="17"/>
          <w:szCs w:val="17"/>
          <w:color w:val="auto"/>
        </w:rPr>
        <w:t>,</w:t>
      </w:r>
      <w:r>
        <w:rPr>
          <w:rFonts w:ascii="Arial" w:cs="Arial" w:eastAsia="Arial" w:hAnsi="Arial"/>
          <w:sz w:val="17"/>
          <w:szCs w:val="17"/>
          <w:i w:val="1"/>
          <w:iCs w:val="1"/>
          <w:color w:val="auto"/>
        </w:rPr>
        <w:t xml:space="preserve"> Ibrance </w:t>
      </w:r>
      <w:r>
        <w:rPr>
          <w:rFonts w:ascii="Arial" w:cs="Arial" w:eastAsia="Arial" w:hAnsi="Arial"/>
          <w:sz w:val="17"/>
          <w:szCs w:val="17"/>
          <w:color w:val="auto"/>
        </w:rPr>
        <w:t>and</w:t>
      </w:r>
      <w:r>
        <w:rPr>
          <w:rFonts w:ascii="Arial" w:cs="Arial" w:eastAsia="Arial" w:hAnsi="Arial"/>
          <w:sz w:val="17"/>
          <w:szCs w:val="17"/>
          <w:i w:val="1"/>
          <w:iCs w:val="1"/>
          <w:color w:val="auto"/>
        </w:rPr>
        <w:t xml:space="preserve"> Piqray </w:t>
      </w:r>
      <w:r>
        <w:rPr>
          <w:rFonts w:ascii="Arial" w:cs="Arial" w:eastAsia="Arial" w:hAnsi="Arial"/>
          <w:sz w:val="17"/>
          <w:szCs w:val="17"/>
          <w:color w:val="auto"/>
        </w:rPr>
        <w:t>patients enrolled in the Phase 3 clinical trial may be different than those enrolled in our previous Phase 2b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trial in that they may have received a CDK 4/6 inhibitor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289"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ind w:right="40" w:firstLine="510"/>
        <w:spacing w:after="0" w:line="270" w:lineRule="auto"/>
        <w:rPr>
          <w:sz w:val="20"/>
          <w:szCs w:val="20"/>
          <w:color w:val="auto"/>
        </w:rPr>
      </w:pPr>
      <w:r>
        <w:rPr>
          <w:rFonts w:ascii="Arial" w:cs="Arial" w:eastAsia="Arial" w:hAnsi="Arial"/>
          <w:sz w:val="17"/>
          <w:szCs w:val="17"/>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Good Clinical Practices, or GCPs,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70"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GCP, which are regulations and guidelines enforced by the U.S. Food and Drug Administration, or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80"/>
        <w:spacing w:after="0" w:line="263" w:lineRule="auto"/>
        <w:rPr>
          <w:sz w:val="20"/>
          <w:szCs w:val="20"/>
          <w:color w:val="auto"/>
        </w:rPr>
      </w:pPr>
      <w:r>
        <w:rPr>
          <w:rFonts w:ascii="Arial" w:cs="Arial" w:eastAsia="Arial" w:hAnsi="Arial"/>
          <w:sz w:val="18"/>
          <w:szCs w:val="18"/>
          <w:color w:val="auto"/>
        </w:rPr>
        <w:t>authority, such regulatory authority will determine that any of our trials comply with GCP requirements. In addition, we must conduct our trials with products produced under current Good Manufacturing Practices regulations, or cGMP requirements. Failure to comply with any of these regulations may require us to repeat preclinical and clinical trials, which would delay the regulatory development process.</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r>
        <w:rPr>
          <w:rFonts w:ascii="Arial" w:cs="Arial" w:eastAsia="Arial" w:hAnsi="Arial"/>
          <w:sz w:val="18"/>
          <w:szCs w:val="18"/>
          <w:i w:val="1"/>
          <w:iCs w:val="1"/>
          <w:color w:val="auto"/>
        </w:rPr>
        <w:t>.</w:t>
      </w:r>
    </w:p>
    <w:p>
      <w:pPr>
        <w:spacing w:after="0" w:line="6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Phase 3 clinical trial of entinostat in combination with exemestane in advanced HR+, HER2- breast cancer commenced in the second quarter of 2014, and we expect to receive the final OS analysis no later than the second quarter of 2020. Our product development costs could increase if we experience delays in the overall number of survival events.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that may result in a delay or unsuccessful completion of clinical development of entinostat include, among other things:</w:t>
      </w:r>
    </w:p>
    <w:p>
      <w:pPr>
        <w:spacing w:after="0" w:line="83" w:lineRule="exact"/>
        <w:rPr>
          <w:sz w:val="20"/>
          <w:szCs w:val="20"/>
          <w:color w:val="auto"/>
        </w:rPr>
      </w:pPr>
    </w:p>
    <w:p>
      <w:pPr>
        <w:ind w:left="1000" w:right="220" w:hanging="493"/>
        <w:spacing w:after="0" w:line="307"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unexpectedly high rate of patients withdrawing consent or being lost to follow-up, including patients that withdraw or are lost to follow-up following our announcement in October 2018 that the trial did not achieve the first primary endpoint of improving PFS;</w:t>
      </w:r>
    </w:p>
    <w:p>
      <w:pPr>
        <w:spacing w:after="0" w:line="39"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1"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Institutional Review Boards, or IRBs, or the company, or a recommendation by a data safety monitoring board to suspend or terminate trials at any time for safety issues or for any other reason;</w:t>
      </w:r>
    </w:p>
    <w:p>
      <w:pPr>
        <w:spacing w:after="0" w:line="74"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61"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withdrawal of sponsorship of the NCI because of a failure of ECOG-ACRIN to meet certain performance metrics in the clinical trial;</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drug reactions;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 or</w:t>
      </w:r>
    </w:p>
    <w:p>
      <w:pPr>
        <w:spacing w:after="0" w:line="116"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and public health epidemics, including, but not limited to the COVID-19 pandemic.</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In October 2018, ECOG-ACRIN informed us that the trial did not achieve the statistical hurdle for the first primary endpoint of improving PFS, which would have provided the earliest regulatory filing opportunity. Further, obtaining clinical trial data meeting the OS endpoint in satisfaction of the SPA does not guarantee approval. The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ind w:right="220"/>
        <w:spacing w:after="0" w:line="254" w:lineRule="auto"/>
        <w:rPr>
          <w:sz w:val="20"/>
          <w:szCs w:val="20"/>
          <w:color w:val="auto"/>
        </w:rPr>
      </w:pPr>
      <w:r>
        <w:rPr>
          <w:rFonts w:ascii="Arial" w:cs="Arial" w:eastAsia="Arial" w:hAnsi="Arial"/>
          <w:sz w:val="18"/>
          <w:szCs w:val="18"/>
          <w:color w:val="auto"/>
        </w:rPr>
        <w:t>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OS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3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r>
        <w:rPr>
          <w:rFonts w:ascii="Arial" w:cs="Arial" w:eastAsia="Arial" w:hAnsi="Arial"/>
          <w:sz w:val="18"/>
          <w:szCs w:val="18"/>
          <w:i w:val="1"/>
          <w:iCs w:val="1"/>
          <w:color w:val="auto"/>
        </w:rPr>
        <w:t>.</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received breakthrough therapy designation from the FDA for entinostat when used in combination with exemestane based on the OS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our Phase 3 trial in HR+, HER2- breast cancer patients failed to achieve one of its primary endpoints of improving PFS. We expect to receive final analysis on the second primary endpoint, OS, no later than the second quarter of 2020. If the results do not confirm the improvement in OS observed in our Phase 2b clinical trial, the FDA may rescind our breakthrough therapy designation.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48"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16"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6"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75" w:lineRule="exact"/>
        <w:rPr>
          <w:sz w:val="20"/>
          <w:szCs w:val="20"/>
          <w:color w:val="auto"/>
        </w:rPr>
      </w:pPr>
    </w:p>
    <w:p>
      <w:pPr>
        <w:jc w:val="both"/>
        <w:ind w:right="300" w:firstLine="510"/>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2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Entinostat, SNDX-5613 and axatilimab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7" w:lineRule="exact"/>
        <w:rPr>
          <w:sz w:val="20"/>
          <w:szCs w:val="20"/>
          <w:color w:val="auto"/>
        </w:rPr>
      </w:pPr>
    </w:p>
    <w:p>
      <w:pPr>
        <w:ind w:left="1000" w:right="2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potential impact to expected site initiation, enrollment and participation in our clinical trials;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left="1000" w:hanging="493"/>
        <w:spacing w:after="0" w:line="34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6" w:lineRule="exact"/>
        <w:rPr>
          <w:rFonts w:ascii="Arial" w:cs="Arial" w:eastAsia="Arial" w:hAnsi="Arial"/>
          <w:sz w:val="16"/>
          <w:szCs w:val="16"/>
          <w:color w:val="auto"/>
        </w:rPr>
      </w:pPr>
    </w:p>
    <w:p>
      <w:pPr>
        <w:ind w:left="1000" w:right="6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the Phase 3 clinical trial in advanced HR+, HER2- breast cancer, which will depend substantially upon the satisfactory performance of ECOG-ACRIN and the NCI and other third-party contractors for entinostat;</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the Phase 1/2 clinical trial of SNDX-5613 in patients with relapsed/refractory acute leukemia;</w:t>
      </w:r>
    </w:p>
    <w:p>
      <w:pPr>
        <w:spacing w:after="0" w:line="116"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completion of the Phase 1a/1b clinical trials of axatilimab as a monotherapy and in combination with durvalumab and of the Phase 2 clinical trial of axatilimab in patients with cGVHD;</w:t>
      </w:r>
    </w:p>
    <w:p>
      <w:pPr>
        <w:spacing w:after="0" w:line="61"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6"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6"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1"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1" w:lineRule="exact"/>
        <w:rPr>
          <w:rFonts w:ascii="Arial" w:cs="Arial" w:eastAsia="Arial" w:hAnsi="Arial"/>
          <w:sz w:val="18"/>
          <w:szCs w:val="18"/>
          <w:color w:val="auto"/>
        </w:rPr>
      </w:pPr>
    </w:p>
    <w:p>
      <w:pPr>
        <w:ind w:left="1000" w:right="280" w:hanging="493"/>
        <w:spacing w:after="0" w:line="307"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availability of commercial supplies of therapeutics, including exemestane and clinical supplies of investigational drugs, to support the development and marketing of the entinostat therapy as a component of a combination drug regimen for entinostat;</w:t>
      </w:r>
    </w:p>
    <w:p>
      <w:pPr>
        <w:spacing w:after="0" w:line="39" w:lineRule="exact"/>
        <w:rPr>
          <w:rFonts w:ascii="Arial" w:cs="Arial" w:eastAsia="Arial" w:hAnsi="Arial"/>
          <w:sz w:val="17"/>
          <w:szCs w:val="17"/>
          <w:color w:val="auto"/>
        </w:rPr>
      </w:pPr>
    </w:p>
    <w:p>
      <w:pPr>
        <w:ind w:left="1000" w:right="580" w:hanging="493"/>
        <w:spacing w:after="0" w:line="307"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availability of commercial supplies of therapeutics, including </w:t>
      </w:r>
      <w:r>
        <w:rPr>
          <w:rFonts w:ascii="Arial" w:cs="Arial" w:eastAsia="Arial" w:hAnsi="Arial"/>
          <w:sz w:val="17"/>
          <w:szCs w:val="17"/>
          <w:i w:val="1"/>
          <w:iCs w:val="1"/>
          <w:color w:val="auto"/>
        </w:rPr>
        <w:t>Imfinzi</w:t>
      </w:r>
      <w:r>
        <w:rPr>
          <w:rFonts w:ascii="Arial" w:cs="Arial" w:eastAsia="Arial" w:hAnsi="Arial"/>
          <w:sz w:val="17"/>
          <w:szCs w:val="17"/>
          <w:color w:val="auto"/>
        </w:rPr>
        <w:t>, and clinical supplies of investigational drugs, to support the development and marketing of the axatilimab therapy as a component of a combination drug regimen for axatilimab;</w:t>
      </w:r>
    </w:p>
    <w:p>
      <w:pPr>
        <w:spacing w:after="0" w:line="39" w:lineRule="exact"/>
        <w:rPr>
          <w:rFonts w:ascii="Arial" w:cs="Arial" w:eastAsia="Arial" w:hAnsi="Arial"/>
          <w:sz w:val="17"/>
          <w:szCs w:val="17"/>
          <w:color w:val="auto"/>
        </w:rPr>
      </w:pPr>
    </w:p>
    <w:p>
      <w:pPr>
        <w:ind w:left="1000" w:right="4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2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has undergone limited clinical testing and we may fail to show that the combination is well tolerated and demonstrates additional clinical benefit from the combination.</w:t>
      </w:r>
    </w:p>
    <w:p>
      <w:pPr>
        <w:spacing w:after="0" w:line="6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Preclinical studies conducted by us and others suggest a strong rationale for combining entinostat with immune checkpoint inhibitors, including PD-1 pathway antagonists, to enhance the immune system’s ability to detect and eliminate tumor cells. Our approach was to conduct Phase 1 and 2 clinical trials in patients with tumors that are known to be responsive to PD-1 pathway antagonists and assess both the safety and efficacy of the combination of entinostat plus a PD-1 pathway antagonist. Our initial clinical data is supportive of our hypothesis as we have seen clinical benefit from the combination of entinostat plus pembrolizumab in patients with metastatic melanoma and non-small cell lung cancer. However, we have not yet sufficiently demonstrated a favorable risk-benefit of this combination in patients, and we may be unable to establish efficacy to warrant regulatory submission or approval. In the first quarter of 2019, we completed a full portfolio prioritization assessment and have determined to place the initiation of potential registration trials in non-small cell lung cancer and melanoma on hold until we receive final OS results from E2112.</w:t>
      </w:r>
    </w:p>
    <w:p>
      <w:pPr>
        <w:spacing w:after="0" w:line="2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strategy for developing 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5" w:name="page36"/>
    <w:bookmarkEnd w:id="35"/>
    <w:p>
      <w:pPr>
        <w:ind w:right="20" w:firstLine="510"/>
        <w:spacing w:after="0" w:line="285" w:lineRule="auto"/>
        <w:rPr>
          <w:sz w:val="20"/>
          <w:szCs w:val="20"/>
          <w:color w:val="auto"/>
        </w:rPr>
      </w:pPr>
      <w:r>
        <w:rPr>
          <w:rFonts w:ascii="Arial" w:cs="Arial" w:eastAsia="Arial" w:hAnsi="Arial"/>
          <w:sz w:val="16"/>
          <w:szCs w:val="16"/>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NMP1 mutant AML the interaction with Menin occurs via the wild type MLL1 protein, and in MLLr acute leukemias, the interaction occurs via a mutant form of MLL1, a fusion protein know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interactionmolecules, 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patients with MLL-r leukemia and assess bothrelapsed/refractory acute leukemias. The Phase 1 portion of the trial is assessing the safety, tolerability and pharmacokinetics of SNDX-5613, and seeks to establish a recommended Phase 2 dose. The Phase 1 portion of the trial is open label, and we have released and may in the future release results from time to time that reflect very small numbers of patients which may not accurately predictive of safety or efficacy results later in the trial or in subsequent trials. The Phase 2 portion will evaluate efficacy of SNDX-5613, as defined by Complete Remission rate, across three expansion cohorts enrolling adult patients with MLL-r acute lymphoblastic leukemia, or ALL, MLL-r acute myeloid leukemia, or AML, and NPM1 mutant AML. If our initial clinical data lend support for our hypothesis, we plan to continue developing SNDX-5613 in one or more of these indications. At this time however, we have not yet sufficiently demonstrated a favorable risk-benefit of SNDX-5613 in patients, and we may be unable to establish sufficient efficacy to warrant continued development in one or more of these indications.</w:t>
      </w:r>
    </w:p>
    <w:p>
      <w:pPr>
        <w:spacing w:after="0" w:line="64"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Our strategy for developing axatilimab has undergone limited clinical testing and we may fail to show that this drug is well tolerated and provides a clinical benefit for patients.</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Preclinical studies suggest that CSF-1/CSF-1R signaling may be the key regulatory pathway involved in the expansion and infiltration of donor derived macrophages that mediate the disease processes involved in Graft Versus Host Disease, or cGVHD.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Phase 1 clinical trial with axatilimab in subjects with active cGVHD who have failed at least two prior lines of therapy. If our initial clinical data lend support for our hypothesis, we plan to continue developing axatilimab in this indication. At this time however, we have not yet sufficiently demonstrated a favorable risk-benefit of axatilimab in patients and we may be unable to establish sufficient efficacy to warrant continued development in this indication.</w:t>
      </w:r>
    </w:p>
    <w:p>
      <w:pPr>
        <w:spacing w:after="0" w:line="195" w:lineRule="exact"/>
        <w:rPr>
          <w:sz w:val="20"/>
          <w:szCs w:val="20"/>
          <w:color w:val="auto"/>
        </w:rPr>
      </w:pPr>
    </w:p>
    <w:p>
      <w:pPr>
        <w:ind w:right="140"/>
        <w:spacing w:after="0" w:line="30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2020,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unable to transfer, qualify and validate an assay for determining peripheral monocyte levels to be used in conjunction with a future registration enabling non-small cell lung cancer, or NSCLC, trial.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In October 2018, we announced that we are proceeding with a registration trial in NSCLC patients whose disease has progressed after both platinum-based combination chemotherapy and a PD-1 antagonist therapy. We designed the trial to both validate a classical monocyte biomarker and demonstrate that the combination therapy of entinostat plus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is superior to standard of care chemotherapy in a high monocyte population. This trial will require testing patients for levels of circulating classical monocytes prior to treatment before assigning them to the appropriate arm of the trial. The assay that our academic collaborators have used to determine circulating levels of classical monocytes has not been developed or validated to the qualifications that the FDA may require for patient selection. We are working to measure circulating levels of cells, including monocytes, but we may not be able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340"/>
        <w:spacing w:after="0" w:line="263" w:lineRule="auto"/>
        <w:rPr>
          <w:sz w:val="20"/>
          <w:szCs w:val="20"/>
          <w:color w:val="auto"/>
        </w:rPr>
      </w:pPr>
      <w:r>
        <w:rPr>
          <w:rFonts w:ascii="Arial" w:cs="Arial" w:eastAsia="Arial" w:hAnsi="Arial"/>
          <w:sz w:val="18"/>
          <w:szCs w:val="18"/>
          <w:color w:val="auto"/>
        </w:rPr>
        <w:t>successfully transfer, qualify and validate an assay for determining peripheral monocyte levels that will be acceptable to the FDA. In the first quarter of 2019, we completed a full portfolio prioritization assessment and have determined to place the initiation of this trial on hold until we receive final OS results from E2112.</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39"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 orphan indication such as MLL-r acute leukemia;</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34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The actions of Kyowa Kirin Co., Ltd., or KKC, Eddingpharm Investment Company Limited, or Eddingpharm, and any other current or future sublicensees could adversely affect our business.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currently sublicense entinostat to third parties for development and commercialization in certain foreign jurisdictions. Specifically, we have a sublicense agreement with KKC under which we granted KKC an exclusive sublicense to develop and commercialize entinostat in Japan and Korea as well as a sublicense agreement with Eddingpharm under which we granted Eddingpharm an exclusive sublicense to develop and commercialize entinostat in China and select Asian countries. It is possible that any clinical trials conducted by KKC, Eddingpharm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02"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6" w:lineRule="exact"/>
        <w:rPr>
          <w:rFonts w:ascii="Arial" w:cs="Arial" w:eastAsia="Arial" w:hAnsi="Arial"/>
          <w:sz w:val="18"/>
          <w:szCs w:val="18"/>
          <w:color w:val="auto"/>
        </w:rPr>
      </w:pPr>
    </w:p>
    <w:p>
      <w:pPr>
        <w:ind w:left="1000" w:right="11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1"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1"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1"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1"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6"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1"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1"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1"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9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2"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61"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1"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or other drugs that we are testing in combination with entinostat could adversely affect our ability to timely conduct the Phase 3 clinical trial in advanced HR+, HER2- breast cancer, our future potential Phase 3 clinical trial in NSCLC, any future clinical trials in melanoma, and if entinostat receives regulatory approval, to commercialize entinostat for treatment of advanced HR+, HER2- breast cancer, NSCLC, or melanoma. A shortage of supply may also result in an increase, which could be significant, in our costs of procuring exemestane.</w:t>
      </w:r>
    </w:p>
    <w:p>
      <w:pPr>
        <w:spacing w:after="0" w:line="68" w:lineRule="exact"/>
        <w:rPr>
          <w:sz w:val="20"/>
          <w:szCs w:val="20"/>
          <w:color w:val="auto"/>
        </w:rPr>
      </w:pPr>
    </w:p>
    <w:p>
      <w:pPr>
        <w:ind w:right="480" w:firstLine="510"/>
        <w:spacing w:after="0" w:line="311" w:lineRule="auto"/>
        <w:rPr>
          <w:sz w:val="20"/>
          <w:szCs w:val="20"/>
          <w:color w:val="auto"/>
        </w:rPr>
      </w:pPr>
      <w:r>
        <w:rPr>
          <w:rFonts w:ascii="Arial" w:cs="Arial" w:eastAsia="Arial" w:hAnsi="Arial"/>
          <w:sz w:val="16"/>
          <w:szCs w:val="16"/>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5"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worldwide COVID-19 pandemic, may impact the ability of our existing or future manufacturers to perform their obligations to us.</w:t>
      </w:r>
    </w:p>
    <w:p>
      <w:pPr>
        <w:spacing w:after="0" w:line="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55"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jc w:val="both"/>
        <w:ind w:right="600"/>
        <w:spacing w:after="0" w:line="263" w:lineRule="auto"/>
        <w:rPr>
          <w:sz w:val="20"/>
          <w:szCs w:val="20"/>
          <w:color w:val="auto"/>
        </w:rPr>
      </w:pPr>
      <w:r>
        <w:rPr>
          <w:rFonts w:ascii="Arial" w:cs="Arial" w:eastAsia="Arial" w:hAnsi="Arial"/>
          <w:sz w:val="18"/>
          <w:szCs w:val="18"/>
          <w:color w:val="auto"/>
        </w:rPr>
        <w:t>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5"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6"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6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6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91"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7" w:lineRule="exact"/>
        <w:rPr>
          <w:sz w:val="20"/>
          <w:szCs w:val="20"/>
          <w:color w:val="auto"/>
        </w:rPr>
      </w:pPr>
    </w:p>
    <w:p>
      <w:pPr>
        <w:ind w:right="100" w:firstLine="510"/>
        <w:spacing w:after="0" w:line="253"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right="160" w:firstLine="510"/>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6"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1" w:lineRule="exact"/>
        <w:rPr>
          <w:rFonts w:ascii="Arial" w:cs="Arial" w:eastAsia="Arial" w:hAnsi="Arial"/>
          <w:sz w:val="18"/>
          <w:szCs w:val="18"/>
          <w:color w:val="auto"/>
        </w:rPr>
      </w:pPr>
    </w:p>
    <w:p>
      <w:pPr>
        <w:ind w:left="1000" w:right="62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80" w:firstLine="510"/>
        <w:spacing w:after="0" w:line="307"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 xml:space="preserve">Even if entinostat in combination with exemestane were approved for treatment of advanced HR+, HER2- breast cancer, it would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t>
      </w:r>
      <w:r>
        <w:rPr>
          <w:rFonts w:ascii="Arial" w:cs="Arial" w:eastAsia="Arial" w:hAnsi="Arial"/>
          <w:sz w:val="18"/>
          <w:szCs w:val="18"/>
          <w:i w:val="1"/>
          <w:iCs w:val="1"/>
          <w:color w:val="auto"/>
        </w:rPr>
        <w:t>Verzenio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Piqray </w:t>
      </w:r>
      <w:r>
        <w:rPr>
          <w:rFonts w:ascii="Arial" w:cs="Arial" w:eastAsia="Arial" w:hAnsi="Arial"/>
          <w:sz w:val="18"/>
          <w:szCs w:val="18"/>
          <w:color w:val="auto"/>
        </w:rPr>
        <w:t>and other therapies under FDA review or currently in Phase 3 clinical development.</w:t>
      </w:r>
    </w:p>
    <w:p>
      <w:pPr>
        <w:spacing w:after="0" w:line="75"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 xml:space="preserve">The pharmacologic treatment of NSCLC and melanoma patients has included chemotherapies and therapies targeting specific gene mutations. Over the past few years, immune checkpoint inhibitors have been approved for NSCLC and melanoma. Currently there are few approved combination immuno-oncology therapies although numerous drugs are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were approved for the treatment of NSCLC or melanoma it would face competition from standard-of-care approaches and other investigational drugs being tested in combination with any of these approaches.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80" w:firstLine="510"/>
        <w:spacing w:after="0" w:line="286" w:lineRule="auto"/>
        <w:rPr>
          <w:sz w:val="20"/>
          <w:szCs w:val="20"/>
          <w:color w:val="auto"/>
        </w:rPr>
      </w:pPr>
      <w:r>
        <w:rPr>
          <w:rFonts w:ascii="Arial" w:cs="Arial" w:eastAsia="Arial" w:hAnsi="Arial"/>
          <w:sz w:val="17"/>
          <w:szCs w:val="17"/>
          <w:color w:val="auto"/>
        </w:rPr>
        <w:t>Chronic graft versus host disease has historically been managed by off-label treatments. However, in 2017 ibrutinib (</w:t>
      </w:r>
      <w:r>
        <w:rPr>
          <w:rFonts w:ascii="Arial" w:cs="Arial" w:eastAsia="Arial" w:hAnsi="Arial"/>
          <w:sz w:val="17"/>
          <w:szCs w:val="17"/>
          <w:i w:val="1"/>
          <w:iCs w:val="1"/>
          <w:color w:val="auto"/>
        </w:rPr>
        <w:t>Imbruvica®</w:t>
      </w:r>
      <w:r>
        <w:rPr>
          <w:rFonts w:ascii="Arial" w:cs="Arial" w:eastAsia="Arial" w:hAnsi="Arial"/>
          <w:sz w:val="17"/>
          <w:szCs w:val="17"/>
          <w:color w:val="auto"/>
        </w:rPr>
        <w:t>) became the first drug approved for use patients with cGVHD after failure of one or more lines of systemic therapy. KD-025 and Ruxolitinib (</w:t>
      </w:r>
      <w:r>
        <w:rPr>
          <w:rFonts w:ascii="Arial" w:cs="Arial" w:eastAsia="Arial" w:hAnsi="Arial"/>
          <w:sz w:val="17"/>
          <w:szCs w:val="17"/>
          <w:i w:val="1"/>
          <w:iCs w:val="1"/>
          <w:color w:val="auto"/>
        </w:rPr>
        <w:t>Jakafi</w:t>
      </w:r>
      <w:r>
        <w:rPr>
          <w:rFonts w:ascii="Arial" w:cs="Arial" w:eastAsia="Arial" w:hAnsi="Arial"/>
          <w:sz w:val="17"/>
          <w:szCs w:val="17"/>
          <w:color w:val="auto"/>
        </w:rPr>
        <w:t>®), are currently in registration-directed studies to treat steroid refractory cGVHD patients and, if approved, may also compete with axatilimab.</w:t>
      </w:r>
    </w:p>
    <w:p>
      <w:pPr>
        <w:spacing w:after="0" w:line="5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SNDX-5613 is being developed for the treatment of adult and pediatric patients with MLL-r ALL,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7"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39" w:lineRule="exact"/>
        <w:rPr>
          <w:rFonts w:ascii="Arial" w:cs="Arial" w:eastAsia="Arial" w:hAnsi="Arial"/>
          <w:sz w:val="16"/>
          <w:szCs w:val="16"/>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16"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acceptance of entinostat in combination with exemestane, </w:t>
      </w:r>
      <w:r>
        <w:rPr>
          <w:rFonts w:ascii="Arial" w:cs="Arial" w:eastAsia="Arial" w:hAnsi="Arial"/>
          <w:sz w:val="17"/>
          <w:szCs w:val="17"/>
          <w:i w:val="1"/>
          <w:iCs w:val="1"/>
          <w:color w:val="auto"/>
        </w:rPr>
        <w:t>Keytruda</w:t>
      </w:r>
      <w:r>
        <w:rPr>
          <w:rFonts w:ascii="Arial" w:cs="Arial" w:eastAsia="Arial" w:hAnsi="Arial"/>
          <w:sz w:val="17"/>
          <w:szCs w:val="17"/>
          <w:color w:val="auto"/>
        </w:rPr>
        <w:t>, and other drugs by physicians and other healthcare providers.</w:t>
      </w:r>
    </w:p>
    <w:p>
      <w:pPr>
        <w:spacing w:after="0" w:line="12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8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20"/>
        <w:spacing w:after="0" w:line="268" w:lineRule="auto"/>
        <w:rPr>
          <w:sz w:val="20"/>
          <w:szCs w:val="20"/>
          <w:color w:val="auto"/>
        </w:rPr>
      </w:pPr>
      <w:r>
        <w:rPr>
          <w:rFonts w:ascii="Arial" w:cs="Arial" w:eastAsia="Arial" w:hAnsi="Arial"/>
          <w:sz w:val="17"/>
          <w:szCs w:val="17"/>
          <w:color w:val="auto"/>
        </w:rPr>
        <w:t>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8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68"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7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Private payors often follow decisions by the Centers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20"/>
        <w:spacing w:after="0" w:line="279" w:lineRule="auto"/>
        <w:rPr>
          <w:sz w:val="20"/>
          <w:szCs w:val="20"/>
          <w:color w:val="auto"/>
        </w:rPr>
      </w:pPr>
      <w:r>
        <w:rPr>
          <w:rFonts w:ascii="Arial" w:cs="Arial" w:eastAsia="Arial" w:hAnsi="Arial"/>
          <w:sz w:val="17"/>
          <w:szCs w:val="17"/>
          <w:color w:val="auto"/>
        </w:rPr>
        <w:t>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2"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1"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remain judicial and Congressional challenges, as well as recent efforts by the Trump administration to repeal or replace certain aspects of the Affordable Care Act.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several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the 2020 federal spending package permanently eliminated, effective January 1, 2020, the Affordable Care Act’s mandated “Cadillac” tax on high-cost employer-sponsored health coverage and medical device tax and, effective January 1, 2021, also eliminates the health insurer tax. Further, the Bipartisan Budget Act of 2018, or the BBA, among other things, amended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December 2018, CMS published a final rule permitting further collections and payments to and from certain Affordable Care Act qualified health plans and health insurance issuers under its risk adjustment program in response to the outcome of federal district court litigation regarding the method CMS uses to determine this risk adjustment. On December 14, 2018, a Texas U.S. District Court Judge ruled that the Affordable Care Act is unconstitutional in its entirety because the “individual mandate” was repealed by the U.S. Congress as part of the Tax Cuts and Jobs Act of 2017 Act. Additionally, on December 18, 2019, the U.S. Court of Appeals for the 5th Circuit upheld the District Court ruling that the individual mandate was unconstitutional and remanded the case back to the District Court to determine whether the remaining provisions of the Affordable Care Act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Affordable Care Act will impact the Affordable Care, and our business. In addition, Congress may consider other legislation to repeal and replace elements of the Affordable Care Act.</w:t>
      </w:r>
    </w:p>
    <w:p>
      <w:pPr>
        <w:spacing w:after="0" w:line="2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20"/>
        <w:spacing w:after="0" w:line="279" w:lineRule="auto"/>
        <w:rPr>
          <w:sz w:val="20"/>
          <w:szCs w:val="20"/>
          <w:color w:val="auto"/>
        </w:rPr>
      </w:pPr>
      <w:r>
        <w:rPr>
          <w:rFonts w:ascii="Arial" w:cs="Arial" w:eastAsia="Arial" w:hAnsi="Arial"/>
          <w:sz w:val="17"/>
          <w:szCs w:val="17"/>
          <w:color w:val="auto"/>
        </w:rPr>
        <w:t>Affordable Care Act’s automatic reduction to several government programs. This included aggregate reductions to Medicare payments to providers of up to 2% per fiscal year, effective as of 2013. Further legislation, including the BBA, has extended the 2% reduction to 2029.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years 2021 includes a $135 billion allowance to support legislative proposals seeking to reduce drug prices, increase competition, lower out-of-pocket drug costs for patients, and increase patient access to lower-cost generic and biosimilar drugs. The Trump administration also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For example,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through additional legislation to become effective, Congress and the Trump administration have each indicated that it will continue to seek new legislative administrative and executive measures, including the President’s issuance of future executive orders,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40"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3"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ind w:firstLine="510"/>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9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2"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7" w:lineRule="exact"/>
        <w:rPr>
          <w:sz w:val="20"/>
          <w:szCs w:val="20"/>
          <w:color w:val="auto"/>
        </w:rPr>
      </w:pPr>
    </w:p>
    <w:p>
      <w:pPr>
        <w:ind w:left="1000" w:right="160" w:hanging="493"/>
        <w:spacing w:after="0" w:line="279"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1" w:lineRule="exact"/>
        <w:rPr>
          <w:rFonts w:ascii="Arial" w:cs="Arial" w:eastAsia="Arial" w:hAnsi="Arial"/>
          <w:sz w:val="17"/>
          <w:szCs w:val="17"/>
          <w:color w:val="auto"/>
        </w:rPr>
      </w:pPr>
    </w:p>
    <w:p>
      <w:pPr>
        <w:ind w:left="1000" w:right="80" w:hanging="493"/>
        <w:spacing w:after="0" w:line="25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7"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4" w:lineRule="exact"/>
        <w:rPr>
          <w:rFonts w:ascii="Arial" w:cs="Arial" w:eastAsia="Arial" w:hAnsi="Arial"/>
          <w:sz w:val="18"/>
          <w:szCs w:val="18"/>
          <w:color w:val="auto"/>
        </w:rPr>
      </w:pPr>
    </w:p>
    <w:p>
      <w:pPr>
        <w:ind w:left="1000" w:hanging="493"/>
        <w:spacing w:after="0" w:line="290"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CMS ownership and investment interests held by physicians (as defined above)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55" w:lineRule="exact"/>
        <w:rPr>
          <w:rFonts w:ascii="Arial" w:cs="Arial" w:eastAsia="Arial" w:hAnsi="Arial"/>
          <w:sz w:val="16"/>
          <w:szCs w:val="16"/>
          <w:color w:val="auto"/>
        </w:rPr>
      </w:pPr>
    </w:p>
    <w:p>
      <w:pPr>
        <w:ind w:left="1000" w:right="20" w:hanging="493"/>
        <w:spacing w:after="0" w:line="28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firstLine="510"/>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 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7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line="255" w:lineRule="auto"/>
        <w:rPr>
          <w:sz w:val="20"/>
          <w:szCs w:val="20"/>
          <w:color w:val="auto"/>
        </w:rPr>
      </w:pPr>
      <w:r>
        <w:rPr>
          <w:rFonts w:ascii="Arial" w:cs="Arial" w:eastAsia="Arial" w:hAnsi="Arial"/>
          <w:sz w:val="18"/>
          <w:szCs w:val="18"/>
          <w:color w:val="auto"/>
        </w:rPr>
        <w:t>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83"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For the quarter ended March 31, 2020, we reported a net loss of $15.2 million. Net loss attributable to shareholders for the quarter ended March 31, 2020, was $19.3 million. As of March 31, 2020, we had an accumulated deficit of $510.7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5"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6"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1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140" w:firstLine="510"/>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COVID-19 pandemic. For example, we may discover that we need to conduct additional activities that exceed our current budget to achieve appropriate rates of patient enrollment, which would increase our development costs.</w:t>
      </w:r>
    </w:p>
    <w:p>
      <w:pPr>
        <w:spacing w:after="0" w:line="8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already resulted in a significant disruption of global financial markets. If the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83"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6"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200" w:firstLine="510"/>
        <w:spacing w:after="0" w:line="307"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6" w:lineRule="exact"/>
        <w:rPr>
          <w:rFonts w:ascii="Arial" w:cs="Arial" w:eastAsia="Arial" w:hAnsi="Arial"/>
          <w:sz w:val="18"/>
          <w:szCs w:val="18"/>
          <w:color w:val="auto"/>
        </w:rPr>
      </w:pPr>
    </w:p>
    <w:p>
      <w:pPr>
        <w:ind w:left="1000" w:right="360" w:hanging="493"/>
        <w:spacing w:after="0" w:line="307"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9" w:lineRule="exact"/>
        <w:rPr>
          <w:rFonts w:ascii="Arial" w:cs="Arial" w:eastAsia="Arial" w:hAnsi="Arial"/>
          <w:sz w:val="17"/>
          <w:szCs w:val="17"/>
          <w:color w:val="auto"/>
        </w:rPr>
      </w:pPr>
    </w:p>
    <w:p>
      <w:pPr>
        <w:jc w:val="both"/>
        <w:ind w:left="1000" w:right="32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6"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1"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1"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left="1000" w:right="100" w:hanging="493"/>
        <w:spacing w:after="0" w:line="307"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3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200" w:firstLine="510"/>
        <w:spacing w:after="0" w:line="256" w:lineRule="auto"/>
        <w:rPr>
          <w:sz w:val="20"/>
          <w:szCs w:val="20"/>
          <w:color w:val="auto"/>
        </w:rPr>
      </w:pPr>
      <w:r>
        <w:rPr>
          <w:rFonts w:ascii="Arial" w:cs="Arial" w:eastAsia="Arial" w:hAnsi="Arial"/>
          <w:sz w:val="18"/>
          <w:szCs w:val="18"/>
          <w:color w:val="auto"/>
        </w:rPr>
        <w:t>Our loan and security agreement, or the Loan Agreement, with Hercules Capital, Inc., or Hercules, for aggregate maximum borrowings of up to $30.0 million, or the Credit Facility, is collateralized by substantially all of our and our subsidiaries personal property and other assets, other than our intellectual property. As of March 1, 2020, the outstanding principal balance under the Credit Facility was $20.0 million, resulting from the closing of the first tranche of funding which occurred on February 7, 2020. The Credit Facility contains customary representations, warranties, affirmative and negative covenants and events of default applicable to us and our subsidiaries.</w:t>
      </w:r>
    </w:p>
    <w:p>
      <w:pPr>
        <w:spacing w:after="0" w:line="83"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March 31, 2020 and determined that on March 30, 2007 and August 21, 2015 ownership changes had occurred. We may have experienced an ownership change since March 31, 2020,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3"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70"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0" w:lineRule="exact"/>
        <w:rPr>
          <w:sz w:val="20"/>
          <w:szCs w:val="20"/>
          <w:color w:val="auto"/>
        </w:rPr>
      </w:pPr>
    </w:p>
    <w:p>
      <w:pPr>
        <w:ind w:right="100" w:firstLine="510"/>
        <w:spacing w:after="0" w:line="256"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3"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right="220"/>
        <w:spacing w:after="0" w:line="263" w:lineRule="auto"/>
        <w:rPr>
          <w:sz w:val="20"/>
          <w:szCs w:val="20"/>
          <w:color w:val="auto"/>
        </w:rPr>
      </w:pPr>
      <w:r>
        <w:rPr>
          <w:rFonts w:ascii="Arial" w:cs="Arial" w:eastAsia="Arial" w:hAnsi="Arial"/>
          <w:sz w:val="18"/>
          <w:szCs w:val="18"/>
          <w:color w:val="auto"/>
        </w:rPr>
        <w:t>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6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portfolio that we licensed from UCB includes patent applications with pending claims directed to the composition of matter of axatilimab (a humanized, full-length IgG4 (kappa light chain) antibody with high affinity for the CSF-1R) as well as claims directed to methods of use of axatilimab. There is no guarantee that any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55"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The portfolio that we licensed from Vitae Pharmaceuticals, a subsidiary of Allergan, includes patent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patents will be granted based on the pending applications that we licensed from Allergan or even if one or more patents are granted that the claims issued in those patents would cover the desired lead compounds, compositions, and methods of use thereof. Based on the priority date and filing date of the applications in the portfolio that we licensed from Allergan, we expect that a patent, if any, granted based on the currently pending applications would expire in 2037. The actual term of any patents granted based on the pending applications that we licensed from Allergan can only be determined after such patents are actually granted.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0"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620"/>
        <w:spacing w:after="0" w:line="277" w:lineRule="auto"/>
        <w:rPr>
          <w:sz w:val="20"/>
          <w:szCs w:val="20"/>
          <w:color w:val="auto"/>
        </w:rPr>
      </w:pPr>
      <w:r>
        <w:rPr>
          <w:rFonts w:ascii="Arial" w:cs="Arial" w:eastAsia="Arial" w:hAnsi="Arial"/>
          <w:sz w:val="18"/>
          <w:szCs w:val="18"/>
          <w:color w:val="auto"/>
        </w:rPr>
        <w:t>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5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6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6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7"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3"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16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commercial success depends upon our ability to develop, manufacture, market and sell SNDX-5613. Subject to the achievement of certain milestone events, we may be required to pay Vitae, a subsidiary of Allergan, up to $99 million in one-time development and regulatory milestone payments over the term of the Allergan license agreement. In the event that we or any of our affiliates or sublicensees commercializes SNDX-5613, we will also be obligated to pay Allergan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Allergan.</w:t>
      </w:r>
    </w:p>
    <w:p>
      <w:pPr>
        <w:spacing w:after="0" w:line="5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67"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SNDX-5613 have occurred and the last-to-expire relevant patent covering SNDX-5613 in a given country may change in the future.</w:t>
      </w:r>
    </w:p>
    <w:p>
      <w:pPr>
        <w:spacing w:after="0" w:line="83"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8"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6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9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ind w:firstLine="510"/>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3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83"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220" w:firstLine="510"/>
        <w:spacing w:after="0" w:line="307"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6"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6"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industry, political and market conditions, including, but not limited to the ongoing impact of the COVID-19 pandemic.</w:t>
      </w:r>
    </w:p>
    <w:p>
      <w:pPr>
        <w:spacing w:after="0" w:line="128" w:lineRule="exact"/>
        <w:rPr>
          <w:sz w:val="20"/>
          <w:szCs w:val="20"/>
          <w:color w:val="auto"/>
        </w:rPr>
      </w:pPr>
    </w:p>
    <w:p>
      <w:pPr>
        <w:ind w:firstLine="510"/>
        <w:spacing w:after="0" w:line="297" w:lineRule="auto"/>
        <w:rPr>
          <w:sz w:val="20"/>
          <w:szCs w:val="20"/>
          <w:color w:val="auto"/>
        </w:rPr>
      </w:pPr>
      <w:r>
        <w:rPr>
          <w:rFonts w:ascii="Arial" w:cs="Arial" w:eastAsia="Arial" w:hAnsi="Arial"/>
          <w:sz w:val="16"/>
          <w:szCs w:val="16"/>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6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In August 2019, we filed a shelf registration statement on Form S-3 (Registration No. 333-233564) that allows us to sell up to an aggregate of $300 million of our common stock, which includes up to $50.0 million designated for an at-the-market offering program. As of March 31, 2020, $50.0 million of common stock remained available for sale under the at-the-market offering program. Further, in May 2020, we sold 5,555,556 shares of our common stock at a price per share of $18.00 with net proceeds of approximately $93.7 million. In January 2020, we sold 3,036,719 shares of our common stock at a price per share of $8.00 and pre-funded warrants to purchase 1,338,287 shares of our common stock for gross proceeds of approximately $35.0 million. Upon the completion of the January 2020 offering, we had 5,838,287 pre-funded warrant shares outstanding. The pre-funded warrants are exercisable into shares of common stock for $0.0001 per share. The shares of common stock into which the warrants may be exercised are considered outstanding for the purposes of computing earnings per share. We also have two outstanding series of warrants, Series 1 warrants and Series 2 warrants. As of March 31, 2020, there were 2,297,517 shares of our common stock issuable upon the exercise of Series 1 warrants outstanding, at an exercise price of $10.00 per share, and there were 2,297,522 shares of our common stock issuable upon the exercise of Series 2 warrants outstanding, at an exercise price of $13.00 per share. To the extent that these warrants have been or may be exercised, our stockholders may experience further dilution.</w:t>
      </w:r>
    </w:p>
    <w:p>
      <w:pPr>
        <w:spacing w:after="0" w:line="72"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February 7, 2020, we entered into the Credit Facility with Hercules, which provided for aggregate maximum borrowings of up to $30.0 million, consisting of (i) a term loan of up to $20.0 million, which was funded on February 7, 2020, and (ii) subject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100"/>
        <w:spacing w:after="0" w:line="273" w:lineRule="auto"/>
        <w:rPr>
          <w:sz w:val="20"/>
          <w:szCs w:val="20"/>
          <w:color w:val="auto"/>
        </w:rPr>
      </w:pPr>
      <w:r>
        <w:rPr>
          <w:rFonts w:ascii="Arial" w:cs="Arial" w:eastAsia="Arial" w:hAnsi="Arial"/>
          <w:sz w:val="17"/>
          <w:szCs w:val="17"/>
          <w:color w:val="auto"/>
        </w:rPr>
        <w:t>Hercules’ investment committee approval, an additional term loan of up to $10.0 million, available for borrowing from February 7, 2020 to December 15,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68"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As of April 1, 2020, our executive officers, directors, holders of 5% or more of our capital stock and their respective affiliates beneficially own approximately 54.4% of our outstanding voting stock and options.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a “smaller reporting company” and may avail ourselves of reduced disclosure requirements applicable to such companies, which could make our common stock less attractive to investors and adversely affect the market price of our common stock.</w:t>
      </w:r>
    </w:p>
    <w:p>
      <w:pPr>
        <w:spacing w:after="0" w:line="7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000" w:right="320" w:hanging="493"/>
        <w:spacing w:after="0" w:line="307"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9" w:lineRule="exact"/>
        <w:rPr>
          <w:rFonts w:ascii="Arial" w:cs="Arial" w:eastAsia="Arial" w:hAnsi="Arial"/>
          <w:sz w:val="17"/>
          <w:szCs w:val="17"/>
          <w:color w:val="auto"/>
        </w:rPr>
      </w:pPr>
    </w:p>
    <w:p>
      <w:pPr>
        <w:ind w:left="1000" w:right="60" w:hanging="493"/>
        <w:spacing w:after="0" w:line="27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61" w:lineRule="exact"/>
        <w:rPr>
          <w:rFonts w:ascii="Arial" w:cs="Arial" w:eastAsia="Arial" w:hAnsi="Arial"/>
          <w:sz w:val="17"/>
          <w:szCs w:val="17"/>
          <w:color w:val="auto"/>
        </w:rPr>
      </w:pPr>
    </w:p>
    <w:p>
      <w:pPr>
        <w:ind w:left="1000" w:right="20" w:hanging="493"/>
        <w:spacing w:after="0" w:line="34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6"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62"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December 31, 2021; (ii) the first fiscal year after our annual gross revenues are $1.07 billion or more; (iii) the date on which we have, during the previous three-year period, issued more than $1.0 billion in non-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ind w:right="780"/>
        <w:spacing w:after="0" w:line="277" w:lineRule="auto"/>
        <w:rPr>
          <w:sz w:val="20"/>
          <w:szCs w:val="20"/>
          <w:color w:val="auto"/>
        </w:rPr>
      </w:pPr>
      <w:r>
        <w:rPr>
          <w:rFonts w:ascii="Arial" w:cs="Arial" w:eastAsia="Arial" w:hAnsi="Arial"/>
          <w:sz w:val="18"/>
          <w:szCs w:val="18"/>
          <w:color w:val="auto"/>
        </w:rPr>
        <w:t>convertible debt securities; or (iv) as of the end of any fiscal year in which the market value of our common stock held by non-affiliates exceeded $700 million as of the end of the second quarter of that fiscal year.</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currently take advantage of some, but not all, of the reduced regulatory and reporting requirements that are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is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5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costs as a result of operating as a public company, and our management will devote substantial time to compliance initiatives.</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In August 2019, we entered into a sales agreement with Cowen and Company, LLC, or Cowen, under which we may issue and sell shares of our common stock having aggregate sales proceeds of up to $50.0 million from time to time through Cowen, acting as agent, in a series of one or more ATM equity offerings, or the 2019 ATM Program. Cowen is not required to sell any specific amount but acts as our sales agent using commercially reasonable efforts consistent with its normal trading and sales practices. To date no shares of common stock were sold under the 2019 ATM program.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2"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ind w:right="40" w:firstLine="510"/>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line="267" w:lineRule="auto"/>
        <w:rPr>
          <w:sz w:val="20"/>
          <w:szCs w:val="20"/>
          <w:color w:val="auto"/>
        </w:rPr>
      </w:pPr>
      <w:r>
        <w:rPr>
          <w:rFonts w:ascii="Arial" w:cs="Arial" w:eastAsia="Arial" w:hAnsi="Arial"/>
          <w:sz w:val="17"/>
          <w:szCs w:val="17"/>
          <w:color w:val="auto"/>
        </w:rPr>
        <w:t>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 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4"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ind w:firstLine="510"/>
        <w:spacing w:after="0" w:line="28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gridSpan w:val="21"/>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8"/>
        </w:trPr>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40" w:type="dxa"/>
            <w:vAlign w:val="bottom"/>
            <w:gridSpan w:val="14"/>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680" w:type="dxa"/>
            <w:vAlign w:val="bottom"/>
            <w:tcBorders>
              <w:bottom w:val="single" w:sz="8" w:color="0000EE"/>
            </w:tcBorders>
            <w:gridSpan w:val="11"/>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Amended and Restated Certificate of Incorporation of the Company (incorporated herein by reference to Exhibit 3.1 to the Company’s</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20"/>
          </w:tcPr>
          <w:p>
            <w:pPr>
              <w:spacing w:after="0" w:line="195" w:lineRule="exact"/>
              <w:rPr>
                <w:rFonts w:ascii="Arial" w:cs="Arial" w:eastAsia="Arial" w:hAnsi="Arial"/>
                <w:sz w:val="18"/>
                <w:szCs w:val="18"/>
                <w:color w:val="0000EE"/>
              </w:rPr>
            </w:pPr>
            <w:hyperlink r:id="rId81">
              <w:r>
                <w:rPr>
                  <w:rFonts w:ascii="Arial" w:cs="Arial" w:eastAsia="Arial" w:hAnsi="Arial"/>
                  <w:sz w:val="18"/>
                  <w:szCs w:val="18"/>
                  <w:color w:val="0000EE"/>
                </w:rPr>
                <w:t>Current Report on Form 8-K (File No. 001-37708), as filed with the SEC on March 8, 2016).</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2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r:id="rId82">
              <w:r>
                <w:rPr>
                  <w:rFonts w:ascii="Arial" w:cs="Arial" w:eastAsia="Arial" w:hAnsi="Arial"/>
                  <w:sz w:val="18"/>
                  <w:szCs w:val="18"/>
                  <w:color w:val="0000EE"/>
                </w:rPr>
                <w:t>8-K (File No. 001-37708), as filed with the SEC on March 8, 2016).</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Pre-Funded Warrant issued pursuant to the securities purchase agreement between the Company and Certain Purchasers, dated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20"/>
          </w:tcPr>
          <w:p>
            <w:pPr>
              <w:spacing w:after="0" w:line="195"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January 30, 2020 (incorporated by reference to Exhibit 4.1 to the Company’s Current Report on Form 8-K (File No. 001-37708), as filed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5" w:lineRule="exact"/>
              <w:rPr>
                <w:rFonts w:ascii="Arial" w:cs="Arial" w:eastAsia="Arial" w:hAnsi="Arial"/>
                <w:sz w:val="18"/>
                <w:szCs w:val="18"/>
                <w:color w:val="0000EE"/>
              </w:rPr>
            </w:pPr>
            <w:hyperlink r:id="rId83">
              <w:r>
                <w:rPr>
                  <w:rFonts w:ascii="Arial" w:cs="Arial" w:eastAsia="Arial" w:hAnsi="Arial"/>
                  <w:sz w:val="18"/>
                  <w:szCs w:val="18"/>
                  <w:color w:val="0000EE"/>
                </w:rPr>
                <w:t>with the SEC on February 4, 2020).</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10000" w:type="dxa"/>
            <w:vAlign w:val="bottom"/>
            <w:tcBorders>
              <w:bottom w:val="single" w:sz="8" w:color="0000EE"/>
            </w:tcBorders>
            <w:gridSpan w:val="18"/>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Securities Purchase Agreement between the Company and the Investors, dated January 30, 2020 (incorporated by reference to Exhibit 10.1</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20"/>
          </w:tcPr>
          <w:p>
            <w:pPr>
              <w:spacing w:after="0" w:line="195" w:lineRule="exact"/>
              <w:rPr>
                <w:rFonts w:ascii="Arial" w:cs="Arial" w:eastAsia="Arial" w:hAnsi="Arial"/>
                <w:sz w:val="18"/>
                <w:szCs w:val="18"/>
                <w:color w:val="0000EE"/>
              </w:rPr>
            </w:pPr>
            <w:hyperlink r:id="rId84">
              <w:r>
                <w:rPr>
                  <w:rFonts w:ascii="Arial" w:cs="Arial" w:eastAsia="Arial" w:hAnsi="Arial"/>
                  <w:sz w:val="18"/>
                  <w:szCs w:val="18"/>
                  <w:color w:val="0000EE"/>
                </w:rPr>
                <w:t>to the Company’s Current Report on Form 8-K (File No. 001-37708), as filed with the SEC on February 4,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472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Loan and Security Agreement dated February 7, 2020 between Syndax Pharmaceuticals, Inc. and Hercules Capital, Inc.</w:t>
              </w:r>
            </w:hyperlink>
          </w:p>
        </w:tc>
        <w:tc>
          <w:tcPr>
            <w:tcW w:w="0" w:type="dxa"/>
            <w:vAlign w:val="bottom"/>
          </w:tcPr>
          <w:p>
            <w:pPr>
              <w:spacing w:after="0"/>
              <w:rPr>
                <w:sz w:val="1"/>
                <w:szCs w:val="1"/>
                <w:color w:val="auto"/>
              </w:rPr>
            </w:pPr>
          </w:p>
        </w:tc>
      </w:tr>
      <w:tr>
        <w:trPr>
          <w:trHeight w:val="33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10.3</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Non-employee Director Compensation Policy, as amended, February 12, 2020.</w:t>
              </w:r>
            </w:hyperlink>
          </w:p>
        </w:tc>
        <w:tc>
          <w:tcPr>
            <w:tcW w:w="0" w:type="dxa"/>
            <w:vAlign w:val="bottom"/>
          </w:tcPr>
          <w:p>
            <w:pPr>
              <w:spacing w:after="0"/>
              <w:rPr>
                <w:sz w:val="1"/>
                <w:szCs w:val="1"/>
                <w:color w:val="auto"/>
              </w:rPr>
            </w:pPr>
          </w:p>
        </w:tc>
      </w:tr>
      <w:tr>
        <w:trPr>
          <w:trHeight w:val="29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10.4</w:t>
            </w:r>
          </w:p>
        </w:tc>
        <w:tc>
          <w:tcPr>
            <w:tcW w:w="140" w:type="dxa"/>
            <w:vAlign w:val="bottom"/>
          </w:tcPr>
          <w:p>
            <w:pPr>
              <w:spacing w:after="0"/>
              <w:rPr>
                <w:sz w:val="24"/>
                <w:szCs w:val="24"/>
                <w:color w:val="auto"/>
              </w:rPr>
            </w:pPr>
          </w:p>
        </w:tc>
        <w:tc>
          <w:tcPr>
            <w:tcW w:w="99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Amended and Restated Executive Employment Agreement by and between the Company and Briggs W. Morrison, M.D., dated as of April</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5" w:lineRule="exact"/>
              <w:rPr>
                <w:rFonts w:ascii="Arial" w:cs="Arial" w:eastAsia="Arial" w:hAnsi="Arial"/>
                <w:sz w:val="18"/>
                <w:szCs w:val="18"/>
                <w:color w:val="0000EE"/>
                <w:w w:val="87"/>
              </w:rPr>
            </w:pPr>
            <w:hyperlink w:anchor="page106">
              <w:r>
                <w:rPr>
                  <w:rFonts w:ascii="Arial" w:cs="Arial" w:eastAsia="Arial" w:hAnsi="Arial"/>
                  <w:sz w:val="18"/>
                  <w:szCs w:val="18"/>
                  <w:color w:val="0000EE"/>
                  <w:w w:val="87"/>
                </w:rPr>
                <w:t>27, 2020.</w:t>
              </w:r>
            </w:hyperlink>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3"/>
              </w:rPr>
            </w:pPr>
            <w:hyperlink w:anchor="page128">
              <w:r>
                <w:rPr>
                  <w:rFonts w:ascii="Arial" w:cs="Arial" w:eastAsia="Arial" w:hAnsi="Arial"/>
                  <w:sz w:val="18"/>
                  <w:szCs w:val="18"/>
                  <w:color w:val="0000EE"/>
                  <w:w w:val="93"/>
                </w:rPr>
                <w:t>Amended and Restated Executive Employment Agreement by and between the Company and Michael A. Metzger, dated as of April 27,</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4"/>
              </w:rPr>
            </w:pPr>
            <w:hyperlink w:anchor="page128">
              <w:r>
                <w:rPr>
                  <w:rFonts w:ascii="Arial" w:cs="Arial" w:eastAsia="Arial" w:hAnsi="Arial"/>
                  <w:sz w:val="18"/>
                  <w:szCs w:val="18"/>
                  <w:color w:val="0000EE"/>
                  <w:w w:val="84"/>
                </w:rPr>
                <w:t>2020.</w:t>
              </w:r>
            </w:hyperlink>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10.6</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1"/>
              </w:rPr>
            </w:pPr>
            <w:hyperlink w:anchor="page151">
              <w:r>
                <w:rPr>
                  <w:rFonts w:ascii="Arial" w:cs="Arial" w:eastAsia="Arial" w:hAnsi="Arial"/>
                  <w:sz w:val="18"/>
                  <w:szCs w:val="18"/>
                  <w:color w:val="0000EE"/>
                  <w:w w:val="91"/>
                </w:rPr>
                <w:t>Amended and Restated Executive Employment Agreement by and between the Company and Michael L. Meyers, M.D., Ph.D., dated as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93"/>
              </w:rPr>
            </w:pPr>
            <w:hyperlink w:anchor="page151">
              <w:r>
                <w:rPr>
                  <w:rFonts w:ascii="Arial" w:cs="Arial" w:eastAsia="Arial" w:hAnsi="Arial"/>
                  <w:sz w:val="18"/>
                  <w:szCs w:val="18"/>
                  <w:color w:val="0000EE"/>
                  <w:w w:val="93"/>
                </w:rPr>
                <w:t>April 27, 2020.</w:t>
              </w:r>
            </w:hyperlink>
          </w:p>
        </w:tc>
        <w:tc>
          <w:tcPr>
            <w:tcW w:w="888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10.7</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u w:val="single" w:color="auto"/>
                <w:color w:val="0000EE"/>
                <w:w w:val="91"/>
              </w:rPr>
            </w:pPr>
            <w:hyperlink w:anchor="page172">
              <w:r>
                <w:rPr>
                  <w:rFonts w:ascii="Arial" w:cs="Arial" w:eastAsia="Arial" w:hAnsi="Arial"/>
                  <w:sz w:val="18"/>
                  <w:szCs w:val="18"/>
                  <w:u w:val="single" w:color="auto"/>
                  <w:color w:val="0000EE"/>
                  <w:w w:val="91"/>
                </w:rPr>
                <w:t>Amended and Restated Executive Employment Agreement by and between the Company and Richard P. Shea, dated as of April 27, 2020.</w:t>
              </w:r>
            </w:hyperlink>
          </w:p>
        </w:tc>
        <w:tc>
          <w:tcPr>
            <w:tcW w:w="0" w:type="dxa"/>
            <w:vAlign w:val="bottom"/>
          </w:tcPr>
          <w:p>
            <w:pPr>
              <w:spacing w:after="0"/>
              <w:rPr>
                <w:sz w:val="1"/>
                <w:szCs w:val="1"/>
                <w:color w:val="auto"/>
              </w:rPr>
            </w:pPr>
          </w:p>
        </w:tc>
      </w:tr>
      <w:tr>
        <w:trPr>
          <w:trHeight w:val="29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10100" w:type="dxa"/>
            <w:vAlign w:val="bottom"/>
            <w:gridSpan w:val="20"/>
          </w:tcPr>
          <w:p>
            <w:pPr>
              <w:spacing w:after="0"/>
              <w:rPr>
                <w:rFonts w:ascii="Arial" w:cs="Arial" w:eastAsia="Arial" w:hAnsi="Arial"/>
                <w:sz w:val="18"/>
                <w:szCs w:val="18"/>
                <w:color w:val="0000EE"/>
                <w:w w:val="93"/>
              </w:rPr>
            </w:pPr>
            <w:hyperlink w:anchor="page194">
              <w:r>
                <w:rPr>
                  <w:rFonts w:ascii="Arial" w:cs="Arial" w:eastAsia="Arial" w:hAnsi="Arial"/>
                  <w:sz w:val="18"/>
                  <w:szCs w:val="18"/>
                  <w:color w:val="0000EE"/>
                  <w:w w:val="93"/>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5"/>
              </w:rPr>
            </w:pPr>
            <w:hyperlink w:anchor="page194">
              <w:r>
                <w:rPr>
                  <w:rFonts w:ascii="Arial" w:cs="Arial" w:eastAsia="Arial" w:hAnsi="Arial"/>
                  <w:sz w:val="18"/>
                  <w:szCs w:val="18"/>
                  <w:color w:val="0000EE"/>
                  <w:w w:val="85"/>
                </w:rPr>
                <w:t>1934, as amended.</w:t>
              </w:r>
            </w:hyperlink>
          </w:p>
        </w:tc>
        <w:tc>
          <w:tcPr>
            <w:tcW w:w="8560" w:type="dxa"/>
            <w:vAlign w:val="bottom"/>
            <w:tcBorders>
              <w:top w:val="single" w:sz="8" w:color="0000EE"/>
            </w:tcBorders>
            <w:gridSpan w:val="12"/>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98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Certification of Principal Financial Officer pursuant to Rules 13a-14(a) and 15d-14(a) promulgated under the Securities Exchange Act of</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5" w:lineRule="exact"/>
              <w:rPr>
                <w:rFonts w:ascii="Arial" w:cs="Arial" w:eastAsia="Arial" w:hAnsi="Arial"/>
                <w:sz w:val="18"/>
                <w:szCs w:val="18"/>
                <w:color w:val="0000EE"/>
                <w:w w:val="85"/>
              </w:rPr>
            </w:pPr>
            <w:hyperlink w:anchor="page195">
              <w:r>
                <w:rPr>
                  <w:rFonts w:ascii="Arial" w:cs="Arial" w:eastAsia="Arial" w:hAnsi="Arial"/>
                  <w:sz w:val="18"/>
                  <w:szCs w:val="18"/>
                  <w:color w:val="0000EE"/>
                  <w:w w:val="85"/>
                </w:rPr>
                <w:t>1934, as amended.</w:t>
              </w:r>
            </w:hyperlink>
          </w:p>
        </w:tc>
        <w:tc>
          <w:tcPr>
            <w:tcW w:w="8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492"/>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92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96">
              <w:r>
                <w:rPr>
                  <w:rFonts w:ascii="Arial" w:cs="Arial" w:eastAsia="Arial" w:hAnsi="Arial"/>
                  <w:sz w:val="18"/>
                  <w:szCs w:val="18"/>
                  <w:color w:val="0000EE"/>
                  <w:w w:val="91"/>
                </w:rPr>
                <w:t>Certifications of Chief Executive Officer and Chief Financial Officer pursuant to 18 U.S.C. Section 1350, as adopted pursuant to</w:t>
              </w:r>
            </w:hyperlink>
          </w:p>
        </w:tc>
        <w:tc>
          <w:tcPr>
            <w:tcW w:w="8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5"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Section 906 of the Sarbanes-Oxley Act of 2002.</w:t>
              </w:r>
            </w:hyperlink>
          </w:p>
        </w:tc>
        <w:tc>
          <w:tcPr>
            <w:tcW w:w="6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40" w:hanging="1132"/>
        <w:spacing w:after="0" w:line="259"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March 31, 2019,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9505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38" w:lineRule="exact"/>
        <w:rPr>
          <w:sz w:val="20"/>
          <w:szCs w:val="20"/>
          <w:color w:val="auto"/>
        </w:rPr>
      </w:pPr>
    </w:p>
    <w:p>
      <w:pPr>
        <w:jc w:val="both"/>
        <w:ind w:left="500" w:right="280" w:hanging="492"/>
        <w:spacing w:after="0" w:line="31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3"/>
              </w:rPr>
              <w:t>(Principal Executive Officer and Principal Accounting</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10.2</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AND SECURITY AGREEMENT</w:t>
      </w:r>
    </w:p>
    <w:p>
      <w:pPr>
        <w:spacing w:after="0" w:line="199" w:lineRule="exact"/>
        <w:rPr>
          <w:sz w:val="20"/>
          <w:szCs w:val="20"/>
          <w:color w:val="auto"/>
        </w:rPr>
      </w:pPr>
    </w:p>
    <w:p>
      <w:pPr>
        <w:ind w:right="100" w:firstLine="864"/>
        <w:spacing w:after="0" w:line="260" w:lineRule="auto"/>
        <w:rPr>
          <w:sz w:val="20"/>
          <w:szCs w:val="20"/>
          <w:color w:val="auto"/>
        </w:rPr>
      </w:pPr>
      <w:r>
        <w:rPr>
          <w:rFonts w:ascii="Arial" w:cs="Arial" w:eastAsia="Arial" w:hAnsi="Arial"/>
          <w:sz w:val="19"/>
          <w:szCs w:val="19"/>
          <w:color w:val="auto"/>
        </w:rPr>
        <w:t>THIS LOAN AND SECURITY AGREEMENT is made and dated as of February 7, 2020 and is entered into by and among SYNDAX PHARMACEUTICALS, INC., a Delaware corporation (“Parent”), and each of its Qualified Subsidiaries (hereinafter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13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7180" w:type="dxa"/>
            <w:vAlign w:val="bottom"/>
            <w:gridSpan w:val="2"/>
          </w:tcPr>
          <w:p>
            <w:pPr>
              <w:jc w:val="center"/>
              <w:ind w:right="3900"/>
              <w:spacing w:after="0"/>
              <w:rPr>
                <w:sz w:val="20"/>
                <w:szCs w:val="20"/>
                <w:color w:val="auto"/>
              </w:rPr>
            </w:pPr>
            <w:r>
              <w:rPr>
                <w:rFonts w:ascii="Arial" w:cs="Arial" w:eastAsia="Arial" w:hAnsi="Arial"/>
                <w:sz w:val="20"/>
                <w:szCs w:val="20"/>
                <w:b w:val="1"/>
                <w:bCs w:val="1"/>
                <w:color w:val="auto"/>
                <w:w w:val="99"/>
              </w:rPr>
              <w:t>RECITALS</w:t>
            </w:r>
          </w:p>
        </w:tc>
      </w:tr>
      <w:tr>
        <w:trPr>
          <w:trHeight w:val="424"/>
        </w:trPr>
        <w:tc>
          <w:tcPr>
            <w:tcW w:w="1320" w:type="dxa"/>
            <w:vAlign w:val="bottom"/>
          </w:tcPr>
          <w:p>
            <w:pPr>
              <w:spacing w:after="0"/>
              <w:rPr>
                <w:sz w:val="20"/>
                <w:szCs w:val="20"/>
                <w:color w:val="auto"/>
              </w:rPr>
            </w:pPr>
            <w:r>
              <w:rPr>
                <w:rFonts w:ascii="Arial" w:cs="Arial" w:eastAsia="Arial" w:hAnsi="Arial"/>
                <w:sz w:val="20"/>
                <w:szCs w:val="20"/>
                <w:color w:val="auto"/>
              </w:rPr>
              <w:t>A.</w:t>
            </w:r>
          </w:p>
        </w:tc>
        <w:tc>
          <w:tcPr>
            <w:tcW w:w="9760" w:type="dxa"/>
            <w:vAlign w:val="bottom"/>
            <w:gridSpan w:val="3"/>
          </w:tcPr>
          <w:p>
            <w:pPr>
              <w:ind w:left="260"/>
              <w:spacing w:after="0"/>
              <w:rPr>
                <w:sz w:val="20"/>
                <w:szCs w:val="20"/>
                <w:color w:val="auto"/>
              </w:rPr>
            </w:pPr>
            <w:r>
              <w:rPr>
                <w:rFonts w:ascii="Arial" w:cs="Arial" w:eastAsia="Arial" w:hAnsi="Arial"/>
                <w:sz w:val="20"/>
                <w:szCs w:val="20"/>
                <w:color w:val="auto"/>
                <w:w w:val="89"/>
              </w:rPr>
              <w:t>Borrower has requested the Lenders make available to Borrower a loan in an aggregate principal amount of up to Thirty</w:t>
            </w:r>
          </w:p>
        </w:tc>
      </w:tr>
      <w:tr>
        <w:trPr>
          <w:trHeight w:val="250"/>
        </w:trPr>
        <w:tc>
          <w:tcPr>
            <w:tcW w:w="11080" w:type="dxa"/>
            <w:vAlign w:val="bottom"/>
            <w:gridSpan w:val="4"/>
          </w:tcPr>
          <w:p>
            <w:pPr>
              <w:ind w:left="800"/>
              <w:spacing w:after="0"/>
              <w:rPr>
                <w:sz w:val="20"/>
                <w:szCs w:val="20"/>
                <w:color w:val="auto"/>
              </w:rPr>
            </w:pPr>
            <w:r>
              <w:rPr>
                <w:rFonts w:ascii="Arial" w:cs="Arial" w:eastAsia="Arial" w:hAnsi="Arial"/>
                <w:sz w:val="20"/>
                <w:szCs w:val="20"/>
                <w:color w:val="auto"/>
              </w:rPr>
              <w:t>Million Dollars ($30,000,000.00) (the “Term Loan”); and</w:t>
            </w:r>
          </w:p>
        </w:tc>
      </w:tr>
      <w:tr>
        <w:trPr>
          <w:trHeight w:val="445"/>
        </w:trPr>
        <w:tc>
          <w:tcPr>
            <w:tcW w:w="1320" w:type="dxa"/>
            <w:vAlign w:val="bottom"/>
          </w:tcPr>
          <w:p>
            <w:pPr>
              <w:spacing w:after="0"/>
              <w:rPr>
                <w:sz w:val="20"/>
                <w:szCs w:val="20"/>
                <w:color w:val="auto"/>
              </w:rPr>
            </w:pPr>
            <w:r>
              <w:rPr>
                <w:rFonts w:ascii="Arial" w:cs="Arial" w:eastAsia="Arial" w:hAnsi="Arial"/>
                <w:sz w:val="20"/>
                <w:szCs w:val="20"/>
                <w:color w:val="auto"/>
              </w:rPr>
              <w:t>B.</w:t>
            </w:r>
          </w:p>
        </w:tc>
        <w:tc>
          <w:tcPr>
            <w:tcW w:w="9760" w:type="dxa"/>
            <w:vAlign w:val="bottom"/>
            <w:gridSpan w:val="3"/>
          </w:tcPr>
          <w:p>
            <w:pPr>
              <w:ind w:left="260"/>
              <w:spacing w:after="0"/>
              <w:rPr>
                <w:sz w:val="20"/>
                <w:szCs w:val="20"/>
                <w:color w:val="auto"/>
              </w:rPr>
            </w:pPr>
            <w:r>
              <w:rPr>
                <w:rFonts w:ascii="Arial" w:cs="Arial" w:eastAsia="Arial" w:hAnsi="Arial"/>
                <w:sz w:val="20"/>
                <w:szCs w:val="20"/>
                <w:color w:val="auto"/>
              </w:rPr>
              <w:t>The Lenders are willing to make the Term Loan on the terms and conditions set forth in this Agreement.</w:t>
            </w:r>
          </w:p>
        </w:tc>
      </w:tr>
      <w:tr>
        <w:trPr>
          <w:trHeight w:val="445"/>
        </w:trPr>
        <w:tc>
          <w:tcPr>
            <w:tcW w:w="1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180" w:type="dxa"/>
            <w:vAlign w:val="bottom"/>
            <w:gridSpan w:val="2"/>
          </w:tcPr>
          <w:p>
            <w:pPr>
              <w:jc w:val="center"/>
              <w:ind w:right="3880"/>
              <w:spacing w:after="0"/>
              <w:rPr>
                <w:sz w:val="20"/>
                <w:szCs w:val="20"/>
                <w:color w:val="auto"/>
              </w:rPr>
            </w:pPr>
            <w:r>
              <w:rPr>
                <w:rFonts w:ascii="Arial" w:cs="Arial" w:eastAsia="Arial" w:hAnsi="Arial"/>
                <w:sz w:val="20"/>
                <w:szCs w:val="20"/>
                <w:b w:val="1"/>
                <w:bCs w:val="1"/>
                <w:color w:val="auto"/>
              </w:rPr>
              <w:t>AGREEMENT</w:t>
            </w:r>
          </w:p>
        </w:tc>
      </w:tr>
      <w:tr>
        <w:trPr>
          <w:trHeight w:val="445"/>
        </w:trPr>
        <w:tc>
          <w:tcPr>
            <w:tcW w:w="11080" w:type="dxa"/>
            <w:vAlign w:val="bottom"/>
            <w:gridSpan w:val="4"/>
          </w:tcPr>
          <w:p>
            <w:pPr>
              <w:ind w:left="800"/>
              <w:spacing w:after="0"/>
              <w:rPr>
                <w:sz w:val="20"/>
                <w:szCs w:val="20"/>
                <w:color w:val="auto"/>
              </w:rPr>
            </w:pPr>
            <w:r>
              <w:rPr>
                <w:rFonts w:ascii="Arial" w:cs="Arial" w:eastAsia="Arial" w:hAnsi="Arial"/>
                <w:sz w:val="20"/>
                <w:szCs w:val="20"/>
                <w:color w:val="auto"/>
              </w:rPr>
              <w:t>NOW, THEREFORE, Borrower, Agent and the Lenders agree as follows:</w:t>
            </w:r>
          </w:p>
        </w:tc>
      </w:tr>
      <w:tr>
        <w:trPr>
          <w:trHeight w:val="400"/>
        </w:trPr>
        <w:tc>
          <w:tcPr>
            <w:tcW w:w="1320" w:type="dxa"/>
            <w:vAlign w:val="bottom"/>
          </w:tcPr>
          <w:p>
            <w:pPr>
              <w:spacing w:after="0"/>
              <w:rPr>
                <w:sz w:val="24"/>
                <w:szCs w:val="24"/>
                <w:color w:val="auto"/>
              </w:rPr>
            </w:pPr>
          </w:p>
        </w:tc>
        <w:tc>
          <w:tcPr>
            <w:tcW w:w="9760" w:type="dxa"/>
            <w:vAlign w:val="bottom"/>
            <w:gridSpan w:val="3"/>
          </w:tcPr>
          <w:p>
            <w:pPr>
              <w:jc w:val="center"/>
              <w:ind w:right="1300"/>
              <w:spacing w:after="0"/>
              <w:rPr>
                <w:sz w:val="20"/>
                <w:szCs w:val="20"/>
                <w:color w:val="auto"/>
              </w:rPr>
            </w:pPr>
            <w:r>
              <w:rPr>
                <w:rFonts w:ascii="Arial" w:cs="Arial" w:eastAsia="Arial" w:hAnsi="Arial"/>
                <w:sz w:val="20"/>
                <w:szCs w:val="20"/>
                <w:b w:val="1"/>
                <w:bCs w:val="1"/>
                <w:color w:val="auto"/>
              </w:rPr>
              <w:t>SECTION 1. DEFINITIONS AND RULES OF CONSTRUCTION</w:t>
            </w:r>
          </w:p>
        </w:tc>
      </w:tr>
      <w:tr>
        <w:trPr>
          <w:trHeight w:val="20"/>
        </w:trPr>
        <w:tc>
          <w:tcPr>
            <w:tcW w:w="1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9"/>
        </w:trPr>
        <w:tc>
          <w:tcPr>
            <w:tcW w:w="1320" w:type="dxa"/>
            <w:vAlign w:val="bottom"/>
          </w:tcPr>
          <w:p>
            <w:pPr>
              <w:ind w:left="800"/>
              <w:spacing w:after="0"/>
              <w:rPr>
                <w:sz w:val="20"/>
                <w:szCs w:val="20"/>
                <w:color w:val="auto"/>
              </w:rPr>
            </w:pPr>
            <w:r>
              <w:rPr>
                <w:rFonts w:ascii="Arial" w:cs="Arial" w:eastAsia="Arial" w:hAnsi="Arial"/>
                <w:sz w:val="20"/>
                <w:szCs w:val="20"/>
                <w:color w:val="auto"/>
              </w:rPr>
              <w:t>1.1</w:t>
            </w:r>
          </w:p>
        </w:tc>
        <w:tc>
          <w:tcPr>
            <w:tcW w:w="9760" w:type="dxa"/>
            <w:vAlign w:val="bottom"/>
            <w:gridSpan w:val="3"/>
          </w:tcPr>
          <w:p>
            <w:pPr>
              <w:ind w:left="360"/>
              <w:spacing w:after="0"/>
              <w:rPr>
                <w:sz w:val="20"/>
                <w:szCs w:val="20"/>
                <w:color w:val="auto"/>
              </w:rPr>
            </w:pPr>
            <w:r>
              <w:rPr>
                <w:rFonts w:ascii="Arial" w:cs="Arial" w:eastAsia="Arial" w:hAnsi="Arial"/>
                <w:sz w:val="20"/>
                <w:szCs w:val="20"/>
                <w:color w:val="auto"/>
              </w:rPr>
              <w:t>Unless otherwise defined herein, the following capitalized terms shall have the following meanings:</w:t>
            </w:r>
          </w:p>
        </w:tc>
      </w:tr>
    </w:tbl>
    <w:p>
      <w:pPr>
        <w:spacing w:after="0" w:line="195" w:lineRule="exact"/>
        <w:rPr>
          <w:sz w:val="20"/>
          <w:szCs w:val="20"/>
          <w:color w:val="auto"/>
        </w:rPr>
      </w:pPr>
    </w:p>
    <w:p>
      <w:pPr>
        <w:ind w:right="260" w:firstLine="1728"/>
        <w:spacing w:after="0" w:line="269" w:lineRule="auto"/>
        <w:rPr>
          <w:sz w:val="20"/>
          <w:szCs w:val="20"/>
          <w:color w:val="auto"/>
        </w:rPr>
      </w:pPr>
      <w:r>
        <w:rPr>
          <w:rFonts w:ascii="Arial" w:cs="Arial" w:eastAsia="Arial" w:hAnsi="Arial"/>
          <w:sz w:val="19"/>
          <w:szCs w:val="19"/>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69" w:lineRule="exact"/>
        <w:rPr>
          <w:sz w:val="20"/>
          <w:szCs w:val="20"/>
          <w:color w:val="auto"/>
        </w:rPr>
      </w:pPr>
    </w:p>
    <w:p>
      <w:pPr>
        <w:ind w:right="300" w:firstLine="1728"/>
        <w:spacing w:after="0" w:line="260" w:lineRule="auto"/>
        <w:rPr>
          <w:sz w:val="20"/>
          <w:szCs w:val="20"/>
          <w:color w:val="auto"/>
        </w:rPr>
      </w:pPr>
      <w:r>
        <w:rPr>
          <w:rFonts w:ascii="Arial" w:cs="Arial" w:eastAsia="Arial" w:hAnsi="Arial"/>
          <w:sz w:val="20"/>
          <w:szCs w:val="20"/>
          <w:color w:val="auto"/>
        </w:rPr>
        <w:t>“ACH Authorization” means the ACH Debit Authorization Agreement in substantially the form of Exhibit G, which account numbers shall be redacted for security purposes if and when filed publicly by the Borrower.</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“Advance(s)” means a Term Loan Advance.</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“Advance Date” means the funding date of any Advance.</w:t>
      </w:r>
    </w:p>
    <w:p>
      <w:pPr>
        <w:spacing w:after="0" w:line="215" w:lineRule="exact"/>
        <w:rPr>
          <w:sz w:val="20"/>
          <w:szCs w:val="20"/>
          <w:color w:val="auto"/>
        </w:rPr>
      </w:pPr>
    </w:p>
    <w:p>
      <w:pPr>
        <w:ind w:right="640" w:firstLine="1728"/>
        <w:spacing w:after="0" w:line="286" w:lineRule="auto"/>
        <w:rPr>
          <w:sz w:val="20"/>
          <w:szCs w:val="20"/>
          <w:color w:val="auto"/>
        </w:rPr>
      </w:pPr>
      <w:r>
        <w:rPr>
          <w:rFonts w:ascii="Arial" w:cs="Arial" w:eastAsia="Arial" w:hAnsi="Arial"/>
          <w:sz w:val="19"/>
          <w:szCs w:val="19"/>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53" w:lineRule="exact"/>
        <w:rPr>
          <w:sz w:val="20"/>
          <w:szCs w:val="20"/>
          <w:color w:val="auto"/>
        </w:rPr>
      </w:pPr>
    </w:p>
    <w:p>
      <w:pPr>
        <w:ind w:right="20" w:firstLine="1728"/>
        <w:spacing w:after="0" w:line="244" w:lineRule="auto"/>
        <w:rPr>
          <w:sz w:val="20"/>
          <w:szCs w:val="20"/>
          <w:color w:val="auto"/>
        </w:rPr>
      </w:pPr>
      <w:r>
        <w:rPr>
          <w:rFonts w:ascii="Arial" w:cs="Arial" w:eastAsia="Arial" w:hAnsi="Arial"/>
          <w:sz w:val="20"/>
          <w:szCs w:val="20"/>
          <w:color w:val="auto"/>
        </w:rPr>
        <w:t>“Affiliate” means (a) any Person that directly or indirectly controls, is controlled by, or is under common control with the Person in question, (b) any Person directly or indirectly owning, controlling or holding with power to vote thirty percent (30%) or more of the outstanding voting securities of another Person, or (c) any Person thirty percent (30%) or more of whose outstanding voting securities are directly or indirectly owned, controlled or held by another Person with power to vote such securities. As used in the definition of “Affiliate,” the term “control” means the possession, directly or indirectly,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right="440"/>
        <w:spacing w:after="0" w:line="260" w:lineRule="auto"/>
        <w:rPr>
          <w:sz w:val="20"/>
          <w:szCs w:val="20"/>
          <w:color w:val="auto"/>
        </w:rPr>
      </w:pPr>
      <w:r>
        <w:rPr>
          <w:rFonts w:ascii="Arial" w:cs="Arial" w:eastAsia="Arial" w:hAnsi="Arial"/>
          <w:sz w:val="20"/>
          <w:szCs w:val="20"/>
          <w:color w:val="auto"/>
        </w:rPr>
        <w:t>the power to direct or cause the direction of the management and policies of a Person, whether through ownership of voting securities, by contract or otherwise.</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“Agreement” means this Loan and Security Agreement, as amended from time to time.</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“Amortization Date” means October 1, 2021; provided however, if the Interest Only Extension Conditions are satisfied,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then April 1, 2022.</w:t>
      </w:r>
    </w:p>
    <w:p>
      <w:pPr>
        <w:spacing w:after="0" w:line="199" w:lineRule="exact"/>
        <w:rPr>
          <w:sz w:val="20"/>
          <w:szCs w:val="20"/>
          <w:color w:val="auto"/>
        </w:rPr>
      </w:pPr>
    </w:p>
    <w:p>
      <w:pPr>
        <w:ind w:right="160" w:firstLine="1728"/>
        <w:spacing w:after="0" w:line="269" w:lineRule="auto"/>
        <w:rPr>
          <w:sz w:val="20"/>
          <w:szCs w:val="20"/>
          <w:color w:val="auto"/>
        </w:rPr>
      </w:pPr>
      <w:r>
        <w:rPr>
          <w:rFonts w:ascii="Arial" w:cs="Arial" w:eastAsia="Arial" w:hAnsi="Arial"/>
          <w:sz w:val="19"/>
          <w:szCs w:val="19"/>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69" w:lineRule="exact"/>
        <w:rPr>
          <w:sz w:val="20"/>
          <w:szCs w:val="20"/>
          <w:color w:val="auto"/>
        </w:rPr>
      </w:pPr>
    </w:p>
    <w:p>
      <w:pPr>
        <w:ind w:right="360" w:firstLine="1728"/>
        <w:spacing w:after="0" w:line="236" w:lineRule="exact"/>
        <w:rPr>
          <w:sz w:val="20"/>
          <w:szCs w:val="20"/>
          <w:color w:val="auto"/>
        </w:rPr>
      </w:pPr>
      <w:r>
        <w:rPr>
          <w:rFonts w:ascii="Arial" w:cs="Arial" w:eastAsia="Arial" w:hAnsi="Arial"/>
          <w:sz w:val="20"/>
          <w:szCs w:val="20"/>
          <w:color w:val="auto"/>
        </w:rPr>
        <w:t>“Anti</w:t>
      </w:r>
      <w:r>
        <w:rPr>
          <w:rFonts w:ascii="MS PGothic" w:cs="MS PGothic" w:eastAsia="MS PGothic" w:hAnsi="MS PGothic"/>
          <w:sz w:val="20"/>
          <w:szCs w:val="20"/>
          <w:color w:val="auto"/>
        </w:rPr>
        <w:t>‑</w:t>
      </w:r>
      <w:r>
        <w:rPr>
          <w:rFonts w:ascii="Arial" w:cs="Arial" w:eastAsia="Arial" w:hAnsi="Arial"/>
          <w:sz w:val="20"/>
          <w:szCs w:val="20"/>
          <w:color w:val="auto"/>
        </w:rPr>
        <w:t>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96" w:lineRule="exact"/>
        <w:rPr>
          <w:sz w:val="20"/>
          <w:szCs w:val="20"/>
          <w:color w:val="auto"/>
        </w:rPr>
      </w:pPr>
    </w:p>
    <w:p>
      <w:pPr>
        <w:ind w:right="60" w:firstLine="1728"/>
        <w:spacing w:after="0" w:line="243" w:lineRule="auto"/>
        <w:rPr>
          <w:sz w:val="20"/>
          <w:szCs w:val="20"/>
          <w:color w:val="auto"/>
        </w:rPr>
      </w:pPr>
      <w:r>
        <w:rPr>
          <w:rFonts w:ascii="Arial" w:cs="Arial" w:eastAsia="Arial" w:hAnsi="Arial"/>
          <w:sz w:val="20"/>
          <w:szCs w:val="20"/>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94" w:lineRule="exact"/>
        <w:rPr>
          <w:sz w:val="20"/>
          <w:szCs w:val="20"/>
          <w:color w:val="auto"/>
        </w:rPr>
      </w:pPr>
    </w:p>
    <w:p>
      <w:pPr>
        <w:ind w:firstLine="1728"/>
        <w:spacing w:after="0" w:line="246" w:lineRule="auto"/>
        <w:rPr>
          <w:sz w:val="20"/>
          <w:szCs w:val="20"/>
          <w:color w:val="auto"/>
        </w:rPr>
      </w:pPr>
      <w:r>
        <w:rPr>
          <w:rFonts w:ascii="Arial" w:cs="Arial" w:eastAsia="Arial" w:hAnsi="Arial"/>
          <w:sz w:val="20"/>
          <w:szCs w:val="20"/>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w:t>
      </w:r>
    </w:p>
    <w:p>
      <w:pPr>
        <w:spacing w:after="0" w:line="190" w:lineRule="exact"/>
        <w:rPr>
          <w:sz w:val="20"/>
          <w:szCs w:val="20"/>
          <w:color w:val="auto"/>
        </w:rPr>
      </w:pPr>
    </w:p>
    <w:p>
      <w:pPr>
        <w:ind w:right="200" w:firstLine="1728"/>
        <w:spacing w:after="0" w:line="269" w:lineRule="auto"/>
        <w:rPr>
          <w:sz w:val="20"/>
          <w:szCs w:val="20"/>
          <w:color w:val="auto"/>
        </w:rPr>
      </w:pPr>
      <w:r>
        <w:rPr>
          <w:rFonts w:ascii="Arial" w:cs="Arial" w:eastAsia="Arial" w:hAnsi="Arial"/>
          <w:sz w:val="19"/>
          <w:szCs w:val="19"/>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69" w:lineRule="exact"/>
        <w:rPr>
          <w:sz w:val="20"/>
          <w:szCs w:val="20"/>
          <w:color w:val="auto"/>
        </w:rPr>
      </w:pPr>
    </w:p>
    <w:p>
      <w:pPr>
        <w:ind w:right="20" w:firstLine="1728"/>
        <w:spacing w:after="0" w:line="260" w:lineRule="auto"/>
        <w:rPr>
          <w:sz w:val="20"/>
          <w:szCs w:val="20"/>
          <w:color w:val="auto"/>
        </w:rPr>
      </w:pPr>
      <w:r>
        <w:rPr>
          <w:rFonts w:ascii="Arial" w:cs="Arial" w:eastAsia="Arial" w:hAnsi="Arial"/>
          <w:sz w:val="20"/>
          <w:szCs w:val="20"/>
          <w:color w:val="auto"/>
        </w:rPr>
        <w:t>“Business Day” means any day other than Saturday, Sunday and any other day on which banking institutions in the State of California are closed for business.</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“Cash” means all cash, cash equivalents and liquid funds.</w:t>
      </w:r>
    </w:p>
    <w:p>
      <w:pPr>
        <w:spacing w:after="0" w:line="215" w:lineRule="exact"/>
        <w:rPr>
          <w:sz w:val="20"/>
          <w:szCs w:val="20"/>
          <w:color w:val="auto"/>
        </w:rPr>
      </w:pPr>
    </w:p>
    <w:p>
      <w:pPr>
        <w:ind w:right="40" w:firstLine="1728"/>
        <w:spacing w:after="0" w:line="274" w:lineRule="auto"/>
        <w:rPr>
          <w:sz w:val="20"/>
          <w:szCs w:val="20"/>
          <w:color w:val="auto"/>
        </w:rPr>
      </w:pPr>
      <w:r>
        <w:rPr>
          <w:rFonts w:ascii="Arial" w:cs="Arial" w:eastAsia="Arial" w:hAnsi="Arial"/>
          <w:sz w:val="18"/>
          <w:szCs w:val="18"/>
          <w:color w:val="auto"/>
        </w:rPr>
        <w:t>“Change in Control” means (a) any reorganization, recapitalization, consolidation or merger (or similar transaction or series of related transactions) of Parent, or sale or exchange of outstanding shares (or similar transaction or series of related transactions) of Parent, in each case, in which the “beneficial owners” (as defined in Rules 13(d)-3 and 13(d)-5 under the Exchange Act) of Parent’s outstanding shares immediately before consummation of such transaction or series of related transactions do not, immediately after consummation of such transaction or series of related transactions, continue to beneficially own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Parent is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65" w:name="page66"/>
    <w:bookmarkEnd w:id="65"/>
    <w:p>
      <w:pPr>
        <w:ind w:right="20"/>
        <w:spacing w:after="0" w:line="260" w:lineRule="auto"/>
        <w:rPr>
          <w:sz w:val="20"/>
          <w:szCs w:val="20"/>
          <w:color w:val="auto"/>
        </w:rPr>
      </w:pPr>
      <w:r>
        <w:rPr>
          <w:rFonts w:ascii="Arial" w:cs="Arial" w:eastAsia="Arial" w:hAnsi="Arial"/>
          <w:sz w:val="20"/>
          <w:szCs w:val="20"/>
          <w:color w:val="auto"/>
        </w:rPr>
        <w:t>the surviving entity or (b) Parent ceases to own 100% of the Equity Interests of any Subsidiary. Notwithstanding the foregoing, the merger of any Borrower into any other Borrower shall not constitute a Change in Control.</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“Closing Date” means the date of this Agreement.</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“Code” means the Internal Revenue Code of 1986, as amended.</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“Common Stock” means the common stock of the Borrower.</w:t>
      </w:r>
    </w:p>
    <w:p>
      <w:pPr>
        <w:spacing w:after="0" w:line="215" w:lineRule="exact"/>
        <w:rPr>
          <w:sz w:val="20"/>
          <w:szCs w:val="20"/>
          <w:color w:val="auto"/>
        </w:rPr>
      </w:pPr>
    </w:p>
    <w:p>
      <w:pPr>
        <w:ind w:right="40" w:firstLine="1728"/>
        <w:spacing w:after="0" w:line="271" w:lineRule="auto"/>
        <w:rPr>
          <w:sz w:val="20"/>
          <w:szCs w:val="20"/>
          <w:color w:val="auto"/>
        </w:rPr>
      </w:pPr>
      <w:r>
        <w:rPr>
          <w:rFonts w:ascii="Arial" w:cs="Arial" w:eastAsia="Arial" w:hAnsi="Arial"/>
          <w:sz w:val="18"/>
          <w:szCs w:val="18"/>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Hedging Agreement;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71" w:lineRule="exact"/>
        <w:rPr>
          <w:sz w:val="20"/>
          <w:szCs w:val="20"/>
          <w:color w:val="auto"/>
        </w:rPr>
      </w:pPr>
    </w:p>
    <w:p>
      <w:pPr>
        <w:ind w:right="320" w:firstLine="1728"/>
        <w:spacing w:after="0" w:line="286" w:lineRule="auto"/>
        <w:rPr>
          <w:sz w:val="20"/>
          <w:szCs w:val="20"/>
          <w:color w:val="auto"/>
        </w:rPr>
      </w:pPr>
      <w:r>
        <w:rPr>
          <w:rFonts w:ascii="Arial" w:cs="Arial" w:eastAsia="Arial" w:hAnsi="Arial"/>
          <w:sz w:val="19"/>
          <w:szCs w:val="19"/>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53" w:lineRule="exact"/>
        <w:rPr>
          <w:sz w:val="20"/>
          <w:szCs w:val="20"/>
          <w:color w:val="auto"/>
        </w:rPr>
      </w:pPr>
    </w:p>
    <w:p>
      <w:pPr>
        <w:ind w:right="120" w:firstLine="1728"/>
        <w:spacing w:after="0" w:line="260" w:lineRule="auto"/>
        <w:rPr>
          <w:sz w:val="20"/>
          <w:szCs w:val="20"/>
          <w:color w:val="auto"/>
        </w:rPr>
      </w:pPr>
      <w:r>
        <w:rPr>
          <w:rFonts w:ascii="Arial" w:cs="Arial" w:eastAsia="Arial" w:hAnsi="Arial"/>
          <w:sz w:val="20"/>
          <w:szCs w:val="20"/>
          <w:color w:val="auto"/>
        </w:rPr>
        <w:t>“Copyrights” means all copyrights, whether registered or unregistered, held pursuant to the laws of the United States of America, any State thereof, or of any other country.</w:t>
      </w:r>
    </w:p>
    <w:p>
      <w:pPr>
        <w:spacing w:after="0" w:line="176" w:lineRule="exact"/>
        <w:rPr>
          <w:sz w:val="20"/>
          <w:szCs w:val="20"/>
          <w:color w:val="auto"/>
        </w:rPr>
      </w:pPr>
    </w:p>
    <w:p>
      <w:pPr>
        <w:ind w:right="500" w:firstLine="1728"/>
        <w:spacing w:after="0" w:line="260" w:lineRule="auto"/>
        <w:rPr>
          <w:sz w:val="20"/>
          <w:szCs w:val="20"/>
          <w:color w:val="auto"/>
        </w:rPr>
      </w:pPr>
      <w:r>
        <w:rPr>
          <w:rFonts w:ascii="Arial" w:cs="Arial" w:eastAsia="Arial" w:hAnsi="Arial"/>
          <w:sz w:val="20"/>
          <w:szCs w:val="20"/>
          <w:color w:val="auto"/>
        </w:rPr>
        <w:t>“Deposit Accounts” means any “deposit accounts,” as such term is defined in the UCC, and includes any checking account, savings account, or certificate of deposit.</w:t>
      </w:r>
    </w:p>
    <w:p>
      <w:pPr>
        <w:spacing w:after="0" w:line="176" w:lineRule="exact"/>
        <w:rPr>
          <w:sz w:val="20"/>
          <w:szCs w:val="20"/>
          <w:color w:val="auto"/>
        </w:rPr>
      </w:pPr>
    </w:p>
    <w:p>
      <w:pPr>
        <w:ind w:right="540" w:firstLine="1728"/>
        <w:spacing w:after="0" w:line="260" w:lineRule="auto"/>
        <w:rPr>
          <w:sz w:val="20"/>
          <w:szCs w:val="20"/>
          <w:color w:val="auto"/>
        </w:rPr>
      </w:pPr>
      <w:r>
        <w:rPr>
          <w:rFonts w:ascii="Arial" w:cs="Arial" w:eastAsia="Arial" w:hAnsi="Arial"/>
          <w:sz w:val="20"/>
          <w:szCs w:val="20"/>
          <w:color w:val="auto"/>
        </w:rPr>
        <w:t>“Domestic Subsidiary” means any Subsidiary organized under the laws of the United States of America, any State thereof, the District of Columbia, or any other jurisdiction within the United States of America.</w:t>
      </w:r>
    </w:p>
    <w:p>
      <w:pPr>
        <w:spacing w:after="0" w:line="176" w:lineRule="exact"/>
        <w:rPr>
          <w:sz w:val="20"/>
          <w:szCs w:val="20"/>
          <w:color w:val="auto"/>
        </w:rPr>
      </w:pPr>
    </w:p>
    <w:p>
      <w:pPr>
        <w:ind w:right="320" w:firstLine="1728"/>
        <w:spacing w:after="0" w:line="260" w:lineRule="auto"/>
        <w:rPr>
          <w:sz w:val="20"/>
          <w:szCs w:val="20"/>
          <w:color w:val="auto"/>
        </w:rPr>
      </w:pPr>
      <w:r>
        <w:rPr>
          <w:rFonts w:ascii="Arial" w:cs="Arial" w:eastAsia="Arial" w:hAnsi="Arial"/>
          <w:sz w:val="20"/>
          <w:szCs w:val="20"/>
          <w:color w:val="auto"/>
        </w:rPr>
        <w:t>“Due Diligence Fee” means $25,000, which fee has been paid to the Lenders prior to the Closing Date, and shall be deemed fully earned on such date regardless of the early termination of this Agreement.</w:t>
      </w:r>
    </w:p>
    <w:p>
      <w:pPr>
        <w:spacing w:after="0" w:line="176" w:lineRule="exact"/>
        <w:rPr>
          <w:sz w:val="20"/>
          <w:szCs w:val="20"/>
          <w:color w:val="auto"/>
        </w:rPr>
      </w:pPr>
    </w:p>
    <w:p>
      <w:pPr>
        <w:ind w:firstLine="1728"/>
        <w:spacing w:after="0" w:line="260" w:lineRule="auto"/>
        <w:rPr>
          <w:sz w:val="20"/>
          <w:szCs w:val="20"/>
          <w:color w:val="auto"/>
        </w:rPr>
      </w:pPr>
      <w:r>
        <w:rPr>
          <w:rFonts w:ascii="Arial" w:cs="Arial" w:eastAsia="Arial" w:hAnsi="Arial"/>
          <w:sz w:val="20"/>
          <w:szCs w:val="20"/>
          <w:color w:val="auto"/>
        </w:rPr>
        <w:t>“Equity Interests” means, with respect to any Person, the capital stock, partnership or limited liability company interest, or other equity securities or equity ownership interests of such Person.</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“ERISA” means the Employee Retirement Income Security Act of 1974, as amended, and the regulations promulgated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19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“Excluded Subsidiary” means (x) Syndax UK and (y) the MSC Subsidiary.</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“FDA” means the United States Food and Drug Administration, or any successor thereto.</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66" w:name="page67"/>
    <w:bookmarkEnd w:id="66"/>
    <w:p>
      <w:pPr>
        <w:ind w:firstLine="1728"/>
        <w:spacing w:after="0" w:line="311" w:lineRule="auto"/>
        <w:rPr>
          <w:sz w:val="20"/>
          <w:szCs w:val="20"/>
          <w:color w:val="auto"/>
        </w:rPr>
      </w:pPr>
      <w:r>
        <w:rPr>
          <w:rFonts w:ascii="Arial" w:cs="Arial" w:eastAsia="Arial" w:hAnsi="Arial"/>
          <w:sz w:val="16"/>
          <w:szCs w:val="16"/>
          <w:color w:val="auto"/>
        </w:rPr>
        <w:t>“Excluded Accounts” means (i) any Deposit Account that is used solely as a payroll account for the employees of Borrower or any of its Subsidiaries or the funds in which consist solely of funds held in trust for any director, officer or employee of such Borrower or Subsidiary or any employee benefit plan maintained by such Borrower or Subsidiary or funds representing deferred compensation for the directors and employees of such Borrower or Subsidiary, collectively not to exceed 150% of the amount to be paid in the ordinary course of business in the then-next payroll cycle (ii) escrow accounts, Deposit Accounts and trust accounts, in each case holding assets that are pledged or otherwise encumbered as set forth on Schedule 1C or pursuant to Section 7.5 and the definition of Permitted Liens (but only to the extent required to be excluded pursuant to the underlying documents entered into in connection with such Permitted Liens in the ordinary course of business) and (iii) foreign accounts held by Borrower not to exceed $100,000 in the aggregate at any time.</w:t>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“Foreign Subsidiary” means any Subsidiary other than a Domestic Subsidiary.</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“GAAP” means generally accepted accounting principles in the United States of America, as in effect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19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“Guaranty” means a guaranty in a form reasonably acceptable to Agent.</w:t>
      </w:r>
    </w:p>
    <w:p>
      <w:pPr>
        <w:spacing w:after="0" w:line="215" w:lineRule="exact"/>
        <w:rPr>
          <w:sz w:val="20"/>
          <w:szCs w:val="20"/>
          <w:color w:val="auto"/>
        </w:rPr>
      </w:pPr>
    </w:p>
    <w:p>
      <w:pPr>
        <w:ind w:right="360" w:firstLine="1728"/>
        <w:spacing w:after="0" w:line="249" w:lineRule="auto"/>
        <w:rPr>
          <w:sz w:val="20"/>
          <w:szCs w:val="20"/>
          <w:color w:val="auto"/>
        </w:rPr>
      </w:pPr>
      <w:r>
        <w:rPr>
          <w:rFonts w:ascii="Arial" w:cs="Arial" w:eastAsia="Arial" w:hAnsi="Arial"/>
          <w:sz w:val="20"/>
          <w:szCs w:val="20"/>
          <w:color w:val="auto"/>
        </w:rPr>
        <w:t>“Hedging Agreement” means any interest rate, currency or commodity swap agreement, interest rate cap agreement, interest rate collar agreement, or other agreement or arrangement designated to protect Borrower or its Subsidiaries against fluctuation in interest rates, currency exchange rates or commodity price.</w:t>
      </w:r>
    </w:p>
    <w:p>
      <w:pPr>
        <w:spacing w:after="0" w:line="188" w:lineRule="exact"/>
        <w:rPr>
          <w:sz w:val="20"/>
          <w:szCs w:val="20"/>
          <w:color w:val="auto"/>
        </w:rPr>
      </w:pPr>
    </w:p>
    <w:p>
      <w:pPr>
        <w:ind w:right="120" w:firstLine="1728"/>
        <w:spacing w:after="0" w:line="258" w:lineRule="auto"/>
        <w:rPr>
          <w:sz w:val="20"/>
          <w:szCs w:val="20"/>
          <w:color w:val="auto"/>
        </w:rPr>
      </w:pPr>
      <w:r>
        <w:rPr>
          <w:rFonts w:ascii="Arial" w:cs="Arial" w:eastAsia="Arial" w:hAnsi="Arial"/>
          <w:sz w:val="19"/>
          <w:szCs w:val="19"/>
          <w:color w:val="auto"/>
        </w:rPr>
        <w:t>“Indebtedness” 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deferred purchase price and similar payment obligations or continuing obligations of any nature arising out of purchase and sale contracts, and (f) all Contingent Obligations.</w:t>
      </w:r>
    </w:p>
    <w:p>
      <w:pPr>
        <w:spacing w:after="0" w:line="18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“Initial Facility Charge” means One Hundred Thousand Dollars ($100,000).</w:t>
      </w:r>
    </w:p>
    <w:p>
      <w:pPr>
        <w:spacing w:after="0" w:line="215" w:lineRule="exact"/>
        <w:rPr>
          <w:sz w:val="20"/>
          <w:szCs w:val="20"/>
          <w:color w:val="auto"/>
        </w:rPr>
      </w:pPr>
    </w:p>
    <w:p>
      <w:pPr>
        <w:ind w:right="80" w:firstLine="1728"/>
        <w:spacing w:after="0" w:line="249" w:lineRule="auto"/>
        <w:rPr>
          <w:sz w:val="20"/>
          <w:szCs w:val="20"/>
          <w:color w:val="auto"/>
        </w:rPr>
      </w:pPr>
      <w:r>
        <w:rPr>
          <w:rFonts w:ascii="Arial" w:cs="Arial" w:eastAsia="Arial" w:hAnsi="Arial"/>
          <w:sz w:val="20"/>
          <w:szCs w:val="20"/>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88" w:lineRule="exact"/>
        <w:rPr>
          <w:sz w:val="20"/>
          <w:szCs w:val="20"/>
          <w:color w:val="auto"/>
        </w:rPr>
      </w:pPr>
    </w:p>
    <w:p>
      <w:pPr>
        <w:ind w:right="20" w:firstLine="1728"/>
        <w:spacing w:after="0" w:line="246" w:lineRule="auto"/>
        <w:rPr>
          <w:sz w:val="20"/>
          <w:szCs w:val="20"/>
          <w:color w:val="auto"/>
        </w:rPr>
      </w:pPr>
      <w:r>
        <w:rPr>
          <w:rFonts w:ascii="Arial" w:cs="Arial" w:eastAsia="Arial" w:hAnsi="Arial"/>
          <w:sz w:val="20"/>
          <w:szCs w:val="20"/>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90" w:lineRule="exact"/>
        <w:rPr>
          <w:sz w:val="20"/>
          <w:szCs w:val="20"/>
          <w:color w:val="auto"/>
        </w:rPr>
      </w:pPr>
    </w:p>
    <w:p>
      <w:pPr>
        <w:ind w:right="100" w:firstLine="1728"/>
        <w:spacing w:after="0" w:line="249" w:lineRule="auto"/>
        <w:rPr>
          <w:sz w:val="20"/>
          <w:szCs w:val="20"/>
          <w:color w:val="auto"/>
        </w:rPr>
      </w:pPr>
      <w:r>
        <w:rPr>
          <w:rFonts w:ascii="Arial" w:cs="Arial" w:eastAsia="Arial" w:hAnsi="Arial"/>
          <w:sz w:val="20"/>
          <w:szCs w:val="20"/>
          <w:color w:val="auto"/>
        </w:rPr>
        <w:t>“Interest Only Extension Conditions” shall mean satisfaction of each of the following events: (a) no default or Event of Default shall have occurred and be continuing; and (b) on or before October 1, 2021, Borrower achieves Performance Milestone I, subject to verification by Agent (including supporting documentation requested by Agent).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67" w:name="page68"/>
    <w:bookmarkEnd w:id="67"/>
    <w:p>
      <w:pPr>
        <w:jc w:val="both"/>
        <w:ind w:right="100" w:firstLine="1728"/>
        <w:spacing w:after="0" w:line="249" w:lineRule="auto"/>
        <w:rPr>
          <w:sz w:val="20"/>
          <w:szCs w:val="20"/>
          <w:color w:val="auto"/>
        </w:rPr>
      </w:pPr>
      <w:r>
        <w:rPr>
          <w:rFonts w:ascii="Arial" w:cs="Arial" w:eastAsia="Arial" w:hAnsi="Arial"/>
          <w:sz w:val="20"/>
          <w:szCs w:val="20"/>
          <w:color w:val="auto"/>
        </w:rPr>
        <w:t>“Investment” means any beneficial ownership (including stock, partnership, limited liability company interests, or other securities) of or in any Person or any loan, advance or capital contribution to any Person or the acquisition of all, or substantially all, assets of another Person.</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“IRS” means the United States Internal Revenue Service.</w:t>
      </w:r>
    </w:p>
    <w:p>
      <w:pPr>
        <w:spacing w:after="0" w:line="215" w:lineRule="exact"/>
        <w:rPr>
          <w:sz w:val="20"/>
          <w:szCs w:val="20"/>
          <w:color w:val="auto"/>
        </w:rPr>
      </w:pPr>
    </w:p>
    <w:p>
      <w:pPr>
        <w:ind w:right="20" w:firstLine="1728"/>
        <w:spacing w:after="0" w:line="260" w:lineRule="auto"/>
        <w:rPr>
          <w:sz w:val="20"/>
          <w:szCs w:val="20"/>
          <w:color w:val="auto"/>
        </w:rPr>
      </w:pPr>
      <w:r>
        <w:rPr>
          <w:rFonts w:ascii="Arial" w:cs="Arial" w:eastAsia="Arial" w:hAnsi="Arial"/>
          <w:sz w:val="20"/>
          <w:szCs w:val="20"/>
          <w:color w:val="auto"/>
        </w:rPr>
        <w:t>“Joinder Agreements” means for each Subsidiary, a completed and executed Joinder Agreement in substantially the form attached hereto as Exhibit F.</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“License” means any Copyright License, Patent License, Trademark License or other license of rights or interests.</w:t>
      </w:r>
    </w:p>
    <w:p>
      <w:pPr>
        <w:spacing w:after="0" w:line="238" w:lineRule="exact"/>
        <w:rPr>
          <w:sz w:val="20"/>
          <w:szCs w:val="20"/>
          <w:color w:val="auto"/>
        </w:rPr>
      </w:pPr>
    </w:p>
    <w:p>
      <w:pPr>
        <w:ind w:right="200" w:firstLine="1728"/>
        <w:spacing w:after="0" w:line="269" w:lineRule="auto"/>
        <w:rPr>
          <w:sz w:val="20"/>
          <w:szCs w:val="20"/>
          <w:color w:val="auto"/>
        </w:rPr>
      </w:pPr>
      <w:r>
        <w:rPr>
          <w:rFonts w:ascii="Arial" w:cs="Arial" w:eastAsia="Arial" w:hAnsi="Arial"/>
          <w:sz w:val="19"/>
          <w:szCs w:val="19"/>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“Loan” means the Advances made under this Agreement.</w:t>
      </w:r>
    </w:p>
    <w:p>
      <w:pPr>
        <w:spacing w:after="0" w:line="215"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0"/>
          <w:szCs w:val="20"/>
          <w:color w:val="auto"/>
        </w:rPr>
        <w:t>“Loan Documents” means this Agreement, the promissory notes (if any), the ACH Authorization, the Account Control Agreements, the Joinder Agreements, all UCC Financing Statements, the Pledge Agreement, and any other documents executed in connection with the Secured Obligations or the transactions contemplated hereby, as the same may from time to time be amended, modified, supplemented or restated.</w:t>
      </w:r>
    </w:p>
    <w:p>
      <w:pPr>
        <w:spacing w:after="0" w:line="190" w:lineRule="exact"/>
        <w:rPr>
          <w:sz w:val="20"/>
          <w:szCs w:val="20"/>
          <w:color w:val="auto"/>
        </w:rPr>
      </w:pPr>
    </w:p>
    <w:p>
      <w:pPr>
        <w:ind w:firstLine="1728"/>
        <w:spacing w:after="0" w:line="263" w:lineRule="auto"/>
        <w:rPr>
          <w:sz w:val="20"/>
          <w:szCs w:val="20"/>
          <w:color w:val="auto"/>
        </w:rPr>
      </w:pPr>
      <w:r>
        <w:rPr>
          <w:rFonts w:ascii="Arial" w:cs="Arial" w:eastAsia="Arial" w:hAnsi="Arial"/>
          <w:sz w:val="19"/>
          <w:szCs w:val="19"/>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“Maximum Term Loan Amount” means Thirty Million and No/100 Dollars ($30,000,000.00).</w:t>
      </w:r>
    </w:p>
    <w:p>
      <w:pPr>
        <w:spacing w:after="0" w:line="215" w:lineRule="exact"/>
        <w:rPr>
          <w:sz w:val="20"/>
          <w:szCs w:val="20"/>
          <w:color w:val="auto"/>
        </w:rPr>
      </w:pPr>
    </w:p>
    <w:p>
      <w:pPr>
        <w:ind w:right="20" w:firstLine="1728"/>
        <w:spacing w:after="0" w:line="244" w:lineRule="auto"/>
        <w:rPr>
          <w:sz w:val="20"/>
          <w:szCs w:val="20"/>
          <w:color w:val="auto"/>
        </w:rPr>
      </w:pPr>
      <w:r>
        <w:rPr>
          <w:rFonts w:ascii="Arial" w:cs="Arial" w:eastAsia="Arial" w:hAnsi="Arial"/>
          <w:sz w:val="20"/>
          <w:szCs w:val="20"/>
          <w:color w:val="auto"/>
        </w:rPr>
        <w:t>“MSC Investment Conditions” means that Borrower maintains Qualified Cash in an amount equal to or greater than the lesser of (i) 110% of the aggregate outstanding Secured Obligations (inclusive of any Prepayment Charge and End of Term Charge that would be due and owing if the outstanding Loans were prepaid at the time of measurement) or (ii) 100% of the consolidated Cash of Borrower and its Subsidiaries unless compliance with the foregoing conditions are waived in writing from time to time by Agent with respect to specified periods, in Agent’s sole discretion.</w:t>
      </w:r>
    </w:p>
    <w:p>
      <w:pPr>
        <w:spacing w:after="0" w:line="193" w:lineRule="exact"/>
        <w:rPr>
          <w:sz w:val="20"/>
          <w:szCs w:val="20"/>
          <w:color w:val="auto"/>
        </w:rPr>
      </w:pPr>
    </w:p>
    <w:p>
      <w:pPr>
        <w:ind w:right="40" w:firstLine="1728"/>
        <w:spacing w:after="0" w:line="290" w:lineRule="auto"/>
        <w:rPr>
          <w:sz w:val="20"/>
          <w:szCs w:val="20"/>
          <w:color w:val="auto"/>
        </w:rPr>
      </w:pPr>
      <w:r>
        <w:rPr>
          <w:rFonts w:ascii="Arial" w:cs="Arial" w:eastAsia="Arial" w:hAnsi="Arial"/>
          <w:sz w:val="18"/>
          <w:szCs w:val="18"/>
          <w:color w:val="auto"/>
        </w:rPr>
        <w:t>“MSC Subsidiary” means Syndax Securities Corporation, a wholly-owned Subsidiary incorporated in the Commonwealth of Massachusetts for the purpose of holding Investments as a Massachusetts security corporation under 830 CMR 63.38B.1 of the Massachusetts tax code and applicable regulations (as the same may be amended, modified or replaced from time to time).</w:t>
      </w:r>
    </w:p>
    <w:p>
      <w:pPr>
        <w:spacing w:after="0" w:line="15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“NDA” means a new drug application, submitted to the FDA pursuant to 21 U.S.C. §355 for authorization to market a</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new drug.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68" w:name="page69"/>
    <w:bookmarkEnd w:id="68"/>
    <w:p>
      <w:pPr>
        <w:ind w:right="280" w:firstLine="1728"/>
        <w:spacing w:after="0" w:line="260" w:lineRule="auto"/>
        <w:rPr>
          <w:sz w:val="20"/>
          <w:szCs w:val="20"/>
          <w:color w:val="auto"/>
        </w:rPr>
      </w:pPr>
      <w:r>
        <w:rPr>
          <w:rFonts w:ascii="Arial" w:cs="Arial" w:eastAsia="Arial" w:hAnsi="Arial"/>
          <w:sz w:val="20"/>
          <w:szCs w:val="20"/>
          <w:color w:val="auto"/>
        </w:rPr>
        <w:t>“Non-Disclosure Agreement” means that certain Non-Disclosure Agreement by and between Syndax Pharmaceuticals and Hercules Capital dated as of November 27, 2018.</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“OFAC” is the U.S. Department of Treasury Office of Foreign Assets Control.</w:t>
      </w:r>
    </w:p>
    <w:p>
      <w:pPr>
        <w:spacing w:after="0" w:line="215" w:lineRule="exact"/>
        <w:rPr>
          <w:sz w:val="20"/>
          <w:szCs w:val="20"/>
          <w:color w:val="auto"/>
        </w:rPr>
      </w:pPr>
    </w:p>
    <w:p>
      <w:pPr>
        <w:jc w:val="both"/>
        <w:ind w:right="540" w:firstLine="1728"/>
        <w:spacing w:after="0" w:line="342" w:lineRule="auto"/>
        <w:rPr>
          <w:sz w:val="20"/>
          <w:szCs w:val="20"/>
          <w:color w:val="auto"/>
        </w:rPr>
      </w:pPr>
      <w:r>
        <w:rPr>
          <w:rFonts w:ascii="Arial" w:cs="Arial" w:eastAsia="Arial" w:hAnsi="Arial"/>
          <w:sz w:val="16"/>
          <w:szCs w:val="16"/>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17" w:lineRule="exact"/>
        <w:rPr>
          <w:sz w:val="20"/>
          <w:szCs w:val="20"/>
          <w:color w:val="auto"/>
        </w:rPr>
      </w:pPr>
    </w:p>
    <w:p>
      <w:pPr>
        <w:ind w:right="280" w:firstLine="1728"/>
        <w:spacing w:after="0" w:line="315" w:lineRule="auto"/>
        <w:rPr>
          <w:sz w:val="20"/>
          <w:szCs w:val="20"/>
          <w:color w:val="auto"/>
        </w:rPr>
      </w:pPr>
      <w:r>
        <w:rPr>
          <w:rFonts w:ascii="Arial" w:cs="Arial" w:eastAsia="Arial" w:hAnsi="Arial"/>
          <w:sz w:val="18"/>
          <w:szCs w:val="18"/>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31" w:lineRule="exact"/>
        <w:rPr>
          <w:sz w:val="20"/>
          <w:szCs w:val="20"/>
          <w:color w:val="auto"/>
        </w:rPr>
      </w:pPr>
    </w:p>
    <w:p>
      <w:pPr>
        <w:ind w:right="40" w:firstLine="1728"/>
        <w:spacing w:after="0" w:line="249" w:lineRule="auto"/>
        <w:rPr>
          <w:sz w:val="20"/>
          <w:szCs w:val="20"/>
          <w:color w:val="auto"/>
        </w:rPr>
      </w:pPr>
      <w:r>
        <w:rPr>
          <w:rFonts w:ascii="Arial" w:cs="Arial" w:eastAsia="Arial" w:hAnsi="Arial"/>
          <w:sz w:val="20"/>
          <w:szCs w:val="20"/>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“Performance Milestone I” means satisfaction of each of the following events:</w:t>
      </w:r>
    </w:p>
    <w:p>
      <w:pPr>
        <w:spacing w:after="0" w:line="215" w:lineRule="exact"/>
        <w:rPr>
          <w:sz w:val="20"/>
          <w:szCs w:val="20"/>
          <w:color w:val="auto"/>
        </w:rPr>
      </w:pPr>
    </w:p>
    <w:p>
      <w:pPr>
        <w:ind w:left="2740" w:hanging="274"/>
        <w:spacing w:after="0"/>
        <w:tabs>
          <w:tab w:leader="none" w:pos="27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no Event of Default shall have occurred and be continuing; and</w:t>
      </w:r>
    </w:p>
    <w:p>
      <w:pPr>
        <w:spacing w:after="0" w:line="214" w:lineRule="exact"/>
        <w:rPr>
          <w:rFonts w:ascii="Arial" w:cs="Arial" w:eastAsia="Arial" w:hAnsi="Arial"/>
          <w:sz w:val="20"/>
          <w:szCs w:val="20"/>
          <w:color w:val="auto"/>
        </w:rPr>
      </w:pPr>
    </w:p>
    <w:p>
      <w:pPr>
        <w:ind w:left="880" w:right="20" w:firstLine="1586"/>
        <w:spacing w:after="0" w:line="258" w:lineRule="auto"/>
        <w:tabs>
          <w:tab w:leader="none" w:pos="2754"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Phase 3 clinical trial of entinostat (E2112) in patients with breast cancer, ClinicalTrials.gov Identifier NCT02115282 (i) has achieved the protocol-specified primary efficacy endpoint of showing a statistically significant improvement in overall survival with an acceptable safety profile and supporting efficacy data (i.e., progression free survival and objective response rate are not statistically significantly worse in the combination arm), such that the totality of safety and efficacy data are sufficient to file an NDA as the next immediate step in clinical development, in each case subject to verification by Agent (including supporting documentation reasonably requested by Agent).</w:t>
      </w:r>
    </w:p>
    <w:p>
      <w:pPr>
        <w:spacing w:after="0" w:line="182"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“Performance Milestone II” means satisfaction of each of the following events:</w:t>
      </w:r>
    </w:p>
    <w:p>
      <w:pPr>
        <w:spacing w:after="0" w:line="215" w:lineRule="exact"/>
        <w:rPr>
          <w:sz w:val="20"/>
          <w:szCs w:val="20"/>
          <w:color w:val="auto"/>
        </w:rPr>
      </w:pPr>
    </w:p>
    <w:p>
      <w:pPr>
        <w:ind w:left="2740" w:hanging="274"/>
        <w:spacing w:after="0"/>
        <w:tabs>
          <w:tab w:leader="none" w:pos="27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 Event of Default shall have occurred and be continuing; and</w:t>
      </w:r>
    </w:p>
    <w:p>
      <w:pPr>
        <w:spacing w:after="0" w:line="214" w:lineRule="exact"/>
        <w:rPr>
          <w:rFonts w:ascii="Arial" w:cs="Arial" w:eastAsia="Arial" w:hAnsi="Arial"/>
          <w:sz w:val="20"/>
          <w:szCs w:val="20"/>
          <w:color w:val="auto"/>
        </w:rPr>
      </w:pPr>
    </w:p>
    <w:p>
      <w:pPr>
        <w:ind w:left="880" w:right="40" w:firstLine="1586"/>
        <w:spacing w:after="0" w:line="327" w:lineRule="auto"/>
        <w:tabs>
          <w:tab w:leader="none" w:pos="27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Borrower has achieved proof of concept in its Phase 1/2 clinical study of SNDX-5613, ClinicalTrials.gov Identifier NCT04065399, that evidence regarding safety, tolerability and clinical measures of disease control in patients with MLL-r Leukemia that, within Lender’s reasonable discretion, would support the progression of SNDX-5613 into one or more Phase 2 clinical studies, in each case subject to verification by Agent (including supporting documentation reasonably requested by Agent).</w:t>
      </w:r>
    </w:p>
    <w:p>
      <w:pPr>
        <w:spacing w:after="0" w:line="130"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“Permitted Indebtedness” means: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2060"/>
              <w:spacing w:after="0"/>
              <w:rPr>
                <w:sz w:val="20"/>
                <w:szCs w:val="20"/>
                <w:color w:val="auto"/>
              </w:rPr>
            </w:pPr>
            <w:r>
              <w:rPr>
                <w:rFonts w:ascii="Arial" w:cs="Arial" w:eastAsia="Arial" w:hAnsi="Arial"/>
                <w:sz w:val="20"/>
                <w:szCs w:val="20"/>
                <w:color w:val="auto"/>
              </w:rPr>
              <w:t>(i)</w:t>
            </w:r>
          </w:p>
        </w:tc>
        <w:tc>
          <w:tcPr>
            <w:tcW w:w="7020" w:type="dxa"/>
            <w:vAlign w:val="bottom"/>
          </w:tcPr>
          <w:p>
            <w:pPr>
              <w:jc w:val="right"/>
              <w:ind w:right="738"/>
              <w:spacing w:after="0"/>
              <w:rPr>
                <w:sz w:val="20"/>
                <w:szCs w:val="20"/>
                <w:color w:val="auto"/>
              </w:rPr>
            </w:pPr>
            <w:r>
              <w:rPr>
                <w:rFonts w:ascii="Arial" w:cs="Arial" w:eastAsia="Arial" w:hAnsi="Arial"/>
                <w:sz w:val="20"/>
                <w:szCs w:val="20"/>
                <w:color w:val="auto"/>
                <w:w w:val="91"/>
              </w:rPr>
              <w:t>Indebtedness of Borrower in favor of the Lenders or Agent arising under this</w:t>
            </w:r>
          </w:p>
        </w:tc>
      </w:tr>
      <w:tr>
        <w:trPr>
          <w:trHeight w:val="250"/>
        </w:trPr>
        <w:tc>
          <w:tcPr>
            <w:tcW w:w="4240" w:type="dxa"/>
            <w:vAlign w:val="bottom"/>
          </w:tcPr>
          <w:p>
            <w:pPr>
              <w:ind w:left="880"/>
              <w:spacing w:after="0"/>
              <w:rPr>
                <w:sz w:val="20"/>
                <w:szCs w:val="20"/>
                <w:color w:val="auto"/>
              </w:rPr>
            </w:pPr>
            <w:r>
              <w:rPr>
                <w:rFonts w:ascii="Arial" w:cs="Arial" w:eastAsia="Arial" w:hAnsi="Arial"/>
                <w:sz w:val="20"/>
                <w:szCs w:val="20"/>
                <w:color w:val="auto"/>
                <w:w w:val="92"/>
              </w:rPr>
              <w:t>Agreement or any other Loan Document;</w:t>
            </w:r>
          </w:p>
        </w:tc>
        <w:tc>
          <w:tcPr>
            <w:tcW w:w="7020" w:type="dxa"/>
            <w:vAlign w:val="bottom"/>
          </w:tcPr>
          <w:p>
            <w:pPr>
              <w:spacing w:after="0"/>
              <w:rPr>
                <w:sz w:val="21"/>
                <w:szCs w:val="21"/>
                <w:color w:val="auto"/>
              </w:rPr>
            </w:pPr>
          </w:p>
        </w:tc>
      </w:tr>
      <w:tr>
        <w:trPr>
          <w:trHeight w:val="445"/>
        </w:trPr>
        <w:tc>
          <w:tcPr>
            <w:tcW w:w="4240" w:type="dxa"/>
            <w:vAlign w:val="bottom"/>
          </w:tcPr>
          <w:p>
            <w:pPr>
              <w:ind w:left="2060"/>
              <w:spacing w:after="0"/>
              <w:rPr>
                <w:sz w:val="20"/>
                <w:szCs w:val="20"/>
                <w:color w:val="auto"/>
              </w:rPr>
            </w:pPr>
            <w:r>
              <w:rPr>
                <w:rFonts w:ascii="Arial" w:cs="Arial" w:eastAsia="Arial" w:hAnsi="Arial"/>
                <w:sz w:val="20"/>
                <w:szCs w:val="20"/>
                <w:color w:val="auto"/>
              </w:rPr>
              <w:t>(ii)</w:t>
            </w:r>
          </w:p>
        </w:tc>
        <w:tc>
          <w:tcPr>
            <w:tcW w:w="7020" w:type="dxa"/>
            <w:vAlign w:val="bottom"/>
          </w:tcPr>
          <w:p>
            <w:pPr>
              <w:jc w:val="right"/>
              <w:ind w:right="658"/>
              <w:spacing w:after="0"/>
              <w:rPr>
                <w:sz w:val="20"/>
                <w:szCs w:val="20"/>
                <w:color w:val="auto"/>
              </w:rPr>
            </w:pPr>
            <w:r>
              <w:rPr>
                <w:rFonts w:ascii="Arial" w:cs="Arial" w:eastAsia="Arial" w:hAnsi="Arial"/>
                <w:sz w:val="20"/>
                <w:szCs w:val="20"/>
                <w:color w:val="auto"/>
                <w:w w:val="90"/>
              </w:rPr>
              <w:t>Indebtedness existing on the Closing Date which is disclosed in Schedule 1A;</w:t>
            </w:r>
          </w:p>
        </w:tc>
      </w:tr>
      <w:tr>
        <w:trPr>
          <w:trHeight w:val="464"/>
        </w:trPr>
        <w:tc>
          <w:tcPr>
            <w:tcW w:w="4240" w:type="dxa"/>
            <w:vAlign w:val="bottom"/>
          </w:tcPr>
          <w:p>
            <w:pPr>
              <w:spacing w:after="0"/>
              <w:rPr>
                <w:sz w:val="24"/>
                <w:szCs w:val="24"/>
                <w:color w:val="auto"/>
              </w:rPr>
            </w:pPr>
          </w:p>
        </w:tc>
        <w:tc>
          <w:tcPr>
            <w:tcW w:w="7020" w:type="dxa"/>
            <w:vAlign w:val="bottom"/>
          </w:tcPr>
          <w:p>
            <w:pPr>
              <w:jc w:val="right"/>
              <w:ind w:right="5478"/>
              <w:spacing w:after="0"/>
              <w:rPr>
                <w:sz w:val="20"/>
                <w:szCs w:val="20"/>
                <w:color w:val="auto"/>
              </w:rPr>
            </w:pPr>
            <w:r>
              <w:rPr>
                <w:rFonts w:ascii="Arial" w:cs="Arial" w:eastAsia="Arial" w:hAnsi="Arial"/>
                <w:sz w:val="22"/>
                <w:szCs w:val="22"/>
                <w:color w:val="auto"/>
              </w:rPr>
              <w:t>6</w:t>
            </w:r>
          </w:p>
        </w:tc>
      </w:tr>
      <w:tr>
        <w:trPr>
          <w:trHeight w:val="213"/>
        </w:trPr>
        <w:tc>
          <w:tcPr>
            <w:tcW w:w="4240" w:type="dxa"/>
            <w:vAlign w:val="bottom"/>
            <w:tcBorders>
              <w:bottom w:val="single" w:sz="8" w:color="9A9A9A"/>
            </w:tcBorders>
          </w:tcPr>
          <w:p>
            <w:pPr>
              <w:spacing w:after="0"/>
              <w:rPr>
                <w:sz w:val="18"/>
                <w:szCs w:val="18"/>
                <w:color w:val="auto"/>
              </w:rPr>
            </w:pPr>
          </w:p>
        </w:tc>
        <w:tc>
          <w:tcPr>
            <w:tcW w:w="70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54" w:right="319" w:bottom="1440" w:gutter="0" w:footer="0" w:header="0"/>
        </w:sectPr>
      </w:pPr>
    </w:p>
    <w:bookmarkStart w:id="69" w:name="page70"/>
    <w:bookmarkEnd w:id="69"/>
    <w:p>
      <w:pPr>
        <w:ind w:firstLine="1197"/>
        <w:spacing w:after="0" w:line="249" w:lineRule="auto"/>
        <w:rPr>
          <w:sz w:val="20"/>
          <w:szCs w:val="20"/>
          <w:color w:val="auto"/>
        </w:rPr>
      </w:pPr>
      <w:r>
        <w:rPr>
          <w:rFonts w:ascii="Arial" w:cs="Arial" w:eastAsia="Arial" w:hAnsi="Arial"/>
          <w:sz w:val="20"/>
          <w:szCs w:val="20"/>
          <w:color w:val="auto"/>
        </w:rPr>
        <w:t>(iii) Indebtedness of up to $500,000 outstanding at any time secured by a Lien described in clause (vii) of the defined term “Permitted Liens,” provided such Indebtedness does not exceed the cost of the Equipment financed with such Indebtedness;</w:t>
      </w:r>
    </w:p>
    <w:p>
      <w:pPr>
        <w:spacing w:after="0" w:line="188" w:lineRule="exact"/>
        <w:rPr>
          <w:sz w:val="20"/>
          <w:szCs w:val="20"/>
          <w:color w:val="auto"/>
        </w:rPr>
      </w:pPr>
    </w:p>
    <w:p>
      <w:pPr>
        <w:ind w:right="20" w:firstLine="1197"/>
        <w:spacing w:after="0" w:line="249" w:lineRule="auto"/>
        <w:rPr>
          <w:sz w:val="20"/>
          <w:szCs w:val="20"/>
          <w:color w:val="auto"/>
        </w:rPr>
      </w:pPr>
      <w:r>
        <w:rPr>
          <w:rFonts w:ascii="Arial" w:cs="Arial" w:eastAsia="Arial" w:hAnsi="Arial"/>
          <w:sz w:val="20"/>
          <w:szCs w:val="20"/>
          <w:color w:val="auto"/>
        </w:rPr>
        <w:t>(iv) Indebtedness to trade creditors incurred in the ordinary course of business and Indebtedness incurred in the ordinary course of business with corporate credit cards, merchant cards, purchase cards, debit cards and other similar instruments in an amount not to exceed $600,000 at any time outstanding;</w:t>
      </w:r>
    </w:p>
    <w:p>
      <w:pPr>
        <w:sectPr>
          <w:pgSz w:w="11900" w:h="16838" w:orient="portrait"/>
          <w:cols w:equalWidth="0" w:num="1">
            <w:col w:w="10360"/>
          </w:cols>
          <w:pgMar w:left="1200" w:top="554" w:right="339" w:bottom="1440" w:gutter="0" w:footer="0" w:header="0"/>
        </w:sectPr>
      </w:pP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320"/>
        <w:spacing w:after="0"/>
        <w:rPr>
          <w:sz w:val="20"/>
          <w:szCs w:val="20"/>
          <w:color w:val="auto"/>
        </w:rPr>
      </w:pPr>
      <w:r>
        <w:rPr>
          <w:rFonts w:ascii="Arial" w:cs="Arial" w:eastAsia="Arial" w:hAnsi="Arial"/>
          <w:sz w:val="16"/>
          <w:szCs w:val="16"/>
          <w:color w:val="auto"/>
        </w:rPr>
        <w:t>Indebtedness that also constitutes a Permitted Investment;</w:t>
      </w:r>
    </w:p>
    <w:p>
      <w:pPr>
        <w:spacing w:after="0" w:line="245" w:lineRule="exact"/>
        <w:rPr>
          <w:sz w:val="20"/>
          <w:szCs w:val="20"/>
          <w:color w:val="auto"/>
        </w:rPr>
      </w:pPr>
    </w:p>
    <w:p>
      <w:pPr>
        <w:sectPr>
          <w:pgSz w:w="11900" w:h="16838" w:orient="portrait"/>
          <w:cols w:equalWidth="0" w:num="2">
            <w:col w:w="2800" w:space="720"/>
            <w:col w:w="6840"/>
          </w:cols>
          <w:pgMar w:left="1200" w:top="554" w:right="339" w:bottom="1440" w:gutter="0" w:footer="0" w:header="0"/>
          <w:type w:val="continuous"/>
        </w:sectPr>
      </w:pPr>
    </w:p>
    <w:p>
      <w:pPr>
        <w:spacing w:after="0" w:line="1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Subordinated Indebtedness;</w:t>
      </w:r>
    </w:p>
    <w:p>
      <w:pPr>
        <w:spacing w:after="0" w:line="245" w:lineRule="exact"/>
        <w:rPr>
          <w:sz w:val="20"/>
          <w:szCs w:val="20"/>
          <w:color w:val="auto"/>
        </w:rPr>
      </w:pPr>
    </w:p>
    <w:p>
      <w:pPr>
        <w:sectPr>
          <w:pgSz w:w="11900" w:h="16838" w:orient="portrait"/>
          <w:cols w:equalWidth="0" w:num="2">
            <w:col w:w="2860" w:space="720"/>
            <w:col w:w="6780"/>
          </w:cols>
          <w:pgMar w:left="1200" w:top="554" w:right="339" w:bottom="1440" w:gutter="0" w:footer="0" w:header="0"/>
          <w:type w:val="continuous"/>
        </w:sectPr>
      </w:pPr>
    </w:p>
    <w:p>
      <w:pPr>
        <w:spacing w:after="0" w:line="15" w:lineRule="exact"/>
        <w:rPr>
          <w:sz w:val="20"/>
          <w:szCs w:val="20"/>
          <w:color w:val="auto"/>
        </w:rPr>
      </w:pPr>
    </w:p>
    <w:p>
      <w:pPr>
        <w:ind w:left="1180"/>
        <w:spacing w:after="0"/>
        <w:tabs>
          <w:tab w:leader="none" w:pos="362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color w:val="auto"/>
        </w:rPr>
        <w:t>reimbursement obligations in connection with letters of credit, including those</w:t>
      </w:r>
    </w:p>
    <w:p>
      <w:pPr>
        <w:sectPr>
          <w:pgSz w:w="11900" w:h="16838" w:orient="portrait"/>
          <w:cols w:equalWidth="0" w:num="1">
            <w:col w:w="10360"/>
          </w:cols>
          <w:pgMar w:left="1200" w:top="554" w:right="339" w:bottom="1440" w:gutter="0" w:footer="0" w:header="0"/>
          <w:type w:val="continuous"/>
        </w:sectPr>
      </w:pPr>
    </w:p>
    <w:p>
      <w:pPr>
        <w:spacing w:after="0" w:line="43"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provided for the benefit of a landlord in connection with real property leases for office spaces in the ordinary course of business, that are secured by Cash and issued on behalf of the Borrower or a Subsidiary thereof in an amount not to exceed $500,000 at any time outstanding,</w:t>
      </w:r>
    </w:p>
    <w:p>
      <w:pPr>
        <w:sectPr>
          <w:pgSz w:w="11900" w:h="16838" w:orient="portrait"/>
          <w:cols w:equalWidth="0" w:num="1">
            <w:col w:w="10360"/>
          </w:cols>
          <w:pgMar w:left="1200" w:top="554" w:right="339" w:bottom="1440" w:gutter="0" w:footer="0" w:header="0"/>
          <w:type w:val="continuous"/>
        </w:sectPr>
      </w:pPr>
    </w:p>
    <w:p>
      <w:pPr>
        <w:spacing w:after="0" w:line="19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other unsecured Indebtedness in an amount not to exceed $250,000 at any time</w:t>
      </w:r>
    </w:p>
    <w:p>
      <w:pPr>
        <w:spacing w:after="0" w:line="64" w:lineRule="exact"/>
        <w:rPr>
          <w:sz w:val="20"/>
          <w:szCs w:val="20"/>
          <w:color w:val="auto"/>
        </w:rPr>
      </w:pPr>
    </w:p>
    <w:p>
      <w:pPr>
        <w:sectPr>
          <w:pgSz w:w="11900" w:h="16838" w:orient="portrait"/>
          <w:cols w:equalWidth="0" w:num="2">
            <w:col w:w="2960" w:space="720"/>
            <w:col w:w="6680"/>
          </w:cols>
          <w:pgMar w:left="1200" w:top="554" w:right="339" w:bottom="1440" w:gutter="0" w:footer="0" w:header="0"/>
          <w:type w:val="continuous"/>
        </w:sectPr>
      </w:pPr>
    </w:p>
    <w:p>
      <w:pPr>
        <w:spacing w:after="0"/>
        <w:rPr>
          <w:sz w:val="20"/>
          <w:szCs w:val="20"/>
          <w:color w:val="auto"/>
        </w:rPr>
      </w:pPr>
      <w:r>
        <w:rPr>
          <w:rFonts w:ascii="Arial" w:cs="Arial" w:eastAsia="Arial" w:hAnsi="Arial"/>
          <w:sz w:val="20"/>
          <w:szCs w:val="20"/>
          <w:color w:val="auto"/>
        </w:rPr>
        <w:t>outstanding,</w:t>
      </w:r>
    </w:p>
    <w:p>
      <w:pPr>
        <w:spacing w:after="0" w:line="195" w:lineRule="exact"/>
        <w:rPr>
          <w:sz w:val="20"/>
          <w:szCs w:val="20"/>
          <w:color w:val="auto"/>
        </w:rPr>
      </w:pPr>
    </w:p>
    <w:p>
      <w:pPr>
        <w:ind w:left="1180"/>
        <w:spacing w:after="0"/>
        <w:tabs>
          <w:tab w:leader="none" w:pos="3560" w:val="left"/>
        </w:tabs>
        <w:rPr>
          <w:sz w:val="20"/>
          <w:szCs w:val="20"/>
          <w:color w:val="auto"/>
        </w:rPr>
      </w:pPr>
      <w:r>
        <w:rPr>
          <w:rFonts w:ascii="Arial" w:cs="Arial" w:eastAsia="Arial" w:hAnsi="Arial"/>
          <w:sz w:val="16"/>
          <w:szCs w:val="16"/>
          <w:color w:val="auto"/>
        </w:rPr>
        <w:t>(ix)</w:t>
      </w:r>
      <w:r>
        <w:rPr>
          <w:sz w:val="20"/>
          <w:szCs w:val="20"/>
          <w:color w:val="auto"/>
        </w:rPr>
        <w:tab/>
      </w:r>
      <w:r>
        <w:rPr>
          <w:rFonts w:ascii="Arial" w:cs="Arial" w:eastAsia="Arial" w:hAnsi="Arial"/>
          <w:sz w:val="16"/>
          <w:szCs w:val="16"/>
          <w:color w:val="auto"/>
        </w:rPr>
        <w:t>intercompany Indebtedness as long as either (A) each of the Subsidiary obligor and</w:t>
      </w:r>
    </w:p>
    <w:p>
      <w:pPr>
        <w:sectPr>
          <w:pgSz w:w="11900" w:h="16838" w:orient="portrait"/>
          <w:cols w:equalWidth="0" w:num="1">
            <w:col w:w="10360"/>
          </w:cols>
          <w:pgMar w:left="1200" w:top="554" w:right="339" w:bottom="1440" w:gutter="0" w:footer="0" w:header="0"/>
          <w:type w:val="continuous"/>
        </w:sectPr>
      </w:pPr>
    </w:p>
    <w:p>
      <w:pPr>
        <w:spacing w:after="0" w:line="66" w:lineRule="exact"/>
        <w:rPr>
          <w:sz w:val="20"/>
          <w:szCs w:val="20"/>
          <w:color w:val="auto"/>
        </w:rPr>
      </w:pPr>
    </w:p>
    <w:p>
      <w:pPr>
        <w:ind w:right="280"/>
        <w:spacing w:after="0" w:line="239" w:lineRule="auto"/>
        <w:rPr>
          <w:sz w:val="20"/>
          <w:szCs w:val="20"/>
          <w:color w:val="auto"/>
        </w:rPr>
      </w:pPr>
      <w:r>
        <w:rPr>
          <w:rFonts w:ascii="Arial" w:cs="Arial" w:eastAsia="Arial" w:hAnsi="Arial"/>
          <w:sz w:val="20"/>
          <w:szCs w:val="20"/>
          <w:color w:val="auto"/>
        </w:rPr>
        <w:t>the Subsidiary obligee under such Indebtedness is a Subsidiary that has executed a Joinder Agreement or (B) such indebtedness constituted a Permitted Investment pursuant to clause (x) of Permitted Investments;</w:t>
      </w:r>
    </w:p>
    <w:p>
      <w:pPr>
        <w:sectPr>
          <w:pgSz w:w="11900" w:h="16838" w:orient="portrait"/>
          <w:cols w:equalWidth="0" w:num="1">
            <w:col w:w="10360"/>
          </w:cols>
          <w:pgMar w:left="1200" w:top="554" w:right="339" w:bottom="1440" w:gutter="0" w:footer="0" w:header="0"/>
          <w:type w:val="continuous"/>
        </w:sectPr>
      </w:pPr>
    </w:p>
    <w:p>
      <w:pPr>
        <w:spacing w:after="0" w:line="19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(x)</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$250,000 outstanding at any time;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any Hedging Agreement in an aggregate amount not to exceed</w:t>
      </w:r>
    </w:p>
    <w:p>
      <w:pPr>
        <w:spacing w:after="0" w:line="445" w:lineRule="exact"/>
        <w:rPr>
          <w:sz w:val="20"/>
          <w:szCs w:val="20"/>
          <w:color w:val="auto"/>
        </w:rPr>
      </w:pPr>
    </w:p>
    <w:p>
      <w:pPr>
        <w:sectPr>
          <w:pgSz w:w="11900" w:h="16838" w:orient="portrait"/>
          <w:cols w:equalWidth="0" w:num="2">
            <w:col w:w="2800" w:space="720"/>
            <w:col w:w="6840"/>
          </w:cols>
          <w:pgMar w:left="1200" w:top="554" w:right="339" w:bottom="1440" w:gutter="0" w:footer="0" w:header="0"/>
          <w:type w:val="continuous"/>
        </w:sectPr>
      </w:pPr>
    </w:p>
    <w:p>
      <w:pPr>
        <w:spacing w:after="0" w:line="45" w:lineRule="exact"/>
        <w:rPr>
          <w:sz w:val="20"/>
          <w:szCs w:val="20"/>
          <w:color w:val="auto"/>
        </w:rPr>
      </w:pPr>
    </w:p>
    <w:p>
      <w:pPr>
        <w:ind w:right="220" w:firstLine="1197"/>
        <w:spacing w:after="0" w:line="260" w:lineRule="auto"/>
        <w:rPr>
          <w:sz w:val="20"/>
          <w:szCs w:val="20"/>
          <w:color w:val="auto"/>
        </w:rPr>
      </w:pPr>
      <w:r>
        <w:rPr>
          <w:rFonts w:ascii="Arial" w:cs="Arial" w:eastAsia="Arial" w:hAnsi="Arial"/>
          <w:sz w:val="20"/>
          <w:szCs w:val="20"/>
          <w:color w:val="auto"/>
        </w:rPr>
        <w:t>(xi) licenses permitted pursuant to clause (ii) of the definition of Permitted Transfers or otherwise permitted hereunder, to the extent involving the incurrence of Indebtedness;</w:t>
      </w:r>
    </w:p>
    <w:p>
      <w:pPr>
        <w:spacing w:after="0" w:line="176" w:lineRule="exact"/>
        <w:rPr>
          <w:sz w:val="20"/>
          <w:szCs w:val="20"/>
          <w:color w:val="auto"/>
        </w:rPr>
      </w:pPr>
    </w:p>
    <w:p>
      <w:pPr>
        <w:ind w:left="1180"/>
        <w:spacing w:after="0"/>
        <w:tabs>
          <w:tab w:leader="none" w:pos="3620" w:val="left"/>
        </w:tabs>
        <w:rPr>
          <w:sz w:val="20"/>
          <w:szCs w:val="20"/>
          <w:color w:val="auto"/>
        </w:rPr>
      </w:pPr>
      <w:r>
        <w:rPr>
          <w:rFonts w:ascii="Arial" w:cs="Arial" w:eastAsia="Arial" w:hAnsi="Arial"/>
          <w:sz w:val="18"/>
          <w:szCs w:val="18"/>
          <w:color w:val="auto"/>
        </w:rPr>
        <w:t>(xii)</w:t>
      </w:r>
      <w:r>
        <w:rPr>
          <w:sz w:val="20"/>
          <w:szCs w:val="20"/>
          <w:color w:val="auto"/>
        </w:rPr>
        <w:tab/>
      </w:r>
      <w:r>
        <w:rPr>
          <w:rFonts w:ascii="Arial" w:cs="Arial" w:eastAsia="Arial" w:hAnsi="Arial"/>
          <w:sz w:val="18"/>
          <w:szCs w:val="18"/>
          <w:color w:val="auto"/>
        </w:rPr>
        <w:t>extensions, refinancings and renewals of any items of Permitted Indebtedness,</w:t>
      </w:r>
    </w:p>
    <w:p>
      <w:pPr>
        <w:sectPr>
          <w:pgSz w:w="11900" w:h="16838" w:orient="portrait"/>
          <w:cols w:equalWidth="0" w:num="1">
            <w:col w:w="10360"/>
          </w:cols>
          <w:pgMar w:left="1200" w:top="554" w:right="339" w:bottom="1440" w:gutter="0" w:footer="0" w:header="0"/>
          <w:type w:val="continuous"/>
        </w:sectPr>
      </w:pPr>
    </w:p>
    <w:p>
      <w:pPr>
        <w:spacing w:after="0" w:line="43" w:lineRule="exact"/>
        <w:rPr>
          <w:sz w:val="20"/>
          <w:szCs w:val="20"/>
          <w:color w:val="auto"/>
        </w:rPr>
      </w:pPr>
    </w:p>
    <w:p>
      <w:pPr>
        <w:ind w:right="640"/>
        <w:spacing w:after="0" w:line="239" w:lineRule="auto"/>
        <w:rPr>
          <w:sz w:val="20"/>
          <w:szCs w:val="20"/>
          <w:color w:val="auto"/>
        </w:rPr>
      </w:pPr>
      <w:r>
        <w:rPr>
          <w:rFonts w:ascii="Arial" w:cs="Arial" w:eastAsia="Arial" w:hAnsi="Arial"/>
          <w:sz w:val="20"/>
          <w:szCs w:val="20"/>
          <w:color w:val="auto"/>
        </w:rPr>
        <w:t>provided that the principal amount is not increased or the terms modified to impose materially more burdensome terms upon Borrower or its Subsidiary, as the case may be; and</w:t>
      </w:r>
    </w:p>
    <w:p>
      <w:pPr>
        <w:spacing w:after="0" w:line="195" w:lineRule="exact"/>
        <w:rPr>
          <w:sz w:val="20"/>
          <w:szCs w:val="20"/>
          <w:color w:val="auto"/>
        </w:rPr>
      </w:pPr>
    </w:p>
    <w:p>
      <w:pPr>
        <w:ind w:right="160" w:firstLine="1197"/>
        <w:spacing w:after="0" w:line="246" w:lineRule="auto"/>
        <w:rPr>
          <w:sz w:val="20"/>
          <w:szCs w:val="20"/>
          <w:color w:val="auto"/>
        </w:rPr>
      </w:pPr>
      <w:r>
        <w:rPr>
          <w:rFonts w:ascii="Arial" w:cs="Arial" w:eastAsia="Arial" w:hAnsi="Arial"/>
          <w:sz w:val="20"/>
          <w:szCs w:val="20"/>
          <w:color w:val="auto"/>
        </w:rPr>
        <w:t>(xiii) without duplication to the extent constituting Indebtedness, obligations of the Borrower under each of: (a) that certain License Agreement by and between Vitae Pharmaceuticals, Inc. and Parent, dated October 17, 2017, as amended as of March 8, 2017, and (b) that certain License Agreement by and between UCB Biopharma Sprl and Parent, dated as of July 1, 2016, as amended as of January 25, 2019.</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“Permitted Investment” means:</w:t>
      </w:r>
    </w:p>
    <w:p>
      <w:pPr>
        <w:sectPr>
          <w:pgSz w:w="11900" w:h="16838" w:orient="portrait"/>
          <w:cols w:equalWidth="0" w:num="1">
            <w:col w:w="10360"/>
          </w:cols>
          <w:pgMar w:left="1200" w:top="554" w:right="339" w:bottom="1440" w:gutter="0" w:footer="0" w:header="0"/>
          <w:type w:val="continuous"/>
        </w:sectPr>
      </w:pPr>
    </w:p>
    <w:p>
      <w:pPr>
        <w:spacing w:after="0" w:line="215"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Investments existing on the Closing Date which are disclosed in Schedule 1B;</w:t>
      </w:r>
    </w:p>
    <w:p>
      <w:pPr>
        <w:spacing w:after="0" w:line="245" w:lineRule="exact"/>
        <w:rPr>
          <w:sz w:val="20"/>
          <w:szCs w:val="20"/>
          <w:color w:val="auto"/>
        </w:rPr>
      </w:pPr>
    </w:p>
    <w:p>
      <w:pPr>
        <w:sectPr>
          <w:pgSz w:w="11900" w:h="16838" w:orient="portrait"/>
          <w:cols w:equalWidth="0" w:num="2">
            <w:col w:w="2760" w:space="720"/>
            <w:col w:w="6880"/>
          </w:cols>
          <w:pgMar w:left="1200" w:top="554" w:right="339" w:bottom="1440" w:gutter="0" w:footer="0" w:header="0"/>
          <w:type w:val="continuous"/>
        </w:sectPr>
      </w:pPr>
    </w:p>
    <w:p>
      <w:pPr>
        <w:spacing w:after="0" w:line="15" w:lineRule="exact"/>
        <w:rPr>
          <w:sz w:val="20"/>
          <w:szCs w:val="20"/>
          <w:color w:val="auto"/>
        </w:rPr>
      </w:pPr>
    </w:p>
    <w:p>
      <w:pPr>
        <w:ind w:left="1180"/>
        <w:spacing w:after="0"/>
        <w:tabs>
          <w:tab w:leader="none" w:pos="350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Investments described in Borrower’s investment policy as approved by Agent in</w:t>
      </w:r>
    </w:p>
    <w:p>
      <w:pPr>
        <w:sectPr>
          <w:pgSz w:w="11900" w:h="16838" w:orient="portrait"/>
          <w:cols w:equalWidth="0" w:num="1">
            <w:col w:w="10360"/>
          </w:cols>
          <w:pgMar w:left="1200" w:top="554" w:right="339" w:bottom="1440" w:gutter="0" w:footer="0" w:header="0"/>
          <w:type w:val="continuous"/>
        </w:sectPr>
      </w:pPr>
    </w:p>
    <w:p>
      <w:pPr>
        <w:spacing w:after="0" w:line="66" w:lineRule="exact"/>
        <w:rPr>
          <w:sz w:val="20"/>
          <w:szCs w:val="20"/>
          <w:color w:val="auto"/>
        </w:rPr>
      </w:pPr>
    </w:p>
    <w:p>
      <w:pPr>
        <w:ind w:right="360"/>
        <w:spacing w:after="0" w:line="239" w:lineRule="auto"/>
        <w:rPr>
          <w:sz w:val="20"/>
          <w:szCs w:val="20"/>
          <w:color w:val="auto"/>
        </w:rPr>
      </w:pPr>
      <w:r>
        <w:rPr>
          <w:rFonts w:ascii="Arial" w:cs="Arial" w:eastAsia="Arial" w:hAnsi="Arial"/>
          <w:sz w:val="20"/>
          <w:szCs w:val="20"/>
          <w:color w:val="auto"/>
        </w:rPr>
        <w:t>writing (it being understood that the investment policy provided to Agent prior to the Closing Date shall be deemed approved in writing) from time to time;</w:t>
      </w:r>
    </w:p>
    <w:p>
      <w:pPr>
        <w:spacing w:after="0" w:line="191"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144145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54" w:right="339" w:bottom="1440" w:gutter="0" w:footer="0" w:header="0"/>
          <w:type w:val="continuous"/>
        </w:sectPr>
      </w:pPr>
    </w:p>
    <w:bookmarkStart w:id="70" w:name="page71"/>
    <w:bookmarkEnd w:id="70"/>
    <w:p>
      <w:pPr>
        <w:ind w:left="880" w:right="200" w:firstLine="1197"/>
        <w:spacing w:after="0" w:line="246" w:lineRule="auto"/>
        <w:rPr>
          <w:sz w:val="20"/>
          <w:szCs w:val="20"/>
          <w:color w:val="auto"/>
        </w:rPr>
      </w:pPr>
      <w:r>
        <w:rPr>
          <w:rFonts w:ascii="Arial" w:cs="Arial" w:eastAsia="Arial" w:hAnsi="Arial"/>
          <w:sz w:val="20"/>
          <w:szCs w:val="20"/>
          <w:color w:val="auto"/>
        </w:rPr>
        <w:t>(iii) repurchases of stock from former employees, directors, or consultants of Borrower under the terms of applicable repurchase agreements at the original issuance price of such securities in an aggregate amount not to exceed $500,000 in any fiscal year, provided that no Event of Default has occurred, is continuing or would exist immediately after giving effect to the repurchases;</w:t>
      </w:r>
    </w:p>
    <w:p>
      <w:pPr>
        <w:sectPr>
          <w:pgSz w:w="11900" w:h="16838" w:orient="portrait"/>
          <w:cols w:equalWidth="0" w:num="1">
            <w:col w:w="11260"/>
          </w:cols>
          <w:pgMar w:left="320" w:top="554" w:right="319" w:bottom="1440" w:gutter="0" w:footer="0" w:header="0"/>
        </w:sectPr>
      </w:pPr>
    </w:p>
    <w:p>
      <w:pPr>
        <w:spacing w:after="0" w:line="190"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980"/>
        <w:spacing w:after="0"/>
        <w:rPr>
          <w:sz w:val="20"/>
          <w:szCs w:val="20"/>
          <w:color w:val="auto"/>
        </w:rPr>
      </w:pPr>
      <w:r>
        <w:rPr>
          <w:rFonts w:ascii="Arial" w:cs="Arial" w:eastAsia="Arial" w:hAnsi="Arial"/>
          <w:sz w:val="16"/>
          <w:szCs w:val="16"/>
          <w:color w:val="auto"/>
        </w:rPr>
        <w:t>Investments accepted in connection with Permitted Transfers;</w:t>
      </w:r>
    </w:p>
    <w:p>
      <w:pPr>
        <w:spacing w:after="0" w:line="245" w:lineRule="exact"/>
        <w:rPr>
          <w:sz w:val="20"/>
          <w:szCs w:val="20"/>
          <w:color w:val="auto"/>
        </w:rPr>
      </w:pPr>
    </w:p>
    <w:p>
      <w:pPr>
        <w:sectPr>
          <w:pgSz w:w="11900" w:h="16838" w:orient="portrait"/>
          <w:cols w:equalWidth="0" w:num="2">
            <w:col w:w="3740" w:space="720"/>
            <w:col w:w="6800"/>
          </w:cols>
          <w:pgMar w:left="320" w:top="554" w:right="319" w:bottom="1440" w:gutter="0" w:footer="0" w:header="0"/>
          <w:type w:val="continuous"/>
        </w:sectPr>
      </w:pPr>
    </w:p>
    <w:p>
      <w:pPr>
        <w:spacing w:after="0" w:line="15" w:lineRule="exact"/>
        <w:rPr>
          <w:sz w:val="20"/>
          <w:szCs w:val="20"/>
          <w:color w:val="auto"/>
        </w:rPr>
      </w:pPr>
    </w:p>
    <w:p>
      <w:pPr>
        <w:ind w:left="2060"/>
        <w:spacing w:after="0"/>
        <w:tabs>
          <w:tab w:leader="none" w:pos="438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color w:val="auto"/>
        </w:rPr>
        <w:t>Investments (including debt obligations) (a) received in connection with the</w:t>
      </w:r>
    </w:p>
    <w:p>
      <w:pPr>
        <w:sectPr>
          <w:pgSz w:w="11900" w:h="16838" w:orient="portrait"/>
          <w:cols w:equalWidth="0" w:num="1">
            <w:col w:w="11260"/>
          </w:cols>
          <w:pgMar w:left="320" w:top="554" w:right="319" w:bottom="1440" w:gutter="0" w:footer="0" w:header="0"/>
          <w:type w:val="continuous"/>
        </w:sectPr>
      </w:pPr>
    </w:p>
    <w:p>
      <w:pPr>
        <w:spacing w:after="0" w:line="66" w:lineRule="exact"/>
        <w:rPr>
          <w:sz w:val="20"/>
          <w:szCs w:val="20"/>
          <w:color w:val="auto"/>
        </w:rPr>
      </w:pPr>
    </w:p>
    <w:p>
      <w:pPr>
        <w:ind w:left="880" w:right="60"/>
        <w:spacing w:after="0" w:line="257" w:lineRule="auto"/>
        <w:rPr>
          <w:sz w:val="20"/>
          <w:szCs w:val="20"/>
          <w:color w:val="auto"/>
        </w:rPr>
      </w:pPr>
      <w:r>
        <w:rPr>
          <w:rFonts w:ascii="Arial" w:cs="Arial" w:eastAsia="Arial" w:hAnsi="Arial"/>
          <w:sz w:val="19"/>
          <w:szCs w:val="19"/>
          <w:color w:val="auto"/>
        </w:rPr>
        <w:t>bankruptcy or reorganization of customers or suppliers and in settlement of delinquent or doubtful obligations of, and other disputes with, customers or suppliers arising in the ordinary course of Borrower’s business and (b) consisting of the endorsement of negotiable instruments for deposit or collection or similar transactions in the ordinary course of business;</w:t>
      </w:r>
    </w:p>
    <w:p>
      <w:pPr>
        <w:spacing w:after="0" w:line="181" w:lineRule="exact"/>
        <w:rPr>
          <w:sz w:val="20"/>
          <w:szCs w:val="20"/>
          <w:color w:val="auto"/>
        </w:rPr>
      </w:pPr>
    </w:p>
    <w:p>
      <w:pPr>
        <w:jc w:val="both"/>
        <w:ind w:left="880" w:right="340" w:firstLine="1197"/>
        <w:spacing w:after="0" w:line="249" w:lineRule="auto"/>
        <w:rPr>
          <w:sz w:val="20"/>
          <w:szCs w:val="20"/>
          <w:color w:val="auto"/>
        </w:rPr>
      </w:pPr>
      <w:r>
        <w:rPr>
          <w:rFonts w:ascii="Arial" w:cs="Arial" w:eastAsia="Arial" w:hAnsi="Arial"/>
          <w:sz w:val="20"/>
          <w:szCs w:val="20"/>
          <w:color w:val="auto"/>
        </w:rPr>
        <w:t>(vi) 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88" w:lineRule="exact"/>
        <w:rPr>
          <w:sz w:val="20"/>
          <w:szCs w:val="20"/>
          <w:color w:val="auto"/>
        </w:rPr>
      </w:pPr>
    </w:p>
    <w:p>
      <w:pPr>
        <w:ind w:left="880" w:right="260" w:firstLine="1197"/>
        <w:spacing w:after="0" w:line="269" w:lineRule="auto"/>
        <w:rPr>
          <w:sz w:val="20"/>
          <w:szCs w:val="20"/>
          <w:color w:val="auto"/>
        </w:rPr>
      </w:pPr>
      <w:r>
        <w:rPr>
          <w:rFonts w:ascii="Arial" w:cs="Arial" w:eastAsia="Arial" w:hAnsi="Arial"/>
          <w:sz w:val="19"/>
          <w:szCs w:val="19"/>
          <w:color w:val="auto"/>
        </w:rPr>
        <w:t>(vii) 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ectPr>
          <w:pgSz w:w="11900" w:h="16838" w:orient="portrait"/>
          <w:cols w:equalWidth="0" w:num="1">
            <w:col w:w="11260"/>
          </w:cols>
          <w:pgMar w:left="320" w:top="554" w:right="319" w:bottom="1440" w:gutter="0" w:footer="0" w:header="0"/>
          <w:type w:val="continuous"/>
        </w:sectPr>
      </w:pPr>
    </w:p>
    <w:p>
      <w:pPr>
        <w:spacing w:after="0" w:line="169"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Investments consisting of travel advances in the ordinary course of business;</w:t>
      </w:r>
    </w:p>
    <w:p>
      <w:pPr>
        <w:spacing w:after="0" w:line="245" w:lineRule="exact"/>
        <w:rPr>
          <w:sz w:val="20"/>
          <w:szCs w:val="20"/>
          <w:color w:val="auto"/>
        </w:rPr>
      </w:pPr>
    </w:p>
    <w:p>
      <w:pPr>
        <w:sectPr>
          <w:pgSz w:w="11900" w:h="16838" w:orient="portrait"/>
          <w:cols w:equalWidth="0" w:num="2">
            <w:col w:w="3840" w:space="720"/>
            <w:col w:w="6700"/>
          </w:cols>
          <w:pgMar w:left="320" w:top="554" w:right="319" w:bottom="1440" w:gutter="0" w:footer="0" w:header="0"/>
          <w:type w:val="continuous"/>
        </w:sectPr>
      </w:pPr>
    </w:p>
    <w:p>
      <w:pPr>
        <w:spacing w:after="0" w:line="15" w:lineRule="exact"/>
        <w:rPr>
          <w:sz w:val="20"/>
          <w:szCs w:val="20"/>
          <w:color w:val="auto"/>
        </w:rPr>
      </w:pPr>
    </w:p>
    <w:p>
      <w:pPr>
        <w:ind w:left="2060"/>
        <w:spacing w:after="0"/>
        <w:tabs>
          <w:tab w:leader="none" w:pos="4440" w:val="left"/>
        </w:tabs>
        <w:rPr>
          <w:sz w:val="20"/>
          <w:szCs w:val="20"/>
          <w:color w:val="auto"/>
        </w:rPr>
      </w:pPr>
      <w:r>
        <w:rPr>
          <w:rFonts w:ascii="Arial" w:cs="Arial" w:eastAsia="Arial" w:hAnsi="Arial"/>
          <w:sz w:val="16"/>
          <w:szCs w:val="16"/>
          <w:color w:val="auto"/>
        </w:rPr>
        <w:t>(ix)</w:t>
      </w:r>
      <w:r>
        <w:rPr>
          <w:sz w:val="20"/>
          <w:szCs w:val="20"/>
          <w:color w:val="auto"/>
        </w:rPr>
        <w:tab/>
      </w:r>
      <w:r>
        <w:rPr>
          <w:rFonts w:ascii="Arial" w:cs="Arial" w:eastAsia="Arial" w:hAnsi="Arial"/>
          <w:sz w:val="16"/>
          <w:szCs w:val="16"/>
          <w:color w:val="auto"/>
        </w:rPr>
        <w:t>Investments in newly-formed Subsidiaries, provided that each such Subsidiary enters</w:t>
      </w:r>
    </w:p>
    <w:p>
      <w:pPr>
        <w:sectPr>
          <w:pgSz w:w="11900" w:h="16838" w:orient="portrait"/>
          <w:cols w:equalWidth="0" w:num="1">
            <w:col w:w="11260"/>
          </w:cols>
          <w:pgMar w:left="320" w:top="554" w:right="319" w:bottom="1440" w:gutter="0" w:footer="0" w:header="0"/>
          <w:type w:val="continuous"/>
        </w:sectPr>
      </w:pPr>
    </w:p>
    <w:p>
      <w:pPr>
        <w:spacing w:after="0" w:line="66" w:lineRule="exact"/>
        <w:rPr>
          <w:sz w:val="20"/>
          <w:szCs w:val="20"/>
          <w:color w:val="auto"/>
        </w:rPr>
      </w:pPr>
    </w:p>
    <w:p>
      <w:pPr>
        <w:ind w:left="880" w:right="540"/>
        <w:spacing w:after="0" w:line="239" w:lineRule="auto"/>
        <w:rPr>
          <w:sz w:val="20"/>
          <w:szCs w:val="20"/>
          <w:color w:val="auto"/>
        </w:rPr>
      </w:pPr>
      <w:r>
        <w:rPr>
          <w:rFonts w:ascii="Arial" w:cs="Arial" w:eastAsia="Arial" w:hAnsi="Arial"/>
          <w:sz w:val="20"/>
          <w:szCs w:val="20"/>
          <w:color w:val="auto"/>
        </w:rPr>
        <w:t>into a Joinder Agreement promptly after its formation by Borrower and execute such other documents as shall be reasonably requested by Agent;</w:t>
      </w:r>
    </w:p>
    <w:p>
      <w:pPr>
        <w:spacing w:after="0" w:line="195" w:lineRule="exact"/>
        <w:rPr>
          <w:sz w:val="20"/>
          <w:szCs w:val="20"/>
          <w:color w:val="auto"/>
        </w:rPr>
      </w:pPr>
    </w:p>
    <w:p>
      <w:pPr>
        <w:ind w:left="880" w:right="520" w:firstLine="1197"/>
        <w:spacing w:after="0" w:line="260" w:lineRule="auto"/>
        <w:rPr>
          <w:sz w:val="20"/>
          <w:szCs w:val="20"/>
          <w:color w:val="auto"/>
        </w:rPr>
      </w:pPr>
      <w:r>
        <w:rPr>
          <w:rFonts w:ascii="Arial" w:cs="Arial" w:eastAsia="Arial" w:hAnsi="Arial"/>
          <w:sz w:val="20"/>
          <w:szCs w:val="20"/>
          <w:color w:val="auto"/>
        </w:rPr>
        <w:t>(x) Investments in Foreign Subsidiaries that are not co-Borrowers or Guarantors, not exceed $500,000 in the aggregate in any fiscal year;</w:t>
      </w:r>
    </w:p>
    <w:p>
      <w:pPr>
        <w:spacing w:after="0" w:line="176" w:lineRule="exact"/>
        <w:rPr>
          <w:sz w:val="20"/>
          <w:szCs w:val="20"/>
          <w:color w:val="auto"/>
        </w:rPr>
      </w:pPr>
    </w:p>
    <w:p>
      <w:pPr>
        <w:ind w:left="2060"/>
        <w:spacing w:after="0"/>
        <w:tabs>
          <w:tab w:leader="none" w:pos="444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8"/>
          <w:szCs w:val="18"/>
          <w:color w:val="auto"/>
        </w:rPr>
        <w:t>joint ventures or strategic alliances in the ordinary course of Borrower’s business,</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provided that any cash Investments by Borrower do not exceed $2,000,000 in the aggregate during the term of this Agreement;</w:t>
      </w:r>
    </w:p>
    <w:p>
      <w:pPr>
        <w:spacing w:after="0" w:line="222" w:lineRule="exact"/>
        <w:rPr>
          <w:sz w:val="20"/>
          <w:szCs w:val="20"/>
          <w:color w:val="auto"/>
        </w:rPr>
      </w:pPr>
    </w:p>
    <w:p>
      <w:pPr>
        <w:ind w:left="880" w:right="60" w:firstLine="1197"/>
        <w:spacing w:after="0" w:line="249" w:lineRule="auto"/>
        <w:rPr>
          <w:sz w:val="20"/>
          <w:szCs w:val="20"/>
          <w:color w:val="auto"/>
        </w:rPr>
      </w:pPr>
      <w:r>
        <w:rPr>
          <w:rFonts w:ascii="Arial" w:cs="Arial" w:eastAsia="Arial" w:hAnsi="Arial"/>
          <w:sz w:val="20"/>
          <w:szCs w:val="20"/>
          <w:color w:val="auto"/>
        </w:rPr>
        <w:t>(xii) Investments in the MSC Subsidiary, so long as an Event of Default does not exist at the time of such Investment and would not exist after giving effect to such Investment and provided that Borrower is, at all times, in compliance with the MSC Investment Conditions;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ind w:left="2060"/>
              <w:spacing w:after="0"/>
              <w:rPr>
                <w:sz w:val="20"/>
                <w:szCs w:val="20"/>
                <w:color w:val="auto"/>
              </w:rPr>
            </w:pPr>
            <w:r>
              <w:rPr>
                <w:rFonts w:ascii="Arial" w:cs="Arial" w:eastAsia="Arial" w:hAnsi="Arial"/>
                <w:sz w:val="20"/>
                <w:szCs w:val="20"/>
                <w:color w:val="auto"/>
              </w:rPr>
              <w:t>(xiii)</w:t>
            </w:r>
          </w:p>
        </w:tc>
        <w:tc>
          <w:tcPr>
            <w:tcW w:w="7200" w:type="dxa"/>
            <w:vAlign w:val="bottom"/>
          </w:tcPr>
          <w:p>
            <w:pPr>
              <w:ind w:left="500"/>
              <w:spacing w:after="0"/>
              <w:rPr>
                <w:sz w:val="20"/>
                <w:szCs w:val="20"/>
                <w:color w:val="auto"/>
              </w:rPr>
            </w:pPr>
            <w:r>
              <w:rPr>
                <w:rFonts w:ascii="Arial" w:cs="Arial" w:eastAsia="Arial" w:hAnsi="Arial"/>
                <w:sz w:val="20"/>
                <w:szCs w:val="20"/>
                <w:color w:val="auto"/>
                <w:w w:val="98"/>
              </w:rPr>
              <w:t>Hedging Agreements permitted under clause (x) of the definition of Permitted</w:t>
            </w:r>
          </w:p>
        </w:tc>
      </w:tr>
      <w:tr>
        <w:trPr>
          <w:trHeight w:val="250"/>
        </w:trPr>
        <w:tc>
          <w:tcPr>
            <w:tcW w:w="4060" w:type="dxa"/>
            <w:vAlign w:val="bottom"/>
          </w:tcPr>
          <w:p>
            <w:pPr>
              <w:ind w:left="880"/>
              <w:spacing w:after="0"/>
              <w:rPr>
                <w:sz w:val="20"/>
                <w:szCs w:val="20"/>
                <w:color w:val="auto"/>
              </w:rPr>
            </w:pPr>
            <w:r>
              <w:rPr>
                <w:rFonts w:ascii="Arial" w:cs="Arial" w:eastAsia="Arial" w:hAnsi="Arial"/>
                <w:sz w:val="20"/>
                <w:szCs w:val="20"/>
                <w:color w:val="auto"/>
              </w:rPr>
              <w:t>Indebtedness; and</w:t>
            </w:r>
          </w:p>
        </w:tc>
        <w:tc>
          <w:tcPr>
            <w:tcW w:w="7200" w:type="dxa"/>
            <w:vAlign w:val="bottom"/>
          </w:tcPr>
          <w:p>
            <w:pPr>
              <w:spacing w:after="0"/>
              <w:rPr>
                <w:sz w:val="21"/>
                <w:szCs w:val="21"/>
                <w:color w:val="auto"/>
              </w:rPr>
            </w:pPr>
          </w:p>
        </w:tc>
      </w:tr>
      <w:tr>
        <w:trPr>
          <w:trHeight w:val="445"/>
        </w:trPr>
        <w:tc>
          <w:tcPr>
            <w:tcW w:w="4060" w:type="dxa"/>
            <w:vAlign w:val="bottom"/>
          </w:tcPr>
          <w:p>
            <w:pPr>
              <w:ind w:left="2060"/>
              <w:spacing w:after="0"/>
              <w:rPr>
                <w:sz w:val="20"/>
                <w:szCs w:val="20"/>
                <w:color w:val="auto"/>
              </w:rPr>
            </w:pPr>
            <w:r>
              <w:rPr>
                <w:rFonts w:ascii="Arial" w:cs="Arial" w:eastAsia="Arial" w:hAnsi="Arial"/>
                <w:sz w:val="20"/>
                <w:szCs w:val="20"/>
                <w:color w:val="auto"/>
              </w:rPr>
              <w:t>(xiv)</w:t>
            </w:r>
          </w:p>
        </w:tc>
        <w:tc>
          <w:tcPr>
            <w:tcW w:w="7200" w:type="dxa"/>
            <w:vAlign w:val="bottom"/>
          </w:tcPr>
          <w:p>
            <w:pPr>
              <w:ind w:left="500"/>
              <w:spacing w:after="0"/>
              <w:rPr>
                <w:sz w:val="20"/>
                <w:szCs w:val="20"/>
                <w:color w:val="auto"/>
              </w:rPr>
            </w:pPr>
            <w:r>
              <w:rPr>
                <w:rFonts w:ascii="Arial" w:cs="Arial" w:eastAsia="Arial" w:hAnsi="Arial"/>
                <w:sz w:val="20"/>
                <w:szCs w:val="20"/>
                <w:color w:val="auto"/>
              </w:rPr>
              <w:t>additional Investments that do not exceed $500,000 in the aggregate.</w:t>
            </w:r>
          </w:p>
        </w:tc>
      </w:tr>
      <w:tr>
        <w:trPr>
          <w:trHeight w:val="445"/>
        </w:trPr>
        <w:tc>
          <w:tcPr>
            <w:tcW w:w="4060" w:type="dxa"/>
            <w:vAlign w:val="bottom"/>
          </w:tcPr>
          <w:p>
            <w:pPr>
              <w:ind w:left="1740"/>
              <w:spacing w:after="0"/>
              <w:rPr>
                <w:sz w:val="20"/>
                <w:szCs w:val="20"/>
                <w:color w:val="auto"/>
              </w:rPr>
            </w:pPr>
            <w:r>
              <w:rPr>
                <w:rFonts w:ascii="Arial" w:cs="Arial" w:eastAsia="Arial" w:hAnsi="Arial"/>
                <w:sz w:val="20"/>
                <w:szCs w:val="20"/>
                <w:color w:val="auto"/>
              </w:rPr>
              <w:t>“Permitted Liens” means:</w:t>
            </w:r>
          </w:p>
        </w:tc>
        <w:tc>
          <w:tcPr>
            <w:tcW w:w="7200" w:type="dxa"/>
            <w:vAlign w:val="bottom"/>
          </w:tcPr>
          <w:p>
            <w:pPr>
              <w:spacing w:after="0"/>
              <w:rPr>
                <w:sz w:val="24"/>
                <w:szCs w:val="24"/>
                <w:color w:val="auto"/>
              </w:rPr>
            </w:pPr>
          </w:p>
        </w:tc>
      </w:tr>
      <w:tr>
        <w:trPr>
          <w:trHeight w:val="445"/>
        </w:trPr>
        <w:tc>
          <w:tcPr>
            <w:tcW w:w="4060" w:type="dxa"/>
            <w:vAlign w:val="bottom"/>
          </w:tcPr>
          <w:p>
            <w:pPr>
              <w:ind w:left="2060"/>
              <w:spacing w:after="0"/>
              <w:rPr>
                <w:sz w:val="20"/>
                <w:szCs w:val="20"/>
                <w:color w:val="auto"/>
              </w:rPr>
            </w:pPr>
            <w:r>
              <w:rPr>
                <w:rFonts w:ascii="Arial" w:cs="Arial" w:eastAsia="Arial" w:hAnsi="Arial"/>
                <w:sz w:val="20"/>
                <w:szCs w:val="20"/>
                <w:color w:val="auto"/>
              </w:rPr>
              <w:t>(i)</w:t>
            </w:r>
          </w:p>
        </w:tc>
        <w:tc>
          <w:tcPr>
            <w:tcW w:w="7200" w:type="dxa"/>
            <w:vAlign w:val="bottom"/>
          </w:tcPr>
          <w:p>
            <w:pPr>
              <w:ind w:left="300"/>
              <w:spacing w:after="0"/>
              <w:rPr>
                <w:sz w:val="20"/>
                <w:szCs w:val="20"/>
                <w:color w:val="auto"/>
              </w:rPr>
            </w:pPr>
            <w:r>
              <w:rPr>
                <w:rFonts w:ascii="Arial" w:cs="Arial" w:eastAsia="Arial" w:hAnsi="Arial"/>
                <w:sz w:val="20"/>
                <w:szCs w:val="20"/>
                <w:color w:val="auto"/>
              </w:rPr>
              <w:t>Liens in favor of Agent or the Lenders;</w:t>
            </w:r>
          </w:p>
        </w:tc>
      </w:tr>
      <w:tr>
        <w:trPr>
          <w:trHeight w:val="445"/>
        </w:trPr>
        <w:tc>
          <w:tcPr>
            <w:tcW w:w="4060" w:type="dxa"/>
            <w:vAlign w:val="bottom"/>
          </w:tcPr>
          <w:p>
            <w:pPr>
              <w:ind w:left="2060"/>
              <w:spacing w:after="0"/>
              <w:rPr>
                <w:sz w:val="20"/>
                <w:szCs w:val="20"/>
                <w:color w:val="auto"/>
              </w:rPr>
            </w:pPr>
            <w:r>
              <w:rPr>
                <w:rFonts w:ascii="Arial" w:cs="Arial" w:eastAsia="Arial" w:hAnsi="Arial"/>
                <w:sz w:val="20"/>
                <w:szCs w:val="20"/>
                <w:color w:val="auto"/>
              </w:rPr>
              <w:t>(ii)</w:t>
            </w:r>
          </w:p>
        </w:tc>
        <w:tc>
          <w:tcPr>
            <w:tcW w:w="7200" w:type="dxa"/>
            <w:vAlign w:val="bottom"/>
          </w:tcPr>
          <w:p>
            <w:pPr>
              <w:ind w:left="340"/>
              <w:spacing w:after="0"/>
              <w:rPr>
                <w:sz w:val="20"/>
                <w:szCs w:val="20"/>
                <w:color w:val="auto"/>
              </w:rPr>
            </w:pPr>
            <w:r>
              <w:rPr>
                <w:rFonts w:ascii="Arial" w:cs="Arial" w:eastAsia="Arial" w:hAnsi="Arial"/>
                <w:sz w:val="20"/>
                <w:szCs w:val="20"/>
                <w:color w:val="auto"/>
              </w:rPr>
              <w:t>Liens existing on the Closing Date which are disclosed in Schedule 1C;</w:t>
            </w:r>
          </w:p>
        </w:tc>
      </w:tr>
      <w:tr>
        <w:trPr>
          <w:trHeight w:val="464"/>
        </w:trPr>
        <w:tc>
          <w:tcPr>
            <w:tcW w:w="4060" w:type="dxa"/>
            <w:vAlign w:val="bottom"/>
          </w:tcPr>
          <w:p>
            <w:pPr>
              <w:spacing w:after="0"/>
              <w:rPr>
                <w:sz w:val="24"/>
                <w:szCs w:val="24"/>
                <w:color w:val="auto"/>
              </w:rPr>
            </w:pPr>
          </w:p>
        </w:tc>
        <w:tc>
          <w:tcPr>
            <w:tcW w:w="7200" w:type="dxa"/>
            <w:vAlign w:val="bottom"/>
          </w:tcPr>
          <w:p>
            <w:pPr>
              <w:ind w:left="1520"/>
              <w:spacing w:after="0"/>
              <w:rPr>
                <w:sz w:val="20"/>
                <w:szCs w:val="20"/>
                <w:color w:val="auto"/>
              </w:rPr>
            </w:pPr>
            <w:r>
              <w:rPr>
                <w:rFonts w:ascii="Arial" w:cs="Arial" w:eastAsia="Arial" w:hAnsi="Arial"/>
                <w:sz w:val="22"/>
                <w:szCs w:val="22"/>
                <w:color w:val="auto"/>
              </w:rPr>
              <w:t>8</w:t>
            </w:r>
          </w:p>
        </w:tc>
      </w:tr>
      <w:tr>
        <w:trPr>
          <w:trHeight w:val="213"/>
        </w:trPr>
        <w:tc>
          <w:tcPr>
            <w:tcW w:w="4060" w:type="dxa"/>
            <w:vAlign w:val="bottom"/>
            <w:tcBorders>
              <w:bottom w:val="single" w:sz="8" w:color="9A9A9A"/>
            </w:tcBorders>
          </w:tcPr>
          <w:p>
            <w:pPr>
              <w:spacing w:after="0"/>
              <w:rPr>
                <w:sz w:val="18"/>
                <w:szCs w:val="18"/>
                <w:color w:val="auto"/>
              </w:rPr>
            </w:pPr>
          </w:p>
        </w:tc>
        <w:tc>
          <w:tcPr>
            <w:tcW w:w="7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554" w:right="319" w:bottom="1440" w:gutter="0" w:footer="0" w:header="0"/>
          <w:type w:val="continuous"/>
        </w:sectPr>
      </w:pPr>
    </w:p>
    <w:bookmarkStart w:id="71" w:name="page72"/>
    <w:bookmarkEnd w:id="71"/>
    <w:p>
      <w:pPr>
        <w:ind w:right="160" w:firstLine="1197"/>
        <w:spacing w:after="0" w:line="249" w:lineRule="auto"/>
        <w:rPr>
          <w:sz w:val="20"/>
          <w:szCs w:val="20"/>
          <w:color w:val="auto"/>
        </w:rPr>
      </w:pPr>
      <w:r>
        <w:rPr>
          <w:rFonts w:ascii="Arial" w:cs="Arial" w:eastAsia="Arial" w:hAnsi="Arial"/>
          <w:sz w:val="20"/>
          <w:szCs w:val="20"/>
          <w:color w:val="auto"/>
        </w:rPr>
        <w:t>(iii) Liens for taxes, fees, assessments or other governmental charges or levies, either not delinquent or being contested in good faith by appropriate proceedings; provided, that Borrower maintains adequate reserves therefor on Borrower’s Books in accordance with GAAP (to the extent required thereby);</w:t>
      </w:r>
    </w:p>
    <w:p>
      <w:pPr>
        <w:spacing w:after="0" w:line="188" w:lineRule="exact"/>
        <w:rPr>
          <w:sz w:val="20"/>
          <w:szCs w:val="20"/>
          <w:color w:val="auto"/>
        </w:rPr>
      </w:pPr>
    </w:p>
    <w:p>
      <w:pPr>
        <w:ind w:right="160" w:firstLine="1197"/>
        <w:spacing w:after="0" w:line="249" w:lineRule="auto"/>
        <w:rPr>
          <w:sz w:val="20"/>
          <w:szCs w:val="20"/>
          <w:color w:val="auto"/>
        </w:rPr>
      </w:pPr>
      <w:r>
        <w:rPr>
          <w:rFonts w:ascii="Arial" w:cs="Arial" w:eastAsia="Arial" w:hAnsi="Arial"/>
          <w:sz w:val="20"/>
          <w:szCs w:val="20"/>
          <w:color w:val="auto"/>
        </w:rPr>
        <w:t>(iv) Liens securing claims or demands of materialmen, artisans, mechanics, carriers, warehousemen, landlords and other like Persons arising in the ordinary course of Borrower’s business and imposed without action of such parties; provided, that the payment thereof is not yet sixty (60) days past due;</w:t>
      </w:r>
    </w:p>
    <w:p>
      <w:pPr>
        <w:sectPr>
          <w:pgSz w:w="11900" w:h="16838" w:orient="portrait"/>
          <w:cols w:equalWidth="0" w:num="1">
            <w:col w:w="10340"/>
          </w:cols>
          <w:pgMar w:left="1200" w:top="554" w:right="359" w:bottom="1440" w:gutter="0" w:footer="0" w:header="0"/>
        </w:sectPr>
      </w:pPr>
    </w:p>
    <w:p>
      <w:pPr>
        <w:spacing w:after="0" w:line="188"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(v)</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constitute an Event of Default hereunder;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Liens arising from judgments, decrees or attachments in circumstances which do not</w:t>
      </w:r>
    </w:p>
    <w:p>
      <w:pPr>
        <w:spacing w:after="0" w:line="445" w:lineRule="exact"/>
        <w:rPr>
          <w:sz w:val="20"/>
          <w:szCs w:val="20"/>
          <w:color w:val="auto"/>
        </w:rPr>
      </w:pPr>
    </w:p>
    <w:p>
      <w:pPr>
        <w:sectPr>
          <w:pgSz w:w="11900" w:h="16838" w:orient="portrait"/>
          <w:cols w:equalWidth="0" w:num="2">
            <w:col w:w="3220" w:space="300"/>
            <w:col w:w="6820"/>
          </w:cols>
          <w:pgMar w:left="1200" w:top="554" w:right="359" w:bottom="1440" w:gutter="0" w:footer="0" w:header="0"/>
          <w:type w:val="continuous"/>
        </w:sectPr>
      </w:pPr>
    </w:p>
    <w:p>
      <w:pPr>
        <w:spacing w:after="0" w:line="45" w:lineRule="exact"/>
        <w:rPr>
          <w:sz w:val="20"/>
          <w:szCs w:val="20"/>
          <w:color w:val="auto"/>
        </w:rPr>
      </w:pPr>
    </w:p>
    <w:p>
      <w:pPr>
        <w:ind w:left="1180"/>
        <w:spacing w:after="0"/>
        <w:tabs>
          <w:tab w:leader="none" w:pos="3560" w:val="left"/>
        </w:tabs>
        <w:rPr>
          <w:sz w:val="20"/>
          <w:szCs w:val="20"/>
          <w:color w:val="auto"/>
        </w:rPr>
      </w:pPr>
      <w:r>
        <w:rPr>
          <w:rFonts w:ascii="Arial" w:cs="Arial" w:eastAsia="Arial" w:hAnsi="Arial"/>
          <w:sz w:val="16"/>
          <w:szCs w:val="16"/>
          <w:color w:val="auto"/>
        </w:rPr>
        <w:t>(vi)</w:t>
      </w:r>
      <w:r>
        <w:rPr>
          <w:sz w:val="20"/>
          <w:szCs w:val="20"/>
          <w:color w:val="auto"/>
        </w:rPr>
        <w:tab/>
      </w:r>
      <w:r>
        <w:rPr>
          <w:rFonts w:ascii="Arial" w:cs="Arial" w:eastAsia="Arial" w:hAnsi="Arial"/>
          <w:sz w:val="16"/>
          <w:szCs w:val="16"/>
          <w:color w:val="auto"/>
        </w:rPr>
        <w:t>deposits to secure the performance of obligations (including by way of deposits to</w:t>
      </w:r>
    </w:p>
    <w:p>
      <w:pPr>
        <w:sectPr>
          <w:pgSz w:w="11900" w:h="16838" w:orient="portrait"/>
          <w:cols w:equalWidth="0" w:num="1">
            <w:col w:w="10340"/>
          </w:cols>
          <w:pgMar w:left="1200" w:top="554" w:right="359" w:bottom="1440" w:gutter="0" w:footer="0" w:header="0"/>
          <w:type w:val="continuous"/>
        </w:sectPr>
      </w:pPr>
    </w:p>
    <w:p>
      <w:pPr>
        <w:spacing w:after="0" w:line="6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secure letters of credit issued to secure the same, to the extent constituting Permitted Indebtedness) and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ind w:left="1180"/>
              <w:spacing w:after="0"/>
              <w:rPr>
                <w:sz w:val="20"/>
                <w:szCs w:val="20"/>
                <w:color w:val="auto"/>
              </w:rPr>
            </w:pPr>
            <w:r>
              <w:rPr>
                <w:rFonts w:ascii="Arial" w:cs="Arial" w:eastAsia="Arial" w:hAnsi="Arial"/>
                <w:sz w:val="20"/>
                <w:szCs w:val="20"/>
                <w:color w:val="auto"/>
              </w:rPr>
              <w:t>(vii)</w:t>
            </w:r>
          </w:p>
        </w:tc>
        <w:tc>
          <w:tcPr>
            <w:tcW w:w="7680" w:type="dxa"/>
            <w:vAlign w:val="bottom"/>
          </w:tcPr>
          <w:p>
            <w:pPr>
              <w:jc w:val="right"/>
              <w:spacing w:after="0"/>
              <w:rPr>
                <w:sz w:val="20"/>
                <w:szCs w:val="20"/>
                <w:color w:val="auto"/>
              </w:rPr>
            </w:pPr>
            <w:r>
              <w:rPr>
                <w:rFonts w:ascii="Arial" w:cs="Arial" w:eastAsia="Arial" w:hAnsi="Arial"/>
                <w:sz w:val="20"/>
                <w:szCs w:val="20"/>
                <w:color w:val="auto"/>
              </w:rPr>
              <w:t>Liens on Equipment or software or other intellectual property constituting purchase</w:t>
            </w:r>
          </w:p>
        </w:tc>
      </w:tr>
      <w:tr>
        <w:trPr>
          <w:trHeight w:val="229"/>
        </w:trPr>
        <w:tc>
          <w:tcPr>
            <w:tcW w:w="10240" w:type="dxa"/>
            <w:vAlign w:val="bottom"/>
            <w:gridSpan w:val="2"/>
          </w:tcPr>
          <w:p>
            <w:pPr>
              <w:spacing w:after="0"/>
              <w:rPr>
                <w:sz w:val="20"/>
                <w:szCs w:val="20"/>
                <w:color w:val="auto"/>
              </w:rPr>
            </w:pPr>
            <w:r>
              <w:rPr>
                <w:rFonts w:ascii="Arial" w:cs="Arial" w:eastAsia="Arial" w:hAnsi="Arial"/>
                <w:sz w:val="20"/>
                <w:szCs w:val="20"/>
                <w:color w:val="auto"/>
                <w:w w:val="99"/>
              </w:rPr>
              <w:t>money Liens and Liens in connection with capital leases securing Indebtedness permitted in clause (iii) of “Permitted</w:t>
            </w:r>
          </w:p>
        </w:tc>
      </w:tr>
      <w:tr>
        <w:trPr>
          <w:trHeight w:val="250"/>
        </w:trPr>
        <w:tc>
          <w:tcPr>
            <w:tcW w:w="2560" w:type="dxa"/>
            <w:vAlign w:val="bottom"/>
          </w:tcPr>
          <w:p>
            <w:pPr>
              <w:spacing w:after="0"/>
              <w:rPr>
                <w:sz w:val="20"/>
                <w:szCs w:val="20"/>
                <w:color w:val="auto"/>
              </w:rPr>
            </w:pPr>
            <w:r>
              <w:rPr>
                <w:rFonts w:ascii="Arial" w:cs="Arial" w:eastAsia="Arial" w:hAnsi="Arial"/>
                <w:sz w:val="20"/>
                <w:szCs w:val="20"/>
                <w:color w:val="auto"/>
              </w:rPr>
              <w:t>Indebtedness”;</w:t>
            </w:r>
          </w:p>
        </w:tc>
        <w:tc>
          <w:tcPr>
            <w:tcW w:w="7680" w:type="dxa"/>
            <w:vAlign w:val="bottom"/>
          </w:tcPr>
          <w:p>
            <w:pPr>
              <w:spacing w:after="0"/>
              <w:rPr>
                <w:sz w:val="21"/>
                <w:szCs w:val="21"/>
                <w:color w:val="auto"/>
              </w:rPr>
            </w:pPr>
          </w:p>
        </w:tc>
      </w:tr>
      <w:tr>
        <w:trPr>
          <w:trHeight w:val="445"/>
        </w:trPr>
        <w:tc>
          <w:tcPr>
            <w:tcW w:w="2560" w:type="dxa"/>
            <w:vAlign w:val="bottom"/>
          </w:tcPr>
          <w:p>
            <w:pPr>
              <w:ind w:left="1180"/>
              <w:spacing w:after="0"/>
              <w:rPr>
                <w:sz w:val="20"/>
                <w:szCs w:val="20"/>
                <w:color w:val="auto"/>
              </w:rPr>
            </w:pPr>
            <w:r>
              <w:rPr>
                <w:rFonts w:ascii="Arial" w:cs="Arial" w:eastAsia="Arial" w:hAnsi="Arial"/>
                <w:sz w:val="20"/>
                <w:szCs w:val="20"/>
                <w:color w:val="auto"/>
              </w:rPr>
              <w:t>(viii)</w:t>
            </w:r>
          </w:p>
        </w:tc>
        <w:tc>
          <w:tcPr>
            <w:tcW w:w="7680" w:type="dxa"/>
            <w:vAlign w:val="bottom"/>
          </w:tcPr>
          <w:p>
            <w:pPr>
              <w:jc w:val="right"/>
              <w:ind w:right="1601"/>
              <w:spacing w:after="0"/>
              <w:rPr>
                <w:sz w:val="20"/>
                <w:szCs w:val="20"/>
                <w:color w:val="auto"/>
              </w:rPr>
            </w:pPr>
            <w:r>
              <w:rPr>
                <w:rFonts w:ascii="Arial" w:cs="Arial" w:eastAsia="Arial" w:hAnsi="Arial"/>
                <w:sz w:val="20"/>
                <w:szCs w:val="20"/>
                <w:color w:val="auto"/>
              </w:rPr>
              <w:t>Liens incurred in connection with Subordinated Indebtedness;</w:t>
            </w:r>
          </w:p>
        </w:tc>
      </w:tr>
      <w:tr>
        <w:trPr>
          <w:trHeight w:val="424"/>
        </w:trPr>
        <w:tc>
          <w:tcPr>
            <w:tcW w:w="2560" w:type="dxa"/>
            <w:vAlign w:val="bottom"/>
          </w:tcPr>
          <w:p>
            <w:pPr>
              <w:ind w:left="1180"/>
              <w:spacing w:after="0"/>
              <w:rPr>
                <w:sz w:val="20"/>
                <w:szCs w:val="20"/>
                <w:color w:val="auto"/>
              </w:rPr>
            </w:pPr>
            <w:r>
              <w:rPr>
                <w:rFonts w:ascii="Arial" w:cs="Arial" w:eastAsia="Arial" w:hAnsi="Arial"/>
                <w:sz w:val="20"/>
                <w:szCs w:val="20"/>
                <w:color w:val="auto"/>
              </w:rPr>
              <w:t>(ix)</w:t>
            </w:r>
          </w:p>
        </w:tc>
        <w:tc>
          <w:tcPr>
            <w:tcW w:w="7680" w:type="dxa"/>
            <w:vAlign w:val="bottom"/>
          </w:tcPr>
          <w:p>
            <w:pPr>
              <w:jc w:val="right"/>
              <w:ind w:right="61"/>
              <w:spacing w:after="0"/>
              <w:rPr>
                <w:sz w:val="20"/>
                <w:szCs w:val="20"/>
                <w:color w:val="auto"/>
              </w:rPr>
            </w:pPr>
            <w:r>
              <w:rPr>
                <w:rFonts w:ascii="Arial" w:cs="Arial" w:eastAsia="Arial" w:hAnsi="Arial"/>
                <w:sz w:val="20"/>
                <w:szCs w:val="20"/>
                <w:color w:val="auto"/>
              </w:rPr>
              <w:t>leasehold interests in leases or subleases and licenses or sublicenses granted in the</w:t>
            </w:r>
          </w:p>
        </w:tc>
      </w:tr>
      <w:tr>
        <w:trPr>
          <w:trHeight w:val="250"/>
        </w:trPr>
        <w:tc>
          <w:tcPr>
            <w:tcW w:w="10240" w:type="dxa"/>
            <w:vAlign w:val="bottom"/>
            <w:gridSpan w:val="2"/>
          </w:tcPr>
          <w:p>
            <w:pPr>
              <w:spacing w:after="0"/>
              <w:rPr>
                <w:sz w:val="20"/>
                <w:szCs w:val="20"/>
                <w:color w:val="auto"/>
              </w:rPr>
            </w:pPr>
            <w:r>
              <w:rPr>
                <w:rFonts w:ascii="Arial" w:cs="Arial" w:eastAsia="Arial" w:hAnsi="Arial"/>
                <w:sz w:val="20"/>
                <w:szCs w:val="20"/>
                <w:color w:val="auto"/>
              </w:rPr>
              <w:t>ordinary course of business and not interfering in any material respect with the business of the licensor;</w:t>
            </w:r>
          </w:p>
        </w:tc>
      </w:tr>
      <w:tr>
        <w:trPr>
          <w:trHeight w:val="424"/>
        </w:trPr>
        <w:tc>
          <w:tcPr>
            <w:tcW w:w="2560" w:type="dxa"/>
            <w:vAlign w:val="bottom"/>
          </w:tcPr>
          <w:p>
            <w:pPr>
              <w:ind w:left="1180"/>
              <w:spacing w:after="0"/>
              <w:rPr>
                <w:sz w:val="20"/>
                <w:szCs w:val="20"/>
                <w:color w:val="auto"/>
              </w:rPr>
            </w:pPr>
            <w:r>
              <w:rPr>
                <w:rFonts w:ascii="Arial" w:cs="Arial" w:eastAsia="Arial" w:hAnsi="Arial"/>
                <w:sz w:val="20"/>
                <w:szCs w:val="20"/>
                <w:color w:val="auto"/>
              </w:rPr>
              <w:t>(x)</w:t>
            </w:r>
          </w:p>
        </w:tc>
        <w:tc>
          <w:tcPr>
            <w:tcW w:w="7680" w:type="dxa"/>
            <w:vAlign w:val="bottom"/>
          </w:tcPr>
          <w:p>
            <w:pPr>
              <w:jc w:val="right"/>
              <w:spacing w:after="0"/>
              <w:rPr>
                <w:sz w:val="20"/>
                <w:szCs w:val="20"/>
                <w:color w:val="auto"/>
              </w:rPr>
            </w:pPr>
            <w:r>
              <w:rPr>
                <w:rFonts w:ascii="Arial" w:cs="Arial" w:eastAsia="Arial" w:hAnsi="Arial"/>
                <w:sz w:val="20"/>
                <w:szCs w:val="20"/>
                <w:color w:val="auto"/>
              </w:rPr>
              <w:t>Liens in favor of customs and revenue authorities arising as a matter of law to secure</w:t>
            </w:r>
          </w:p>
        </w:tc>
      </w:tr>
      <w:tr>
        <w:trPr>
          <w:trHeight w:val="250"/>
        </w:trPr>
        <w:tc>
          <w:tcPr>
            <w:tcW w:w="10240" w:type="dxa"/>
            <w:vAlign w:val="bottom"/>
            <w:gridSpan w:val="2"/>
          </w:tcPr>
          <w:p>
            <w:pPr>
              <w:spacing w:after="0"/>
              <w:rPr>
                <w:sz w:val="20"/>
                <w:szCs w:val="20"/>
                <w:color w:val="auto"/>
              </w:rPr>
            </w:pPr>
            <w:r>
              <w:rPr>
                <w:rFonts w:ascii="Arial" w:cs="Arial" w:eastAsia="Arial" w:hAnsi="Arial"/>
                <w:sz w:val="20"/>
                <w:szCs w:val="20"/>
                <w:color w:val="auto"/>
              </w:rPr>
              <w:t>payment of custom duties that are promptly paid on or before the date they become due;</w:t>
            </w:r>
          </w:p>
        </w:tc>
      </w:tr>
      <w:tr>
        <w:trPr>
          <w:trHeight w:val="440"/>
        </w:trPr>
        <w:tc>
          <w:tcPr>
            <w:tcW w:w="2560" w:type="dxa"/>
            <w:vAlign w:val="bottom"/>
          </w:tcPr>
          <w:p>
            <w:pPr>
              <w:ind w:left="1180"/>
              <w:spacing w:after="0"/>
              <w:rPr>
                <w:sz w:val="20"/>
                <w:szCs w:val="20"/>
                <w:color w:val="auto"/>
              </w:rPr>
            </w:pPr>
            <w:r>
              <w:rPr>
                <w:rFonts w:ascii="Arial" w:cs="Arial" w:eastAsia="Arial" w:hAnsi="Arial"/>
                <w:sz w:val="20"/>
                <w:szCs w:val="20"/>
                <w:color w:val="auto"/>
              </w:rPr>
              <w:t>(xi)</w:t>
            </w:r>
          </w:p>
        </w:tc>
        <w:tc>
          <w:tcPr>
            <w:tcW w:w="7680" w:type="dxa"/>
            <w:vAlign w:val="bottom"/>
          </w:tcPr>
          <w:p>
            <w:pPr>
              <w:jc w:val="right"/>
              <w:spacing w:after="0"/>
              <w:rPr>
                <w:sz w:val="20"/>
                <w:szCs w:val="20"/>
                <w:color w:val="auto"/>
              </w:rPr>
            </w:pPr>
            <w:r>
              <w:rPr>
                <w:rFonts w:ascii="Arial" w:cs="Arial" w:eastAsia="Arial" w:hAnsi="Arial"/>
                <w:sz w:val="20"/>
                <w:szCs w:val="20"/>
                <w:color w:val="auto"/>
              </w:rPr>
              <w:t>Liens on insurance proceeds securing the payment of financed insurance premiums</w:t>
            </w:r>
          </w:p>
        </w:tc>
      </w:tr>
    </w:tbl>
    <w:p>
      <w:pPr>
        <w:ind w:right="320"/>
        <w:spacing w:after="0" w:line="243" w:lineRule="auto"/>
        <w:rPr>
          <w:sz w:val="20"/>
          <w:szCs w:val="20"/>
          <w:color w:val="auto"/>
        </w:rPr>
      </w:pPr>
      <w:r>
        <w:rPr>
          <w:rFonts w:ascii="Arial" w:cs="Arial" w:eastAsia="Arial" w:hAnsi="Arial"/>
          <w:sz w:val="20"/>
          <w:szCs w:val="20"/>
          <w:color w:val="auto"/>
        </w:rPr>
        <w:t>that are promptly paid on or before the date they become due (provided that such Liens extend only to such insurance proceeds and not to any other property or assets);</w:t>
      </w:r>
    </w:p>
    <w:p>
      <w:pPr>
        <w:spacing w:after="0" w:line="193" w:lineRule="exact"/>
        <w:rPr>
          <w:sz w:val="20"/>
          <w:szCs w:val="20"/>
          <w:color w:val="auto"/>
        </w:rPr>
      </w:pPr>
    </w:p>
    <w:p>
      <w:pPr>
        <w:ind w:right="120" w:firstLine="1197"/>
        <w:spacing w:after="0" w:line="260" w:lineRule="auto"/>
        <w:rPr>
          <w:sz w:val="20"/>
          <w:szCs w:val="20"/>
          <w:color w:val="auto"/>
        </w:rPr>
      </w:pPr>
      <w:r>
        <w:rPr>
          <w:rFonts w:ascii="Arial" w:cs="Arial" w:eastAsia="Arial" w:hAnsi="Arial"/>
          <w:sz w:val="20"/>
          <w:szCs w:val="20"/>
          <w:color w:val="auto"/>
        </w:rPr>
        <w:t>(xii) statutory and common law rights of set-off and other similar rights as to deposits of cash and securities in favor of banks, other depository institutions and brokerage firms;</w:t>
      </w:r>
    </w:p>
    <w:p>
      <w:pPr>
        <w:spacing w:after="0" w:line="176" w:lineRule="exact"/>
        <w:rPr>
          <w:sz w:val="20"/>
          <w:szCs w:val="20"/>
          <w:color w:val="auto"/>
        </w:rPr>
      </w:pPr>
    </w:p>
    <w:p>
      <w:pPr>
        <w:ind w:right="400" w:firstLine="1197"/>
        <w:spacing w:after="0" w:line="249" w:lineRule="auto"/>
        <w:rPr>
          <w:sz w:val="20"/>
          <w:szCs w:val="20"/>
          <w:color w:val="auto"/>
        </w:rPr>
      </w:pPr>
      <w:r>
        <w:rPr>
          <w:rFonts w:ascii="Arial" w:cs="Arial" w:eastAsia="Arial" w:hAnsi="Arial"/>
          <w:sz w:val="20"/>
          <w:szCs w:val="20"/>
          <w:color w:val="auto"/>
        </w:rPr>
        <w:t>(xiii) easements, zoning restrictions, rights-of-way and similar encumbrances on real property imposed by law or arising in the ordinary course of business so long as they do not materially impair the value or marketability of the related property;</w:t>
      </w:r>
    </w:p>
    <w:p>
      <w:pPr>
        <w:spacing w:after="0" w:line="188" w:lineRule="exact"/>
        <w:rPr>
          <w:sz w:val="20"/>
          <w:szCs w:val="20"/>
          <w:color w:val="auto"/>
        </w:rPr>
      </w:pPr>
    </w:p>
    <w:p>
      <w:pPr>
        <w:ind w:left="1180"/>
        <w:spacing w:after="0"/>
        <w:tabs>
          <w:tab w:leader="none" w:pos="3660" w:val="left"/>
        </w:tabs>
        <w:rPr>
          <w:sz w:val="20"/>
          <w:szCs w:val="20"/>
          <w:color w:val="auto"/>
        </w:rPr>
      </w:pPr>
      <w:r>
        <w:rPr>
          <w:rFonts w:ascii="Arial" w:cs="Arial" w:eastAsia="Arial" w:hAnsi="Arial"/>
          <w:sz w:val="18"/>
          <w:szCs w:val="18"/>
          <w:color w:val="auto"/>
        </w:rPr>
        <w:t>(xiv)</w:t>
      </w:r>
      <w:r>
        <w:rPr>
          <w:sz w:val="20"/>
          <w:szCs w:val="20"/>
          <w:color w:val="auto"/>
        </w:rPr>
        <w:tab/>
      </w:r>
      <w:r>
        <w:rPr>
          <w:rFonts w:ascii="Arial" w:cs="Arial" w:eastAsia="Arial" w:hAnsi="Arial"/>
          <w:sz w:val="18"/>
          <w:szCs w:val="18"/>
          <w:color w:val="auto"/>
        </w:rPr>
        <w:t>(A) Liens on Cash securing obligations permitted under clause (vii) of the definition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of Permitted Indebtedness and (B) security deposits in connection with real property</w:t>
      </w:r>
    </w:p>
    <w:p>
      <w:pPr>
        <w:spacing w:after="0" w:line="19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144145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554" w:right="359" w:bottom="1440" w:gutter="0" w:footer="0" w:header="0"/>
          <w:type w:val="continuous"/>
        </w:sectPr>
      </w:pPr>
    </w:p>
    <w:bookmarkStart w:id="72" w:name="page73"/>
    <w:bookmarkEnd w:id="72"/>
    <w:p>
      <w:pPr>
        <w:ind w:left="880"/>
        <w:spacing w:after="0"/>
        <w:rPr>
          <w:sz w:val="20"/>
          <w:szCs w:val="20"/>
          <w:color w:val="auto"/>
        </w:rPr>
      </w:pPr>
      <w:r>
        <w:rPr>
          <w:rFonts w:ascii="Arial" w:cs="Arial" w:eastAsia="Arial" w:hAnsi="Arial"/>
          <w:sz w:val="20"/>
          <w:szCs w:val="20"/>
          <w:color w:val="auto"/>
        </w:rPr>
        <w:t>leases, the combination of (A) and (B) in an aggregate amount not to exceed $500,000 at any time;</w:t>
      </w:r>
    </w:p>
    <w:p>
      <w:pPr>
        <w:spacing w:after="0" w:line="215" w:lineRule="exact"/>
        <w:rPr>
          <w:sz w:val="20"/>
          <w:szCs w:val="20"/>
          <w:color w:val="auto"/>
        </w:rPr>
      </w:pPr>
    </w:p>
    <w:p>
      <w:pPr>
        <w:ind w:left="880" w:right="560" w:firstLine="1197"/>
        <w:spacing w:after="0" w:line="260" w:lineRule="auto"/>
        <w:rPr>
          <w:sz w:val="20"/>
          <w:szCs w:val="20"/>
          <w:color w:val="auto"/>
        </w:rPr>
      </w:pPr>
      <w:r>
        <w:rPr>
          <w:rFonts w:ascii="Arial" w:cs="Arial" w:eastAsia="Arial" w:hAnsi="Arial"/>
          <w:sz w:val="20"/>
          <w:szCs w:val="20"/>
          <w:color w:val="auto"/>
        </w:rPr>
        <w:t>(xv) Liens incurred in connection with sales, transfers, licenses, sublicenses, leases, subleases or other dispositions of assets in the ordinary course of business and permitted by Section 7.8;</w:t>
      </w:r>
    </w:p>
    <w:p>
      <w:pPr>
        <w:sectPr>
          <w:pgSz w:w="11900" w:h="16838" w:orient="portrait"/>
          <w:cols w:equalWidth="0" w:num="1">
            <w:col w:w="11200"/>
          </w:cols>
          <w:pgMar w:left="320" w:top="554" w:right="379" w:bottom="1440" w:gutter="0" w:footer="0" w:header="0"/>
        </w:sectPr>
      </w:pPr>
    </w:p>
    <w:p>
      <w:pPr>
        <w:spacing w:after="0" w:line="176"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(xvi)</w:t>
      </w:r>
    </w:p>
    <w:p>
      <w:pPr>
        <w:spacing w:after="0" w:line="15"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definition of Permitted Indebtedness;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Liens on Cash securing obligations permitted under clauses (iv) and (x) of the</w:t>
      </w:r>
    </w:p>
    <w:p>
      <w:pPr>
        <w:spacing w:after="0" w:line="445" w:lineRule="exact"/>
        <w:rPr>
          <w:sz w:val="20"/>
          <w:szCs w:val="20"/>
          <w:color w:val="auto"/>
        </w:rPr>
      </w:pPr>
    </w:p>
    <w:p>
      <w:pPr>
        <w:sectPr>
          <w:pgSz w:w="11900" w:h="16838" w:orient="portrait"/>
          <w:cols w:equalWidth="0" w:num="2">
            <w:col w:w="3840" w:space="720"/>
            <w:col w:w="6640"/>
          </w:cols>
          <w:pgMar w:left="320" w:top="554" w:right="379" w:bottom="1440" w:gutter="0" w:footer="0" w:header="0"/>
          <w:type w:val="continuous"/>
        </w:sectPr>
      </w:pPr>
    </w:p>
    <w:p>
      <w:pPr>
        <w:spacing w:after="0" w:line="45" w:lineRule="exact"/>
        <w:rPr>
          <w:sz w:val="20"/>
          <w:szCs w:val="20"/>
          <w:color w:val="auto"/>
        </w:rPr>
      </w:pPr>
    </w:p>
    <w:p>
      <w:pPr>
        <w:ind w:left="880" w:right="220" w:firstLine="1197"/>
        <w:spacing w:after="0" w:line="260" w:lineRule="auto"/>
        <w:rPr>
          <w:sz w:val="20"/>
          <w:szCs w:val="20"/>
          <w:color w:val="auto"/>
        </w:rPr>
      </w:pPr>
      <w:r>
        <w:rPr>
          <w:rFonts w:ascii="Arial" w:cs="Arial" w:eastAsia="Arial" w:hAnsi="Arial"/>
          <w:sz w:val="20"/>
          <w:szCs w:val="20"/>
          <w:color w:val="auto"/>
        </w:rPr>
        <w:t>(xvii) other Liens in an aggregate amount not to exceed $500,000 at any time provided that such liens be limited to specific assets and not all assets or substantially all assets of Borrower; and</w:t>
      </w:r>
    </w:p>
    <w:p>
      <w:pPr>
        <w:spacing w:after="0" w:line="176" w:lineRule="exact"/>
        <w:rPr>
          <w:sz w:val="20"/>
          <w:szCs w:val="20"/>
          <w:color w:val="auto"/>
        </w:rPr>
      </w:pPr>
    </w:p>
    <w:p>
      <w:pPr>
        <w:ind w:left="2060"/>
        <w:spacing w:after="0"/>
        <w:tabs>
          <w:tab w:leader="none" w:pos="4640" w:val="left"/>
        </w:tabs>
        <w:rPr>
          <w:sz w:val="20"/>
          <w:szCs w:val="20"/>
          <w:color w:val="auto"/>
        </w:rPr>
      </w:pPr>
      <w:r>
        <w:rPr>
          <w:rFonts w:ascii="Arial" w:cs="Arial" w:eastAsia="Arial" w:hAnsi="Arial"/>
          <w:sz w:val="18"/>
          <w:szCs w:val="18"/>
          <w:color w:val="auto"/>
        </w:rPr>
        <w:t>(xviii)</w:t>
      </w:r>
      <w:r>
        <w:rPr>
          <w:sz w:val="20"/>
          <w:szCs w:val="20"/>
          <w:color w:val="auto"/>
        </w:rPr>
        <w:tab/>
      </w:r>
      <w:r>
        <w:rPr>
          <w:rFonts w:ascii="Arial" w:cs="Arial" w:eastAsia="Arial" w:hAnsi="Arial"/>
          <w:sz w:val="18"/>
          <w:szCs w:val="18"/>
          <w:color w:val="auto"/>
        </w:rPr>
        <w:t>Liens incurred in connection with the extension, renewal or refinancing of the</w:t>
      </w:r>
    </w:p>
    <w:p>
      <w:pPr>
        <w:sectPr>
          <w:pgSz w:w="11900" w:h="16838" w:orient="portrait"/>
          <w:cols w:equalWidth="0" w:num="1">
            <w:col w:w="11200"/>
          </w:cols>
          <w:pgMar w:left="320" w:top="554" w:right="379" w:bottom="1440" w:gutter="0" w:footer="0" w:header="0"/>
          <w:type w:val="continuous"/>
        </w:sectPr>
      </w:pPr>
    </w:p>
    <w:p>
      <w:pPr>
        <w:spacing w:after="0" w:line="43" w:lineRule="exact"/>
        <w:rPr>
          <w:sz w:val="20"/>
          <w:szCs w:val="20"/>
          <w:color w:val="auto"/>
        </w:rPr>
      </w:pPr>
    </w:p>
    <w:p>
      <w:pPr>
        <w:jc w:val="both"/>
        <w:ind w:left="880" w:right="300"/>
        <w:spacing w:after="0" w:line="328" w:lineRule="auto"/>
        <w:rPr>
          <w:sz w:val="20"/>
          <w:szCs w:val="20"/>
          <w:color w:val="auto"/>
        </w:rPr>
      </w:pPr>
      <w:r>
        <w:rPr>
          <w:rFonts w:ascii="Arial" w:cs="Arial" w:eastAsia="Arial" w:hAnsi="Arial"/>
          <w:sz w:val="16"/>
          <w:szCs w:val="16"/>
          <w:color w:val="auto"/>
        </w:rPr>
        <w:t>Indebtedness secured by Liens of the type described in clauses (i) through (xvii)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28"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“Permitted Transfers” means:</w:t>
      </w:r>
    </w:p>
    <w:p>
      <w:pPr>
        <w:sectPr>
          <w:pgSz w:w="11900" w:h="16838" w:orient="portrait"/>
          <w:cols w:equalWidth="0" w:num="1">
            <w:col w:w="11200"/>
          </w:cols>
          <w:pgMar w:left="320" w:top="554" w:right="379" w:bottom="1440" w:gutter="0" w:footer="0" w:header="0"/>
          <w:type w:val="continuous"/>
        </w:sectPr>
      </w:pPr>
    </w:p>
    <w:p>
      <w:pPr>
        <w:spacing w:after="0" w:line="21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sales, transfers or other dispositions of Inventory in the ordinary course of business,</w:t>
      </w:r>
    </w:p>
    <w:p>
      <w:pPr>
        <w:spacing w:after="0" w:line="245" w:lineRule="exact"/>
        <w:rPr>
          <w:sz w:val="20"/>
          <w:szCs w:val="20"/>
          <w:color w:val="auto"/>
        </w:rPr>
      </w:pPr>
    </w:p>
    <w:p>
      <w:pPr>
        <w:sectPr>
          <w:pgSz w:w="11900" w:h="16838" w:orient="portrait"/>
          <w:cols w:equalWidth="0" w:num="2">
            <w:col w:w="3640" w:space="720"/>
            <w:col w:w="6840"/>
          </w:cols>
          <w:pgMar w:left="320" w:top="554" w:right="379" w:bottom="1440" w:gutter="0" w:footer="0" w:header="0"/>
          <w:type w:val="continuous"/>
        </w:sectPr>
      </w:pPr>
    </w:p>
    <w:p>
      <w:pPr>
        <w:spacing w:after="0" w:line="15" w:lineRule="exact"/>
        <w:rPr>
          <w:sz w:val="20"/>
          <w:szCs w:val="20"/>
          <w:color w:val="auto"/>
        </w:rPr>
      </w:pPr>
    </w:p>
    <w:p>
      <w:pPr>
        <w:ind w:left="2060"/>
        <w:spacing w:after="0"/>
        <w:tabs>
          <w:tab w:leader="none" w:pos="438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6"/>
          <w:szCs w:val="16"/>
          <w:color w:val="auto"/>
        </w:rPr>
        <w:t>non-exclusive licenses, sublicenses and similar arrangements for the use of Intellectual</w:t>
      </w:r>
    </w:p>
    <w:p>
      <w:pPr>
        <w:sectPr>
          <w:pgSz w:w="11900" w:h="16838" w:orient="portrait"/>
          <w:cols w:equalWidth="0" w:num="1">
            <w:col w:w="11200"/>
          </w:cols>
          <w:pgMar w:left="320" w:top="554" w:right="379" w:bottom="1440" w:gutter="0" w:footer="0" w:header="0"/>
          <w:type w:val="continuous"/>
        </w:sectPr>
      </w:pPr>
    </w:p>
    <w:p>
      <w:pPr>
        <w:spacing w:after="0" w:line="66" w:lineRule="exact"/>
        <w:rPr>
          <w:sz w:val="20"/>
          <w:szCs w:val="20"/>
          <w:color w:val="auto"/>
        </w:rPr>
      </w:pPr>
    </w:p>
    <w:p>
      <w:pPr>
        <w:ind w:left="880" w:right="340"/>
        <w:spacing w:after="0" w:line="328" w:lineRule="auto"/>
        <w:rPr>
          <w:sz w:val="20"/>
          <w:szCs w:val="20"/>
          <w:color w:val="auto"/>
        </w:rPr>
      </w:pPr>
      <w:r>
        <w:rPr>
          <w:rFonts w:ascii="Arial" w:cs="Arial" w:eastAsia="Arial" w:hAnsi="Arial"/>
          <w:sz w:val="16"/>
          <w:szCs w:val="16"/>
          <w:color w:val="auto"/>
        </w:rPr>
        <w:t>Property and related assets in the ordinary course of business and other licenses and sublicenses that could not result in a legal transfer of title of the licensed property but that may be exclusive in respects other than territory and that may be exclusive as to territory only as to discreet geographical areas outside of the United States of America in the ordinary course of business,</w:t>
      </w:r>
    </w:p>
    <w:p>
      <w:pPr>
        <w:sectPr>
          <w:pgSz w:w="11900" w:h="16838" w:orient="portrait"/>
          <w:cols w:equalWidth="0" w:num="1">
            <w:col w:w="11200"/>
          </w:cols>
          <w:pgMar w:left="320" w:top="554" w:right="379" w:bottom="1440" w:gutter="0" w:footer="0" w:header="0"/>
          <w:type w:val="continuous"/>
        </w:sectPr>
      </w:pPr>
    </w:p>
    <w:p>
      <w:pPr>
        <w:spacing w:after="0" w:line="128" w:lineRule="exact"/>
        <w:rPr>
          <w:sz w:val="20"/>
          <w:szCs w:val="20"/>
          <w:color w:val="auto"/>
        </w:rPr>
      </w:pPr>
    </w:p>
    <w:p>
      <w:pPr>
        <w:ind w:left="2060"/>
        <w:spacing w:after="0"/>
        <w:rPr>
          <w:sz w:val="20"/>
          <w:szCs w:val="20"/>
          <w:color w:val="auto"/>
        </w:rPr>
      </w:pPr>
      <w:r>
        <w:rPr>
          <w:rFonts w:ascii="Arial" w:cs="Arial" w:eastAsia="Arial" w:hAnsi="Arial"/>
          <w:sz w:val="20"/>
          <w:szCs w:val="20"/>
          <w:color w:val="auto"/>
        </w:rPr>
        <w:t>(iii)</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ordinary course of business,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dispositions of worn-out, obsolete or surplus Equipment at fair market value in the</w:t>
      </w:r>
    </w:p>
    <w:p>
      <w:pPr>
        <w:spacing w:after="0" w:line="445" w:lineRule="exact"/>
        <w:rPr>
          <w:sz w:val="20"/>
          <w:szCs w:val="20"/>
          <w:color w:val="auto"/>
        </w:rPr>
      </w:pPr>
    </w:p>
    <w:p>
      <w:pPr>
        <w:sectPr>
          <w:pgSz w:w="11900" w:h="16838" w:orient="portrait"/>
          <w:cols w:equalWidth="0" w:num="2">
            <w:col w:w="3740" w:space="720"/>
            <w:col w:w="6740"/>
          </w:cols>
          <w:pgMar w:left="320" w:top="554" w:right="379" w:bottom="1440" w:gutter="0" w:footer="0" w:header="0"/>
          <w:type w:val="continuous"/>
        </w:sectPr>
      </w:pPr>
    </w:p>
    <w:p>
      <w:pPr>
        <w:spacing w:after="0" w:line="45" w:lineRule="exact"/>
        <w:rPr>
          <w:sz w:val="20"/>
          <w:szCs w:val="20"/>
          <w:color w:val="auto"/>
        </w:rPr>
      </w:pPr>
    </w:p>
    <w:p>
      <w:pPr>
        <w:jc w:val="center"/>
        <w:ind w:left="68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transfers expressly permitted under Sections 7.5, 7.6 or 7.7, and</w:t>
      </w:r>
    </w:p>
    <w:p>
      <w:pPr>
        <w:spacing w:after="0" w:line="245" w:lineRule="exact"/>
        <w:rPr>
          <w:sz w:val="20"/>
          <w:szCs w:val="20"/>
          <w:color w:val="auto"/>
        </w:rPr>
      </w:pPr>
    </w:p>
    <w:p>
      <w:pPr>
        <w:sectPr>
          <w:pgSz w:w="11900" w:h="16838" w:orient="portrait"/>
          <w:cols w:equalWidth="0" w:num="2">
            <w:col w:w="3740" w:space="720"/>
            <w:col w:w="6740"/>
          </w:cols>
          <w:pgMar w:left="320" w:top="554" w:right="379" w:bottom="1440" w:gutter="0" w:footer="0" w:header="0"/>
          <w:type w:val="continuous"/>
        </w:sectPr>
      </w:pPr>
    </w:p>
    <w:p>
      <w:pPr>
        <w:spacing w:after="0" w:line="15" w:lineRule="exact"/>
        <w:rPr>
          <w:sz w:val="20"/>
          <w:szCs w:val="20"/>
          <w:color w:val="auto"/>
        </w:rPr>
      </w:pPr>
    </w:p>
    <w:p>
      <w:pPr>
        <w:ind w:left="2060"/>
        <w:spacing w:after="0"/>
        <w:rPr>
          <w:sz w:val="20"/>
          <w:szCs w:val="20"/>
          <w:color w:val="auto"/>
        </w:rPr>
      </w:pPr>
      <w:r>
        <w:rPr>
          <w:rFonts w:ascii="Arial" w:cs="Arial" w:eastAsia="Arial" w:hAnsi="Arial"/>
          <w:sz w:val="20"/>
          <w:szCs w:val="20"/>
          <w:color w:val="auto"/>
        </w:rPr>
        <w:t>(v)</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aggregate in any fiscal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Transfers of assets having a fair market value of not more than $500,000 in the</w:t>
      </w:r>
    </w:p>
    <w:p>
      <w:pPr>
        <w:spacing w:after="0" w:line="445" w:lineRule="exact"/>
        <w:rPr>
          <w:sz w:val="20"/>
          <w:szCs w:val="20"/>
          <w:color w:val="auto"/>
        </w:rPr>
      </w:pPr>
    </w:p>
    <w:p>
      <w:pPr>
        <w:sectPr>
          <w:pgSz w:w="11900" w:h="16838" w:orient="portrait"/>
          <w:cols w:equalWidth="0" w:num="2">
            <w:col w:w="3680" w:space="720"/>
            <w:col w:w="6800"/>
          </w:cols>
          <w:pgMar w:left="320" w:top="554" w:right="379" w:bottom="1440" w:gutter="0" w:footer="0" w:header="0"/>
          <w:type w:val="continuous"/>
        </w:sectPr>
      </w:pPr>
    </w:p>
    <w:p>
      <w:pPr>
        <w:spacing w:after="0" w:line="45" w:lineRule="exact"/>
        <w:rPr>
          <w:sz w:val="20"/>
          <w:szCs w:val="20"/>
          <w:color w:val="auto"/>
        </w:rPr>
      </w:pPr>
    </w:p>
    <w:p>
      <w:pPr>
        <w:ind w:right="600" w:firstLine="1728"/>
        <w:spacing w:after="0" w:line="260" w:lineRule="auto"/>
        <w:rPr>
          <w:sz w:val="20"/>
          <w:szCs w:val="20"/>
          <w:color w:val="auto"/>
        </w:rPr>
      </w:pPr>
      <w:r>
        <w:rPr>
          <w:rFonts w:ascii="Arial" w:cs="Arial" w:eastAsia="Arial" w:hAnsi="Arial"/>
          <w:sz w:val="20"/>
          <w:szCs w:val="20"/>
          <w:color w:val="auto"/>
        </w:rPr>
        <w:t>“Person” means any individual, sole proprietorship, partnership, joint venture, trust, unincorporated organization, association, corporation, limited liability company, institution, other entity or government.</w:t>
      </w:r>
    </w:p>
    <w:p>
      <w:pPr>
        <w:spacing w:after="0" w:line="176" w:lineRule="exact"/>
        <w:rPr>
          <w:sz w:val="20"/>
          <w:szCs w:val="20"/>
          <w:color w:val="auto"/>
        </w:rPr>
      </w:pPr>
    </w:p>
    <w:p>
      <w:pPr>
        <w:ind w:right="340" w:firstLine="1728"/>
        <w:spacing w:after="0" w:line="260" w:lineRule="auto"/>
        <w:rPr>
          <w:sz w:val="20"/>
          <w:szCs w:val="20"/>
          <w:color w:val="auto"/>
        </w:rPr>
      </w:pPr>
      <w:r>
        <w:rPr>
          <w:rFonts w:ascii="Arial" w:cs="Arial" w:eastAsia="Arial" w:hAnsi="Arial"/>
          <w:sz w:val="20"/>
          <w:szCs w:val="20"/>
          <w:color w:val="auto"/>
        </w:rPr>
        <w:t>“Pledge Agreement” means the Pledge Agreement dated as of the Closing Date between Borrower and Agent, as the same may from time to time be amended, restated, modified or otherwise supplemented.</w:t>
      </w:r>
    </w:p>
    <w:p>
      <w:pPr>
        <w:spacing w:after="0" w:line="176" w:lineRule="exact"/>
        <w:rPr>
          <w:sz w:val="20"/>
          <w:szCs w:val="20"/>
          <w:color w:val="auto"/>
        </w:rPr>
      </w:pPr>
    </w:p>
    <w:p>
      <w:pPr>
        <w:ind w:right="400" w:firstLine="1728"/>
        <w:spacing w:after="0" w:line="260" w:lineRule="auto"/>
        <w:rPr>
          <w:sz w:val="20"/>
          <w:szCs w:val="20"/>
          <w:color w:val="auto"/>
        </w:rPr>
      </w:pPr>
      <w:r>
        <w:rPr>
          <w:rFonts w:ascii="Arial" w:cs="Arial" w:eastAsia="Arial" w:hAnsi="Arial"/>
          <w:sz w:val="20"/>
          <w:szCs w:val="20"/>
          <w:color w:val="auto"/>
        </w:rPr>
        <w:t>“Qualified Cash” means the amount of Borrower’s Cash held in accounts in the United States subject to an Account Control Agreement in favor of Agent.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type w:val="continuous"/>
        </w:sectPr>
      </w:pPr>
    </w:p>
    <w:bookmarkStart w:id="73" w:name="page74"/>
    <w:bookmarkEnd w:id="73"/>
    <w:p>
      <w:pPr>
        <w:ind w:right="400" w:firstLine="1728"/>
        <w:spacing w:after="0" w:line="260" w:lineRule="auto"/>
        <w:rPr>
          <w:sz w:val="20"/>
          <w:szCs w:val="20"/>
          <w:color w:val="auto"/>
        </w:rPr>
      </w:pPr>
      <w:r>
        <w:rPr>
          <w:rFonts w:ascii="Arial" w:cs="Arial" w:eastAsia="Arial" w:hAnsi="Arial"/>
          <w:sz w:val="20"/>
          <w:szCs w:val="20"/>
          <w:color w:val="auto"/>
        </w:rPr>
        <w:t>“Qualified Cash A/P Amount” means the amount of Borrower’s and its Subsidiaries’ accounts payable that have not been paid within ninety (90) days from the due date of the relevant account payable.</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“Qualified Subsidiary” means any direct or indirect Subsidiary other than an Excluded Subsidiary.</w:t>
      </w:r>
    </w:p>
    <w:p>
      <w:pPr>
        <w:spacing w:after="0" w:line="215" w:lineRule="exact"/>
        <w:rPr>
          <w:sz w:val="20"/>
          <w:szCs w:val="20"/>
          <w:color w:val="auto"/>
        </w:rPr>
      </w:pPr>
    </w:p>
    <w:p>
      <w:pPr>
        <w:jc w:val="both"/>
        <w:ind w:right="120" w:firstLine="1728"/>
        <w:spacing w:after="0" w:line="249" w:lineRule="auto"/>
        <w:rPr>
          <w:sz w:val="20"/>
          <w:szCs w:val="20"/>
          <w:color w:val="auto"/>
        </w:rPr>
      </w:pPr>
      <w:r>
        <w:rPr>
          <w:rFonts w:ascii="Arial" w:cs="Arial" w:eastAsia="Arial" w:hAnsi="Arial"/>
          <w:sz w:val="20"/>
          <w:szCs w:val="20"/>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88" w:lineRule="exact"/>
        <w:rPr>
          <w:sz w:val="20"/>
          <w:szCs w:val="20"/>
          <w:color w:val="auto"/>
        </w:rPr>
      </w:pPr>
    </w:p>
    <w:p>
      <w:pPr>
        <w:ind w:right="440" w:firstLine="1728"/>
        <w:spacing w:after="0" w:line="260" w:lineRule="auto"/>
        <w:rPr>
          <w:sz w:val="20"/>
          <w:szCs w:val="20"/>
          <w:color w:val="auto"/>
        </w:rPr>
      </w:pPr>
      <w:r>
        <w:rPr>
          <w:rFonts w:ascii="Arial" w:cs="Arial" w:eastAsia="Arial" w:hAnsi="Arial"/>
          <w:sz w:val="20"/>
          <w:szCs w:val="20"/>
          <w:color w:val="auto"/>
        </w:rPr>
        <w:t>“Required Lenders” means at any time, the holders of more than 50% of the sum of the aggregate unpaid principal amount of the Term Loans then outstanding.</w:t>
      </w:r>
    </w:p>
    <w:p>
      <w:pPr>
        <w:spacing w:after="0" w:line="17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“Restricted License” means any material License or other agreement with respect to which Borrower is the licensee</w:t>
      </w:r>
    </w:p>
    <w:p>
      <w:pPr>
        <w:spacing w:after="0" w:line="38" w:lineRule="exact"/>
        <w:rPr>
          <w:sz w:val="20"/>
          <w:szCs w:val="20"/>
          <w:color w:val="auto"/>
        </w:rPr>
      </w:pPr>
    </w:p>
    <w:p>
      <w:pPr>
        <w:ind w:right="120" w:firstLine="8"/>
        <w:spacing w:after="0" w:line="268" w:lineRule="auto"/>
        <w:tabs>
          <w:tab w:leader="none" w:pos="269"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that prohibits or otherwise restricts Borrower from granting a security interest in Borrower’s interest in such License or agreement or any other property, or (b) for which a default under or termination of could interfere with the Agent’s right to sell any Collateral.</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“Sanctioned Country” means, at any time, a country or territory which is the subject or target of any Sanctions.</w:t>
      </w:r>
    </w:p>
    <w:p>
      <w:pPr>
        <w:spacing w:after="0" w:line="226" w:lineRule="exact"/>
        <w:rPr>
          <w:sz w:val="20"/>
          <w:szCs w:val="20"/>
          <w:color w:val="auto"/>
        </w:rPr>
      </w:pPr>
    </w:p>
    <w:p>
      <w:pPr>
        <w:ind w:right="220" w:firstLine="1728"/>
        <w:spacing w:after="0" w:line="246" w:lineRule="auto"/>
        <w:rPr>
          <w:sz w:val="20"/>
          <w:szCs w:val="20"/>
          <w:color w:val="auto"/>
        </w:rPr>
      </w:pPr>
      <w:r>
        <w:rPr>
          <w:rFonts w:ascii="Arial" w:cs="Arial" w:eastAsia="Arial" w:hAnsi="Arial"/>
          <w:sz w:val="20"/>
          <w:szCs w:val="20"/>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90" w:lineRule="exact"/>
        <w:rPr>
          <w:sz w:val="20"/>
          <w:szCs w:val="20"/>
          <w:color w:val="auto"/>
        </w:rPr>
      </w:pPr>
    </w:p>
    <w:p>
      <w:pPr>
        <w:ind w:right="100" w:firstLine="1728"/>
        <w:spacing w:after="0" w:line="246" w:lineRule="auto"/>
        <w:rPr>
          <w:sz w:val="20"/>
          <w:szCs w:val="20"/>
          <w:color w:val="auto"/>
        </w:rPr>
      </w:pPr>
      <w:r>
        <w:rPr>
          <w:rFonts w:ascii="Arial" w:cs="Arial" w:eastAsia="Arial" w:hAnsi="Arial"/>
          <w:sz w:val="20"/>
          <w:szCs w:val="20"/>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90" w:lineRule="exact"/>
        <w:rPr>
          <w:sz w:val="20"/>
          <w:szCs w:val="20"/>
          <w:color w:val="auto"/>
        </w:rPr>
      </w:pPr>
    </w:p>
    <w:p>
      <w:pPr>
        <w:ind w:right="460" w:firstLine="1728"/>
        <w:spacing w:after="0" w:line="260" w:lineRule="auto"/>
        <w:rPr>
          <w:sz w:val="20"/>
          <w:szCs w:val="20"/>
          <w:color w:val="auto"/>
        </w:rPr>
      </w:pPr>
      <w:r>
        <w:rPr>
          <w:rFonts w:ascii="Arial" w:cs="Arial" w:eastAsia="Arial" w:hAnsi="Arial"/>
          <w:sz w:val="20"/>
          <w:szCs w:val="20"/>
          <w:color w:val="auto"/>
        </w:rPr>
        <w:t>“Secured Obligations” means Borrower’s obligations under this Agreement and any Loan Document, including any obligation to pay any amount now owing or later arising.</w:t>
      </w:r>
    </w:p>
    <w:p>
      <w:pPr>
        <w:spacing w:after="0" w:line="176" w:lineRule="exact"/>
        <w:rPr>
          <w:sz w:val="20"/>
          <w:szCs w:val="20"/>
          <w:color w:val="auto"/>
        </w:rPr>
      </w:pPr>
    </w:p>
    <w:p>
      <w:pPr>
        <w:ind w:firstLine="1728"/>
        <w:spacing w:after="0" w:line="249" w:lineRule="auto"/>
        <w:rPr>
          <w:sz w:val="20"/>
          <w:szCs w:val="20"/>
          <w:color w:val="auto"/>
        </w:rPr>
      </w:pPr>
      <w:r>
        <w:rPr>
          <w:rFonts w:ascii="Arial" w:cs="Arial" w:eastAsia="Arial" w:hAnsi="Arial"/>
          <w:sz w:val="20"/>
          <w:szCs w:val="20"/>
          <w:color w:val="auto"/>
        </w:rPr>
        <w:t>“Subordinated Indebtedness”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188" w:lineRule="exact"/>
        <w:rPr>
          <w:sz w:val="20"/>
          <w:szCs w:val="20"/>
          <w:color w:val="auto"/>
        </w:rPr>
      </w:pPr>
    </w:p>
    <w:p>
      <w:pPr>
        <w:ind w:right="20" w:firstLine="1728"/>
        <w:spacing w:after="0" w:line="315" w:lineRule="auto"/>
        <w:rPr>
          <w:sz w:val="20"/>
          <w:szCs w:val="20"/>
          <w:color w:val="auto"/>
        </w:rPr>
      </w:pPr>
      <w:r>
        <w:rPr>
          <w:rFonts w:ascii="Arial" w:cs="Arial" w:eastAsia="Arial" w:hAnsi="Arial"/>
          <w:sz w:val="18"/>
          <w:szCs w:val="18"/>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31"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“Syndax UK” means Syndax Limited, a limited company organized under the law of England and Wales.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4" w:name="page75"/>
    <w:bookmarkEnd w:id="74"/>
    <w:p>
      <w:pPr>
        <w:ind w:right="260" w:firstLine="1728"/>
        <w:spacing w:after="0" w:line="249" w:lineRule="auto"/>
        <w:rPr>
          <w:sz w:val="20"/>
          <w:szCs w:val="20"/>
          <w:color w:val="auto"/>
        </w:rPr>
      </w:pPr>
      <w:r>
        <w:rPr>
          <w:rFonts w:ascii="Arial" w:cs="Arial" w:eastAsia="Arial" w:hAnsi="Arial"/>
          <w:sz w:val="20"/>
          <w:szCs w:val="20"/>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8" w:lineRule="exact"/>
        <w:rPr>
          <w:sz w:val="20"/>
          <w:szCs w:val="20"/>
          <w:color w:val="auto"/>
        </w:rPr>
      </w:pPr>
    </w:p>
    <w:p>
      <w:pPr>
        <w:jc w:val="both"/>
        <w:ind w:right="160" w:firstLine="1728"/>
        <w:spacing w:after="0" w:line="249" w:lineRule="auto"/>
        <w:rPr>
          <w:sz w:val="20"/>
          <w:szCs w:val="20"/>
          <w:color w:val="auto"/>
        </w:rPr>
      </w:pPr>
      <w:r>
        <w:rPr>
          <w:rFonts w:ascii="Arial" w:cs="Arial" w:eastAsia="Arial" w:hAnsi="Arial"/>
          <w:sz w:val="20"/>
          <w:szCs w:val="20"/>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88" w:lineRule="exact"/>
        <w:rPr>
          <w:sz w:val="20"/>
          <w:szCs w:val="20"/>
          <w:color w:val="auto"/>
        </w:rPr>
      </w:pPr>
    </w:p>
    <w:p>
      <w:pPr>
        <w:ind w:firstLine="1728"/>
        <w:spacing w:after="0" w:line="260" w:lineRule="auto"/>
        <w:rPr>
          <w:sz w:val="20"/>
          <w:szCs w:val="20"/>
          <w:color w:val="auto"/>
        </w:rPr>
      </w:pPr>
      <w:r>
        <w:rPr>
          <w:rFonts w:ascii="Arial" w:cs="Arial" w:eastAsia="Arial" w:hAnsi="Arial"/>
          <w:sz w:val="20"/>
          <w:szCs w:val="20"/>
          <w:color w:val="auto"/>
        </w:rPr>
        <w:t>“Term Loan Advance” means each Tranche 1 Advance, Tranche 2 Advance, and any other Term Loan funds advanced under this Agreement.</w:t>
      </w:r>
    </w:p>
    <w:p>
      <w:pPr>
        <w:spacing w:after="0" w:line="176" w:lineRule="exact"/>
        <w:rPr>
          <w:sz w:val="20"/>
          <w:szCs w:val="20"/>
          <w:color w:val="auto"/>
        </w:rPr>
      </w:pPr>
    </w:p>
    <w:p>
      <w:pPr>
        <w:ind w:right="80" w:firstLine="1728"/>
        <w:spacing w:after="0" w:line="260" w:lineRule="auto"/>
        <w:rPr>
          <w:sz w:val="20"/>
          <w:szCs w:val="20"/>
          <w:color w:val="auto"/>
        </w:rPr>
      </w:pPr>
      <w:r>
        <w:rPr>
          <w:rFonts w:ascii="Arial" w:cs="Arial" w:eastAsia="Arial" w:hAnsi="Arial"/>
          <w:sz w:val="20"/>
          <w:szCs w:val="20"/>
          <w:color w:val="auto"/>
        </w:rPr>
        <w:t>“Term Loan Interest Rate” means, for any day a per annum rate of interest equal to the greater of either (i) the prime rate as reported in The Wall Street Journal plus 5.10%, and (ii) 9.85%.</w:t>
      </w:r>
    </w:p>
    <w:p>
      <w:pPr>
        <w:spacing w:after="0" w:line="176" w:lineRule="exact"/>
        <w:rPr>
          <w:sz w:val="20"/>
          <w:szCs w:val="20"/>
          <w:color w:val="auto"/>
        </w:rPr>
      </w:pPr>
    </w:p>
    <w:p>
      <w:pPr>
        <w:ind w:right="120" w:firstLine="1728"/>
        <w:spacing w:after="0" w:line="249" w:lineRule="auto"/>
        <w:rPr>
          <w:sz w:val="20"/>
          <w:szCs w:val="20"/>
          <w:color w:val="auto"/>
        </w:rPr>
      </w:pPr>
      <w:r>
        <w:rPr>
          <w:rFonts w:ascii="Arial" w:cs="Arial" w:eastAsia="Arial" w:hAnsi="Arial"/>
          <w:sz w:val="20"/>
          <w:szCs w:val="20"/>
          <w:color w:val="auto"/>
        </w:rPr>
        <w:t>“Term Loan Maturity Date” means September 1, 2023; provided however, if Borrower achieves Performance Milestone I, then March 1, 2024; provided further that if any such day is not a Business Day, the Term Loan Maturity Date shall be the immediately preceding Business Day.</w:t>
      </w:r>
    </w:p>
    <w:p>
      <w:pPr>
        <w:spacing w:after="0" w:line="188" w:lineRule="exact"/>
        <w:rPr>
          <w:sz w:val="20"/>
          <w:szCs w:val="20"/>
          <w:color w:val="auto"/>
        </w:rPr>
      </w:pPr>
    </w:p>
    <w:p>
      <w:pPr>
        <w:ind w:right="180" w:firstLine="1728"/>
        <w:spacing w:after="0" w:line="286" w:lineRule="auto"/>
        <w:rPr>
          <w:sz w:val="20"/>
          <w:szCs w:val="20"/>
          <w:color w:val="auto"/>
        </w:rPr>
      </w:pPr>
      <w:r>
        <w:rPr>
          <w:rFonts w:ascii="Arial" w:cs="Arial" w:eastAsia="Arial" w:hAnsi="Arial"/>
          <w:sz w:val="19"/>
          <w:szCs w:val="19"/>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53" w:lineRule="exact"/>
        <w:rPr>
          <w:sz w:val="20"/>
          <w:szCs w:val="20"/>
          <w:color w:val="auto"/>
        </w:rPr>
      </w:pPr>
    </w:p>
    <w:p>
      <w:pPr>
        <w:ind w:right="20" w:firstLine="1728"/>
        <w:spacing w:after="0" w:line="269" w:lineRule="auto"/>
        <w:rPr>
          <w:sz w:val="20"/>
          <w:szCs w:val="20"/>
          <w:color w:val="auto"/>
        </w:rPr>
      </w:pPr>
      <w:r>
        <w:rPr>
          <w:rFonts w:ascii="Arial" w:cs="Arial" w:eastAsia="Arial" w:hAnsi="Arial"/>
          <w:sz w:val="19"/>
          <w:szCs w:val="19"/>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6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“Tranche 2 Facility Charge” means 0.5% of each Tranche 2 Advance, which is payable to Lender in accordance with</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Section 4.2(d).</w:t>
      </w:r>
    </w:p>
    <w:p>
      <w:pPr>
        <w:spacing w:after="0" w:line="199" w:lineRule="exact"/>
        <w:rPr>
          <w:sz w:val="20"/>
          <w:szCs w:val="20"/>
          <w:color w:val="auto"/>
        </w:rPr>
      </w:pPr>
    </w:p>
    <w:p>
      <w:pPr>
        <w:ind w:right="180" w:firstLine="1728"/>
        <w:spacing w:after="0" w:line="243" w:lineRule="auto"/>
        <w:rPr>
          <w:sz w:val="20"/>
          <w:szCs w:val="20"/>
          <w:color w:val="auto"/>
        </w:rPr>
      </w:pPr>
      <w:r>
        <w:rPr>
          <w:rFonts w:ascii="Arial" w:cs="Arial" w:eastAsia="Arial" w:hAnsi="Arial"/>
          <w:sz w:val="20"/>
          <w:szCs w:val="20"/>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94" w:lineRule="exact"/>
        <w:rPr>
          <w:sz w:val="20"/>
          <w:szCs w:val="20"/>
          <w:color w:val="auto"/>
        </w:rPr>
      </w:pPr>
    </w:p>
    <w:tbl>
      <w:tblPr>
        <w:tblLayout w:type="fixed"/>
        <w:tblInd w:w="88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9040" w:type="dxa"/>
            <w:vAlign w:val="bottom"/>
            <w:gridSpan w:val="4"/>
          </w:tcPr>
          <w:p>
            <w:pPr>
              <w:ind w:left="320"/>
              <w:spacing w:after="0"/>
              <w:rPr>
                <w:sz w:val="20"/>
                <w:szCs w:val="20"/>
                <w:color w:val="auto"/>
              </w:rPr>
            </w:pPr>
            <w:r>
              <w:rPr>
                <w:rFonts w:ascii="Arial" w:cs="Arial" w:eastAsia="Arial" w:hAnsi="Arial"/>
                <w:sz w:val="20"/>
                <w:szCs w:val="20"/>
                <w:color w:val="auto"/>
                <w:w w:val="87"/>
              </w:rPr>
              <w:t>“U.S. Person” means any Person that is a “United States person” as defined in Section 7701(a)(30) of the Code.</w:t>
            </w:r>
          </w:p>
        </w:tc>
      </w:tr>
      <w:tr>
        <w:trPr>
          <w:trHeight w:val="445"/>
        </w:trPr>
        <w:tc>
          <w:tcPr>
            <w:tcW w:w="540" w:type="dxa"/>
            <w:vAlign w:val="bottom"/>
          </w:tcPr>
          <w:p>
            <w:pPr>
              <w:jc w:val="right"/>
              <w:ind w:right="201"/>
              <w:spacing w:after="0"/>
              <w:rPr>
                <w:sz w:val="20"/>
                <w:szCs w:val="20"/>
                <w:color w:val="auto"/>
              </w:rPr>
            </w:pPr>
            <w:r>
              <w:rPr>
                <w:rFonts w:ascii="Arial" w:cs="Arial" w:eastAsia="Arial" w:hAnsi="Arial"/>
                <w:sz w:val="20"/>
                <w:szCs w:val="20"/>
                <w:color w:val="auto"/>
                <w:w w:val="78"/>
              </w:rPr>
              <w:t>1.2</w:t>
            </w:r>
          </w:p>
        </w:tc>
        <w:tc>
          <w:tcPr>
            <w:tcW w:w="9040" w:type="dxa"/>
            <w:vAlign w:val="bottom"/>
            <w:gridSpan w:val="4"/>
          </w:tcPr>
          <w:p>
            <w:pPr>
              <w:ind w:left="340"/>
              <w:spacing w:after="0"/>
              <w:rPr>
                <w:sz w:val="20"/>
                <w:szCs w:val="20"/>
                <w:color w:val="auto"/>
              </w:rPr>
            </w:pPr>
            <w:r>
              <w:rPr>
                <w:rFonts w:ascii="Arial" w:cs="Arial" w:eastAsia="Arial" w:hAnsi="Arial"/>
                <w:sz w:val="20"/>
                <w:szCs w:val="20"/>
                <w:color w:val="auto"/>
              </w:rPr>
              <w:t>The following terms are defined in the Sections or subsections referenced opposite such terms:</w:t>
            </w:r>
          </w:p>
        </w:tc>
      </w:tr>
      <w:tr>
        <w:trPr>
          <w:trHeight w:val="212"/>
        </w:trPr>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40" w:type="dxa"/>
            <w:vAlign w:val="bottom"/>
            <w:tcBorders>
              <w:bottom w:val="single" w:sz="8" w:color="666666"/>
            </w:tcBorders>
          </w:tcPr>
          <w:p>
            <w:pPr>
              <w:spacing w:after="0"/>
              <w:rPr>
                <w:sz w:val="18"/>
                <w:szCs w:val="18"/>
                <w:color w:val="auto"/>
              </w:rPr>
            </w:pPr>
          </w:p>
        </w:tc>
        <w:tc>
          <w:tcPr>
            <w:tcW w:w="2900" w:type="dxa"/>
            <w:vAlign w:val="bottom"/>
            <w:tcBorders>
              <w:bottom w:val="single" w:sz="8" w:color="666666"/>
            </w:tcBorders>
          </w:tcPr>
          <w:p>
            <w:pPr>
              <w:spacing w:after="0"/>
              <w:rPr>
                <w:sz w:val="18"/>
                <w:szCs w:val="18"/>
                <w:color w:val="auto"/>
              </w:rPr>
            </w:pPr>
          </w:p>
        </w:tc>
        <w:tc>
          <w:tcPr>
            <w:tcW w:w="1740" w:type="dxa"/>
            <w:vAlign w:val="bottom"/>
          </w:tcPr>
          <w:p>
            <w:pPr>
              <w:spacing w:after="0"/>
              <w:rPr>
                <w:sz w:val="18"/>
                <w:szCs w:val="18"/>
                <w:color w:val="auto"/>
              </w:rPr>
            </w:pPr>
          </w:p>
        </w:tc>
      </w:tr>
      <w:tr>
        <w:trPr>
          <w:trHeight w:val="236"/>
        </w:trPr>
        <w:tc>
          <w:tcPr>
            <w:tcW w:w="540" w:type="dxa"/>
            <w:vAlign w:val="bottom"/>
          </w:tcPr>
          <w:p>
            <w:pPr>
              <w:spacing w:after="0"/>
              <w:rPr>
                <w:sz w:val="20"/>
                <w:szCs w:val="20"/>
                <w:color w:val="auto"/>
              </w:rPr>
            </w:pPr>
          </w:p>
        </w:tc>
        <w:tc>
          <w:tcPr>
            <w:tcW w:w="116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shd w:val="clear" w:color="auto" w:fill="808080"/>
          </w:tcPr>
          <w:p>
            <w:pPr>
              <w:ind w:left="80"/>
              <w:spacing w:after="0"/>
              <w:rPr>
                <w:sz w:val="20"/>
                <w:szCs w:val="20"/>
                <w:color w:val="auto"/>
              </w:rPr>
            </w:pPr>
            <w:r>
              <w:rPr>
                <w:rFonts w:ascii="Arial" w:cs="Arial" w:eastAsia="Arial" w:hAnsi="Arial"/>
                <w:sz w:val="20"/>
                <w:szCs w:val="20"/>
                <w:color w:val="auto"/>
              </w:rPr>
              <w:t>Defined Term</w:t>
            </w:r>
          </w:p>
        </w:tc>
        <w:tc>
          <w:tcPr>
            <w:tcW w:w="2900" w:type="dxa"/>
            <w:vAlign w:val="bottom"/>
            <w:tcBorders>
              <w:bottom w:val="single" w:sz="8" w:color="666666"/>
              <w:right w:val="single" w:sz="8" w:color="666666"/>
            </w:tcBorders>
            <w:shd w:val="clear" w:color="auto" w:fill="808080"/>
          </w:tcPr>
          <w:p>
            <w:pPr>
              <w:ind w:left="80"/>
              <w:spacing w:after="0"/>
              <w:rPr>
                <w:sz w:val="20"/>
                <w:szCs w:val="20"/>
                <w:color w:val="auto"/>
              </w:rPr>
            </w:pPr>
            <w:r>
              <w:rPr>
                <w:rFonts w:ascii="Arial" w:cs="Arial" w:eastAsia="Arial" w:hAnsi="Arial"/>
                <w:sz w:val="20"/>
                <w:szCs w:val="20"/>
                <w:color w:val="auto"/>
              </w:rPr>
              <w:t>Section</w:t>
            </w:r>
          </w:p>
        </w:tc>
        <w:tc>
          <w:tcPr>
            <w:tcW w:w="1740" w:type="dxa"/>
            <w:vAlign w:val="bottom"/>
          </w:tcPr>
          <w:p>
            <w:pPr>
              <w:spacing w:after="0"/>
              <w:rPr>
                <w:sz w:val="20"/>
                <w:szCs w:val="20"/>
                <w:color w:val="auto"/>
              </w:rPr>
            </w:pPr>
          </w:p>
        </w:tc>
      </w:tr>
      <w:tr>
        <w:trPr>
          <w:trHeight w:val="236"/>
        </w:trPr>
        <w:tc>
          <w:tcPr>
            <w:tcW w:w="540" w:type="dxa"/>
            <w:vAlign w:val="bottom"/>
          </w:tcPr>
          <w:p>
            <w:pPr>
              <w:spacing w:after="0"/>
              <w:rPr>
                <w:sz w:val="20"/>
                <w:szCs w:val="20"/>
                <w:color w:val="auto"/>
              </w:rPr>
            </w:pPr>
          </w:p>
        </w:tc>
        <w:tc>
          <w:tcPr>
            <w:tcW w:w="116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Agent</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Preamble</w:t>
            </w:r>
          </w:p>
        </w:tc>
        <w:tc>
          <w:tcPr>
            <w:tcW w:w="1740" w:type="dxa"/>
            <w:vAlign w:val="bottom"/>
          </w:tcPr>
          <w:p>
            <w:pPr>
              <w:spacing w:after="0"/>
              <w:rPr>
                <w:sz w:val="20"/>
                <w:szCs w:val="20"/>
                <w:color w:val="auto"/>
              </w:rPr>
            </w:pPr>
          </w:p>
        </w:tc>
      </w:tr>
      <w:tr>
        <w:trPr>
          <w:trHeight w:val="236"/>
        </w:trPr>
        <w:tc>
          <w:tcPr>
            <w:tcW w:w="540" w:type="dxa"/>
            <w:vAlign w:val="bottom"/>
          </w:tcPr>
          <w:p>
            <w:pPr>
              <w:spacing w:after="0"/>
              <w:rPr>
                <w:sz w:val="20"/>
                <w:szCs w:val="20"/>
                <w:color w:val="auto"/>
              </w:rPr>
            </w:pPr>
          </w:p>
        </w:tc>
        <w:tc>
          <w:tcPr>
            <w:tcW w:w="116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Assignee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11.14</w:t>
            </w:r>
          </w:p>
        </w:tc>
        <w:tc>
          <w:tcPr>
            <w:tcW w:w="1740" w:type="dxa"/>
            <w:vAlign w:val="bottom"/>
          </w:tcPr>
          <w:p>
            <w:pPr>
              <w:spacing w:after="0"/>
              <w:rPr>
                <w:sz w:val="20"/>
                <w:szCs w:val="20"/>
                <w:color w:val="auto"/>
              </w:rPr>
            </w:pPr>
          </w:p>
        </w:tc>
      </w:tr>
      <w:tr>
        <w:trPr>
          <w:trHeight w:val="236"/>
        </w:trPr>
        <w:tc>
          <w:tcPr>
            <w:tcW w:w="540" w:type="dxa"/>
            <w:vAlign w:val="bottom"/>
          </w:tcPr>
          <w:p>
            <w:pPr>
              <w:spacing w:after="0"/>
              <w:rPr>
                <w:sz w:val="20"/>
                <w:szCs w:val="20"/>
                <w:color w:val="auto"/>
              </w:rPr>
            </w:pPr>
          </w:p>
        </w:tc>
        <w:tc>
          <w:tcPr>
            <w:tcW w:w="116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Borrower</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Preamble</w:t>
            </w:r>
          </w:p>
        </w:tc>
        <w:tc>
          <w:tcPr>
            <w:tcW w:w="1740" w:type="dxa"/>
            <w:vAlign w:val="bottom"/>
          </w:tcPr>
          <w:p>
            <w:pPr>
              <w:spacing w:after="0"/>
              <w:rPr>
                <w:sz w:val="20"/>
                <w:szCs w:val="20"/>
                <w:color w:val="auto"/>
              </w:rPr>
            </w:pPr>
          </w:p>
        </w:tc>
      </w:tr>
      <w:tr>
        <w:trPr>
          <w:trHeight w:val="236"/>
        </w:trPr>
        <w:tc>
          <w:tcPr>
            <w:tcW w:w="540" w:type="dxa"/>
            <w:vAlign w:val="bottom"/>
          </w:tcPr>
          <w:p>
            <w:pPr>
              <w:spacing w:after="0"/>
              <w:rPr>
                <w:sz w:val="20"/>
                <w:szCs w:val="20"/>
                <w:color w:val="auto"/>
              </w:rPr>
            </w:pPr>
          </w:p>
        </w:tc>
        <w:tc>
          <w:tcPr>
            <w:tcW w:w="116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Claims</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11.11</w:t>
            </w:r>
          </w:p>
        </w:tc>
        <w:tc>
          <w:tcPr>
            <w:tcW w:w="1740" w:type="dxa"/>
            <w:vAlign w:val="bottom"/>
          </w:tcPr>
          <w:p>
            <w:pPr>
              <w:spacing w:after="0"/>
              <w:rPr>
                <w:sz w:val="20"/>
                <w:szCs w:val="20"/>
                <w:color w:val="auto"/>
              </w:rPr>
            </w:pPr>
          </w:p>
        </w:tc>
      </w:tr>
      <w:tr>
        <w:trPr>
          <w:trHeight w:val="236"/>
        </w:trPr>
        <w:tc>
          <w:tcPr>
            <w:tcW w:w="540" w:type="dxa"/>
            <w:vAlign w:val="bottom"/>
          </w:tcPr>
          <w:p>
            <w:pPr>
              <w:spacing w:after="0"/>
              <w:rPr>
                <w:sz w:val="20"/>
                <w:szCs w:val="20"/>
                <w:color w:val="auto"/>
              </w:rPr>
            </w:pPr>
          </w:p>
        </w:tc>
        <w:tc>
          <w:tcPr>
            <w:tcW w:w="116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Collateral</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3.1</w:t>
            </w:r>
          </w:p>
        </w:tc>
        <w:tc>
          <w:tcPr>
            <w:tcW w:w="1740" w:type="dxa"/>
            <w:vAlign w:val="bottom"/>
          </w:tcPr>
          <w:p>
            <w:pPr>
              <w:spacing w:after="0"/>
              <w:rPr>
                <w:sz w:val="20"/>
                <w:szCs w:val="20"/>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5" w:name="page76"/>
    <w:bookmarkEnd w:id="75"/>
    <w:tbl>
      <w:tblPr>
        <w:tblLayout w:type="fixed"/>
        <w:tblInd w:w="880" w:type="dxa"/>
        <w:tblCellMar>
          <w:top w:w="0" w:type="dxa"/>
          <w:left w:w="0" w:type="dxa"/>
          <w:bottom w:w="0" w:type="dxa"/>
          <w:right w:w="0" w:type="dxa"/>
        </w:tblCellMar>
      </w:tblPr>
      <w:tr>
        <w:trPr>
          <w:trHeight w:val="256"/>
        </w:trPr>
        <w:tc>
          <w:tcPr>
            <w:tcW w:w="560" w:type="dxa"/>
            <w:vAlign w:val="bottom"/>
          </w:tcPr>
          <w:p>
            <w:pPr>
              <w:spacing w:after="0"/>
              <w:rPr>
                <w:sz w:val="22"/>
                <w:szCs w:val="22"/>
                <w:color w:val="auto"/>
              </w:rPr>
            </w:pPr>
          </w:p>
        </w:tc>
        <w:tc>
          <w:tcPr>
            <w:tcW w:w="1140" w:type="dxa"/>
            <w:vAlign w:val="bottom"/>
            <w:tcBorders>
              <w:right w:val="single" w:sz="8" w:color="666666"/>
            </w:tcBorders>
          </w:tcPr>
          <w:p>
            <w:pPr>
              <w:spacing w:after="0"/>
              <w:rPr>
                <w:sz w:val="22"/>
                <w:szCs w:val="22"/>
                <w:color w:val="auto"/>
              </w:rPr>
            </w:pPr>
          </w:p>
        </w:tc>
        <w:tc>
          <w:tcPr>
            <w:tcW w:w="3240" w:type="dxa"/>
            <w:vAlign w:val="bottom"/>
            <w:tcBorders>
              <w:top w:val="single" w:sz="8" w:color="666666"/>
              <w:bottom w:val="single" w:sz="8" w:color="666666"/>
              <w:right w:val="single" w:sz="8" w:color="666666"/>
            </w:tcBorders>
            <w:shd w:val="clear" w:color="auto" w:fill="808080"/>
          </w:tcPr>
          <w:p>
            <w:pPr>
              <w:ind w:left="80"/>
              <w:spacing w:after="0"/>
              <w:rPr>
                <w:sz w:val="20"/>
                <w:szCs w:val="20"/>
                <w:color w:val="auto"/>
              </w:rPr>
            </w:pPr>
            <w:r>
              <w:rPr>
                <w:rFonts w:ascii="Arial" w:cs="Arial" w:eastAsia="Arial" w:hAnsi="Arial"/>
                <w:sz w:val="20"/>
                <w:szCs w:val="20"/>
                <w:color w:val="auto"/>
              </w:rPr>
              <w:t>Defined Term</w:t>
            </w:r>
          </w:p>
        </w:tc>
        <w:tc>
          <w:tcPr>
            <w:tcW w:w="2900" w:type="dxa"/>
            <w:vAlign w:val="bottom"/>
            <w:tcBorders>
              <w:top w:val="single" w:sz="8" w:color="666666"/>
              <w:bottom w:val="single" w:sz="8" w:color="666666"/>
              <w:right w:val="single" w:sz="8" w:color="666666"/>
            </w:tcBorders>
            <w:shd w:val="clear" w:color="auto" w:fill="808080"/>
          </w:tcPr>
          <w:p>
            <w:pPr>
              <w:ind w:left="80"/>
              <w:spacing w:after="0"/>
              <w:rPr>
                <w:sz w:val="20"/>
                <w:szCs w:val="20"/>
                <w:color w:val="auto"/>
              </w:rPr>
            </w:pPr>
            <w:r>
              <w:rPr>
                <w:rFonts w:ascii="Arial" w:cs="Arial" w:eastAsia="Arial" w:hAnsi="Arial"/>
                <w:sz w:val="20"/>
                <w:szCs w:val="20"/>
                <w:color w:val="auto"/>
              </w:rPr>
              <w:t>Section</w:t>
            </w:r>
          </w:p>
        </w:tc>
        <w:tc>
          <w:tcPr>
            <w:tcW w:w="1660" w:type="dxa"/>
            <w:vAlign w:val="bottom"/>
          </w:tcPr>
          <w:p>
            <w:pPr>
              <w:spacing w:after="0"/>
              <w:rPr>
                <w:sz w:val="22"/>
                <w:szCs w:val="22"/>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Confidential Information</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11.13</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End of Term Charge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2.6</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Event of Default</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9</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Financial Covenant Milestone I</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7.20(b)(i)</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Financial Covenant Milestone II</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7.20(b)(ii)</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Financial Statements</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7.1</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Indemnified Person</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6.3</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Lenders</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Preamble</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Liabilities</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6.3</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Maximum Rate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2.3</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Open Source License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5.10</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Participant Register</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11.8</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Prepayment Charge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2.5</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Publicity Materials</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11.19</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Register</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11.7</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Rights to Payment</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3.1</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Tranche 1 Advance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2.2(a)</w:t>
            </w:r>
          </w:p>
        </w:tc>
        <w:tc>
          <w:tcPr>
            <w:tcW w:w="1660" w:type="dxa"/>
            <w:vAlign w:val="bottom"/>
          </w:tcPr>
          <w:p>
            <w:pPr>
              <w:spacing w:after="0"/>
              <w:rPr>
                <w:sz w:val="20"/>
                <w:szCs w:val="20"/>
                <w:color w:val="auto"/>
              </w:rPr>
            </w:pPr>
          </w:p>
        </w:tc>
      </w:tr>
      <w:tr>
        <w:trPr>
          <w:trHeight w:val="236"/>
        </w:trPr>
        <w:tc>
          <w:tcPr>
            <w:tcW w:w="560" w:type="dxa"/>
            <w:vAlign w:val="bottom"/>
          </w:tcPr>
          <w:p>
            <w:pPr>
              <w:spacing w:after="0"/>
              <w:rPr>
                <w:sz w:val="20"/>
                <w:szCs w:val="20"/>
                <w:color w:val="auto"/>
              </w:rPr>
            </w:pPr>
          </w:p>
        </w:tc>
        <w:tc>
          <w:tcPr>
            <w:tcW w:w="1140" w:type="dxa"/>
            <w:vAlign w:val="bottom"/>
            <w:tcBorders>
              <w:right w:val="single" w:sz="8" w:color="666666"/>
            </w:tcBorders>
          </w:tcPr>
          <w:p>
            <w:pPr>
              <w:spacing w:after="0"/>
              <w:rPr>
                <w:sz w:val="20"/>
                <w:szCs w:val="20"/>
                <w:color w:val="auto"/>
              </w:rPr>
            </w:pPr>
          </w:p>
        </w:tc>
        <w:tc>
          <w:tcPr>
            <w:tcW w:w="324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Tranche 2 Advance</w:t>
            </w:r>
          </w:p>
        </w:tc>
        <w:tc>
          <w:tcPr>
            <w:tcW w:w="290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0"/>
                <w:szCs w:val="20"/>
                <w:color w:val="auto"/>
              </w:rPr>
              <w:t>2.2(a)</w:t>
            </w:r>
          </w:p>
        </w:tc>
        <w:tc>
          <w:tcPr>
            <w:tcW w:w="1660" w:type="dxa"/>
            <w:vAlign w:val="bottom"/>
          </w:tcPr>
          <w:p>
            <w:pPr>
              <w:spacing w:after="0"/>
              <w:rPr>
                <w:sz w:val="20"/>
                <w:szCs w:val="20"/>
                <w:color w:val="auto"/>
              </w:rPr>
            </w:pPr>
          </w:p>
        </w:tc>
      </w:tr>
      <w:tr>
        <w:trPr>
          <w:trHeight w:val="465"/>
        </w:trPr>
        <w:tc>
          <w:tcPr>
            <w:tcW w:w="560" w:type="dxa"/>
            <w:vAlign w:val="bottom"/>
          </w:tcPr>
          <w:p>
            <w:pPr>
              <w:jc w:val="right"/>
              <w:ind w:right="221"/>
              <w:spacing w:after="0"/>
              <w:rPr>
                <w:sz w:val="20"/>
                <w:szCs w:val="20"/>
                <w:color w:val="auto"/>
              </w:rPr>
            </w:pPr>
            <w:r>
              <w:rPr>
                <w:rFonts w:ascii="Arial" w:cs="Arial" w:eastAsia="Arial" w:hAnsi="Arial"/>
                <w:sz w:val="20"/>
                <w:szCs w:val="20"/>
                <w:color w:val="auto"/>
                <w:w w:val="78"/>
              </w:rPr>
              <w:t>1.3</w:t>
            </w:r>
          </w:p>
        </w:tc>
        <w:tc>
          <w:tcPr>
            <w:tcW w:w="8940" w:type="dxa"/>
            <w:vAlign w:val="bottom"/>
            <w:gridSpan w:val="4"/>
          </w:tcPr>
          <w:p>
            <w:pPr>
              <w:ind w:left="320"/>
              <w:spacing w:after="0"/>
              <w:rPr>
                <w:sz w:val="20"/>
                <w:szCs w:val="20"/>
                <w:color w:val="auto"/>
              </w:rPr>
            </w:pPr>
            <w:r>
              <w:rPr>
                <w:rFonts w:ascii="Arial" w:cs="Arial" w:eastAsia="Arial" w:hAnsi="Arial"/>
                <w:sz w:val="20"/>
                <w:szCs w:val="20"/>
                <w:color w:val="auto"/>
                <w:w w:val="89"/>
              </w:rPr>
              <w:t>Unless otherwise specified, all references in this Agreement or any Annex or Schedule hereto to a “Section,”</w:t>
            </w:r>
          </w:p>
        </w:tc>
      </w:tr>
    </w:tbl>
    <w:p>
      <w:pPr>
        <w:spacing w:after="0" w:line="268" w:lineRule="auto"/>
        <w:rPr>
          <w:sz w:val="20"/>
          <w:szCs w:val="20"/>
          <w:color w:val="auto"/>
        </w:rPr>
      </w:pPr>
      <w:r>
        <w:rPr>
          <w:rFonts w:ascii="Arial" w:cs="Arial" w:eastAsia="Arial" w:hAnsi="Arial"/>
          <w:sz w:val="18"/>
          <w:szCs w:val="18"/>
          <w:color w:val="auto"/>
        </w:rPr>
        <w:t xml:space="preserve">“subsection,”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no effect shall be given to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(or any other Accounting Standards Codification having similar result or effect) (and related interpretations) to the extent any lease (or similar arrangement) would be required to be treated as a capital lease thereunder where such lease (or arrangement) would have been treated as an operating lease under GAAP as in effect immediately prior to the effectiveness of such Accounting Standards Codification.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THE LOAN</w:t>
      </w:r>
    </w:p>
    <w:p>
      <w:pPr>
        <w:spacing w:after="0" w:line="22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[Reserved.]</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Term Loan.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76" w:name="page77"/>
    <w:bookmarkEnd w:id="76"/>
    <w:p>
      <w:pPr>
        <w:ind w:right="240" w:firstLine="1735"/>
        <w:spacing w:after="0" w:line="316" w:lineRule="auto"/>
        <w:tabs>
          <w:tab w:leader="none" w:pos="25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Advances. Subject to the terms and conditions of this Agreement, the Lenders will severally (and not jointly) make in an amount not to exceed its respective Term Commitment, and Borrower agrees to draw, a Term Loan Advance of Twenty Million Dollars ($20,000,000) on the Closing Date (the “Tranche 1 Advance”). Subject to the terms and conditions of this Agreement, and conditioned on approval by the Lenders’ investment committee in its sole and unfettered discretion, on or before December 15, 2021, Borrower may request additional Term Loan Advances in an aggregate principal amount up to Ten Million Dollars ($10,000,000) (each, a “Tranche 2 Advance”). The aggregate outstanding Term Loan Advances may be up to the Maximum Term Loan Amount.</w:t>
      </w:r>
    </w:p>
    <w:p>
      <w:pPr>
        <w:spacing w:after="0" w:line="137" w:lineRule="exact"/>
        <w:rPr>
          <w:rFonts w:ascii="Arial" w:cs="Arial" w:eastAsia="Arial" w:hAnsi="Arial"/>
          <w:sz w:val="16"/>
          <w:szCs w:val="16"/>
          <w:color w:val="auto"/>
        </w:rPr>
      </w:pPr>
    </w:p>
    <w:p>
      <w:pPr>
        <w:jc w:val="both"/>
        <w:ind w:right="60" w:firstLine="1735"/>
        <w:spacing w:after="0" w:line="263" w:lineRule="auto"/>
        <w:tabs>
          <w:tab w:leader="none" w:pos="2654" w:val="left"/>
        </w:tabs>
        <w:numPr>
          <w:ilvl w:val="0"/>
          <w:numId w:val="34"/>
        </w:numPr>
        <w:rPr>
          <w:rFonts w:ascii="Arial" w:cs="Arial" w:eastAsia="Arial" w:hAnsi="Arial"/>
          <w:sz w:val="19"/>
          <w:szCs w:val="19"/>
          <w:color w:val="auto"/>
        </w:rPr>
      </w:pPr>
      <w:r>
        <w:rPr>
          <w:rFonts w:ascii="Arial" w:cs="Arial" w:eastAsia="Arial" w:hAnsi="Arial"/>
          <w:sz w:val="19"/>
          <w:szCs w:val="19"/>
          <w:color w:val="auto"/>
        </w:rPr>
        <w:t>Advance Request. To obtain a Term Loan Advance, Borrower shall complete, sign and deliver an Advance Request (at least three (3) Business Days before the Advance Date other than the Closing Date, which shall be at least one (1) Business Day) to Agent. The Lenders shall fund the Term Loan Advance in the manner requested by the Advance Request provided that each of the conditions precedent to such Term Loan Advance is satisfied as of the requested Advance Date.</w:t>
      </w:r>
    </w:p>
    <w:p>
      <w:pPr>
        <w:spacing w:after="0" w:line="174" w:lineRule="exact"/>
        <w:rPr>
          <w:rFonts w:ascii="Arial" w:cs="Arial" w:eastAsia="Arial" w:hAnsi="Arial"/>
          <w:sz w:val="19"/>
          <w:szCs w:val="19"/>
          <w:color w:val="auto"/>
        </w:rPr>
      </w:pPr>
    </w:p>
    <w:p>
      <w:pPr>
        <w:jc w:val="both"/>
        <w:ind w:right="160" w:firstLine="1735"/>
        <w:spacing w:after="0" w:line="290" w:lineRule="auto"/>
        <w:tabs>
          <w:tab w:leader="none" w:pos="25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Term Loan Interest Rate. The principal balance of the Term Loan shall bear interest thereon from such Advance Date at the Term Loan Interest Rate based on a year consisting of 360 days, with interest computed daily based on the actual number of days elapsed. The Term Loan Interest Rate will float and change on the day the prime rate changes from time to time.</w:t>
      </w:r>
    </w:p>
    <w:p>
      <w:pPr>
        <w:spacing w:after="0" w:line="153" w:lineRule="exact"/>
        <w:rPr>
          <w:rFonts w:ascii="Arial" w:cs="Arial" w:eastAsia="Arial" w:hAnsi="Arial"/>
          <w:sz w:val="18"/>
          <w:szCs w:val="18"/>
          <w:color w:val="auto"/>
        </w:rPr>
      </w:pPr>
    </w:p>
    <w:p>
      <w:pPr>
        <w:ind w:firstLine="1735"/>
        <w:spacing w:after="0" w:line="268" w:lineRule="auto"/>
        <w:tabs>
          <w:tab w:leader="none" w:pos="26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 Borrower will pay accrued but unpaid interest on each outstanding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reasonable and documented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w:t>
      </w:r>
    </w:p>
    <w:p>
      <w:pPr>
        <w:spacing w:after="0" w:line="178"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77" w:name="page78"/>
    <w:bookmarkEnd w:id="77"/>
    <w:p>
      <w:pPr>
        <w:ind w:right="80"/>
        <w:spacing w:after="0" w:line="258" w:lineRule="auto"/>
        <w:rPr>
          <w:sz w:val="20"/>
          <w:szCs w:val="20"/>
          <w:color w:val="auto"/>
        </w:rPr>
      </w:pPr>
      <w:r>
        <w:rPr>
          <w:rFonts w:ascii="Arial" w:cs="Arial" w:eastAsia="Arial" w:hAnsi="Arial"/>
          <w:sz w:val="19"/>
          <w:szCs w:val="19"/>
          <w:color w:val="auto"/>
        </w:rPr>
        <w:t>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82" w:lineRule="exact"/>
        <w:rPr>
          <w:sz w:val="20"/>
          <w:szCs w:val="20"/>
          <w:color w:val="auto"/>
        </w:rPr>
      </w:pPr>
    </w:p>
    <w:p>
      <w:pPr>
        <w:ind w:right="80" w:firstLine="864"/>
        <w:spacing w:after="0" w:line="256" w:lineRule="auto"/>
        <w:rPr>
          <w:sz w:val="20"/>
          <w:szCs w:val="20"/>
          <w:color w:val="auto"/>
        </w:rPr>
      </w:pPr>
      <w:r>
        <w:rPr>
          <w:rFonts w:ascii="Arial" w:cs="Arial" w:eastAsia="Arial" w:hAnsi="Arial"/>
          <w:sz w:val="19"/>
          <w:szCs w:val="19"/>
          <w:color w:val="auto"/>
        </w:rPr>
        <w:t>2.4 Default Interest. In the event any payment is not paid on the scheduled payment date (other than a failure to pay due solely to an administrative or operational error of Agent or the Lenders or Borrower’s bank if Borrower had the funds to make the payment when due and makes the payment within three (3) Business Days following Borrower’s knowledge of such failure to pay), an amount equal to five percent (5%)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p>
    <w:p>
      <w:pPr>
        <w:spacing w:after="0" w:line="185" w:lineRule="exact"/>
        <w:rPr>
          <w:sz w:val="20"/>
          <w:szCs w:val="20"/>
          <w:color w:val="auto"/>
        </w:rPr>
      </w:pPr>
    </w:p>
    <w:p>
      <w:pPr>
        <w:ind w:right="20" w:firstLine="864"/>
        <w:spacing w:after="0" w:line="269" w:lineRule="auto"/>
        <w:rPr>
          <w:sz w:val="20"/>
          <w:szCs w:val="20"/>
          <w:color w:val="auto"/>
        </w:rPr>
      </w:pPr>
      <w:r>
        <w:rPr>
          <w:rFonts w:ascii="Arial" w:cs="Arial" w:eastAsia="Arial" w:hAnsi="Arial"/>
          <w:sz w:val="18"/>
          <w:szCs w:val="18"/>
          <w:color w:val="auto"/>
        </w:rPr>
        <w:t>2.5 Prepayment. At its option upon at least five (5) Business Days prior written notice to Agent, Borrower may prepay all, but not less than all, of the outstanding Advances by paying the entire principal balance, all accrued and unpaid interest thereon, together with a prepayment charge equal to the following percentage of the Advance amount being prepaid: with respect to each Advance, if such Advance amounts are prepaid in any of the first twelve (12) months following the Closing Date, 2.00%; after twelve (12) months but prior to twenty four (24) months, 1.50%; and thereafter, 1.00% (each, a “Prepayment Charge”).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agree to waive the Prepayment Charge if Agent, the Lenders or any Affiliate thereof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In connection with any prepayment of all outstanding Secured Obligations in accordance with the terms herein, Borrowers may request to terminate this Agreement and the Term Commitments upon such repayment of all outstanding Secured Obligations by written notice to Agent and Lenders. For the avoidance of doubt, if a payment hereunder becomes due and payable on a day that is not a Business Day, the due date thereof shall be the immediately preceding Business Day.</w:t>
      </w:r>
    </w:p>
    <w:p>
      <w:pPr>
        <w:spacing w:after="0" w:line="174" w:lineRule="exact"/>
        <w:rPr>
          <w:sz w:val="20"/>
          <w:szCs w:val="20"/>
          <w:color w:val="auto"/>
        </w:rPr>
      </w:pPr>
    </w:p>
    <w:p>
      <w:pPr>
        <w:ind w:firstLine="864"/>
        <w:spacing w:after="0" w:line="242" w:lineRule="auto"/>
        <w:rPr>
          <w:sz w:val="20"/>
          <w:szCs w:val="20"/>
          <w:color w:val="auto"/>
        </w:rPr>
      </w:pPr>
      <w:r>
        <w:rPr>
          <w:rFonts w:ascii="Arial" w:cs="Arial" w:eastAsia="Arial" w:hAnsi="Arial"/>
          <w:sz w:val="20"/>
          <w:szCs w:val="20"/>
          <w:color w:val="auto"/>
        </w:rPr>
        <w:t>2.6 End of Term Charge. 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Borrower shall pay the Lenders a charge equal to 4.99% of the aggregate principal amount of the Term Loan Advances (the “End of Term Charge”). Notwithstanding the required payment date of such End of Term Charge, it shall be deemed earned by the Lenders as of the Closing Date. For the avoidance of doubt, if a payment hereunder becomes due and payable on a day that is not a Business Day, the due date thereof shall be the immediately preceding Business Day.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2.7</w:t>
            </w:r>
          </w:p>
        </w:tc>
        <w:tc>
          <w:tcPr>
            <w:tcW w:w="9680" w:type="dxa"/>
            <w:vAlign w:val="bottom"/>
          </w:tcPr>
          <w:p>
            <w:pPr>
              <w:ind w:left="320"/>
              <w:spacing w:after="0"/>
              <w:rPr>
                <w:sz w:val="20"/>
                <w:szCs w:val="20"/>
                <w:color w:val="auto"/>
              </w:rPr>
            </w:pPr>
            <w:r>
              <w:rPr>
                <w:rFonts w:ascii="Arial" w:cs="Arial" w:eastAsia="Arial" w:hAnsi="Arial"/>
                <w:sz w:val="20"/>
                <w:szCs w:val="20"/>
                <w:color w:val="auto"/>
                <w:w w:val="88"/>
              </w:rPr>
              <w:t>Pro Rata Treatment. Each payment (including prepayment) on account of any fee and any reduction of the Term Loans</w:t>
            </w:r>
          </w:p>
        </w:tc>
      </w:tr>
      <w:tr>
        <w:trPr>
          <w:trHeight w:val="250"/>
        </w:trPr>
        <w:tc>
          <w:tcPr>
            <w:tcW w:w="11120" w:type="dxa"/>
            <w:vAlign w:val="bottom"/>
            <w:gridSpan w:val="2"/>
          </w:tcPr>
          <w:p>
            <w:pPr>
              <w:spacing w:after="0"/>
              <w:rPr>
                <w:sz w:val="20"/>
                <w:szCs w:val="20"/>
                <w:color w:val="auto"/>
              </w:rPr>
            </w:pPr>
            <w:r>
              <w:rPr>
                <w:rFonts w:ascii="Arial" w:cs="Arial" w:eastAsia="Arial" w:hAnsi="Arial"/>
                <w:sz w:val="20"/>
                <w:szCs w:val="20"/>
                <w:color w:val="auto"/>
              </w:rPr>
              <w:t>shall be made pro rata according to the Term Commitments of the relevant Lender.</w:t>
            </w:r>
          </w:p>
        </w:tc>
      </w:tr>
      <w:tr>
        <w:trPr>
          <w:trHeight w:val="424"/>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2.8</w:t>
            </w:r>
          </w:p>
        </w:tc>
        <w:tc>
          <w:tcPr>
            <w:tcW w:w="9680" w:type="dxa"/>
            <w:vAlign w:val="bottom"/>
          </w:tcPr>
          <w:p>
            <w:pPr>
              <w:ind w:left="320"/>
              <w:spacing w:after="0"/>
              <w:rPr>
                <w:sz w:val="20"/>
                <w:szCs w:val="20"/>
                <w:color w:val="auto"/>
              </w:rPr>
            </w:pPr>
            <w:r>
              <w:rPr>
                <w:rFonts w:ascii="Arial" w:cs="Arial" w:eastAsia="Arial" w:hAnsi="Arial"/>
                <w:sz w:val="20"/>
                <w:szCs w:val="20"/>
                <w:color w:val="auto"/>
                <w:w w:val="89"/>
              </w:rPr>
              <w:t>Taxes; Increased Costs. The Borrower, the Agent and the Lenders each hereby agree to the terms and conditions set</w:t>
            </w:r>
          </w:p>
        </w:tc>
      </w:tr>
      <w:tr>
        <w:trPr>
          <w:trHeight w:val="250"/>
        </w:trPr>
        <w:tc>
          <w:tcPr>
            <w:tcW w:w="11120" w:type="dxa"/>
            <w:vAlign w:val="bottom"/>
            <w:gridSpan w:val="2"/>
          </w:tcPr>
          <w:p>
            <w:pPr>
              <w:spacing w:after="0"/>
              <w:rPr>
                <w:sz w:val="20"/>
                <w:szCs w:val="20"/>
                <w:color w:val="auto"/>
              </w:rPr>
            </w:pPr>
            <w:r>
              <w:rPr>
                <w:rFonts w:ascii="Arial" w:cs="Arial" w:eastAsia="Arial" w:hAnsi="Arial"/>
                <w:sz w:val="20"/>
                <w:szCs w:val="20"/>
                <w:color w:val="auto"/>
              </w:rPr>
              <w:t>forth on Addendum 1 attached hereto.</w:t>
            </w:r>
          </w:p>
        </w:tc>
      </w:tr>
      <w:tr>
        <w:trPr>
          <w:trHeight w:val="440"/>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2.9</w:t>
            </w:r>
          </w:p>
        </w:tc>
        <w:tc>
          <w:tcPr>
            <w:tcW w:w="9680" w:type="dxa"/>
            <w:vAlign w:val="bottom"/>
          </w:tcPr>
          <w:p>
            <w:pPr>
              <w:ind w:left="320"/>
              <w:spacing w:after="0"/>
              <w:rPr>
                <w:sz w:val="20"/>
                <w:szCs w:val="20"/>
                <w:color w:val="auto"/>
              </w:rPr>
            </w:pPr>
            <w:r>
              <w:rPr>
                <w:rFonts w:ascii="Arial" w:cs="Arial" w:eastAsia="Arial" w:hAnsi="Arial"/>
                <w:sz w:val="20"/>
                <w:szCs w:val="20"/>
                <w:color w:val="auto"/>
                <w:w w:val="87"/>
              </w:rPr>
              <w:t>Treatment of Prepayment Charge and End of Term Charge. Borrower agrees that any Prepayment Charge and any End</w:t>
            </w:r>
          </w:p>
        </w:tc>
      </w:tr>
    </w:tbl>
    <w:p>
      <w:pPr>
        <w:spacing w:after="0" w:line="268" w:lineRule="auto"/>
        <w:rPr>
          <w:sz w:val="20"/>
          <w:szCs w:val="20"/>
          <w:color w:val="auto"/>
        </w:rPr>
      </w:pPr>
      <w:r>
        <w:rPr>
          <w:rFonts w:ascii="Arial" w:cs="Arial" w:eastAsia="Arial" w:hAnsi="Arial"/>
          <w:sz w:val="18"/>
          <w:szCs w:val="18"/>
          <w:color w:val="auto"/>
        </w:rPr>
        <w:t>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u w:val="single" w:color="auto"/>
          <w:color w:val="auto"/>
        </w:rPr>
        <w:t>SECURITY INTEREST</w:t>
      </w:r>
    </w:p>
    <w:p>
      <w:pPr>
        <w:spacing w:after="0" w:line="221" w:lineRule="exact"/>
        <w:rPr>
          <w:sz w:val="20"/>
          <w:szCs w:val="20"/>
          <w:color w:val="auto"/>
        </w:rPr>
      </w:pPr>
    </w:p>
    <w:p>
      <w:pPr>
        <w:ind w:right="20" w:firstLine="864"/>
        <w:spacing w:after="0" w:line="267" w:lineRule="auto"/>
        <w:rPr>
          <w:sz w:val="20"/>
          <w:szCs w:val="20"/>
          <w:color w:val="auto"/>
        </w:rPr>
      </w:pPr>
      <w:r>
        <w:rPr>
          <w:rFonts w:ascii="Arial" w:cs="Arial" w:eastAsia="Arial" w:hAnsi="Arial"/>
          <w:sz w:val="18"/>
          <w:szCs w:val="18"/>
          <w:color w:val="auto"/>
        </w:rPr>
        <w:t xml:space="preserve">3.1 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(other than Intellectual Property); (e) Inventory; (f) Investment Property; (g) Deposit Accounts; (h) Cash; (i) Goods;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Collateral shall include all Accounts and General Intangibles that consist of rights to payment and proceeds from the sale, licensing or disposition of all or any part, or rights in, the Intellectual Property (the “Rights to</w:t>
      </w:r>
    </w:p>
    <w:p>
      <w:pPr>
        <w:spacing w:after="0" w:line="6"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Payment”).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spacing w:after="0" w:line="19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Notwithstanding the broad grant of the security interest set forth in Section 3.1, above, the Collateral shall not include</w:t>
      </w:r>
    </w:p>
    <w:p>
      <w:pPr>
        <w:spacing w:after="0" w:line="15"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Excluded Accounts, (b) nonassignable licenses or contracts, which by</w:t>
      </w:r>
    </w:p>
    <w:p>
      <w:pPr>
        <w:spacing w:after="0" w:line="194"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79" w:name="page80"/>
    <w:bookmarkEnd w:id="79"/>
    <w:p>
      <w:pPr>
        <w:ind w:right="20"/>
        <w:spacing w:after="0" w:line="256" w:lineRule="auto"/>
        <w:rPr>
          <w:sz w:val="20"/>
          <w:szCs w:val="20"/>
          <w:color w:val="auto"/>
        </w:rPr>
      </w:pPr>
      <w:r>
        <w:rPr>
          <w:rFonts w:ascii="Arial" w:cs="Arial" w:eastAsia="Arial" w:hAnsi="Arial"/>
          <w:sz w:val="19"/>
          <w:szCs w:val="19"/>
          <w:color w:val="auto"/>
        </w:rPr>
        <w:t>their terms require the consent of the licensor thereof or another party (but only to the extent such prohibition on transfer is enforceable under applicable law, including, without limitation, Sections 9406, 9407 and 9408 of the UCC), or (c) more than 65% of the issued and outstanding shares of capital stock of any Foreign Subsidiary which shares entitle the holder thereof to vote for directors or any other matter, solely to the extent Borrower has provided Agent with evidence satisfactory to Agent that the pledge of more than 65% of such voting stock of such Subsidiary would reasonably be expected to result in a material adverse tax consequence to Borrower, and solely for as long as such consequence may result, such portion of such voting stock of such Subsidiary, if excluded from the Collateral, would avoid such material adverse tax consequence (it being understood that in the case of any Foreign Subsidiary whose ownership does not satisfy the holding period requirement set forth in Section 246(c)(5) of the Code, not more than 65% of such Foreign Subsidiary’s stock shall be required to be pledged until the holding period is satisfied).</w:t>
      </w:r>
    </w:p>
    <w:p>
      <w:pPr>
        <w:spacing w:after="0" w:line="181" w:lineRule="exact"/>
        <w:rPr>
          <w:sz w:val="20"/>
          <w:szCs w:val="20"/>
          <w:color w:val="auto"/>
        </w:rPr>
      </w:pPr>
    </w:p>
    <w:p>
      <w:pPr>
        <w:ind w:right="220" w:firstLine="864"/>
        <w:spacing w:after="0" w:line="243" w:lineRule="auto"/>
        <w:rPr>
          <w:sz w:val="20"/>
          <w:szCs w:val="20"/>
          <w:color w:val="auto"/>
        </w:rPr>
      </w:pPr>
      <w:r>
        <w:rPr>
          <w:rFonts w:ascii="Arial" w:cs="Arial" w:eastAsia="Arial" w:hAnsi="Arial"/>
          <w:sz w:val="20"/>
          <w:szCs w:val="20"/>
          <w:color w:val="auto"/>
        </w:rPr>
        <w:t>3.3 If this Agreement is terminated in accordance with its terms, Agent’s Lien in the Collateral shall continue until the Secured Obligations (other than inchoate indemnity obligations) are paid in full in accordance with the terms of this Agreement. At such time, the Collateral shall be released from the Liens created hereby, this Agreement and all obligations (other than those expressly stated to survive such termination) of the Agent, Lender and each Borrower hereunder shall terminate. Agent agrees to execute such documents, return any Collateral held by Agent hereunder and take such other steps as are reasonably necessary to accomplish the foregoing, all at the Borrower’s sole cost and expense.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SECTION 4. </w:t>
      </w:r>
      <w:r>
        <w:rPr>
          <w:rFonts w:ascii="Arial" w:cs="Arial" w:eastAsia="Arial" w:hAnsi="Arial"/>
          <w:sz w:val="20"/>
          <w:szCs w:val="20"/>
          <w:b w:val="1"/>
          <w:bCs w:val="1"/>
          <w:u w:val="single" w:color="auto"/>
          <w:color w:val="auto"/>
        </w:rPr>
        <w:t>CONDITIONS PRECEDENT TO LOAN</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obligations of the Lenders to make the Loan hereunder are subject to the satisfaction by Borrower of the following conditions:</w:t>
      </w:r>
    </w:p>
    <w:p>
      <w:pPr>
        <w:spacing w:after="0" w:line="23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Initial Advance. On or prior to the Closing Date, Borrower shall have delivered to Agent the following:</w:t>
      </w:r>
    </w:p>
    <w:p>
      <w:pPr>
        <w:spacing w:after="0" w:line="215" w:lineRule="exact"/>
        <w:rPr>
          <w:sz w:val="20"/>
          <w:szCs w:val="20"/>
          <w:color w:val="auto"/>
        </w:rPr>
      </w:pPr>
    </w:p>
    <w:p>
      <w:pPr>
        <w:ind w:right="80" w:firstLine="1735"/>
        <w:spacing w:after="0" w:line="249" w:lineRule="auto"/>
        <w:tabs>
          <w:tab w:leader="none" w:pos="2594" w:val="left"/>
        </w:tabs>
        <w:numPr>
          <w:ilvl w:val="0"/>
          <w:numId w:val="36"/>
        </w:numPr>
        <w:rPr>
          <w:rFonts w:ascii="Arial" w:cs="Arial" w:eastAsia="Arial" w:hAnsi="Arial"/>
          <w:sz w:val="20"/>
          <w:szCs w:val="20"/>
          <w:color w:val="auto"/>
        </w:rPr>
      </w:pPr>
      <w:r>
        <w:rPr>
          <w:rFonts w:ascii="Arial" w:cs="Arial" w:eastAsia="Arial" w:hAnsi="Arial"/>
          <w:sz w:val="20"/>
          <w:szCs w:val="20"/>
          <w:color w:val="auto"/>
        </w:rPr>
        <w:t>executed copies of the Loan Documents,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87" w:lineRule="exact"/>
        <w:rPr>
          <w:rFonts w:ascii="Arial" w:cs="Arial" w:eastAsia="Arial" w:hAnsi="Arial"/>
          <w:sz w:val="20"/>
          <w:szCs w:val="20"/>
          <w:color w:val="auto"/>
        </w:rPr>
      </w:pPr>
    </w:p>
    <w:p>
      <w:pPr>
        <w:ind w:left="2620" w:hanging="885"/>
        <w:spacing w:after="0"/>
        <w:tabs>
          <w:tab w:leader="none" w:pos="2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legal opinion of Borrower’s counsel, in form and substance reasonably acceptable to Agent;</w:t>
      </w:r>
    </w:p>
    <w:p>
      <w:pPr>
        <w:spacing w:after="0" w:line="214" w:lineRule="exact"/>
        <w:rPr>
          <w:rFonts w:ascii="Arial" w:cs="Arial" w:eastAsia="Arial" w:hAnsi="Arial"/>
          <w:sz w:val="20"/>
          <w:szCs w:val="20"/>
          <w:color w:val="auto"/>
        </w:rPr>
      </w:pPr>
    </w:p>
    <w:p>
      <w:pPr>
        <w:ind w:right="380" w:firstLine="1735"/>
        <w:spacing w:after="0" w:line="260" w:lineRule="auto"/>
        <w:tabs>
          <w:tab w:leader="none" w:pos="2594" w:val="left"/>
        </w:tabs>
        <w:numPr>
          <w:ilvl w:val="0"/>
          <w:numId w:val="36"/>
        </w:numPr>
        <w:rPr>
          <w:rFonts w:ascii="Arial" w:cs="Arial" w:eastAsia="Arial" w:hAnsi="Arial"/>
          <w:sz w:val="20"/>
          <w:szCs w:val="20"/>
          <w:color w:val="auto"/>
        </w:rPr>
      </w:pPr>
      <w:r>
        <w:rPr>
          <w:rFonts w:ascii="Arial" w:cs="Arial" w:eastAsia="Arial" w:hAnsi="Arial"/>
          <w:sz w:val="20"/>
          <w:szCs w:val="20"/>
          <w:color w:val="auto"/>
        </w:rPr>
        <w:t>certified copy of resolutions of Borrower’s board of directors evidencing approval of the Loan and other transactions evidenced by the Loan Documents;</w:t>
      </w:r>
    </w:p>
    <w:p>
      <w:pPr>
        <w:spacing w:after="0" w:line="175" w:lineRule="exact"/>
        <w:rPr>
          <w:rFonts w:ascii="Arial" w:cs="Arial" w:eastAsia="Arial" w:hAnsi="Arial"/>
          <w:sz w:val="20"/>
          <w:szCs w:val="20"/>
          <w:color w:val="auto"/>
        </w:rPr>
      </w:pPr>
    </w:p>
    <w:p>
      <w:pPr>
        <w:ind w:left="2620" w:hanging="885"/>
        <w:spacing w:after="0"/>
        <w:tabs>
          <w:tab w:leader="none" w:pos="2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certified copies of the Certificate of Incorporation and the Bylaws, as amended through the Closing Date,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w:t>
      </w:r>
    </w:p>
    <w:p>
      <w:pPr>
        <w:spacing w:after="0" w:line="198" w:lineRule="exact"/>
        <w:rPr>
          <w:rFonts w:ascii="Arial" w:cs="Arial" w:eastAsia="Arial" w:hAnsi="Arial"/>
          <w:sz w:val="18"/>
          <w:szCs w:val="18"/>
          <w:color w:val="auto"/>
        </w:rPr>
      </w:pPr>
    </w:p>
    <w:p>
      <w:pPr>
        <w:ind w:right="280" w:firstLine="1735"/>
        <w:spacing w:after="0" w:line="286" w:lineRule="auto"/>
        <w:tabs>
          <w:tab w:leader="none" w:pos="2594"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certificate of good standing for Borrower from its state of incorporation and similar certificates from all other jurisdictions in which it does business and where the failure to be qualified could have a Material Adverse Effect;</w:t>
      </w:r>
    </w:p>
    <w:p>
      <w:pPr>
        <w:spacing w:after="0" w:line="153" w:lineRule="exact"/>
        <w:rPr>
          <w:rFonts w:ascii="Arial" w:cs="Arial" w:eastAsia="Arial" w:hAnsi="Arial"/>
          <w:sz w:val="19"/>
          <w:szCs w:val="19"/>
          <w:color w:val="auto"/>
        </w:rPr>
      </w:pPr>
    </w:p>
    <w:p>
      <w:pPr>
        <w:ind w:left="2580" w:hanging="845"/>
        <w:spacing w:after="0"/>
        <w:tabs>
          <w:tab w:leader="none" w:pos="25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evidence reasonably satisfactory to Agent that Borrower has received at least Twenty Million Dollars</w:t>
      </w:r>
    </w:p>
    <w:p>
      <w:pPr>
        <w:spacing w:after="0" w:line="27"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($20,000,000.00) in unrestricted (including, not subject to any redemption, clawback, escrow or similar encumbrance or restriction) net cash proceeds from one or more bona fide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0" w:name="page81"/>
    <w:bookmarkEnd w:id="80"/>
    <w:p>
      <w:pPr>
        <w:ind w:right="820"/>
        <w:spacing w:after="0" w:line="260" w:lineRule="auto"/>
        <w:rPr>
          <w:sz w:val="20"/>
          <w:szCs w:val="20"/>
          <w:color w:val="auto"/>
        </w:rPr>
      </w:pPr>
      <w:r>
        <w:rPr>
          <w:rFonts w:ascii="Arial" w:cs="Arial" w:eastAsia="Arial" w:hAnsi="Arial"/>
          <w:sz w:val="20"/>
          <w:szCs w:val="20"/>
          <w:color w:val="auto"/>
        </w:rPr>
        <w:t>equity financings, in each case after December 16, 2019 and prior to the Closing Date, in each case subject to verification by Agent (including supporting documentation reasonably requested by Agent);</w:t>
      </w:r>
    </w:p>
    <w:p>
      <w:pPr>
        <w:spacing w:after="0" w:line="176" w:lineRule="exact"/>
        <w:rPr>
          <w:sz w:val="20"/>
          <w:szCs w:val="20"/>
          <w:color w:val="auto"/>
        </w:rPr>
      </w:pPr>
    </w:p>
    <w:p>
      <w:pPr>
        <w:ind w:right="520" w:firstLine="1735"/>
        <w:spacing w:after="0" w:line="286" w:lineRule="auto"/>
        <w:tabs>
          <w:tab w:leader="none" w:pos="2605" w:val="left"/>
        </w:tabs>
        <w:numPr>
          <w:ilvl w:val="0"/>
          <w:numId w:val="37"/>
        </w:numPr>
        <w:rPr>
          <w:rFonts w:ascii="Arial" w:cs="Arial" w:eastAsia="Arial" w:hAnsi="Arial"/>
          <w:sz w:val="19"/>
          <w:szCs w:val="19"/>
          <w:color w:val="auto"/>
        </w:rPr>
      </w:pPr>
      <w:r>
        <w:rPr>
          <w:rFonts w:ascii="Arial" w:cs="Arial" w:eastAsia="Arial" w:hAnsi="Arial"/>
          <w:sz w:val="19"/>
          <w:szCs w:val="19"/>
          <w:color w:val="auto"/>
        </w:rPr>
        <w:t>payment of the Due Diligence Fee, Initial Facility Charge and reimbursement of Agent’s and Lender’s current expenses reimbursable pursuant to this Agreement, which amounts may be deducted from the initial Advance;</w:t>
      </w:r>
    </w:p>
    <w:p>
      <w:pPr>
        <w:spacing w:after="0" w:line="153" w:lineRule="exact"/>
        <w:rPr>
          <w:rFonts w:ascii="Arial" w:cs="Arial" w:eastAsia="Arial" w:hAnsi="Arial"/>
          <w:sz w:val="19"/>
          <w:szCs w:val="19"/>
          <w:color w:val="auto"/>
        </w:rPr>
      </w:pPr>
    </w:p>
    <w:p>
      <w:pPr>
        <w:ind w:left="2620" w:hanging="885"/>
        <w:spacing w:after="0"/>
        <w:tabs>
          <w:tab w:leader="none" w:pos="26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all certificates of insurance and copies of each insurance policy required hereunder; and</w:t>
      </w:r>
    </w:p>
    <w:p>
      <w:pPr>
        <w:spacing w:after="0" w:line="214" w:lineRule="exact"/>
        <w:rPr>
          <w:rFonts w:ascii="Arial" w:cs="Arial" w:eastAsia="Arial" w:hAnsi="Arial"/>
          <w:sz w:val="20"/>
          <w:szCs w:val="20"/>
          <w:color w:val="auto"/>
        </w:rPr>
      </w:pPr>
    </w:p>
    <w:p>
      <w:pPr>
        <w:ind w:left="2560" w:hanging="825"/>
        <w:spacing w:after="0"/>
        <w:tabs>
          <w:tab w:leader="none" w:pos="25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such other documents as Agent may reasonably request.</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All Advances. On or prior to each Advance Date:</w:t>
      </w:r>
    </w:p>
    <w:p>
      <w:pPr>
        <w:spacing w:after="0" w:line="215" w:lineRule="exact"/>
        <w:rPr>
          <w:sz w:val="20"/>
          <w:szCs w:val="20"/>
          <w:color w:val="auto"/>
        </w:rPr>
      </w:pPr>
    </w:p>
    <w:p>
      <w:pPr>
        <w:ind w:right="100" w:firstLine="1735"/>
        <w:spacing w:after="0" w:line="249" w:lineRule="auto"/>
        <w:tabs>
          <w:tab w:leader="none" w:pos="2594" w:val="left"/>
        </w:tabs>
        <w:numPr>
          <w:ilvl w:val="0"/>
          <w:numId w:val="38"/>
        </w:numPr>
        <w:rPr>
          <w:rFonts w:ascii="Arial" w:cs="Arial" w:eastAsia="Arial" w:hAnsi="Arial"/>
          <w:sz w:val="20"/>
          <w:szCs w:val="20"/>
          <w:color w:val="auto"/>
        </w:rPr>
      </w:pPr>
      <w:r>
        <w:rPr>
          <w:rFonts w:ascii="Arial" w:cs="Arial" w:eastAsia="Arial" w:hAnsi="Arial"/>
          <w:sz w:val="20"/>
          <w:szCs w:val="20"/>
          <w:color w:val="auto"/>
        </w:rPr>
        <w:t>Agent shall have received (i) an Advance Request for the relevant Advance as required by Section 2.2(b), each duly executed by Borrower’s Chief Executive Officer, Chief Financial Officer or Chief Operating Officer, and (ii) any other documents Agent may reasonably request.</w:t>
      </w:r>
    </w:p>
    <w:p>
      <w:pPr>
        <w:spacing w:after="0" w:line="187" w:lineRule="exact"/>
        <w:rPr>
          <w:rFonts w:ascii="Arial" w:cs="Arial" w:eastAsia="Arial" w:hAnsi="Arial"/>
          <w:sz w:val="20"/>
          <w:szCs w:val="20"/>
          <w:color w:val="auto"/>
        </w:rPr>
      </w:pPr>
    </w:p>
    <w:p>
      <w:pPr>
        <w:ind w:right="80" w:firstLine="1735"/>
        <w:spacing w:after="0" w:line="249" w:lineRule="auto"/>
        <w:tabs>
          <w:tab w:leader="none" w:pos="2605"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87" w:lineRule="exact"/>
        <w:rPr>
          <w:rFonts w:ascii="Arial" w:cs="Arial" w:eastAsia="Arial" w:hAnsi="Arial"/>
          <w:sz w:val="20"/>
          <w:szCs w:val="20"/>
          <w:color w:val="auto"/>
        </w:rPr>
      </w:pPr>
    </w:p>
    <w:p>
      <w:pPr>
        <w:ind w:right="300" w:firstLine="1735"/>
        <w:spacing w:after="0" w:line="249" w:lineRule="auto"/>
        <w:tabs>
          <w:tab w:leader="none" w:pos="2594" w:val="left"/>
        </w:tabs>
        <w:numPr>
          <w:ilvl w:val="0"/>
          <w:numId w:val="38"/>
        </w:numPr>
        <w:rPr>
          <w:rFonts w:ascii="Arial" w:cs="Arial" w:eastAsia="Arial" w:hAnsi="Arial"/>
          <w:sz w:val="20"/>
          <w:szCs w:val="20"/>
          <w:color w:val="auto"/>
        </w:rPr>
      </w:pPr>
      <w:r>
        <w:rPr>
          <w:rFonts w:ascii="Arial" w:cs="Arial" w:eastAsia="Arial" w:hAnsi="Arial"/>
          <w:sz w:val="20"/>
          <w:szCs w:val="20"/>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87" w:lineRule="exact"/>
        <w:rPr>
          <w:rFonts w:ascii="Arial" w:cs="Arial" w:eastAsia="Arial" w:hAnsi="Arial"/>
          <w:sz w:val="20"/>
          <w:szCs w:val="20"/>
          <w:color w:val="auto"/>
        </w:rPr>
      </w:pPr>
    </w:p>
    <w:p>
      <w:pPr>
        <w:ind w:left="2620" w:hanging="885"/>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any Tranche 2 Advance, Borrower shall have paid the applicable Tranche 2 Facility Charge.</w:t>
      </w:r>
    </w:p>
    <w:p>
      <w:pPr>
        <w:spacing w:after="0" w:line="237" w:lineRule="exact"/>
        <w:rPr>
          <w:rFonts w:ascii="Arial" w:cs="Arial" w:eastAsia="Arial" w:hAnsi="Arial"/>
          <w:sz w:val="18"/>
          <w:szCs w:val="18"/>
          <w:color w:val="auto"/>
        </w:rPr>
      </w:pPr>
    </w:p>
    <w:p>
      <w:pPr>
        <w:ind w:right="180" w:firstLine="1735"/>
        <w:spacing w:after="0" w:line="249" w:lineRule="auto"/>
        <w:tabs>
          <w:tab w:leader="none" w:pos="2594" w:val="left"/>
        </w:tabs>
        <w:numPr>
          <w:ilvl w:val="0"/>
          <w:numId w:val="38"/>
        </w:numPr>
        <w:rPr>
          <w:rFonts w:ascii="Arial" w:cs="Arial" w:eastAsia="Arial" w:hAnsi="Arial"/>
          <w:sz w:val="20"/>
          <w:szCs w:val="20"/>
          <w:color w:val="auto"/>
        </w:rPr>
      </w:pPr>
      <w:r>
        <w:rPr>
          <w:rFonts w:ascii="Arial" w:cs="Arial" w:eastAsia="Arial" w:hAnsi="Arial"/>
          <w:sz w:val="20"/>
          <w:szCs w:val="20"/>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880"/>
              <w:spacing w:after="0"/>
              <w:rPr>
                <w:sz w:val="20"/>
                <w:szCs w:val="20"/>
                <w:color w:val="auto"/>
              </w:rPr>
            </w:pPr>
            <w:r>
              <w:rPr>
                <w:rFonts w:ascii="Arial" w:cs="Arial" w:eastAsia="Arial" w:hAnsi="Arial"/>
                <w:sz w:val="20"/>
                <w:szCs w:val="20"/>
                <w:color w:val="auto"/>
              </w:rPr>
              <w:t>4.3</w:t>
            </w:r>
          </w:p>
        </w:tc>
        <w:tc>
          <w:tcPr>
            <w:tcW w:w="9780" w:type="dxa"/>
            <w:vAlign w:val="bottom"/>
            <w:gridSpan w:val="3"/>
          </w:tcPr>
          <w:p>
            <w:pPr>
              <w:ind w:left="320"/>
              <w:spacing w:after="0"/>
              <w:rPr>
                <w:sz w:val="20"/>
                <w:szCs w:val="20"/>
                <w:color w:val="auto"/>
              </w:rPr>
            </w:pPr>
            <w:r>
              <w:rPr>
                <w:rFonts w:ascii="Arial" w:cs="Arial" w:eastAsia="Arial" w:hAnsi="Arial"/>
                <w:sz w:val="20"/>
                <w:szCs w:val="20"/>
                <w:color w:val="auto"/>
                <w:w w:val="93"/>
              </w:rPr>
              <w:t>No Default. As of the Closing Date and each Advance Date, (i) no fact or condition exists that could (or could, with</w:t>
            </w:r>
          </w:p>
        </w:tc>
      </w:tr>
      <w:tr>
        <w:trPr>
          <w:trHeight w:val="229"/>
        </w:trPr>
        <w:tc>
          <w:tcPr>
            <w:tcW w:w="11220" w:type="dxa"/>
            <w:vAlign w:val="bottom"/>
            <w:gridSpan w:val="4"/>
          </w:tcPr>
          <w:p>
            <w:pPr>
              <w:spacing w:after="0"/>
              <w:rPr>
                <w:sz w:val="20"/>
                <w:szCs w:val="20"/>
                <w:color w:val="auto"/>
              </w:rPr>
            </w:pPr>
            <w:r>
              <w:rPr>
                <w:rFonts w:ascii="Arial" w:cs="Arial" w:eastAsia="Arial" w:hAnsi="Arial"/>
                <w:sz w:val="20"/>
                <w:szCs w:val="20"/>
                <w:color w:val="auto"/>
                <w:w w:val="95"/>
              </w:rPr>
              <w:t>the passage of time, the giving of notice, or both) constitute an Event of Default and (ii) no event that has had or could reasonably be</w:t>
            </w:r>
          </w:p>
        </w:tc>
      </w:tr>
      <w:tr>
        <w:trPr>
          <w:trHeight w:val="250"/>
        </w:trPr>
        <w:tc>
          <w:tcPr>
            <w:tcW w:w="11220" w:type="dxa"/>
            <w:vAlign w:val="bottom"/>
            <w:gridSpan w:val="4"/>
          </w:tcPr>
          <w:p>
            <w:pPr>
              <w:spacing w:after="0"/>
              <w:rPr>
                <w:sz w:val="20"/>
                <w:szCs w:val="20"/>
                <w:color w:val="auto"/>
              </w:rPr>
            </w:pPr>
            <w:r>
              <w:rPr>
                <w:rFonts w:ascii="Arial" w:cs="Arial" w:eastAsia="Arial" w:hAnsi="Arial"/>
                <w:sz w:val="20"/>
                <w:szCs w:val="20"/>
                <w:color w:val="auto"/>
              </w:rPr>
              <w:t>expected to have a Material Adverse Effect has occurred and is continuing.</w:t>
            </w:r>
          </w:p>
        </w:tc>
      </w:tr>
      <w:tr>
        <w:trPr>
          <w:trHeight w:val="400"/>
        </w:trPr>
        <w:tc>
          <w:tcPr>
            <w:tcW w:w="1440" w:type="dxa"/>
            <w:vAlign w:val="bottom"/>
          </w:tcPr>
          <w:p>
            <w:pPr>
              <w:spacing w:after="0"/>
              <w:rPr>
                <w:sz w:val="24"/>
                <w:szCs w:val="24"/>
                <w:color w:val="auto"/>
              </w:rPr>
            </w:pPr>
          </w:p>
        </w:tc>
        <w:tc>
          <w:tcPr>
            <w:tcW w:w="9780" w:type="dxa"/>
            <w:vAlign w:val="bottom"/>
            <w:gridSpan w:val="3"/>
          </w:tcPr>
          <w:p>
            <w:pPr>
              <w:ind w:left="920"/>
              <w:spacing w:after="0"/>
              <w:rPr>
                <w:sz w:val="20"/>
                <w:szCs w:val="20"/>
                <w:color w:val="auto"/>
              </w:rPr>
            </w:pPr>
            <w:r>
              <w:rPr>
                <w:rFonts w:ascii="Arial" w:cs="Arial" w:eastAsia="Arial" w:hAnsi="Arial"/>
                <w:sz w:val="20"/>
                <w:szCs w:val="20"/>
                <w:b w:val="1"/>
                <w:bCs w:val="1"/>
                <w:color w:val="auto"/>
              </w:rPr>
              <w:t>SECTION 5. REPRESENTATIONS AND WARRANTIES OF BORROWER</w:t>
            </w:r>
          </w:p>
        </w:tc>
      </w:tr>
      <w:tr>
        <w:trPr>
          <w:trHeight w:val="20"/>
        </w:trPr>
        <w:tc>
          <w:tcPr>
            <w:tcW w:w="3540" w:type="dxa"/>
            <w:vAlign w:val="bottom"/>
            <w:gridSpan w:val="2"/>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69"/>
        </w:trPr>
        <w:tc>
          <w:tcPr>
            <w:tcW w:w="11220" w:type="dxa"/>
            <w:vAlign w:val="bottom"/>
            <w:gridSpan w:val="4"/>
          </w:tcPr>
          <w:p>
            <w:pPr>
              <w:ind w:left="880"/>
              <w:spacing w:after="0"/>
              <w:rPr>
                <w:sz w:val="20"/>
                <w:szCs w:val="20"/>
                <w:color w:val="auto"/>
              </w:rPr>
            </w:pPr>
            <w:r>
              <w:rPr>
                <w:rFonts w:ascii="Arial" w:cs="Arial" w:eastAsia="Arial" w:hAnsi="Arial"/>
                <w:sz w:val="20"/>
                <w:szCs w:val="20"/>
                <w:color w:val="auto"/>
              </w:rPr>
              <w:t>Borrower represents and warrants that:</w:t>
            </w:r>
          </w:p>
        </w:tc>
      </w:tr>
      <w:tr>
        <w:trPr>
          <w:trHeight w:val="440"/>
        </w:trPr>
        <w:tc>
          <w:tcPr>
            <w:tcW w:w="1440" w:type="dxa"/>
            <w:vAlign w:val="bottom"/>
          </w:tcPr>
          <w:p>
            <w:pPr>
              <w:ind w:left="880"/>
              <w:spacing w:after="0"/>
              <w:rPr>
                <w:sz w:val="20"/>
                <w:szCs w:val="20"/>
                <w:color w:val="auto"/>
              </w:rPr>
            </w:pPr>
            <w:r>
              <w:rPr>
                <w:rFonts w:ascii="Arial" w:cs="Arial" w:eastAsia="Arial" w:hAnsi="Arial"/>
                <w:sz w:val="20"/>
                <w:szCs w:val="20"/>
                <w:color w:val="auto"/>
              </w:rPr>
              <w:t>5.1</w:t>
            </w:r>
          </w:p>
        </w:tc>
        <w:tc>
          <w:tcPr>
            <w:tcW w:w="9780" w:type="dxa"/>
            <w:vAlign w:val="bottom"/>
            <w:gridSpan w:val="3"/>
          </w:tcPr>
          <w:p>
            <w:pPr>
              <w:ind w:left="320"/>
              <w:spacing w:after="0"/>
              <w:rPr>
                <w:sz w:val="20"/>
                <w:szCs w:val="20"/>
                <w:color w:val="auto"/>
              </w:rPr>
            </w:pPr>
            <w:r>
              <w:rPr>
                <w:rFonts w:ascii="Arial" w:cs="Arial" w:eastAsia="Arial" w:hAnsi="Arial"/>
                <w:sz w:val="20"/>
                <w:szCs w:val="20"/>
                <w:color w:val="auto"/>
                <w:w w:val="90"/>
              </w:rPr>
              <w:t>Corporate Status. Borrower is a corporation duly organized, legally existing and in good standing under the laws of the</w:t>
            </w:r>
          </w:p>
        </w:tc>
      </w:tr>
    </w:tbl>
    <w:p>
      <w:pPr>
        <w:ind w:right="20"/>
        <w:spacing w:after="0"/>
        <w:rPr>
          <w:sz w:val="20"/>
          <w:szCs w:val="20"/>
          <w:color w:val="auto"/>
        </w:rPr>
      </w:pPr>
      <w:r>
        <w:rPr>
          <w:rFonts w:ascii="Arial" w:cs="Arial" w:eastAsia="Arial" w:hAnsi="Arial"/>
          <w:sz w:val="20"/>
          <w:szCs w:val="20"/>
          <w:color w:val="auto"/>
        </w:rPr>
        <w:t>State of Delaware, and is duly qualified as a foreign corporation in all jurisdictions in which the nature of its business or location of its properties require such qualifications and where the failure to be qualified would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5.2</w:t>
            </w:r>
          </w:p>
        </w:tc>
        <w:tc>
          <w:tcPr>
            <w:tcW w:w="9620" w:type="dxa"/>
            <w:vAlign w:val="bottom"/>
          </w:tcPr>
          <w:p>
            <w:pPr>
              <w:ind w:left="320"/>
              <w:spacing w:after="0"/>
              <w:rPr>
                <w:sz w:val="20"/>
                <w:szCs w:val="20"/>
                <w:color w:val="auto"/>
              </w:rPr>
            </w:pPr>
            <w:r>
              <w:rPr>
                <w:rFonts w:ascii="Arial" w:cs="Arial" w:eastAsia="Arial" w:hAnsi="Arial"/>
                <w:sz w:val="20"/>
                <w:szCs w:val="20"/>
                <w:color w:val="auto"/>
                <w:w w:val="98"/>
              </w:rPr>
              <w:t>Collateral. Borrower owns the Collateral and the Intellectual Property, free of all Liens, except for Permitted</w:t>
            </w:r>
          </w:p>
        </w:tc>
      </w:tr>
      <w:tr>
        <w:trPr>
          <w:trHeight w:val="250"/>
        </w:trPr>
        <w:tc>
          <w:tcPr>
            <w:tcW w:w="11060" w:type="dxa"/>
            <w:vAlign w:val="bottom"/>
            <w:gridSpan w:val="2"/>
          </w:tcPr>
          <w:p>
            <w:pPr>
              <w:spacing w:after="0"/>
              <w:rPr>
                <w:sz w:val="20"/>
                <w:szCs w:val="20"/>
                <w:color w:val="auto"/>
              </w:rPr>
            </w:pPr>
            <w:r>
              <w:rPr>
                <w:rFonts w:ascii="Arial" w:cs="Arial" w:eastAsia="Arial" w:hAnsi="Arial"/>
                <w:sz w:val="20"/>
                <w:szCs w:val="20"/>
                <w:color w:val="auto"/>
                <w:w w:val="99"/>
              </w:rPr>
              <w:t>Liens. Borrower has the power and authority to grant to Agent a Lien in the Collateral as security for the Secured Obligations.</w:t>
            </w:r>
          </w:p>
        </w:tc>
      </w:tr>
      <w:tr>
        <w:trPr>
          <w:trHeight w:val="440"/>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5.3</w:t>
            </w:r>
          </w:p>
        </w:tc>
        <w:tc>
          <w:tcPr>
            <w:tcW w:w="9620" w:type="dxa"/>
            <w:vAlign w:val="bottom"/>
          </w:tcPr>
          <w:p>
            <w:pPr>
              <w:ind w:left="320"/>
              <w:spacing w:after="0"/>
              <w:rPr>
                <w:sz w:val="20"/>
                <w:szCs w:val="20"/>
                <w:color w:val="auto"/>
              </w:rPr>
            </w:pPr>
            <w:r>
              <w:rPr>
                <w:rFonts w:ascii="Arial" w:cs="Arial" w:eastAsia="Arial" w:hAnsi="Arial"/>
                <w:sz w:val="20"/>
                <w:szCs w:val="20"/>
                <w:color w:val="auto"/>
                <w:w w:val="90"/>
              </w:rPr>
              <w:t>Consents. Borrower’s execution, delivery and performance of this Agreement and all other Loan Documents (i) have</w:t>
            </w:r>
          </w:p>
        </w:tc>
      </w:tr>
    </w:tbl>
    <w:p>
      <w:pPr>
        <w:ind w:right="120"/>
        <w:spacing w:after="0"/>
        <w:rPr>
          <w:sz w:val="20"/>
          <w:szCs w:val="20"/>
          <w:color w:val="auto"/>
        </w:rPr>
      </w:pPr>
      <w:r>
        <w:rPr>
          <w:rFonts w:ascii="Arial" w:cs="Arial" w:eastAsia="Arial" w:hAnsi="Arial"/>
          <w:sz w:val="20"/>
          <w:szCs w:val="20"/>
          <w:color w:val="auto"/>
        </w:rPr>
        <w:t>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material contract or material agreement or require the consent or approval of any other Person which has not already been obtained. The individual or individuals executing the Loan Documents are duly authorized to do so.</w:t>
      </w:r>
    </w:p>
    <w:p>
      <w:pPr>
        <w:spacing w:after="0" w:line="195" w:lineRule="exact"/>
        <w:rPr>
          <w:sz w:val="20"/>
          <w:szCs w:val="20"/>
          <w:color w:val="auto"/>
        </w:rPr>
      </w:pPr>
    </w:p>
    <w:p>
      <w:pPr>
        <w:ind w:right="80" w:firstLine="864"/>
        <w:spacing w:after="0" w:line="249" w:lineRule="auto"/>
        <w:rPr>
          <w:sz w:val="20"/>
          <w:szCs w:val="20"/>
          <w:color w:val="auto"/>
        </w:rPr>
      </w:pPr>
      <w:r>
        <w:rPr>
          <w:rFonts w:ascii="Arial" w:cs="Arial" w:eastAsia="Arial" w:hAnsi="Arial"/>
          <w:sz w:val="20"/>
          <w:szCs w:val="20"/>
          <w:color w:val="auto"/>
        </w:rPr>
        <w:t>5.4 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88" w:lineRule="exact"/>
        <w:rPr>
          <w:sz w:val="20"/>
          <w:szCs w:val="20"/>
          <w:color w:val="auto"/>
        </w:rPr>
      </w:pPr>
    </w:p>
    <w:p>
      <w:pPr>
        <w:ind w:firstLine="864"/>
        <w:spacing w:after="0" w:line="249" w:lineRule="auto"/>
        <w:rPr>
          <w:sz w:val="20"/>
          <w:szCs w:val="20"/>
          <w:color w:val="auto"/>
        </w:rPr>
      </w:pPr>
      <w:r>
        <w:rPr>
          <w:rFonts w:ascii="Arial" w:cs="Arial" w:eastAsia="Arial" w:hAnsi="Arial"/>
          <w:sz w:val="20"/>
          <w:szCs w:val="20"/>
          <w:color w:val="auto"/>
        </w:rPr>
        <w:t>5.5 Actions Before Governmental Authorities. There are no actions, suits or proceedings at law or in equity or by or before any governmental authority now pending or, to the knowledge of Borrower, threatened in writing against or affecting Borrower or its property, that is reasonably expected to result in a Material Adverse Effect.</w:t>
      </w:r>
    </w:p>
    <w:p>
      <w:pPr>
        <w:spacing w:after="0" w:line="18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color w:val="auto"/>
        </w:rPr>
        <w:t>Laws. Neither Borrower nor any of its Subsidiaries is in violation of any law, rule or regulation, or in default with</w:t>
      </w:r>
    </w:p>
    <w:p>
      <w:pPr>
        <w:spacing w:after="0" w:line="15"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respect to any judgment, writ, injunction or decree of any governmental authority, where such violation or default is reasonably expected to result in a Material Adverse Effect. Borrower is not in default in any manner under any provision of any agreement or instrument evidencing material Indebtedness, or any other material agreement to which it is a party or by which it is bound.</w:t>
      </w:r>
    </w:p>
    <w:p>
      <w:pPr>
        <w:spacing w:after="0" w:line="195" w:lineRule="exact"/>
        <w:rPr>
          <w:sz w:val="20"/>
          <w:szCs w:val="20"/>
          <w:color w:val="auto"/>
        </w:rPr>
      </w:pPr>
    </w:p>
    <w:p>
      <w:pPr>
        <w:ind w:right="80" w:firstLine="864"/>
        <w:spacing w:after="0" w:line="271" w:lineRule="auto"/>
        <w:rPr>
          <w:sz w:val="20"/>
          <w:szCs w:val="20"/>
          <w:color w:val="auto"/>
        </w:rPr>
      </w:pPr>
      <w:r>
        <w:rPr>
          <w:rFonts w:ascii="Arial" w:cs="Arial" w:eastAsia="Arial" w:hAnsi="Arial"/>
          <w:sz w:val="18"/>
          <w:szCs w:val="18"/>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71" w:lineRule="exact"/>
        <w:rPr>
          <w:sz w:val="20"/>
          <w:szCs w:val="20"/>
          <w:color w:val="auto"/>
        </w:rPr>
      </w:pPr>
    </w:p>
    <w:p>
      <w:pPr>
        <w:ind w:right="80" w:firstLine="864"/>
        <w:spacing w:after="0" w:line="243" w:lineRule="auto"/>
        <w:rPr>
          <w:sz w:val="20"/>
          <w:szCs w:val="20"/>
          <w:color w:val="auto"/>
        </w:rPr>
      </w:pPr>
      <w:r>
        <w:rPr>
          <w:rFonts w:ascii="Arial" w:cs="Arial" w:eastAsia="Arial" w:hAnsi="Arial"/>
          <w:sz w:val="20"/>
          <w:szCs w:val="20"/>
          <w:color w:val="auto"/>
        </w:rPr>
        <w:t>None of Borrower, any of its Subsidiaries, or, to Borrower’s knowledge,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its Affiliates or agents, acting or benefiting in any capacity in connection with the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2" w:name="page83"/>
    <w:bookmarkEnd w:id="82"/>
    <w:p>
      <w:pPr>
        <w:spacing w:after="0" w:line="242" w:lineRule="auto"/>
        <w:rPr>
          <w:sz w:val="20"/>
          <w:szCs w:val="20"/>
          <w:color w:val="auto"/>
        </w:rPr>
      </w:pPr>
      <w:r>
        <w:rPr>
          <w:rFonts w:ascii="Arial" w:cs="Arial" w:eastAsia="Arial" w:hAnsi="Arial"/>
          <w:sz w:val="20"/>
          <w:szCs w:val="20"/>
          <w:color w:val="auto"/>
        </w:rPr>
        <w:t>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94"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5.7 Information Correct and Current. No information, report, Advance Request, financial statement, exhibit or schedule furnished (in each case, other than forecasts, projections and other forward looking statements and information of a general economic or industry nature), by or on behalf of Borrower to Agent in connection with any Loan Document or included therein or delivered pursuant thereto contained, or, when taken as a whole,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at the time delivered, and (ii) the most current of such projections provided to Borrower’s Board of Directors (it being understood that such projections are subject to significant uncertainties and contingencies, many of which are beyond the control of the Borrower, that no assurance is given that any particular projections will be realized, and that actual results may differ).</w:t>
      </w:r>
    </w:p>
    <w:p>
      <w:pPr>
        <w:spacing w:after="0" w:line="176" w:lineRule="exact"/>
        <w:rPr>
          <w:sz w:val="20"/>
          <w:szCs w:val="20"/>
          <w:color w:val="auto"/>
        </w:rPr>
      </w:pPr>
    </w:p>
    <w:p>
      <w:pPr>
        <w:ind w:right="60" w:firstLine="864"/>
        <w:spacing w:after="0" w:line="274" w:lineRule="auto"/>
        <w:rPr>
          <w:sz w:val="20"/>
          <w:szCs w:val="20"/>
          <w:color w:val="auto"/>
        </w:rPr>
      </w:pPr>
      <w:r>
        <w:rPr>
          <w:rFonts w:ascii="Arial" w:cs="Arial" w:eastAsia="Arial" w:hAnsi="Arial"/>
          <w:sz w:val="18"/>
          <w:szCs w:val="18"/>
          <w:color w:val="auto"/>
        </w:rPr>
        <w:t>5.8 Tax Matters. Except as described on Schedule 5.8 and as otherwise being contested in good faith with adequate reserves under GAAP, (a) Borrower and its Subsidiaries have filed all material federal and state income Tax returns and other material Tax returns that they are required to file, (b) Borrower and its Subsidiaries have duly paid or fully reserved for all federal and state income Taxes and other material Taxes or installments thereof that they are required to pay as and when due,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66" w:lineRule="exact"/>
        <w:rPr>
          <w:sz w:val="20"/>
          <w:szCs w:val="20"/>
          <w:color w:val="auto"/>
        </w:rPr>
      </w:pPr>
    </w:p>
    <w:p>
      <w:pPr>
        <w:ind w:firstLine="864"/>
        <w:spacing w:after="0" w:line="255" w:lineRule="auto"/>
        <w:rPr>
          <w:sz w:val="20"/>
          <w:szCs w:val="20"/>
          <w:color w:val="auto"/>
        </w:rPr>
      </w:pPr>
      <w:r>
        <w:rPr>
          <w:rFonts w:ascii="Arial" w:cs="Arial" w:eastAsia="Arial" w:hAnsi="Arial"/>
          <w:sz w:val="19"/>
          <w:szCs w:val="19"/>
          <w:color w:val="auto"/>
        </w:rPr>
        <w:t>5.9 Intellectual Property Claims. Borrower is the sole owner of, or otherwise has the right to use, the Intellectual Property material to Borrower’s business. Except as described on Schedule 5.9, (i) each of the material Copyrights, Trademarks and Patents is valid and enforceable, (ii) no material part of the Intellectual Property has been judged invalid or unenforceable, in whole or in part, and (iii) no claim has been made to Borrower that any material part of the Intellectual Property violates the rights of any third party. Exhibit C is a true, correct and complete list of each of Borrower’s Patents, registered Trademarks, registered Copyrights, and material agreements under which Borrower licenses Intellectual Property from third parties (other than shrink-wrap 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sectPr>
      </w:pPr>
    </w:p>
    <w:bookmarkStart w:id="83" w:name="page84"/>
    <w:bookmarkEnd w:id="83"/>
    <w:p>
      <w:pPr>
        <w:ind w:right="20" w:firstLine="864"/>
        <w:spacing w:after="0" w:line="270" w:lineRule="auto"/>
        <w:rPr>
          <w:sz w:val="20"/>
          <w:szCs w:val="20"/>
          <w:color w:val="auto"/>
        </w:rPr>
      </w:pPr>
      <w:r>
        <w:rPr>
          <w:rFonts w:ascii="Arial" w:cs="Arial" w:eastAsia="Arial" w:hAnsi="Arial"/>
          <w:sz w:val="18"/>
          <w:szCs w:val="18"/>
          <w:color w:val="auto"/>
        </w:rPr>
        <w:t>5.10 Intellectual Property. Except as described on Schedule 5.10,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 Except as described in Schedule 5.10 or disclosed in the Compliance Certificate, Borrower is not a party to, nor is it bound by, any Restricted License.</w:t>
      </w:r>
    </w:p>
    <w:p>
      <w:pPr>
        <w:spacing w:after="0" w:line="176" w:lineRule="exact"/>
        <w:rPr>
          <w:sz w:val="20"/>
          <w:szCs w:val="20"/>
          <w:color w:val="auto"/>
        </w:rPr>
      </w:pPr>
    </w:p>
    <w:p>
      <w:pPr>
        <w:ind w:right="20" w:firstLine="864"/>
        <w:spacing w:after="0" w:line="258" w:lineRule="auto"/>
        <w:rPr>
          <w:sz w:val="20"/>
          <w:szCs w:val="20"/>
          <w:color w:val="auto"/>
        </w:rPr>
      </w:pPr>
      <w:r>
        <w:rPr>
          <w:rFonts w:ascii="Arial" w:cs="Arial" w:eastAsia="Arial" w:hAnsi="Arial"/>
          <w:sz w:val="19"/>
          <w:szCs w:val="19"/>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82"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5.11 Borrower Products. Except as described on Schedule 5.11, no material Intellectual Property owned by Borrower or Borrower Product has been or is subject to any actual or, to the knowledge of Borrower, threatened litigation in writing, proceeding (including any proceeding in the United States Patent and Trademark Office or any corresponding foreign office or agency) or outstanding decree, order, judgment, settlement agreement or stipulation that restricts in any material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material future Intellectual Property related to the operation or conduct of the business of Borrower or Borrower Products.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Neither Borrower’s use of its Intellectual Property nor the production and sale of Borrower Products infringes the Intellectual Property or other rights of others.</w:t>
      </w:r>
    </w:p>
    <w:p>
      <w:pPr>
        <w:spacing w:after="0" w:line="172" w:lineRule="exact"/>
        <w:rPr>
          <w:sz w:val="20"/>
          <w:szCs w:val="20"/>
          <w:color w:val="auto"/>
        </w:rPr>
      </w:pPr>
    </w:p>
    <w:p>
      <w:pPr>
        <w:ind w:right="120" w:firstLine="864"/>
        <w:spacing w:after="0" w:line="278" w:lineRule="auto"/>
        <w:rPr>
          <w:sz w:val="20"/>
          <w:szCs w:val="20"/>
          <w:color w:val="auto"/>
        </w:rPr>
      </w:pPr>
      <w:r>
        <w:rPr>
          <w:rFonts w:ascii="Arial" w:cs="Arial" w:eastAsia="Arial" w:hAnsi="Arial"/>
          <w:sz w:val="18"/>
          <w:szCs w:val="18"/>
          <w:color w:val="auto"/>
        </w:rPr>
        <w:t>5.12 Financial Accounts. Exhibit D, as may be updated by the Borrower in a written notice provided to Agent after the Closing Date, is a true, correct and complete list of (a) all banks and other financial institutions at which Borrower or any Subsidiary (other than the MSC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84" w:name="page85"/>
    <w:bookmarkEnd w:id="84"/>
    <w:p>
      <w:pPr>
        <w:ind w:right="20" w:firstLine="864"/>
        <w:spacing w:after="0" w:line="249" w:lineRule="auto"/>
        <w:rPr>
          <w:sz w:val="20"/>
          <w:szCs w:val="20"/>
          <w:color w:val="auto"/>
        </w:rPr>
      </w:pPr>
      <w:r>
        <w:rPr>
          <w:rFonts w:ascii="Arial" w:cs="Arial" w:eastAsia="Arial" w:hAnsi="Arial"/>
          <w:sz w:val="20"/>
          <w:szCs w:val="20"/>
          <w:color w:val="auto"/>
        </w:rPr>
        <w:t>5.13 Employee Loans. Except as permitted hereunder, Borrower has no outstanding loans to any employee, officer or director of the Borrower nor has Borrower guaranteed the payment of any loan made to an employee, officer or director of the Borrower by a third party.</w:t>
      </w:r>
    </w:p>
    <w:p>
      <w:pPr>
        <w:spacing w:after="0" w:line="188" w:lineRule="exact"/>
        <w:rPr>
          <w:sz w:val="20"/>
          <w:szCs w:val="20"/>
          <w:color w:val="auto"/>
        </w:rPr>
      </w:pPr>
    </w:p>
    <w:p>
      <w:pPr>
        <w:ind w:right="20" w:firstLine="864"/>
        <w:spacing w:after="0" w:line="249" w:lineRule="auto"/>
        <w:rPr>
          <w:sz w:val="20"/>
          <w:szCs w:val="20"/>
          <w:color w:val="auto"/>
        </w:rPr>
      </w:pPr>
      <w:r>
        <w:rPr>
          <w:rFonts w:ascii="Arial" w:cs="Arial" w:eastAsia="Arial" w:hAnsi="Arial"/>
          <w:sz w:val="20"/>
          <w:szCs w:val="20"/>
          <w:color w:val="auto"/>
        </w:rPr>
        <w:t>5.14 Subsidiaries. Borrower does not own any stock, partnership interest or other securities of any Person, except for Permitted Investments. Attached as Schedule 1, as may be updated by Borrower in a written notice provided after the Closing Date, is a true, correct and complete list of each direct and indirect Subsidiary of Parent.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880"/>
              <w:spacing w:after="0"/>
              <w:rPr>
                <w:sz w:val="20"/>
                <w:szCs w:val="20"/>
                <w:color w:val="auto"/>
              </w:rPr>
            </w:pPr>
            <w:r>
              <w:rPr>
                <w:rFonts w:ascii="Arial" w:cs="Arial" w:eastAsia="Arial" w:hAnsi="Arial"/>
                <w:sz w:val="20"/>
                <w:szCs w:val="20"/>
                <w:color w:val="auto"/>
              </w:rPr>
              <w:t>5.15</w:t>
            </w:r>
          </w:p>
        </w:tc>
        <w:tc>
          <w:tcPr>
            <w:tcW w:w="9680" w:type="dxa"/>
            <w:vAlign w:val="bottom"/>
            <w:gridSpan w:val="3"/>
          </w:tcPr>
          <w:p>
            <w:pPr>
              <w:ind w:left="360"/>
              <w:spacing w:after="0"/>
              <w:rPr>
                <w:sz w:val="20"/>
                <w:szCs w:val="20"/>
                <w:color w:val="auto"/>
              </w:rPr>
            </w:pPr>
            <w:r>
              <w:rPr>
                <w:rFonts w:ascii="Arial" w:cs="Arial" w:eastAsia="Arial" w:hAnsi="Arial"/>
                <w:sz w:val="20"/>
                <w:szCs w:val="20"/>
                <w:color w:val="auto"/>
                <w:w w:val="96"/>
              </w:rPr>
              <w:t>Foreign Subsidiary Voting Rights. No decision or action in any governing document of any Foreign Subsidiary</w:t>
            </w:r>
          </w:p>
        </w:tc>
      </w:tr>
      <w:tr>
        <w:trPr>
          <w:trHeight w:val="250"/>
        </w:trPr>
        <w:tc>
          <w:tcPr>
            <w:tcW w:w="11180" w:type="dxa"/>
            <w:vAlign w:val="bottom"/>
            <w:gridSpan w:val="4"/>
          </w:tcPr>
          <w:p>
            <w:pPr>
              <w:spacing w:after="0"/>
              <w:rPr>
                <w:sz w:val="20"/>
                <w:szCs w:val="20"/>
                <w:color w:val="auto"/>
              </w:rPr>
            </w:pPr>
            <w:r>
              <w:rPr>
                <w:rFonts w:ascii="Arial" w:cs="Arial" w:eastAsia="Arial" w:hAnsi="Arial"/>
                <w:sz w:val="20"/>
                <w:szCs w:val="20"/>
                <w:color w:val="auto"/>
              </w:rPr>
              <w:t>requires a vote of greater than 50.1% of the Equity Interests or voting rights of such Foreign Subsidiary.</w:t>
            </w:r>
          </w:p>
        </w:tc>
      </w:tr>
      <w:tr>
        <w:trPr>
          <w:trHeight w:val="400"/>
        </w:trPr>
        <w:tc>
          <w:tcPr>
            <w:tcW w:w="1500" w:type="dxa"/>
            <w:vAlign w:val="bottom"/>
          </w:tcPr>
          <w:p>
            <w:pPr>
              <w:spacing w:after="0"/>
              <w:rPr>
                <w:sz w:val="24"/>
                <w:szCs w:val="24"/>
                <w:color w:val="auto"/>
              </w:rPr>
            </w:pPr>
          </w:p>
        </w:tc>
        <w:tc>
          <w:tcPr>
            <w:tcW w:w="9680" w:type="dxa"/>
            <w:vAlign w:val="bottom"/>
            <w:gridSpan w:val="3"/>
          </w:tcPr>
          <w:p>
            <w:pPr>
              <w:ind w:left="1900"/>
              <w:spacing w:after="0"/>
              <w:rPr>
                <w:sz w:val="20"/>
                <w:szCs w:val="20"/>
                <w:color w:val="auto"/>
              </w:rPr>
            </w:pPr>
            <w:r>
              <w:rPr>
                <w:rFonts w:ascii="Arial" w:cs="Arial" w:eastAsia="Arial" w:hAnsi="Arial"/>
                <w:sz w:val="20"/>
                <w:szCs w:val="20"/>
                <w:b w:val="1"/>
                <w:bCs w:val="1"/>
                <w:color w:val="auto"/>
              </w:rPr>
              <w:t>SECTION 6. INSURANCE; INDEMNIFICATION</w:t>
            </w:r>
          </w:p>
        </w:tc>
      </w:tr>
      <w:tr>
        <w:trPr>
          <w:trHeight w:val="20"/>
        </w:trPr>
        <w:tc>
          <w:tcPr>
            <w:tcW w:w="1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465"/>
        </w:trPr>
        <w:tc>
          <w:tcPr>
            <w:tcW w:w="1500" w:type="dxa"/>
            <w:vAlign w:val="bottom"/>
          </w:tcPr>
          <w:p>
            <w:pPr>
              <w:ind w:left="880"/>
              <w:spacing w:after="0"/>
              <w:rPr>
                <w:sz w:val="20"/>
                <w:szCs w:val="20"/>
                <w:color w:val="auto"/>
              </w:rPr>
            </w:pPr>
            <w:r>
              <w:rPr>
                <w:rFonts w:ascii="Arial" w:cs="Arial" w:eastAsia="Arial" w:hAnsi="Arial"/>
                <w:sz w:val="20"/>
                <w:szCs w:val="20"/>
                <w:color w:val="auto"/>
              </w:rPr>
              <w:t>6.1</w:t>
            </w:r>
          </w:p>
        </w:tc>
        <w:tc>
          <w:tcPr>
            <w:tcW w:w="9680" w:type="dxa"/>
            <w:vAlign w:val="bottom"/>
            <w:gridSpan w:val="3"/>
          </w:tcPr>
          <w:p>
            <w:pPr>
              <w:ind w:left="260"/>
              <w:spacing w:after="0"/>
              <w:rPr>
                <w:sz w:val="20"/>
                <w:szCs w:val="20"/>
                <w:color w:val="auto"/>
              </w:rPr>
            </w:pPr>
            <w:r>
              <w:rPr>
                <w:rFonts w:ascii="Arial" w:cs="Arial" w:eastAsia="Arial" w:hAnsi="Arial"/>
                <w:sz w:val="20"/>
                <w:szCs w:val="20"/>
                <w:color w:val="auto"/>
                <w:w w:val="89"/>
              </w:rPr>
              <w:t>Coverage. Borrower shall cause to be carried and maintained commercial general liability insurance, on an occurrence</w:t>
            </w:r>
          </w:p>
        </w:tc>
      </w:tr>
    </w:tbl>
    <w:p>
      <w:pPr>
        <w:spacing w:after="0"/>
        <w:rPr>
          <w:sz w:val="20"/>
          <w:szCs w:val="20"/>
          <w:color w:val="auto"/>
        </w:rPr>
      </w:pPr>
      <w:r>
        <w:rPr>
          <w:rFonts w:ascii="Arial" w:cs="Arial" w:eastAsia="Arial" w:hAnsi="Arial"/>
          <w:sz w:val="18"/>
          <w:szCs w:val="18"/>
          <w:color w:val="auto"/>
        </w:rPr>
        <w:t>form, against risks customarily insured against in Borrower’s line of business. Such risks shall include the risks of bodily injury, including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death, property damage, personal injury, advertising injury, and limited contractual liability per the terms of the indemnification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found in Section 6.3. Borrower must maintain a minimum of $2,000,000 of commercial general liability insurance for each</w:t>
      </w:r>
    </w:p>
    <w:p>
      <w:pPr>
        <w:spacing w:after="0" w:line="253" w:lineRule="auto"/>
        <w:rPr>
          <w:sz w:val="20"/>
          <w:szCs w:val="20"/>
          <w:color w:val="auto"/>
        </w:rPr>
      </w:pPr>
      <w:r>
        <w:rPr>
          <w:rFonts w:ascii="Arial" w:cs="Arial" w:eastAsia="Arial" w:hAnsi="Arial"/>
          <w:sz w:val="19"/>
          <w:szCs w:val="19"/>
          <w:color w:val="auto"/>
        </w:rPr>
        <w:t>occurrence. Borrower has and agrees to maintain a minimum of $2,000,000 of directors’ and officers’ insurance for each occurrence and $5,000,000 in the aggregate. So long as there are any Secured Obligations outstanding (other than inchoate indemnity obligations), Borrower shall also cause to be carried and maintained insurance upon the Collateral, insuring against special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88" w:lineRule="exact"/>
        <w:rPr>
          <w:sz w:val="20"/>
          <w:szCs w:val="20"/>
          <w:color w:val="auto"/>
        </w:rPr>
      </w:pPr>
    </w:p>
    <w:p>
      <w:pPr>
        <w:ind w:right="60" w:firstLine="864"/>
        <w:spacing w:after="0" w:line="270" w:lineRule="auto"/>
        <w:rPr>
          <w:sz w:val="20"/>
          <w:szCs w:val="20"/>
          <w:color w:val="auto"/>
        </w:rPr>
      </w:pPr>
      <w:r>
        <w:rPr>
          <w:rFonts w:ascii="Arial" w:cs="Arial" w:eastAsia="Arial" w:hAnsi="Arial"/>
          <w:sz w:val="18"/>
          <w:szCs w:val="18"/>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85" w:name="page86"/>
    <w:bookmarkEnd w:id="85"/>
    <w:p>
      <w:pPr>
        <w:ind w:right="60" w:firstLine="864"/>
        <w:spacing w:after="0" w:line="269" w:lineRule="auto"/>
        <w:rPr>
          <w:sz w:val="20"/>
          <w:szCs w:val="20"/>
          <w:color w:val="auto"/>
        </w:rPr>
      </w:pPr>
      <w:r>
        <w:rPr>
          <w:rFonts w:ascii="Arial" w:cs="Arial" w:eastAsia="Arial" w:hAnsi="Arial"/>
          <w:sz w:val="18"/>
          <w:szCs w:val="18"/>
          <w:color w:val="auto"/>
        </w:rPr>
        <w:t>6.3 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documented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Borrower or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u w:val="single" w:color="auto"/>
          <w:color w:val="auto"/>
        </w:rPr>
        <w:t>COVENANTS OF BORROWER</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Borrower agrees as follows:</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Financial Reports. Borrower shall furnish to Agent the financial statements and reports listed hereinafter (the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“Financial Statements”):</w:t>
      </w:r>
    </w:p>
    <w:p>
      <w:pPr>
        <w:spacing w:after="0" w:line="199" w:lineRule="exact"/>
        <w:rPr>
          <w:sz w:val="20"/>
          <w:szCs w:val="20"/>
          <w:color w:val="auto"/>
        </w:rPr>
      </w:pPr>
    </w:p>
    <w:p>
      <w:pPr>
        <w:ind w:right="80" w:firstLine="1735"/>
        <w:spacing w:after="0" w:line="313" w:lineRule="auto"/>
        <w:tabs>
          <w:tab w:leader="none" w:pos="2594"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soon as practicable (and in any event within 30 days) after the end of each month, unaudited interim and year-to-date financial statements of Parent and its Subsidiaries as of the end of such month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Chief Financial Officer or Chief Operating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40" w:lineRule="exact"/>
        <w:rPr>
          <w:rFonts w:ascii="Arial" w:cs="Arial" w:eastAsia="Arial" w:hAnsi="Arial"/>
          <w:sz w:val="16"/>
          <w:szCs w:val="16"/>
          <w:color w:val="auto"/>
        </w:rPr>
      </w:pPr>
    </w:p>
    <w:p>
      <w:pPr>
        <w:ind w:firstLine="1735"/>
        <w:spacing w:after="0" w:line="242" w:lineRule="auto"/>
        <w:tabs>
          <w:tab w:leader="none" w:pos="2605" w:val="left"/>
        </w:tabs>
        <w:numPr>
          <w:ilvl w:val="0"/>
          <w:numId w:val="39"/>
        </w:numPr>
        <w:rPr>
          <w:rFonts w:ascii="Arial" w:cs="Arial" w:eastAsia="Arial" w:hAnsi="Arial"/>
          <w:sz w:val="20"/>
          <w:szCs w:val="20"/>
          <w:color w:val="auto"/>
        </w:rPr>
      </w:pPr>
      <w:r>
        <w:rPr>
          <w:rFonts w:ascii="Arial" w:cs="Arial" w:eastAsia="Arial" w:hAnsi="Arial"/>
          <w:sz w:val="20"/>
          <w:szCs w:val="20"/>
          <w:color w:val="auto"/>
        </w:rPr>
        <w:t>as soon as practicable (and in any event within 45 days) after the end of each calendar quarter, unaudited interim and year-to-date financial statements of Parent and its Subsidiaries as of the end of such calendar quarter (prepared on a consolidated basis),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Chief Financial Officer or Chief Operating Officer to the effect that they have been prepared in accordance with GAAP, except (i) for the absence of footnotes, and (ii) that they are subject to normal year-end adjustments;</w:t>
      </w:r>
    </w:p>
    <w:p>
      <w:pPr>
        <w:spacing w:after="0" w:line="197" w:lineRule="exact"/>
        <w:rPr>
          <w:rFonts w:ascii="Arial" w:cs="Arial" w:eastAsia="Arial" w:hAnsi="Arial"/>
          <w:sz w:val="20"/>
          <w:szCs w:val="20"/>
          <w:color w:val="auto"/>
        </w:rPr>
      </w:pPr>
    </w:p>
    <w:p>
      <w:pPr>
        <w:ind w:right="20" w:firstLine="1735"/>
        <w:spacing w:after="0" w:line="282" w:lineRule="auto"/>
        <w:tabs>
          <w:tab w:leader="none" w:pos="25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soon as practicable (and in any event within ninety (90) days) after the end of each fiscal year, unqualified audited financial statements of Parent and its Subsidiaries as of the end of such year (prepared on a consolidated basis), including balance sheet and related statements of income and cash flows, and setting forth in comparative form the corresponding figures for the preceding fiscal year, certified by a firm of independent certified public accountants selected by Borrower and reasonably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6" w:name="page87"/>
    <w:bookmarkEnd w:id="86"/>
    <w:p>
      <w:pPr>
        <w:ind w:right="380"/>
        <w:spacing w:after="0" w:line="260" w:lineRule="auto"/>
        <w:rPr>
          <w:sz w:val="20"/>
          <w:szCs w:val="20"/>
          <w:color w:val="auto"/>
        </w:rPr>
      </w:pPr>
      <w:r>
        <w:rPr>
          <w:rFonts w:ascii="Arial" w:cs="Arial" w:eastAsia="Arial" w:hAnsi="Arial"/>
          <w:sz w:val="20"/>
          <w:szCs w:val="20"/>
          <w:color w:val="auto"/>
        </w:rPr>
        <w:t>acceptable to Agent, accompanied by any management report from such accountants (it being understood that Deloitte Touche Tohmatsu Limited and any other accounting firm of national standing are reasonably acceptable to Agent);</w:t>
      </w:r>
    </w:p>
    <w:p>
      <w:pPr>
        <w:spacing w:after="0" w:line="176" w:lineRule="exact"/>
        <w:rPr>
          <w:sz w:val="20"/>
          <w:szCs w:val="20"/>
          <w:color w:val="auto"/>
        </w:rPr>
      </w:pPr>
    </w:p>
    <w:p>
      <w:pPr>
        <w:ind w:right="500" w:firstLine="1735"/>
        <w:spacing w:after="0" w:line="260" w:lineRule="auto"/>
        <w:tabs>
          <w:tab w:leader="none" w:pos="2605"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together with each set of financial statements delivered pursuant to Section 7.1(a) or (c), a Compliance Certificate in the form of Exhibit E;</w:t>
      </w:r>
    </w:p>
    <w:p>
      <w:pPr>
        <w:spacing w:after="0" w:line="175" w:lineRule="exact"/>
        <w:rPr>
          <w:rFonts w:ascii="Arial" w:cs="Arial" w:eastAsia="Arial" w:hAnsi="Arial"/>
          <w:sz w:val="20"/>
          <w:szCs w:val="20"/>
          <w:color w:val="auto"/>
        </w:rPr>
      </w:pPr>
    </w:p>
    <w:p>
      <w:pPr>
        <w:ind w:firstLine="1735"/>
        <w:spacing w:after="0" w:line="260" w:lineRule="auto"/>
        <w:tabs>
          <w:tab w:leader="none" w:pos="2594" w:val="left"/>
        </w:tabs>
        <w:numPr>
          <w:ilvl w:val="0"/>
          <w:numId w:val="40"/>
        </w:numPr>
        <w:rPr>
          <w:rFonts w:ascii="Arial" w:cs="Arial" w:eastAsia="Arial" w:hAnsi="Arial"/>
          <w:sz w:val="20"/>
          <w:szCs w:val="20"/>
          <w:color w:val="auto"/>
        </w:rPr>
      </w:pPr>
      <w:r>
        <w:rPr>
          <w:rFonts w:ascii="Arial" w:cs="Arial" w:eastAsia="Arial" w:hAnsi="Arial"/>
          <w:sz w:val="20"/>
          <w:szCs w:val="20"/>
          <w:color w:val="auto"/>
        </w:rPr>
        <w:t>as soon as practicable (and in any event within 30 days) after the end of each month, a report showing agings of accounts receivable and accounts payable;</w:t>
      </w:r>
    </w:p>
    <w:p>
      <w:pPr>
        <w:spacing w:after="0" w:line="175" w:lineRule="exact"/>
        <w:rPr>
          <w:rFonts w:ascii="Arial" w:cs="Arial" w:eastAsia="Arial" w:hAnsi="Arial"/>
          <w:sz w:val="20"/>
          <w:szCs w:val="20"/>
          <w:color w:val="auto"/>
        </w:rPr>
      </w:pPr>
    </w:p>
    <w:p>
      <w:pPr>
        <w:ind w:right="20" w:firstLine="1735"/>
        <w:spacing w:after="0" w:line="246" w:lineRule="auto"/>
        <w:tabs>
          <w:tab w:leader="none" w:pos="2572" w:val="left"/>
        </w:tabs>
        <w:numPr>
          <w:ilvl w:val="0"/>
          <w:numId w:val="40"/>
        </w:numPr>
        <w:rPr>
          <w:rFonts w:ascii="Arial" w:cs="Arial" w:eastAsia="Arial" w:hAnsi="Arial"/>
          <w:sz w:val="20"/>
          <w:szCs w:val="20"/>
          <w:color w:val="auto"/>
        </w:rPr>
      </w:pPr>
      <w:r>
        <w:rPr>
          <w:rFonts w:ascii="Arial" w:cs="Arial" w:eastAsia="Arial" w:hAnsi="Arial"/>
          <w:sz w:val="20"/>
          <w:szCs w:val="20"/>
          <w:color w:val="auto"/>
        </w:rPr>
        <w:t>promptly after the sending or filing thereof, as the case may be, copies of any proxy statements, financial statements or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89" w:lineRule="exact"/>
        <w:rPr>
          <w:rFonts w:ascii="Arial" w:cs="Arial" w:eastAsia="Arial" w:hAnsi="Arial"/>
          <w:sz w:val="20"/>
          <w:szCs w:val="20"/>
          <w:color w:val="auto"/>
        </w:rPr>
      </w:pPr>
    </w:p>
    <w:p>
      <w:pPr>
        <w:ind w:right="200" w:firstLine="1735"/>
        <w:spacing w:after="0" w:line="249" w:lineRule="auto"/>
        <w:tabs>
          <w:tab w:leader="none" w:pos="2605"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copies of all minutes approved by the Board of Director within 30 days after each such approval, provided that in all cases Borrower may exclude confidential compensation information, information subject to attorney client privilege and information that would raise a direct conflict of interest with Agent or Lender;</w:t>
      </w:r>
    </w:p>
    <w:p>
      <w:pPr>
        <w:spacing w:after="0" w:line="187" w:lineRule="exact"/>
        <w:rPr>
          <w:rFonts w:ascii="Arial" w:cs="Arial" w:eastAsia="Arial" w:hAnsi="Arial"/>
          <w:sz w:val="20"/>
          <w:szCs w:val="20"/>
          <w:color w:val="auto"/>
        </w:rPr>
      </w:pPr>
    </w:p>
    <w:p>
      <w:pPr>
        <w:ind w:right="80" w:firstLine="1735"/>
        <w:spacing w:after="0" w:line="249" w:lineRule="auto"/>
        <w:tabs>
          <w:tab w:leader="none" w:pos="2605" w:val="left"/>
        </w:tabs>
        <w:numPr>
          <w:ilvl w:val="0"/>
          <w:numId w:val="40"/>
        </w:numPr>
        <w:rPr>
          <w:rFonts w:ascii="Arial" w:cs="Arial" w:eastAsia="Arial" w:hAnsi="Arial"/>
          <w:sz w:val="20"/>
          <w:szCs w:val="20"/>
          <w:color w:val="auto"/>
        </w:rPr>
      </w:pPr>
      <w:r>
        <w:rPr>
          <w:rFonts w:ascii="Arial" w:cs="Arial" w:eastAsia="Arial" w:hAnsi="Arial"/>
          <w:sz w:val="20"/>
          <w:szCs w:val="20"/>
          <w:color w:val="auto"/>
        </w:rPr>
        <w:t>financial and business projections promptly following their approval by Borrower’s Board of Directors, and in any event, within 60 days after the end of Borrower’s fiscal year, as well as budgets, operating plans and other financial information reasonably requested by Agent; and</w:t>
      </w:r>
    </w:p>
    <w:p>
      <w:pPr>
        <w:spacing w:after="0" w:line="187" w:lineRule="exact"/>
        <w:rPr>
          <w:rFonts w:ascii="Arial" w:cs="Arial" w:eastAsia="Arial" w:hAnsi="Arial"/>
          <w:sz w:val="20"/>
          <w:szCs w:val="20"/>
          <w:color w:val="auto"/>
        </w:rPr>
      </w:pPr>
    </w:p>
    <w:p>
      <w:pPr>
        <w:ind w:firstLine="1735"/>
        <w:spacing w:after="0" w:line="249" w:lineRule="auto"/>
        <w:tabs>
          <w:tab w:leader="none" w:pos="2561"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prompt notice if Borrower or any Subsidiary has knowledge that Borrower, or any Subsidiary or Affiliate of Borrower, is listed on the OFAC Lists or (a) is convicted on, (b) pleads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(c) is indicted on, or (d) is arraigned and held over on charges involving money laundering or predicate crimes to money laundering.</w:t>
      </w:r>
    </w:p>
    <w:p>
      <w:pPr>
        <w:spacing w:after="0" w:line="188" w:lineRule="exact"/>
        <w:rPr>
          <w:sz w:val="20"/>
          <w:szCs w:val="20"/>
          <w:color w:val="auto"/>
        </w:rPr>
      </w:pPr>
    </w:p>
    <w:p>
      <w:pPr>
        <w:ind w:right="360"/>
        <w:spacing w:after="0" w:line="269" w:lineRule="auto"/>
        <w:rPr>
          <w:sz w:val="20"/>
          <w:szCs w:val="20"/>
          <w:color w:val="auto"/>
        </w:rPr>
      </w:pPr>
      <w:r>
        <w:rPr>
          <w:rFonts w:ascii="Arial" w:cs="Arial" w:eastAsia="Arial" w:hAnsi="Arial"/>
          <w:sz w:val="19"/>
          <w:szCs w:val="19"/>
          <w:color w:val="auto"/>
        </w:rPr>
        <w:t>Borrower shall not make any change in its (a) accounting policies or reporting practices other than to the extent required or otherwise contemplated by GAAP or other applicable regulatory requirements, or as approved by Agent, with such approval not to be unreasonably withheld, or (b) fiscal years or fiscal quarters. The fiscal year of Borrower shall end on December 31.</w:t>
      </w:r>
    </w:p>
    <w:p>
      <w:pPr>
        <w:spacing w:after="0" w:line="16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executed Compliance Certificate and all Financial Statements required to be delivered pursuant to clauses (a), (b), (c) and (d) shall be sent via e-mail to Agent at financialstatements@htgc.com with a copy to legal@htgc.com and jbourque@htgc.com; provided, that if e-mail is not available or sending such Financial Statements via e-mail is not possible, they shall be faxed to Agent at: (650) 473-9194, attention Account Manager: Syndax Pharmaceuticals, Inc.</w:t>
      </w:r>
    </w:p>
    <w:p>
      <w:pPr>
        <w:spacing w:after="0" w:line="19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 xml:space="preserve">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emails a link thereto to Agent; provided that Borrower shall directly provide Agent all Financial Statements required to be delivered pursuant to </w:t>
      </w:r>
      <w:r>
        <w:rPr>
          <w:rFonts w:ascii="Arial" w:cs="Arial" w:eastAsia="Arial" w:hAnsi="Arial"/>
          <w:sz w:val="20"/>
          <w:szCs w:val="20"/>
          <w:u w:val="single" w:color="auto"/>
          <w:color w:val="auto"/>
        </w:rPr>
        <w:t>Section 7.1(b)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hereunder.</w:t>
      </w:r>
    </w:p>
    <w:p>
      <w:pPr>
        <w:spacing w:after="0" w:line="190" w:lineRule="exact"/>
        <w:rPr>
          <w:sz w:val="20"/>
          <w:szCs w:val="20"/>
          <w:color w:val="auto"/>
        </w:rPr>
      </w:pPr>
    </w:p>
    <w:p>
      <w:pPr>
        <w:ind w:right="460" w:firstLine="864"/>
        <w:spacing w:after="0" w:line="246" w:lineRule="auto"/>
        <w:rPr>
          <w:sz w:val="20"/>
          <w:szCs w:val="20"/>
          <w:color w:val="auto"/>
        </w:rPr>
      </w:pPr>
      <w:r>
        <w:rPr>
          <w:rFonts w:ascii="Arial" w:cs="Arial" w:eastAsia="Arial" w:hAnsi="Arial"/>
          <w:sz w:val="20"/>
          <w:szCs w:val="20"/>
          <w:color w:val="auto"/>
        </w:rPr>
        <w:t xml:space="preserve">7.2 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so long as no Event of Default has occurred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7" w:name="page88"/>
    <w:bookmarkEnd w:id="87"/>
    <w:p>
      <w:pPr>
        <w:ind w:right="20"/>
        <w:spacing w:after="0" w:line="256" w:lineRule="auto"/>
        <w:rPr>
          <w:sz w:val="20"/>
          <w:szCs w:val="20"/>
          <w:color w:val="auto"/>
        </w:rPr>
      </w:pPr>
      <w:r>
        <w:rPr>
          <w:rFonts w:ascii="Arial" w:cs="Arial" w:eastAsia="Arial" w:hAnsi="Arial"/>
          <w:sz w:val="19"/>
          <w:szCs w:val="19"/>
          <w:color w:val="auto"/>
        </w:rPr>
        <w:t>and is continuing, such examinations shall be limited to no more often than once per fiscal year. In addition, any such representative shall have the right to meet with management and officers of Borrower to discuss such books of account and records.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85" w:lineRule="exact"/>
        <w:rPr>
          <w:sz w:val="20"/>
          <w:szCs w:val="20"/>
          <w:color w:val="auto"/>
        </w:rPr>
      </w:pPr>
    </w:p>
    <w:p>
      <w:pPr>
        <w:ind w:right="20" w:firstLine="864"/>
        <w:spacing w:after="0" w:line="268" w:lineRule="auto"/>
        <w:rPr>
          <w:sz w:val="20"/>
          <w:szCs w:val="20"/>
          <w:color w:val="auto"/>
        </w:rPr>
      </w:pPr>
      <w:r>
        <w:rPr>
          <w:rFonts w:ascii="Arial" w:cs="Arial" w:eastAsia="Arial" w:hAnsi="Arial"/>
          <w:sz w:val="18"/>
          <w:szCs w:val="18"/>
          <w:color w:val="auto"/>
        </w:rPr>
        <w:t>7.3 Further Assurances.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subject only to Permitted Liens,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in accordance with Section 9-504 of the UCC), collateral assignments, notices, control agreements, security agreements and other documents without the signature of Borrower either in Agent’s name or in the name of Agent as agent and attorney-in-fact for</w:t>
      </w:r>
    </w:p>
    <w:p>
      <w:pPr>
        <w:spacing w:after="0" w:line="1"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color w:val="auto"/>
        </w:rPr>
        <w:t>Borrower. Borrower shall protect and defend Borrower’s title to the Collateral and Agent’s Lien thereon against all Persons claiming any interest adverse to Borrower or Agent other than Permitted Liens.</w:t>
      </w:r>
    </w:p>
    <w:p>
      <w:pPr>
        <w:spacing w:after="0" w:line="193" w:lineRule="exact"/>
        <w:rPr>
          <w:sz w:val="20"/>
          <w:szCs w:val="20"/>
          <w:color w:val="auto"/>
        </w:rPr>
      </w:pPr>
    </w:p>
    <w:p>
      <w:pPr>
        <w:ind w:firstLine="864"/>
        <w:spacing w:after="0" w:line="255" w:lineRule="auto"/>
        <w:rPr>
          <w:sz w:val="20"/>
          <w:szCs w:val="20"/>
          <w:color w:val="auto"/>
        </w:rPr>
      </w:pPr>
      <w:r>
        <w:rPr>
          <w:rFonts w:ascii="Arial" w:cs="Arial" w:eastAsia="Arial" w:hAnsi="Arial"/>
          <w:sz w:val="19"/>
          <w:szCs w:val="19"/>
          <w:color w:val="auto"/>
        </w:rPr>
        <w:t>7.4 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extensions, refinancings and renewals of any items of Permitted Indebtedness, provided that the principal amount is not increased or the terms modified to impose materially more burdensome terms upon Borrower or its Subsidiary, as the case may be, (e) Indebtedness owed under corporate credit cards constituting “Permitted Indebtedness” and prepaid in the ordinary course of business, (f) trade debt incurred in the ordinary course of business to the extent permitted under subsection (iv) of the definition of “Permitted Indebtedness”, or (g) as otherwise permitted hereunder or approved in writing by Agent.</w:t>
      </w:r>
    </w:p>
    <w:p>
      <w:pPr>
        <w:spacing w:after="0" w:line="184" w:lineRule="exact"/>
        <w:rPr>
          <w:sz w:val="20"/>
          <w:szCs w:val="20"/>
          <w:color w:val="auto"/>
        </w:rPr>
      </w:pPr>
    </w:p>
    <w:p>
      <w:pPr>
        <w:ind w:right="100" w:firstLine="864"/>
        <w:spacing w:after="0" w:line="256" w:lineRule="auto"/>
        <w:rPr>
          <w:sz w:val="20"/>
          <w:szCs w:val="20"/>
          <w:color w:val="auto"/>
        </w:rPr>
      </w:pPr>
      <w:r>
        <w:rPr>
          <w:rFonts w:ascii="Arial" w:cs="Arial" w:eastAsia="Arial" w:hAnsi="Arial"/>
          <w:sz w:val="19"/>
          <w:szCs w:val="19"/>
          <w:color w:val="auto"/>
        </w:rPr>
        <w:t>7.5 Collateral. Borrower shall at all times keep the Collateral, the Intellectual Property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the Intellectual Property, such other property and assets, or any Liens thereon, provided however, that the Collateral and such other property and assets may be subject to Permitted Liens except that there shall be no Liens whatsoever on Intellectual Property. Borrower shall not agree with any Person other than Agent or the Lenders not to encumber its property other than pursuant to (a) any agreements governing any purchase money Liens or capital lease obligations otherwise permitted hereby (in which case, any prohibition or limitation shall only be effective against the assets financed thereby) and (b) customary restrictions on assets subject to Liens permitted under subsection (xiv) of the definition of “Permitted Liens” (in which</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8" w:name="page89"/>
    <w:bookmarkEnd w:id="88"/>
    <w:p>
      <w:pPr>
        <w:ind w:right="20"/>
        <w:spacing w:after="0" w:line="255" w:lineRule="auto"/>
        <w:rPr>
          <w:sz w:val="20"/>
          <w:szCs w:val="20"/>
          <w:color w:val="auto"/>
        </w:rPr>
      </w:pPr>
      <w:r>
        <w:rPr>
          <w:rFonts w:ascii="Arial" w:cs="Arial" w:eastAsia="Arial" w:hAnsi="Arial"/>
          <w:sz w:val="19"/>
          <w:szCs w:val="19"/>
          <w:color w:val="auto"/>
        </w:rPr>
        <w:t>case, any prohibition or limitation shall only be effective against the cash collateral provided thereto).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pursuant to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sublicense or sublease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Liens whatsoever (except for Permitted Liens, provided however, that there shall be no Liens whatsoever on Intellectual Property), and shall give Agent prompt written notice of any legal process affecting such Subsidiary’s assets in an amount greater than $500,000.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7.6</w:t>
            </w:r>
          </w:p>
        </w:tc>
        <w:tc>
          <w:tcPr>
            <w:tcW w:w="9740" w:type="dxa"/>
            <w:vAlign w:val="bottom"/>
          </w:tcPr>
          <w:p>
            <w:pPr>
              <w:ind w:left="320"/>
              <w:spacing w:after="0"/>
              <w:rPr>
                <w:sz w:val="20"/>
                <w:szCs w:val="20"/>
                <w:color w:val="auto"/>
              </w:rPr>
            </w:pPr>
            <w:r>
              <w:rPr>
                <w:rFonts w:ascii="Arial" w:cs="Arial" w:eastAsia="Arial" w:hAnsi="Arial"/>
                <w:sz w:val="20"/>
                <w:szCs w:val="20"/>
                <w:color w:val="auto"/>
                <w:w w:val="92"/>
              </w:rPr>
              <w:t>Investments. Borrower shall not directly or indirectly acquire or own, or make any Investment in or to any Person, or</w:t>
            </w:r>
          </w:p>
        </w:tc>
      </w:tr>
      <w:tr>
        <w:trPr>
          <w:trHeight w:val="250"/>
        </w:trPr>
        <w:tc>
          <w:tcPr>
            <w:tcW w:w="11180" w:type="dxa"/>
            <w:vAlign w:val="bottom"/>
            <w:gridSpan w:val="2"/>
          </w:tcPr>
          <w:p>
            <w:pPr>
              <w:spacing w:after="0"/>
              <w:rPr>
                <w:sz w:val="20"/>
                <w:szCs w:val="20"/>
                <w:color w:val="auto"/>
              </w:rPr>
            </w:pPr>
            <w:r>
              <w:rPr>
                <w:rFonts w:ascii="Arial" w:cs="Arial" w:eastAsia="Arial" w:hAnsi="Arial"/>
                <w:sz w:val="20"/>
                <w:szCs w:val="20"/>
                <w:color w:val="auto"/>
              </w:rPr>
              <w:t>permit any of its Subsidiaries so to do, other than Permitted Investments.</w:t>
            </w:r>
          </w:p>
        </w:tc>
      </w:tr>
      <w:tr>
        <w:trPr>
          <w:trHeight w:val="440"/>
        </w:trPr>
        <w:tc>
          <w:tcPr>
            <w:tcW w:w="1440" w:type="dxa"/>
            <w:vAlign w:val="bottom"/>
          </w:tcPr>
          <w:p>
            <w:pPr>
              <w:jc w:val="right"/>
              <w:ind w:right="221"/>
              <w:spacing w:after="0"/>
              <w:rPr>
                <w:sz w:val="20"/>
                <w:szCs w:val="20"/>
                <w:color w:val="auto"/>
              </w:rPr>
            </w:pPr>
            <w:r>
              <w:rPr>
                <w:rFonts w:ascii="Arial" w:cs="Arial" w:eastAsia="Arial" w:hAnsi="Arial"/>
                <w:sz w:val="20"/>
                <w:szCs w:val="20"/>
                <w:color w:val="auto"/>
              </w:rPr>
              <w:t>7.7</w:t>
            </w:r>
          </w:p>
        </w:tc>
        <w:tc>
          <w:tcPr>
            <w:tcW w:w="9740" w:type="dxa"/>
            <w:vAlign w:val="bottom"/>
          </w:tcPr>
          <w:p>
            <w:pPr>
              <w:ind w:left="320"/>
              <w:spacing w:after="0"/>
              <w:rPr>
                <w:sz w:val="20"/>
                <w:szCs w:val="20"/>
                <w:color w:val="auto"/>
              </w:rPr>
            </w:pPr>
            <w:r>
              <w:rPr>
                <w:rFonts w:ascii="Arial" w:cs="Arial" w:eastAsia="Arial" w:hAnsi="Arial"/>
                <w:sz w:val="20"/>
                <w:szCs w:val="20"/>
                <w:color w:val="auto"/>
                <w:w w:val="90"/>
              </w:rPr>
              <w:t>Distributions. Borrower shall not, and shall not allow any Subsidiary to, (a) repurchase or redeem any class of stock or</w:t>
            </w:r>
          </w:p>
        </w:tc>
      </w:tr>
    </w:tbl>
    <w:p>
      <w:pPr>
        <w:spacing w:after="0" w:line="271" w:lineRule="auto"/>
        <w:rPr>
          <w:sz w:val="20"/>
          <w:szCs w:val="20"/>
          <w:color w:val="auto"/>
        </w:rPr>
      </w:pPr>
      <w:r>
        <w:rPr>
          <w:rFonts w:ascii="Arial" w:cs="Arial" w:eastAsia="Arial" w:hAnsi="Arial"/>
          <w:sz w:val="18"/>
          <w:szCs w:val="18"/>
          <w:color w:val="auto"/>
        </w:rPr>
        <w:t>other Equity Interest other than pursuant to employee, director or consultant repurchase plans or other similar agreements, provided, however, in each case the repurchase or redemption price does not exceed the original consideration paid for such stock or Equity Interest, or (b) declare or pay any cash dividend or make any other cash distribution on any class of stock or other Equity Interest, except that a Subsidiary may pay dividends or make other distributions to Borrower or any Subsidiary of Borrower, or (c) lend money to any employees, officers or directors or guarantee the payment of any such loans granted by a third party in excess of $500,000 in the aggregate or (d) waive, release or forgive any Indebtedness (other than Indebtedness represented by a Permitted Investment made pursuant to clause (viii) of the definition of “Permitted Investment”) owed by any employees, officers or directors in excess of $500,000 in the aggregate in any fiscal year.</w:t>
      </w:r>
    </w:p>
    <w:p>
      <w:pPr>
        <w:spacing w:after="0" w:line="168" w:lineRule="exact"/>
        <w:rPr>
          <w:sz w:val="20"/>
          <w:szCs w:val="20"/>
          <w:color w:val="auto"/>
        </w:rPr>
      </w:pPr>
    </w:p>
    <w:p>
      <w:pPr>
        <w:ind w:firstLine="864"/>
        <w:spacing w:after="0" w:line="249" w:lineRule="auto"/>
        <w:rPr>
          <w:sz w:val="20"/>
          <w:szCs w:val="20"/>
          <w:color w:val="auto"/>
        </w:rPr>
      </w:pPr>
      <w:r>
        <w:rPr>
          <w:rFonts w:ascii="Arial" w:cs="Arial" w:eastAsia="Arial" w:hAnsi="Arial"/>
          <w:sz w:val="20"/>
          <w:szCs w:val="20"/>
          <w:color w:val="auto"/>
        </w:rPr>
        <w:t>7.8 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88" w:lineRule="exact"/>
        <w:rPr>
          <w:sz w:val="20"/>
          <w:szCs w:val="20"/>
          <w:color w:val="auto"/>
        </w:rPr>
      </w:pPr>
    </w:p>
    <w:p>
      <w:pPr>
        <w:ind w:right="80" w:firstLine="864"/>
        <w:spacing w:after="0" w:line="244" w:lineRule="auto"/>
        <w:rPr>
          <w:sz w:val="20"/>
          <w:szCs w:val="20"/>
          <w:color w:val="auto"/>
        </w:rPr>
      </w:pPr>
      <w:r>
        <w:rPr>
          <w:rFonts w:ascii="Arial" w:cs="Arial" w:eastAsia="Arial" w:hAnsi="Arial"/>
          <w:sz w:val="20"/>
          <w:szCs w:val="20"/>
          <w:color w:val="auto"/>
        </w:rPr>
        <w:t>7.9 Mergers or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acquire, or permit any of its Subsidiaries to acquire, in each case including for the avoidance of doubt through a merger, purchase, in-licensing arrangement or any similar transaction, all or substantially all of the capital stock or any property of another Person.</w:t>
      </w:r>
    </w:p>
    <w:p>
      <w:pPr>
        <w:spacing w:after="0" w:line="193" w:lineRule="exact"/>
        <w:rPr>
          <w:sz w:val="20"/>
          <w:szCs w:val="20"/>
          <w:color w:val="auto"/>
        </w:rPr>
      </w:pPr>
    </w:p>
    <w:p>
      <w:pPr>
        <w:ind w:right="140" w:firstLine="864"/>
        <w:spacing w:after="0" w:line="242" w:lineRule="auto"/>
        <w:rPr>
          <w:sz w:val="20"/>
          <w:szCs w:val="20"/>
          <w:color w:val="auto"/>
        </w:rPr>
      </w:pPr>
      <w:r>
        <w:rPr>
          <w:rFonts w:ascii="Arial" w:cs="Arial" w:eastAsia="Arial" w:hAnsi="Arial"/>
          <w:sz w:val="20"/>
          <w:szCs w:val="20"/>
          <w:color w:val="auto"/>
        </w:rPr>
        <w:t>7.10 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Taxes for which Borrower and its Subsidiaries maintain adequate reserves in accordance with GAAP.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89" w:name="page90"/>
    <w:bookmarkEnd w:id="89"/>
    <w:p>
      <w:pPr>
        <w:ind w:right="60" w:firstLine="864"/>
        <w:spacing w:after="0" w:line="268" w:lineRule="auto"/>
        <w:rPr>
          <w:sz w:val="20"/>
          <w:szCs w:val="20"/>
          <w:color w:val="auto"/>
        </w:rPr>
      </w:pPr>
      <w:r>
        <w:rPr>
          <w:rFonts w:ascii="Arial" w:cs="Arial" w:eastAsia="Arial" w:hAnsi="Arial"/>
          <w:sz w:val="18"/>
          <w:szCs w:val="18"/>
          <w:color w:val="auto"/>
        </w:rPr>
        <w:t>7.11 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with respect to Borrower. Neither Borrower nor any Subsidiary shall relocate any item of Collateral (other than (x) sales of Inventory in the ordinary course of business, (y) relocations of Equipment having an aggregate value of up to $500,000 in any fiscal year, and (z) relocations of Collateral from a location described on Exhibit B to another location described on Exhibit B) unless (a) it has provided prompt written notice to Agent,</w:t>
      </w:r>
    </w:p>
    <w:p>
      <w:pPr>
        <w:spacing w:after="0" w:line="3" w:lineRule="exact"/>
        <w:rPr>
          <w:sz w:val="20"/>
          <w:szCs w:val="20"/>
          <w:color w:val="auto"/>
        </w:rPr>
      </w:pPr>
    </w:p>
    <w:p>
      <w:pPr>
        <w:ind w:right="240" w:firstLine="8"/>
        <w:spacing w:after="0" w:line="243" w:lineRule="auto"/>
        <w:tabs>
          <w:tab w:leader="none" w:pos="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such relocation is within the continental United States of America with respect to Borrower and, (c) if such relocation is to a third party bailee, it has delivered a bailee agreement in form and substance reasonably acceptable to Agent.</w:t>
      </w:r>
    </w:p>
    <w:p>
      <w:pPr>
        <w:spacing w:after="0" w:line="193" w:lineRule="exact"/>
        <w:rPr>
          <w:sz w:val="20"/>
          <w:szCs w:val="20"/>
          <w:color w:val="auto"/>
        </w:rPr>
      </w:pPr>
    </w:p>
    <w:p>
      <w:pPr>
        <w:ind w:right="480" w:firstLine="864"/>
        <w:spacing w:after="0" w:line="249" w:lineRule="auto"/>
        <w:rPr>
          <w:sz w:val="20"/>
          <w:szCs w:val="20"/>
          <w:color w:val="auto"/>
        </w:rPr>
      </w:pPr>
      <w:r>
        <w:rPr>
          <w:rFonts w:ascii="Arial" w:cs="Arial" w:eastAsia="Arial" w:hAnsi="Arial"/>
          <w:sz w:val="20"/>
          <w:szCs w:val="20"/>
          <w:color w:val="auto"/>
        </w:rPr>
        <w:t>7.12 Deposit Accounts. Other than Excluded Accounts, neither Borrower nor any Subsidiary (other than Excluded Subsidiaries) shall maintain any Deposit Accounts, or accounts holding Investment Property, except with respect to which Agent has an Account Control Agreement.</w:t>
      </w:r>
    </w:p>
    <w:p>
      <w:pPr>
        <w:spacing w:after="0" w:line="188" w:lineRule="exact"/>
        <w:rPr>
          <w:sz w:val="20"/>
          <w:szCs w:val="20"/>
          <w:color w:val="auto"/>
        </w:rPr>
      </w:pPr>
    </w:p>
    <w:p>
      <w:pPr>
        <w:ind w:right="20" w:firstLine="864"/>
        <w:spacing w:after="0" w:line="327" w:lineRule="auto"/>
        <w:rPr>
          <w:sz w:val="20"/>
          <w:szCs w:val="20"/>
          <w:color w:val="auto"/>
        </w:rPr>
      </w:pPr>
      <w:r>
        <w:rPr>
          <w:rFonts w:ascii="Arial" w:cs="Arial" w:eastAsia="Arial" w:hAnsi="Arial"/>
          <w:sz w:val="16"/>
          <w:szCs w:val="16"/>
          <w:color w:val="auto"/>
        </w:rPr>
        <w:t>7.13 Borrower shall notify Agent of each Subsidiary formed subsequent to the Closing Date and, within 15 days of formation, shall cause any such Subsidiary that is a Qualified Subsidiary to execute and deliver to Agent a Joinder Agreement. With respect to any Subsidiary that is not a Qualified Subsidiary at such time, immediately upon any change in the U.S. tax laws that would result in such Subsidiary ceasing to be an Excluded Subsidiary, Borrower shall cause such Subsidiary to execute and deliver to Agent a Joinder Agreement.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jc w:val="right"/>
              <w:ind w:right="221"/>
              <w:spacing w:after="0"/>
              <w:rPr>
                <w:sz w:val="20"/>
                <w:szCs w:val="20"/>
                <w:color w:val="auto"/>
              </w:rPr>
            </w:pPr>
            <w:r>
              <w:rPr>
                <w:rFonts w:ascii="Arial" w:cs="Arial" w:eastAsia="Arial" w:hAnsi="Arial"/>
                <w:sz w:val="20"/>
                <w:szCs w:val="20"/>
                <w:color w:val="auto"/>
              </w:rPr>
              <w:t>7.14</w:t>
            </w:r>
          </w:p>
        </w:tc>
        <w:tc>
          <w:tcPr>
            <w:tcW w:w="9660" w:type="dxa"/>
            <w:vAlign w:val="bottom"/>
          </w:tcPr>
          <w:p>
            <w:pPr>
              <w:ind w:left="320"/>
              <w:spacing w:after="0"/>
              <w:rPr>
                <w:sz w:val="20"/>
                <w:szCs w:val="20"/>
                <w:color w:val="auto"/>
              </w:rPr>
            </w:pPr>
            <w:r>
              <w:rPr>
                <w:rFonts w:ascii="Arial" w:cs="Arial" w:eastAsia="Arial" w:hAnsi="Arial"/>
                <w:sz w:val="20"/>
                <w:szCs w:val="20"/>
                <w:color w:val="auto"/>
                <w:w w:val="90"/>
              </w:rPr>
              <w:t>MSC Investment Conditions. At any time that the MSC Subsidiary has any assets or liabilities, Borrower shall satisfy</w:t>
            </w:r>
          </w:p>
        </w:tc>
      </w:tr>
      <w:tr>
        <w:trPr>
          <w:trHeight w:val="250"/>
        </w:trPr>
        <w:tc>
          <w:tcPr>
            <w:tcW w:w="11200" w:type="dxa"/>
            <w:vAlign w:val="bottom"/>
            <w:gridSpan w:val="2"/>
          </w:tcPr>
          <w:p>
            <w:pPr>
              <w:spacing w:after="0"/>
              <w:rPr>
                <w:sz w:val="20"/>
                <w:szCs w:val="20"/>
                <w:color w:val="auto"/>
              </w:rPr>
            </w:pPr>
            <w:r>
              <w:rPr>
                <w:rFonts w:ascii="Arial" w:cs="Arial" w:eastAsia="Arial" w:hAnsi="Arial"/>
                <w:sz w:val="20"/>
                <w:szCs w:val="20"/>
                <w:color w:val="auto"/>
              </w:rPr>
              <w:t>the MSC Investment Conditions at all times.</w:t>
            </w:r>
          </w:p>
        </w:tc>
      </w:tr>
      <w:tr>
        <w:trPr>
          <w:trHeight w:val="424"/>
        </w:trPr>
        <w:tc>
          <w:tcPr>
            <w:tcW w:w="1540" w:type="dxa"/>
            <w:vAlign w:val="bottom"/>
          </w:tcPr>
          <w:p>
            <w:pPr>
              <w:jc w:val="right"/>
              <w:ind w:right="221"/>
              <w:spacing w:after="0"/>
              <w:rPr>
                <w:sz w:val="20"/>
                <w:szCs w:val="20"/>
                <w:color w:val="auto"/>
              </w:rPr>
            </w:pPr>
            <w:r>
              <w:rPr>
                <w:rFonts w:ascii="Arial" w:cs="Arial" w:eastAsia="Arial" w:hAnsi="Arial"/>
                <w:sz w:val="20"/>
                <w:szCs w:val="20"/>
                <w:color w:val="auto"/>
              </w:rPr>
              <w:t>7.15</w:t>
            </w:r>
          </w:p>
        </w:tc>
        <w:tc>
          <w:tcPr>
            <w:tcW w:w="9660" w:type="dxa"/>
            <w:vAlign w:val="bottom"/>
          </w:tcPr>
          <w:p>
            <w:pPr>
              <w:ind w:left="320"/>
              <w:spacing w:after="0"/>
              <w:rPr>
                <w:sz w:val="20"/>
                <w:szCs w:val="20"/>
                <w:color w:val="auto"/>
              </w:rPr>
            </w:pPr>
            <w:r>
              <w:rPr>
                <w:rFonts w:ascii="Arial" w:cs="Arial" w:eastAsia="Arial" w:hAnsi="Arial"/>
                <w:sz w:val="20"/>
                <w:szCs w:val="20"/>
                <w:color w:val="auto"/>
                <w:w w:val="96"/>
              </w:rPr>
              <w:t>Notification of Event of Default. Borrower shall notify Agent promptly, and in any event within two (2) Business</w:t>
            </w:r>
          </w:p>
        </w:tc>
      </w:tr>
      <w:tr>
        <w:trPr>
          <w:trHeight w:val="250"/>
        </w:trPr>
        <w:tc>
          <w:tcPr>
            <w:tcW w:w="11200" w:type="dxa"/>
            <w:vAlign w:val="bottom"/>
            <w:gridSpan w:val="2"/>
          </w:tcPr>
          <w:p>
            <w:pPr>
              <w:spacing w:after="0"/>
              <w:rPr>
                <w:sz w:val="20"/>
                <w:szCs w:val="20"/>
                <w:color w:val="auto"/>
              </w:rPr>
            </w:pPr>
            <w:r>
              <w:rPr>
                <w:rFonts w:ascii="Arial" w:cs="Arial" w:eastAsia="Arial" w:hAnsi="Arial"/>
                <w:sz w:val="20"/>
                <w:szCs w:val="20"/>
                <w:color w:val="auto"/>
              </w:rPr>
              <w:t>Days, upon becoming aware of the occurrence of any Event of Default.</w:t>
            </w:r>
          </w:p>
        </w:tc>
      </w:tr>
      <w:tr>
        <w:trPr>
          <w:trHeight w:val="440"/>
        </w:trPr>
        <w:tc>
          <w:tcPr>
            <w:tcW w:w="1540" w:type="dxa"/>
            <w:vAlign w:val="bottom"/>
          </w:tcPr>
          <w:p>
            <w:pPr>
              <w:jc w:val="right"/>
              <w:ind w:right="221"/>
              <w:spacing w:after="0"/>
              <w:rPr>
                <w:sz w:val="20"/>
                <w:szCs w:val="20"/>
                <w:color w:val="auto"/>
              </w:rPr>
            </w:pPr>
            <w:r>
              <w:rPr>
                <w:rFonts w:ascii="Arial" w:cs="Arial" w:eastAsia="Arial" w:hAnsi="Arial"/>
                <w:sz w:val="20"/>
                <w:szCs w:val="20"/>
                <w:color w:val="auto"/>
              </w:rPr>
              <w:t>7.16</w:t>
            </w:r>
          </w:p>
        </w:tc>
        <w:tc>
          <w:tcPr>
            <w:tcW w:w="9660" w:type="dxa"/>
            <w:vAlign w:val="bottom"/>
          </w:tcPr>
          <w:p>
            <w:pPr>
              <w:ind w:left="320"/>
              <w:spacing w:after="0"/>
              <w:rPr>
                <w:sz w:val="20"/>
                <w:szCs w:val="20"/>
                <w:color w:val="auto"/>
              </w:rPr>
            </w:pPr>
            <w:r>
              <w:rPr>
                <w:rFonts w:ascii="Arial" w:cs="Arial" w:eastAsia="Arial" w:hAnsi="Arial"/>
                <w:sz w:val="20"/>
                <w:szCs w:val="20"/>
                <w:color w:val="auto"/>
                <w:w w:val="92"/>
              </w:rPr>
              <w:t>Foreign Subsidiary Voting Rights. Borrower shall not, and shall not permit any Subsidiary, to amend or modify any</w:t>
            </w:r>
          </w:p>
        </w:tc>
      </w:tr>
    </w:tbl>
    <w:p>
      <w:pPr>
        <w:ind w:right="520"/>
        <w:spacing w:after="0" w:line="243" w:lineRule="auto"/>
        <w:rPr>
          <w:sz w:val="20"/>
          <w:szCs w:val="20"/>
          <w:color w:val="auto"/>
        </w:rPr>
      </w:pPr>
      <w:r>
        <w:rPr>
          <w:rFonts w:ascii="Arial" w:cs="Arial" w:eastAsia="Arial" w:hAnsi="Arial"/>
          <w:sz w:val="20"/>
          <w:szCs w:val="20"/>
          <w:color w:val="auto"/>
        </w:rPr>
        <w:t>governing document of any Foreign Subsidiary of Borrower, the effect of which is to require a vote of greater than 50.1% of the Equity Interests or voting rights of such entity for any decision or action of such entity.</w:t>
      </w:r>
    </w:p>
    <w:p>
      <w:pPr>
        <w:spacing w:after="0" w:line="192" w:lineRule="exact"/>
        <w:rPr>
          <w:sz w:val="20"/>
          <w:szCs w:val="20"/>
          <w:color w:val="auto"/>
        </w:rPr>
      </w:pPr>
    </w:p>
    <w:p>
      <w:pPr>
        <w:ind w:firstLine="864"/>
        <w:spacing w:after="0" w:line="249" w:lineRule="auto"/>
        <w:rPr>
          <w:sz w:val="20"/>
          <w:szCs w:val="20"/>
          <w:color w:val="auto"/>
        </w:rPr>
      </w:pPr>
      <w:r>
        <w:rPr>
          <w:rFonts w:ascii="Arial" w:cs="Arial" w:eastAsia="Arial" w:hAnsi="Arial"/>
          <w:sz w:val="20"/>
          <w:szCs w:val="20"/>
          <w:color w:val="auto"/>
        </w:rPr>
        <w:t>7.17 Use of Proceeds.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7.18</w:t>
      </w:r>
      <w:r>
        <w:rPr>
          <w:sz w:val="20"/>
          <w:szCs w:val="20"/>
          <w:color w:val="auto"/>
        </w:rPr>
        <w:tab/>
      </w:r>
      <w:r>
        <w:rPr>
          <w:rFonts w:ascii="Arial" w:cs="Arial" w:eastAsia="Arial" w:hAnsi="Arial"/>
          <w:sz w:val="16"/>
          <w:szCs w:val="16"/>
          <w:color w:val="auto"/>
        </w:rPr>
        <w:t>[Reserved.]</w:t>
      </w:r>
    </w:p>
    <w:p>
      <w:pPr>
        <w:spacing w:after="0" w:line="21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7.19</w:t>
      </w:r>
      <w:r>
        <w:rPr>
          <w:sz w:val="20"/>
          <w:szCs w:val="20"/>
          <w:color w:val="auto"/>
        </w:rPr>
        <w:tab/>
      </w:r>
      <w:r>
        <w:rPr>
          <w:rFonts w:ascii="Arial" w:cs="Arial" w:eastAsia="Arial" w:hAnsi="Arial"/>
          <w:sz w:val="18"/>
          <w:szCs w:val="18"/>
          <w:color w:val="auto"/>
        </w:rPr>
        <w:t>Compliance with Laws.</w:t>
      </w:r>
    </w:p>
    <w:p>
      <w:pPr>
        <w:spacing w:after="0" w:line="215" w:lineRule="exact"/>
        <w:rPr>
          <w:sz w:val="20"/>
          <w:szCs w:val="20"/>
          <w:color w:val="auto"/>
        </w:rPr>
      </w:pPr>
    </w:p>
    <w:p>
      <w:pPr>
        <w:ind w:right="220" w:firstLine="1728"/>
        <w:spacing w:after="0" w:line="282" w:lineRule="auto"/>
        <w:rPr>
          <w:sz w:val="20"/>
          <w:szCs w:val="20"/>
          <w:color w:val="auto"/>
        </w:rPr>
      </w:pPr>
      <w:r>
        <w:rPr>
          <w:rFonts w:ascii="Arial" w:cs="Arial" w:eastAsia="Arial" w:hAnsi="Arial"/>
          <w:sz w:val="18"/>
          <w:szCs w:val="18"/>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90" w:name="page91"/>
    <w:bookmarkEnd w:id="90"/>
    <w:p>
      <w:pPr>
        <w:ind w:right="60" w:firstLine="1728"/>
        <w:spacing w:after="0" w:line="232" w:lineRule="exact"/>
        <w:rPr>
          <w:sz w:val="20"/>
          <w:szCs w:val="20"/>
          <w:color w:val="auto"/>
        </w:rPr>
      </w:pPr>
      <w:r>
        <w:rPr>
          <w:rFonts w:ascii="Arial" w:cs="Arial" w:eastAsia="Arial" w:hAnsi="Arial"/>
          <w:sz w:val="18"/>
          <w:szCs w:val="18"/>
          <w:color w:val="auto"/>
        </w:rPr>
        <w:t>Neither Borrower nor any of its Subsidiaries shall, nor shall Borrower or any of its Subsidiaries permit any Affiliate under Parent’s direct or indirect control to, directly or indirectly, knowingly enter into any documents, instruments, agreements or contracts with any Person listed on the OFAC Lists. Neither Borrower nor any of its Subsidiaries shall, nor shall Borrower or any of its Subsidiaries, permit any Affiliate under Parent’s direct or indirect control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8"/>
          <w:szCs w:val="18"/>
          <w:color w:val="auto"/>
        </w:rPr>
        <w:t>‑</w:t>
      </w:r>
      <w:r>
        <w:rPr>
          <w:rFonts w:ascii="Arial" w:cs="Arial" w:eastAsia="Arial" w:hAnsi="Arial"/>
          <w:sz w:val="18"/>
          <w:szCs w:val="18"/>
          <w:color w:val="auto"/>
        </w:rPr>
        <w:t>Terrorism Law.</w:t>
      </w:r>
    </w:p>
    <w:p>
      <w:pPr>
        <w:spacing w:after="0" w:line="199" w:lineRule="exact"/>
        <w:rPr>
          <w:sz w:val="20"/>
          <w:szCs w:val="20"/>
          <w:color w:val="auto"/>
        </w:rPr>
      </w:pPr>
    </w:p>
    <w:p>
      <w:pPr>
        <w:ind w:right="20" w:firstLine="1728"/>
        <w:spacing w:after="0" w:line="263" w:lineRule="auto"/>
        <w:rPr>
          <w:sz w:val="20"/>
          <w:szCs w:val="20"/>
          <w:color w:val="auto"/>
        </w:rPr>
      </w:pPr>
      <w:r>
        <w:rPr>
          <w:rFonts w:ascii="Arial" w:cs="Arial" w:eastAsia="Arial" w:hAnsi="Arial"/>
          <w:sz w:val="19"/>
          <w:szCs w:val="19"/>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75" w:lineRule="exact"/>
        <w:rPr>
          <w:sz w:val="20"/>
          <w:szCs w:val="20"/>
          <w:color w:val="auto"/>
        </w:rPr>
      </w:pPr>
    </w:p>
    <w:p>
      <w:pPr>
        <w:ind w:right="140" w:firstLine="1728"/>
        <w:spacing w:after="0" w:line="246" w:lineRule="auto"/>
        <w:rPr>
          <w:sz w:val="20"/>
          <w:szCs w:val="20"/>
          <w:color w:val="auto"/>
        </w:rPr>
      </w:pPr>
      <w:r>
        <w:rPr>
          <w:rFonts w:ascii="Arial" w:cs="Arial" w:eastAsia="Arial" w:hAnsi="Arial"/>
          <w:sz w:val="20"/>
          <w:szCs w:val="20"/>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90"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color w:val="auto"/>
        </w:rPr>
        <w:t>7.20</w:t>
      </w:r>
      <w:r>
        <w:rPr>
          <w:sz w:val="20"/>
          <w:szCs w:val="20"/>
          <w:color w:val="auto"/>
        </w:rPr>
        <w:tab/>
      </w:r>
      <w:r>
        <w:rPr>
          <w:rFonts w:ascii="Arial" w:cs="Arial" w:eastAsia="Arial" w:hAnsi="Arial"/>
          <w:sz w:val="18"/>
          <w:szCs w:val="18"/>
          <w:color w:val="auto"/>
        </w:rPr>
        <w:t>Financial Covenant (Minimum Cash). In the event Borrower fails to achieve either Performance Milestone I or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Performance Milestone II on or before September 30, 2020, beginning on October 1, 2020:</w:t>
      </w:r>
    </w:p>
    <w:p>
      <w:pPr>
        <w:spacing w:after="0" w:line="199" w:lineRule="exact"/>
        <w:rPr>
          <w:sz w:val="20"/>
          <w:szCs w:val="20"/>
          <w:color w:val="auto"/>
        </w:rPr>
      </w:pPr>
    </w:p>
    <w:p>
      <w:pPr>
        <w:ind w:right="180" w:firstLine="1735"/>
        <w:spacing w:after="0" w:line="286" w:lineRule="auto"/>
        <w:tabs>
          <w:tab w:leader="none" w:pos="259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Subject to Sections 7.20(b) and 7.20(c), Borrower shall, at all times, maintain Qualified Cash in an amount greater than or equal to Twelve Million Five Hundred Thousand Dollars ($12,500,000)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Qualified Cash A/P Amount.</w:t>
      </w:r>
    </w:p>
    <w:p>
      <w:pPr>
        <w:spacing w:after="0" w:line="153" w:lineRule="exact"/>
        <w:rPr>
          <w:rFonts w:ascii="Arial" w:cs="Arial" w:eastAsia="Arial" w:hAnsi="Arial"/>
          <w:sz w:val="19"/>
          <w:szCs w:val="19"/>
          <w:color w:val="auto"/>
        </w:rPr>
      </w:pPr>
    </w:p>
    <w:p>
      <w:pPr>
        <w:ind w:right="200" w:firstLine="1735"/>
        <w:spacing w:after="0" w:line="249" w:lineRule="auto"/>
        <w:tabs>
          <w:tab w:leader="none" w:pos="2605"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Notwithstanding Section 7.20(a) and subject to Section 7.20(c), if each of the following has occurred, beginning on the date that all of the following has occurred, Borrower shall, at all times, maintain Qualified Cash in an amount greater than or equal to Five Million Dollars ($5,000,000)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the Qualified Cash A/P Amount:</w:t>
      </w:r>
    </w:p>
    <w:p>
      <w:pPr>
        <w:spacing w:after="0" w:line="187" w:lineRule="exact"/>
        <w:rPr>
          <w:rFonts w:ascii="Arial" w:cs="Arial" w:eastAsia="Arial" w:hAnsi="Arial"/>
          <w:sz w:val="20"/>
          <w:szCs w:val="20"/>
          <w:color w:val="auto"/>
        </w:rPr>
      </w:pPr>
    </w:p>
    <w:p>
      <w:pPr>
        <w:ind w:firstLine="2600"/>
        <w:spacing w:after="0" w:line="278" w:lineRule="auto"/>
        <w:tabs>
          <w:tab w:leader="none" w:pos="3426" w:val="left"/>
        </w:tabs>
        <w:numPr>
          <w:ilvl w:val="1"/>
          <w:numId w:val="42"/>
        </w:numPr>
        <w:rPr>
          <w:rFonts w:ascii="Arial" w:cs="Arial" w:eastAsia="Arial" w:hAnsi="Arial"/>
          <w:sz w:val="18"/>
          <w:szCs w:val="18"/>
          <w:color w:val="auto"/>
        </w:rPr>
      </w:pPr>
      <w:r>
        <w:rPr>
          <w:rFonts w:ascii="Arial" w:cs="Arial" w:eastAsia="Arial" w:hAnsi="Arial"/>
          <w:sz w:val="18"/>
          <w:szCs w:val="18"/>
          <w:color w:val="auto"/>
        </w:rPr>
        <w:t>Borrower has received at least an amount equal to Seventy Million Dollars ($70,000,000.00) in unrestricted (including, not subject to any redemption, clawback, escrow or similar encumbrance or restriction) net cash proceeds from one or more bona fide equity financings, Subordinated Indebtedness and/or upfront/milestone proceeds from new business development transactions permitted under this Agreement, in each case after December 16, 2019 and prior to December 31, 2020, in each case subject to verification by Agent (including supporting documentation reasonably requested by Agent) (the “Financial Covenant Milestone I”); and</w:t>
      </w:r>
    </w:p>
    <w:p>
      <w:pPr>
        <w:spacing w:after="0" w:line="163" w:lineRule="exact"/>
        <w:rPr>
          <w:rFonts w:ascii="Arial" w:cs="Arial" w:eastAsia="Arial" w:hAnsi="Arial"/>
          <w:sz w:val="18"/>
          <w:szCs w:val="18"/>
          <w:color w:val="auto"/>
        </w:rPr>
      </w:pPr>
    </w:p>
    <w:p>
      <w:pPr>
        <w:jc w:val="both"/>
        <w:ind w:right="120" w:firstLine="2600"/>
        <w:spacing w:after="0" w:line="263" w:lineRule="auto"/>
        <w:tabs>
          <w:tab w:leader="none" w:pos="3481" w:val="left"/>
        </w:tabs>
        <w:numPr>
          <w:ilvl w:val="1"/>
          <w:numId w:val="42"/>
        </w:numPr>
        <w:rPr>
          <w:rFonts w:ascii="Arial" w:cs="Arial" w:eastAsia="Arial" w:hAnsi="Arial"/>
          <w:sz w:val="19"/>
          <w:szCs w:val="19"/>
          <w:color w:val="auto"/>
        </w:rPr>
      </w:pPr>
      <w:r>
        <w:rPr>
          <w:rFonts w:ascii="Arial" w:cs="Arial" w:eastAsia="Arial" w:hAnsi="Arial"/>
          <w:sz w:val="19"/>
          <w:szCs w:val="19"/>
          <w:color w:val="auto"/>
        </w:rPr>
        <w:t>at least one wholly-owned asset of Borrower is in the clinical development or regulatory review stage (i.e., (i) a Borrower-owned NDA is being prepared for submission, is under review by the FDA, or has been approved by the FDA, (ii) the first patient has been dosed in a Borrower-sponsored Phase 1, 2, or 3 clinical trial for a drug candidate and patient enrollment and recruitment remains ongoing or (iii) if enrollment in a Borrower-sponsored Phase 1, 2, or 3 clinical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91" w:name="page92"/>
    <w:bookmarkEnd w:id="91"/>
    <w:p>
      <w:pPr>
        <w:spacing w:after="0" w:line="260" w:lineRule="auto"/>
        <w:rPr>
          <w:sz w:val="20"/>
          <w:szCs w:val="20"/>
          <w:color w:val="auto"/>
        </w:rPr>
      </w:pPr>
      <w:r>
        <w:rPr>
          <w:rFonts w:ascii="Arial" w:cs="Arial" w:eastAsia="Arial" w:hAnsi="Arial"/>
          <w:sz w:val="20"/>
          <w:szCs w:val="20"/>
          <w:color w:val="auto"/>
        </w:rPr>
        <w:t>trial for a drug candidate has been completed, then patients are continuing to be followed for the primary endpoint measurement) on or before September 30, 2020 (the “Financial Covenant Milestone II”).</w:t>
      </w:r>
    </w:p>
    <w:p>
      <w:pPr>
        <w:spacing w:after="0" w:line="176" w:lineRule="exact"/>
        <w:rPr>
          <w:sz w:val="20"/>
          <w:szCs w:val="20"/>
          <w:color w:val="auto"/>
        </w:rPr>
      </w:pPr>
    </w:p>
    <w:p>
      <w:pPr>
        <w:ind w:firstLine="1735"/>
        <w:spacing w:after="0" w:line="286" w:lineRule="auto"/>
        <w:tabs>
          <w:tab w:leader="none" w:pos="2594"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Notwithstanding Section 7.20(a) and Section 7.20(b), if each of the following has occurred, beginning on the date that all of the following has occurred, Borrower shall not be subject to requirements set forth in this Section 7.20:</w:t>
      </w:r>
    </w:p>
    <w:p>
      <w:pPr>
        <w:spacing w:after="0" w:line="153" w:lineRule="exact"/>
        <w:rPr>
          <w:rFonts w:ascii="Arial" w:cs="Arial" w:eastAsia="Arial" w:hAnsi="Arial"/>
          <w:sz w:val="19"/>
          <w:szCs w:val="19"/>
          <w:color w:val="auto"/>
        </w:rPr>
      </w:pPr>
    </w:p>
    <w:p>
      <w:pPr>
        <w:ind w:left="3440" w:hanging="840"/>
        <w:spacing w:after="0"/>
        <w:tabs>
          <w:tab w:leader="none" w:pos="34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Financial Covenant Milestone I;</w:t>
      </w:r>
    </w:p>
    <w:p>
      <w:pPr>
        <w:spacing w:after="0" w:line="214" w:lineRule="exact"/>
        <w:rPr>
          <w:rFonts w:ascii="Arial" w:cs="Arial" w:eastAsia="Arial" w:hAnsi="Arial"/>
          <w:sz w:val="20"/>
          <w:szCs w:val="20"/>
          <w:color w:val="auto"/>
        </w:rPr>
      </w:pPr>
    </w:p>
    <w:p>
      <w:pPr>
        <w:ind w:left="3480" w:hanging="880"/>
        <w:spacing w:after="0"/>
        <w:tabs>
          <w:tab w:leader="none" w:pos="348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Financial Covenant Milestone II; and</w:t>
      </w:r>
    </w:p>
    <w:p>
      <w:pPr>
        <w:spacing w:after="0" w:line="214" w:lineRule="exact"/>
        <w:rPr>
          <w:rFonts w:ascii="Arial" w:cs="Arial" w:eastAsia="Arial" w:hAnsi="Arial"/>
          <w:sz w:val="20"/>
          <w:szCs w:val="20"/>
          <w:color w:val="auto"/>
        </w:rPr>
      </w:pPr>
    </w:p>
    <w:p>
      <w:pPr>
        <w:ind w:left="3540" w:hanging="940"/>
        <w:spacing w:after="0"/>
        <w:tabs>
          <w:tab w:leader="none" w:pos="3540" w:val="left"/>
        </w:tabs>
        <w:numPr>
          <w:ilvl w:val="1"/>
          <w:numId w:val="43"/>
        </w:numPr>
        <w:rPr>
          <w:rFonts w:ascii="Arial" w:cs="Arial" w:eastAsia="Arial" w:hAnsi="Arial"/>
          <w:sz w:val="20"/>
          <w:szCs w:val="20"/>
          <w:color w:val="auto"/>
        </w:rPr>
      </w:pPr>
      <w:r>
        <w:rPr>
          <w:rFonts w:ascii="Arial" w:cs="Arial" w:eastAsia="Arial" w:hAnsi="Arial"/>
          <w:sz w:val="20"/>
          <w:szCs w:val="20"/>
          <w:color w:val="auto"/>
        </w:rPr>
        <w:t>Borrower achieves Performance Milestone II on or before September 30, 2020.</w:t>
      </w:r>
    </w:p>
    <w:p>
      <w:pPr>
        <w:spacing w:after="0" w:line="215" w:lineRule="exact"/>
        <w:rPr>
          <w:sz w:val="20"/>
          <w:szCs w:val="20"/>
          <w:color w:val="auto"/>
        </w:rPr>
      </w:pPr>
    </w:p>
    <w:p>
      <w:pPr>
        <w:ind w:right="280"/>
        <w:spacing w:after="0" w:line="286" w:lineRule="auto"/>
        <w:rPr>
          <w:sz w:val="20"/>
          <w:szCs w:val="20"/>
          <w:color w:val="auto"/>
        </w:rPr>
      </w:pPr>
      <w:r>
        <w:rPr>
          <w:rFonts w:ascii="Arial" w:cs="Arial" w:eastAsia="Arial" w:hAnsi="Arial"/>
          <w:sz w:val="19"/>
          <w:szCs w:val="19"/>
          <w:color w:val="auto"/>
        </w:rPr>
        <w:t>Borrower shall provide Agent evidence of compliance with this Section 7.20 in each Compliance Certificate and upon request in form and substance reasonably acceptable to Agent, along with supporting documentation reasonably requested by Agent.</w:t>
      </w:r>
    </w:p>
    <w:p>
      <w:pPr>
        <w:spacing w:after="0" w:line="153" w:lineRule="exact"/>
        <w:rPr>
          <w:sz w:val="20"/>
          <w:szCs w:val="20"/>
          <w:color w:val="auto"/>
        </w:rPr>
      </w:pPr>
    </w:p>
    <w:p>
      <w:pPr>
        <w:ind w:firstLine="864"/>
        <w:spacing w:after="0" w:line="243" w:lineRule="auto"/>
        <w:rPr>
          <w:sz w:val="20"/>
          <w:szCs w:val="20"/>
          <w:color w:val="auto"/>
        </w:rPr>
      </w:pPr>
      <w:r>
        <w:rPr>
          <w:rFonts w:ascii="Arial" w:cs="Arial" w:eastAsia="Arial" w:hAnsi="Arial"/>
          <w:sz w:val="20"/>
          <w:szCs w:val="20"/>
          <w:color w:val="auto"/>
        </w:rPr>
        <w:t>7.21 Transactions with Affiliates.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other than (i) Permitted Investments, (ii) reasonable and customary fees paid to members of the Board, (iii) board-approved compensation arrangements for officers and other employees and (iv) transactions permitted hereunder between Borrowers.</w:t>
      </w:r>
    </w:p>
    <w:p>
      <w:pPr>
        <w:spacing w:after="0" w:line="194" w:lineRule="exact"/>
        <w:rPr>
          <w:sz w:val="20"/>
          <w:szCs w:val="20"/>
          <w:color w:val="auto"/>
        </w:rPr>
      </w:pPr>
    </w:p>
    <w:p>
      <w:pPr>
        <w:ind w:right="120" w:firstLine="864"/>
        <w:spacing w:after="0" w:line="275" w:lineRule="auto"/>
        <w:rPr>
          <w:sz w:val="20"/>
          <w:szCs w:val="20"/>
          <w:color w:val="auto"/>
        </w:rPr>
      </w:pPr>
      <w:r>
        <w:rPr>
          <w:rFonts w:ascii="Arial" w:cs="Arial" w:eastAsia="Arial" w:hAnsi="Arial"/>
          <w:sz w:val="18"/>
          <w:szCs w:val="18"/>
          <w:color w:val="auto"/>
        </w:rPr>
        <w:t>7.22 Post-Closing Obligations. Notwithstanding any provision herein or in any other Loan Document to the contrary, to the extent not actually delivered on or prior to the Closing Date, Borrower shall deliver to Agent (or its designated agent), no later than sixty</w:t>
      </w:r>
    </w:p>
    <w:p>
      <w:pPr>
        <w:ind w:right="480" w:firstLine="8"/>
        <w:spacing w:after="0" w:line="243" w:lineRule="auto"/>
        <w:tabs>
          <w:tab w:leader="none" w:pos="379" w:val="left"/>
        </w:tabs>
        <w:numPr>
          <w:ilvl w:val="0"/>
          <w:numId w:val="44"/>
        </w:numPr>
        <w:rPr>
          <w:rFonts w:ascii="Arial" w:cs="Arial" w:eastAsia="Arial" w:hAnsi="Arial"/>
          <w:sz w:val="20"/>
          <w:szCs w:val="20"/>
          <w:color w:val="auto"/>
        </w:rPr>
      </w:pPr>
      <w:r>
        <w:rPr>
          <w:rFonts w:ascii="Arial" w:cs="Arial" w:eastAsia="Arial" w:hAnsi="Arial"/>
          <w:sz w:val="20"/>
          <w:szCs w:val="20"/>
          <w:color w:val="auto"/>
        </w:rPr>
        <w:t>days after the Closing Date, an executed copy of a bailee agreement, in form and substance reasonably acceptable to Agent, by and among EPL Archives, Borrower and Agent.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u w:val="single" w:color="auto"/>
          <w:color w:val="auto"/>
        </w:rPr>
        <w:t>[RESERVED]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SECTION 9. </w:t>
      </w:r>
      <w:r>
        <w:rPr>
          <w:rFonts w:ascii="Arial" w:cs="Arial" w:eastAsia="Arial" w:hAnsi="Arial"/>
          <w:sz w:val="20"/>
          <w:szCs w:val="20"/>
          <w:b w:val="1"/>
          <w:bCs w:val="1"/>
          <w:u w:val="single" w:color="auto"/>
          <w:color w:val="auto"/>
        </w:rPr>
        <w:t>EVENTS OF DEFAULT</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occurrence of any one or more of the following events shall be an Event of Default:</w:t>
      </w:r>
    </w:p>
    <w:p>
      <w:pPr>
        <w:spacing w:after="0" w:line="215"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9.1 Payments. Borrower fails to pay any amount due under this Agreement or any of the other Loan Documents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90" w:lineRule="exact"/>
        <w:rPr>
          <w:sz w:val="20"/>
          <w:szCs w:val="20"/>
          <w:color w:val="auto"/>
        </w:rPr>
      </w:pPr>
    </w:p>
    <w:p>
      <w:pPr>
        <w:ind w:right="60" w:firstLine="864"/>
        <w:spacing w:after="0" w:line="243" w:lineRule="auto"/>
        <w:rPr>
          <w:sz w:val="20"/>
          <w:szCs w:val="20"/>
          <w:color w:val="auto"/>
        </w:rPr>
      </w:pPr>
      <w:r>
        <w:rPr>
          <w:rFonts w:ascii="Arial" w:cs="Arial" w:eastAsia="Arial" w:hAnsi="Arial"/>
          <w:sz w:val="20"/>
          <w:szCs w:val="20"/>
          <w:color w:val="auto"/>
        </w:rPr>
        <w:t>9.2 Covenants. Borrower breaches or defaults in the performance of any covenant or Secured Obligation under this Agreement, or any of the other Loan Documents and (a) with respect to a default under any covenant under this Agreement (other than under Sections 6, 7.4, 7.5, 7.6, 7.7, 7.8, 7.9, 7.13, 7.14, 7.15, 7.16 7.17, 7.19, 7.20 and 7.21), any other Loan Document, or any other agreement among Borrower, Agent and the Lenders, such default continues for more than fifteen (15) days after the earlier of the date on which (i) Agent or the Lenders has given notice of such default to Borrower and (ii) Borrower has actual knowledge of such default or (b) with respect to a default under any of Sections 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7.4, 7.5, 7.6, 7.7, 7.8, 7.9, 7.13, 7.14, 7.15, 7.16, 7.17, 7.19, 7.20 and 7.21, the occurrence of such default; or</w:t>
      </w:r>
    </w:p>
    <w:p>
      <w:pPr>
        <w:spacing w:after="0" w:line="215" w:lineRule="exact"/>
        <w:rPr>
          <w:sz w:val="20"/>
          <w:szCs w:val="20"/>
          <w:color w:val="auto"/>
        </w:rPr>
      </w:pPr>
    </w:p>
    <w:p>
      <w:pPr>
        <w:ind w:right="40" w:firstLine="864"/>
        <w:spacing w:after="0" w:line="256" w:lineRule="auto"/>
        <w:rPr>
          <w:sz w:val="20"/>
          <w:szCs w:val="20"/>
          <w:color w:val="auto"/>
        </w:rPr>
      </w:pPr>
      <w:r>
        <w:rPr>
          <w:rFonts w:ascii="Arial" w:cs="Arial" w:eastAsia="Arial" w:hAnsi="Arial"/>
          <w:sz w:val="19"/>
          <w:szCs w:val="19"/>
          <w:color w:val="auto"/>
        </w:rPr>
        <w:t>9.3 Material Adverse Effect. A circumstance has occurred that has a Material Adverse Effect; provided that the occurrence of any of the following, in and of itself, shall not constitute a Material Adverse Effect: (a) the failure to achieve Performance Milestone I, Performance Milestone II, Financial Covenant Milestone I or Financial Covenant Milestone II or (b) adverse results or delays in any nonclinical or clinical trial including without limitation, the failure to demonstrate the desired safety or efficacy of any drug or companion diagnostic; provided that, in determining whether a Material Adverse Effect has occurred, Agent’s primary, though not sole, consideration will be whether Borrower has or will have sufficient cash resources to repay the Secured Obligations as and when due and the clear intention of Borrower’s investors to continue to fund Borrower in the amounts and timeframe necessary, in Agent’s good faith judgment, to enable Borrower to satisfy the Secured Obligations as they become due and payable is the most significant criterion Agent shall consider in making any such determination; or</w:t>
      </w:r>
    </w:p>
    <w:p>
      <w:pPr>
        <w:spacing w:after="0" w:line="181" w:lineRule="exact"/>
        <w:rPr>
          <w:sz w:val="20"/>
          <w:szCs w:val="20"/>
          <w:color w:val="auto"/>
        </w:rPr>
      </w:pPr>
    </w:p>
    <w:p>
      <w:pPr>
        <w:ind w:right="300" w:firstLine="864"/>
        <w:spacing w:after="0" w:line="260" w:lineRule="auto"/>
        <w:rPr>
          <w:sz w:val="20"/>
          <w:szCs w:val="20"/>
          <w:color w:val="auto"/>
        </w:rPr>
      </w:pPr>
      <w:r>
        <w:rPr>
          <w:rFonts w:ascii="Arial" w:cs="Arial" w:eastAsia="Arial" w:hAnsi="Arial"/>
          <w:sz w:val="20"/>
          <w:szCs w:val="20"/>
          <w:color w:val="auto"/>
        </w:rPr>
        <w:t>9.4 Representations. Any representation or warranty made by Borrower in any Loan Document shall have been false or misleading in any material respect when made or when deemed made; or</w:t>
      </w:r>
    </w:p>
    <w:p>
      <w:pPr>
        <w:spacing w:after="0" w:line="176" w:lineRule="exact"/>
        <w:rPr>
          <w:sz w:val="20"/>
          <w:szCs w:val="20"/>
          <w:color w:val="auto"/>
        </w:rPr>
      </w:pPr>
    </w:p>
    <w:p>
      <w:pPr>
        <w:ind w:firstLine="864"/>
        <w:spacing w:after="0" w:line="270" w:lineRule="auto"/>
        <w:rPr>
          <w:sz w:val="20"/>
          <w:szCs w:val="20"/>
          <w:color w:val="auto"/>
        </w:rPr>
      </w:pPr>
      <w:r>
        <w:rPr>
          <w:rFonts w:ascii="Arial" w:cs="Arial" w:eastAsia="Arial" w:hAnsi="Arial"/>
          <w:sz w:val="18"/>
          <w:szCs w:val="18"/>
          <w:color w:val="auto"/>
        </w:rPr>
        <w:t>9.5 Insolvency.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w:t>
      </w:r>
    </w:p>
    <w:p>
      <w:pPr>
        <w:spacing w:after="0" w:line="1" w:lineRule="exact"/>
        <w:rPr>
          <w:sz w:val="20"/>
          <w:szCs w:val="20"/>
          <w:color w:val="auto"/>
        </w:rPr>
      </w:pPr>
    </w:p>
    <w:p>
      <w:pPr>
        <w:ind w:right="20" w:firstLine="8"/>
        <w:spacing w:after="0" w:line="268"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seek or consent to or acquiesce in the appointment of any trustee, receiver, or liquidator of Borrower or of all or any substantial part (i.e., 33-1/3% or more) of the assets or property of Borrower; or (vi) shall cease operations of its business as its business has normally been conducted, or terminate substantially all of its employees; or (vii) Borrower or its directors or majority shareholders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77" w:lineRule="exact"/>
        <w:rPr>
          <w:sz w:val="20"/>
          <w:szCs w:val="20"/>
          <w:color w:val="auto"/>
        </w:rPr>
      </w:pPr>
    </w:p>
    <w:p>
      <w:pPr>
        <w:ind w:right="20" w:firstLine="864"/>
        <w:spacing w:after="0" w:line="244" w:lineRule="auto"/>
        <w:rPr>
          <w:sz w:val="20"/>
          <w:szCs w:val="20"/>
          <w:color w:val="auto"/>
        </w:rPr>
      </w:pPr>
      <w:r>
        <w:rPr>
          <w:rFonts w:ascii="Arial" w:cs="Arial" w:eastAsia="Arial" w:hAnsi="Arial"/>
          <w:sz w:val="20"/>
          <w:szCs w:val="20"/>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$750,000 and such judgment remains unsatisfied, unvacated or unstayed for a period of forty-five (45) days after the entry thereof, or Borrower is enjoined or in any way prevented by court order from conducting any material part of its business; or</w:t>
      </w:r>
    </w:p>
    <w:p>
      <w:pPr>
        <w:spacing w:after="0" w:line="193" w:lineRule="exact"/>
        <w:rPr>
          <w:sz w:val="20"/>
          <w:szCs w:val="20"/>
          <w:color w:val="auto"/>
        </w:rPr>
      </w:pPr>
    </w:p>
    <w:p>
      <w:pPr>
        <w:ind w:right="400" w:firstLine="864"/>
        <w:spacing w:after="0" w:line="260" w:lineRule="auto"/>
        <w:rPr>
          <w:sz w:val="20"/>
          <w:szCs w:val="20"/>
          <w:color w:val="auto"/>
        </w:rPr>
      </w:pPr>
      <w:r>
        <w:rPr>
          <w:rFonts w:ascii="Arial" w:cs="Arial" w:eastAsia="Arial" w:hAnsi="Arial"/>
          <w:sz w:val="20"/>
          <w:szCs w:val="20"/>
          <w:color w:val="auto"/>
        </w:rPr>
        <w:t>9.7 Other Obligations. The occurrence of any default which has resulted in a right by the holder of such Indebtedness, whether or not exercised to accelerate the maturity of such Indebtedness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3" w:name="page94"/>
    <w:bookmarkEnd w:id="93"/>
    <w:p>
      <w:pPr>
        <w:ind w:right="620"/>
        <w:spacing w:after="0" w:line="260" w:lineRule="auto"/>
        <w:rPr>
          <w:sz w:val="20"/>
          <w:szCs w:val="20"/>
          <w:color w:val="auto"/>
        </w:rPr>
      </w:pPr>
      <w:r>
        <w:rPr>
          <w:rFonts w:ascii="Arial" w:cs="Arial" w:eastAsia="Arial" w:hAnsi="Arial"/>
          <w:sz w:val="20"/>
          <w:szCs w:val="20"/>
          <w:color w:val="auto"/>
        </w:rPr>
        <w:t>under any agreement or obligation of Borrower involving any Indebtedness in excess of $500,000, or any other material agreement or obligation, if a Material Adverse Effect could reasonably be expected to result from such default.</w:t>
      </w:r>
    </w:p>
    <w:p>
      <w:pPr>
        <w:spacing w:after="0" w:line="176" w:lineRule="exact"/>
        <w:rPr>
          <w:sz w:val="20"/>
          <w:szCs w:val="20"/>
          <w:color w:val="auto"/>
        </w:rPr>
      </w:pPr>
    </w:p>
    <w:p>
      <w:pPr>
        <w:jc w:val="both"/>
        <w:ind w:right="80" w:firstLine="864"/>
        <w:spacing w:after="0" w:line="263" w:lineRule="auto"/>
        <w:rPr>
          <w:sz w:val="20"/>
          <w:szCs w:val="20"/>
          <w:color w:val="auto"/>
        </w:rPr>
      </w:pPr>
      <w:r>
        <w:rPr>
          <w:rFonts w:ascii="Arial" w:cs="Arial" w:eastAsia="Arial" w:hAnsi="Arial"/>
          <w:sz w:val="19"/>
          <w:szCs w:val="19"/>
          <w:color w:val="auto"/>
        </w:rPr>
        <w:t>9.8 Stop Trade. At any time, an SEC stop trade order or NASDAQ market trading suspension of the Common Stock shall be in effect for five (5) consecutive days or five (5) days during a period of ten (10) consecutive days, excluding in all cases a suspension of all trading on a public market, provided that Borrower shall not have been able to cure such trading suspension within thirty (30) days of the notice thereof or list the Common Stock on another public market within sixty (60) days of such notice.</w:t>
      </w:r>
    </w:p>
    <w:p>
      <w:pPr>
        <w:spacing w:after="0" w:line="169"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9600" w:type="dxa"/>
            <w:vAlign w:val="bottom"/>
          </w:tcPr>
          <w:p>
            <w:pPr>
              <w:ind w:left="2920"/>
              <w:spacing w:after="0"/>
              <w:rPr>
                <w:sz w:val="20"/>
                <w:szCs w:val="20"/>
                <w:color w:val="auto"/>
              </w:rPr>
            </w:pPr>
            <w:r>
              <w:rPr>
                <w:rFonts w:ascii="Arial" w:cs="Arial" w:eastAsia="Arial" w:hAnsi="Arial"/>
                <w:sz w:val="20"/>
                <w:szCs w:val="20"/>
                <w:b w:val="1"/>
                <w:bCs w:val="1"/>
                <w:color w:val="auto"/>
              </w:rPr>
              <w:t xml:space="preserve">SECTION 10. </w:t>
            </w:r>
            <w:r>
              <w:rPr>
                <w:rFonts w:ascii="Arial" w:cs="Arial" w:eastAsia="Arial" w:hAnsi="Arial"/>
                <w:sz w:val="20"/>
                <w:szCs w:val="20"/>
                <w:b w:val="1"/>
                <w:bCs w:val="1"/>
                <w:u w:val="single" w:color="auto"/>
                <w:color w:val="auto"/>
              </w:rPr>
              <w:t>REMEDIES</w:t>
            </w:r>
          </w:p>
        </w:tc>
      </w:tr>
      <w:tr>
        <w:trPr>
          <w:trHeight w:val="44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10.1</w:t>
            </w:r>
          </w:p>
        </w:tc>
        <w:tc>
          <w:tcPr>
            <w:tcW w:w="9600" w:type="dxa"/>
            <w:vAlign w:val="bottom"/>
          </w:tcPr>
          <w:p>
            <w:pPr>
              <w:ind w:left="320"/>
              <w:spacing w:after="0"/>
              <w:rPr>
                <w:sz w:val="20"/>
                <w:szCs w:val="20"/>
                <w:color w:val="auto"/>
              </w:rPr>
            </w:pPr>
            <w:r>
              <w:rPr>
                <w:rFonts w:ascii="Arial" w:cs="Arial" w:eastAsia="Arial" w:hAnsi="Arial"/>
                <w:sz w:val="20"/>
                <w:szCs w:val="20"/>
                <w:color w:val="auto"/>
                <w:w w:val="89"/>
              </w:rPr>
              <w:t>General. Upon the occurrence of any one or more Events of Default, Agent may, and at the direction of the Required</w:t>
            </w:r>
          </w:p>
        </w:tc>
      </w:tr>
    </w:tbl>
    <w:p>
      <w:pPr>
        <w:ind w:right="20"/>
        <w:spacing w:after="0" w:line="267" w:lineRule="auto"/>
        <w:rPr>
          <w:sz w:val="20"/>
          <w:szCs w:val="20"/>
          <w:color w:val="auto"/>
        </w:rPr>
      </w:pPr>
      <w:r>
        <w:rPr>
          <w:rFonts w:ascii="Arial" w:cs="Arial" w:eastAsia="Arial" w:hAnsi="Arial"/>
          <w:sz w:val="18"/>
          <w:szCs w:val="18"/>
          <w:color w:val="auto"/>
        </w:rPr>
        <w:t>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(vi) receive, open and dispose of mail addressed to Borrower; (vii) endorse Borrower’s name on any checks, payment instruments, or other forms of payment or security; and (viii)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Upon the occurrence of any one or more Events of Default,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78" w:lineRule="exact"/>
        <w:rPr>
          <w:sz w:val="20"/>
          <w:szCs w:val="20"/>
          <w:color w:val="auto"/>
        </w:rPr>
      </w:pPr>
    </w:p>
    <w:p>
      <w:pPr>
        <w:ind w:firstLine="864"/>
        <w:spacing w:after="0" w:line="243" w:lineRule="auto"/>
        <w:rPr>
          <w:sz w:val="20"/>
          <w:szCs w:val="20"/>
          <w:color w:val="auto"/>
        </w:rPr>
      </w:pPr>
      <w:r>
        <w:rPr>
          <w:rFonts w:ascii="Arial" w:cs="Arial" w:eastAsia="Arial" w:hAnsi="Arial"/>
          <w:sz w:val="20"/>
          <w:szCs w:val="20"/>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94" w:name="page95"/>
    <w:bookmarkEnd w:id="94"/>
    <w:p>
      <w:pPr>
        <w:ind w:right="320"/>
        <w:spacing w:after="0" w:line="315" w:lineRule="auto"/>
        <w:rPr>
          <w:sz w:val="20"/>
          <w:szCs w:val="20"/>
          <w:color w:val="auto"/>
        </w:rPr>
      </w:pPr>
      <w:r>
        <w:rPr>
          <w:rFonts w:ascii="Arial" w:cs="Arial" w:eastAsia="Arial" w:hAnsi="Arial"/>
          <w:sz w:val="18"/>
          <w:szCs w:val="18"/>
          <w:color w:val="auto"/>
        </w:rPr>
        <w:t>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31" w:lineRule="exact"/>
        <w:rPr>
          <w:sz w:val="20"/>
          <w:szCs w:val="20"/>
          <w:color w:val="auto"/>
        </w:rPr>
      </w:pPr>
    </w:p>
    <w:p>
      <w:pPr>
        <w:ind w:left="1740" w:right="340"/>
        <w:spacing w:after="0" w:line="260" w:lineRule="auto"/>
        <w:rPr>
          <w:sz w:val="20"/>
          <w:szCs w:val="20"/>
          <w:color w:val="auto"/>
        </w:rPr>
      </w:pPr>
      <w:r>
        <w:rPr>
          <w:rFonts w:ascii="Arial" w:cs="Arial" w:eastAsia="Arial" w:hAnsi="Arial"/>
          <w:sz w:val="20"/>
          <w:szCs w:val="20"/>
          <w:color w:val="auto"/>
        </w:rPr>
        <w:t>First, to Agent and the Lenders in an amount sufficient to pay in full Agent’s and the Lenders’ reasonable costs and professionals’ and advisors’ fees and expenses as described in Section 11.12;</w:t>
      </w:r>
    </w:p>
    <w:p>
      <w:pPr>
        <w:spacing w:after="0" w:line="176" w:lineRule="exact"/>
        <w:rPr>
          <w:sz w:val="20"/>
          <w:szCs w:val="20"/>
          <w:color w:val="auto"/>
        </w:rPr>
      </w:pPr>
    </w:p>
    <w:p>
      <w:pPr>
        <w:ind w:left="1740" w:right="140"/>
        <w:spacing w:after="0" w:line="385" w:lineRule="auto"/>
        <w:rPr>
          <w:sz w:val="20"/>
          <w:szCs w:val="20"/>
          <w:color w:val="auto"/>
        </w:rPr>
      </w:pPr>
      <w:r>
        <w:rPr>
          <w:rFonts w:ascii="Arial" w:cs="Arial" w:eastAsia="Arial" w:hAnsi="Arial"/>
          <w:sz w:val="16"/>
          <w:szCs w:val="16"/>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84" w:lineRule="exact"/>
        <w:rPr>
          <w:sz w:val="20"/>
          <w:szCs w:val="20"/>
          <w:color w:val="auto"/>
        </w:rPr>
      </w:pPr>
    </w:p>
    <w:p>
      <w:pPr>
        <w:ind w:left="1740" w:right="200"/>
        <w:spacing w:after="0" w:line="249" w:lineRule="auto"/>
        <w:rPr>
          <w:sz w:val="20"/>
          <w:szCs w:val="20"/>
          <w:color w:val="auto"/>
        </w:rPr>
      </w:pPr>
      <w:r>
        <w:rPr>
          <w:rFonts w:ascii="Arial" w:cs="Arial" w:eastAsia="Arial" w:hAnsi="Arial"/>
          <w:sz w:val="20"/>
          <w:szCs w:val="20"/>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88"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Agent shall be deemed to have acted reasonably in the custody, preservation and disposition of any of the Collateral if it complies with the obligations of a secured party under the UCC.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jc w:val="right"/>
              <w:ind w:right="221"/>
              <w:spacing w:after="0"/>
              <w:rPr>
                <w:sz w:val="20"/>
                <w:szCs w:val="20"/>
                <w:color w:val="auto"/>
              </w:rPr>
            </w:pPr>
            <w:r>
              <w:rPr>
                <w:rFonts w:ascii="Arial" w:cs="Arial" w:eastAsia="Arial" w:hAnsi="Arial"/>
                <w:sz w:val="20"/>
                <w:szCs w:val="20"/>
                <w:color w:val="auto"/>
              </w:rPr>
              <w:t>10.3</w:t>
            </w:r>
          </w:p>
        </w:tc>
        <w:tc>
          <w:tcPr>
            <w:tcW w:w="9560" w:type="dxa"/>
            <w:vAlign w:val="bottom"/>
          </w:tcPr>
          <w:p>
            <w:pPr>
              <w:ind w:left="320"/>
              <w:spacing w:after="0"/>
              <w:rPr>
                <w:sz w:val="20"/>
                <w:szCs w:val="20"/>
                <w:color w:val="auto"/>
              </w:rPr>
            </w:pPr>
            <w:r>
              <w:rPr>
                <w:rFonts w:ascii="Arial" w:cs="Arial" w:eastAsia="Arial" w:hAnsi="Arial"/>
                <w:sz w:val="20"/>
                <w:szCs w:val="20"/>
                <w:color w:val="auto"/>
                <w:w w:val="93"/>
              </w:rPr>
              <w:t>No Waiver. Agent shall be under no obligation to marshal any of the Collateral for the benefit of Borrower or any</w:t>
            </w:r>
          </w:p>
        </w:tc>
      </w:tr>
      <w:tr>
        <w:trPr>
          <w:trHeight w:val="250"/>
        </w:trPr>
        <w:tc>
          <w:tcPr>
            <w:tcW w:w="11100" w:type="dxa"/>
            <w:vAlign w:val="bottom"/>
            <w:gridSpan w:val="2"/>
          </w:tcPr>
          <w:p>
            <w:pPr>
              <w:spacing w:after="0"/>
              <w:rPr>
                <w:sz w:val="20"/>
                <w:szCs w:val="20"/>
                <w:color w:val="auto"/>
              </w:rPr>
            </w:pPr>
            <w:r>
              <w:rPr>
                <w:rFonts w:ascii="Arial" w:cs="Arial" w:eastAsia="Arial" w:hAnsi="Arial"/>
                <w:sz w:val="20"/>
                <w:szCs w:val="20"/>
                <w:color w:val="auto"/>
              </w:rPr>
              <w:t>other Person, and Borrower expressly waives all rights, if any, to require Agent to marshal any Collateral.</w:t>
            </w:r>
          </w:p>
        </w:tc>
      </w:tr>
      <w:tr>
        <w:trPr>
          <w:trHeight w:val="440"/>
        </w:trPr>
        <w:tc>
          <w:tcPr>
            <w:tcW w:w="1540" w:type="dxa"/>
            <w:vAlign w:val="bottom"/>
          </w:tcPr>
          <w:p>
            <w:pPr>
              <w:jc w:val="right"/>
              <w:ind w:right="221"/>
              <w:spacing w:after="0"/>
              <w:rPr>
                <w:sz w:val="20"/>
                <w:szCs w:val="20"/>
                <w:color w:val="auto"/>
              </w:rPr>
            </w:pPr>
            <w:r>
              <w:rPr>
                <w:rFonts w:ascii="Arial" w:cs="Arial" w:eastAsia="Arial" w:hAnsi="Arial"/>
                <w:sz w:val="20"/>
                <w:szCs w:val="20"/>
                <w:color w:val="auto"/>
              </w:rPr>
              <w:t>10.4</w:t>
            </w:r>
          </w:p>
        </w:tc>
        <w:tc>
          <w:tcPr>
            <w:tcW w:w="9560" w:type="dxa"/>
            <w:vAlign w:val="bottom"/>
          </w:tcPr>
          <w:p>
            <w:pPr>
              <w:ind w:left="320"/>
              <w:spacing w:after="0"/>
              <w:rPr>
                <w:sz w:val="20"/>
                <w:szCs w:val="20"/>
                <w:color w:val="auto"/>
              </w:rPr>
            </w:pPr>
            <w:r>
              <w:rPr>
                <w:rFonts w:ascii="Arial" w:cs="Arial" w:eastAsia="Arial" w:hAnsi="Arial"/>
                <w:sz w:val="20"/>
                <w:szCs w:val="20"/>
                <w:color w:val="auto"/>
                <w:w w:val="90"/>
              </w:rPr>
              <w:t>Cumulative Remedies. The rights, powers and remedies of Agent hereunder shall be in addition to all rights, powers</w:t>
            </w:r>
          </w:p>
        </w:tc>
      </w:tr>
    </w:tbl>
    <w:p>
      <w:pPr>
        <w:jc w:val="both"/>
        <w:ind w:right="60"/>
        <w:spacing w:after="0" w:line="364" w:lineRule="auto"/>
        <w:rPr>
          <w:sz w:val="20"/>
          <w:szCs w:val="20"/>
          <w:color w:val="auto"/>
        </w:rPr>
      </w:pPr>
      <w:r>
        <w:rPr>
          <w:rFonts w:ascii="Arial" w:cs="Arial" w:eastAsia="Arial" w:hAnsi="Arial"/>
          <w:sz w:val="16"/>
          <w:szCs w:val="16"/>
          <w:color w:val="auto"/>
        </w:rPr>
        <w:t>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94"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9120" w:type="dxa"/>
            <w:vAlign w:val="bottom"/>
          </w:tcPr>
          <w:p>
            <w:pPr>
              <w:ind w:left="2580"/>
              <w:spacing w:after="0"/>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b w:val="1"/>
                <w:bCs w:val="1"/>
                <w:u w:val="single" w:color="auto"/>
                <w:color w:val="auto"/>
              </w:rPr>
              <w:t>MISCELLANEOUS</w:t>
            </w:r>
          </w:p>
        </w:tc>
      </w:tr>
      <w:tr>
        <w:trPr>
          <w:trHeight w:val="44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11.1</w:t>
            </w:r>
          </w:p>
        </w:tc>
        <w:tc>
          <w:tcPr>
            <w:tcW w:w="9120" w:type="dxa"/>
            <w:vAlign w:val="bottom"/>
          </w:tcPr>
          <w:p>
            <w:pPr>
              <w:ind w:left="320"/>
              <w:spacing w:after="0"/>
              <w:rPr>
                <w:sz w:val="20"/>
                <w:szCs w:val="20"/>
                <w:color w:val="auto"/>
              </w:rPr>
            </w:pPr>
            <w:r>
              <w:rPr>
                <w:rFonts w:ascii="Arial" w:cs="Arial" w:eastAsia="Arial" w:hAnsi="Arial"/>
                <w:sz w:val="20"/>
                <w:szCs w:val="20"/>
                <w:color w:val="auto"/>
                <w:w w:val="89"/>
              </w:rPr>
              <w:t>Severability. Whenever possible, each provision of this Agreement shall be interpreted in such manner as to be</w:t>
            </w:r>
          </w:p>
        </w:tc>
      </w:tr>
    </w:tbl>
    <w:p>
      <w:pPr>
        <w:ind w:right="380"/>
        <w:spacing w:after="0" w:line="241" w:lineRule="auto"/>
        <w:rPr>
          <w:sz w:val="20"/>
          <w:szCs w:val="20"/>
          <w:color w:val="auto"/>
        </w:rPr>
      </w:pPr>
      <w:r>
        <w:rPr>
          <w:rFonts w:ascii="Arial" w:cs="Arial" w:eastAsia="Arial" w:hAnsi="Arial"/>
          <w:sz w:val="20"/>
          <w:szCs w:val="20"/>
          <w:color w:val="auto"/>
        </w:rPr>
        <w:t>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95" w:lineRule="exact"/>
        <w:rPr>
          <w:sz w:val="20"/>
          <w:szCs w:val="20"/>
          <w:color w:val="auto"/>
        </w:rPr>
      </w:pPr>
    </w:p>
    <w:p>
      <w:pPr>
        <w:ind w:firstLine="864"/>
        <w:spacing w:after="0" w:line="258" w:lineRule="auto"/>
        <w:rPr>
          <w:sz w:val="20"/>
          <w:szCs w:val="20"/>
          <w:color w:val="auto"/>
        </w:rPr>
      </w:pPr>
      <w:r>
        <w:rPr>
          <w:rFonts w:ascii="Arial" w:cs="Arial" w:eastAsia="Arial" w:hAnsi="Arial"/>
          <w:sz w:val="19"/>
          <w:szCs w:val="19"/>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sectPr>
      </w:pPr>
    </w:p>
    <w:bookmarkStart w:id="95" w:name="page96"/>
    <w:bookmarkEnd w:id="95"/>
    <w:p>
      <w:pPr>
        <w:ind w:left="2540" w:hanging="865"/>
        <w:spacing w:after="0"/>
        <w:tabs>
          <w:tab w:leader="none" w:pos="25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to Agent:</w:t>
      </w:r>
    </w:p>
    <w:p>
      <w:pPr>
        <w:spacing w:after="0" w:line="214" w:lineRule="exact"/>
        <w:rPr>
          <w:rFonts w:ascii="Arial" w:cs="Arial" w:eastAsia="Arial" w:hAnsi="Arial"/>
          <w:sz w:val="20"/>
          <w:szCs w:val="20"/>
          <w:color w:val="auto"/>
        </w:rPr>
      </w:pPr>
    </w:p>
    <w:p>
      <w:pPr>
        <w:ind w:left="2540" w:right="6220"/>
        <w:spacing w:after="0" w:line="247" w:lineRule="auto"/>
        <w:rPr>
          <w:rFonts w:ascii="Arial" w:cs="Arial" w:eastAsia="Arial" w:hAnsi="Arial"/>
          <w:sz w:val="20"/>
          <w:szCs w:val="20"/>
          <w:color w:val="auto"/>
        </w:rPr>
      </w:pPr>
      <w:r>
        <w:rPr>
          <w:rFonts w:ascii="Arial" w:cs="Arial" w:eastAsia="Arial" w:hAnsi="Arial"/>
          <w:sz w:val="20"/>
          <w:szCs w:val="20"/>
          <w:color w:val="auto"/>
        </w:rPr>
        <w:t>HERCULES CAPITAL, INC. Legal Department</w:t>
      </w:r>
    </w:p>
    <w:p>
      <w:pPr>
        <w:spacing w:after="0" w:line="1" w:lineRule="exact"/>
        <w:rPr>
          <w:rFonts w:ascii="Arial" w:cs="Arial" w:eastAsia="Arial" w:hAnsi="Arial"/>
          <w:sz w:val="20"/>
          <w:szCs w:val="20"/>
          <w:color w:val="auto"/>
        </w:rPr>
      </w:pPr>
    </w:p>
    <w:p>
      <w:pPr>
        <w:ind w:left="2540" w:right="4540"/>
        <w:spacing w:after="0" w:line="239" w:lineRule="auto"/>
        <w:rPr>
          <w:rFonts w:ascii="Arial" w:cs="Arial" w:eastAsia="Arial" w:hAnsi="Arial"/>
          <w:sz w:val="20"/>
          <w:szCs w:val="20"/>
          <w:color w:val="auto"/>
        </w:rPr>
      </w:pPr>
      <w:r>
        <w:rPr>
          <w:rFonts w:ascii="Arial" w:cs="Arial" w:eastAsia="Arial" w:hAnsi="Arial"/>
          <w:sz w:val="20"/>
          <w:szCs w:val="20"/>
          <w:color w:val="auto"/>
        </w:rPr>
        <w:t>Attention: Chief Legal Officer and Janice Bourque 400 Hamilton Avenue, Suite 310</w:t>
      </w:r>
    </w:p>
    <w:p>
      <w:pPr>
        <w:ind w:left="2540" w:right="6900"/>
        <w:spacing w:after="0" w:line="260" w:lineRule="auto"/>
        <w:rPr>
          <w:rFonts w:ascii="Arial" w:cs="Arial" w:eastAsia="Arial" w:hAnsi="Arial"/>
          <w:sz w:val="20"/>
          <w:szCs w:val="20"/>
          <w:color w:val="auto"/>
        </w:rPr>
      </w:pPr>
      <w:r>
        <w:rPr>
          <w:rFonts w:ascii="Arial" w:cs="Arial" w:eastAsia="Arial" w:hAnsi="Arial"/>
          <w:sz w:val="19"/>
          <w:szCs w:val="19"/>
          <w:color w:val="auto"/>
        </w:rPr>
        <w:t>Palo Alto, CA 94301 email: XXXX Telephone: XXXX</w:t>
      </w:r>
    </w:p>
    <w:p>
      <w:pPr>
        <w:spacing w:after="0" w:line="177" w:lineRule="exact"/>
        <w:rPr>
          <w:rFonts w:ascii="Arial" w:cs="Arial" w:eastAsia="Arial" w:hAnsi="Arial"/>
          <w:sz w:val="20"/>
          <w:szCs w:val="20"/>
          <w:color w:val="auto"/>
        </w:rPr>
      </w:pPr>
    </w:p>
    <w:p>
      <w:pPr>
        <w:ind w:left="2560" w:hanging="885"/>
        <w:spacing w:after="0"/>
        <w:tabs>
          <w:tab w:leader="none" w:pos="25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to the Lenders:</w:t>
      </w:r>
    </w:p>
    <w:p>
      <w:pPr>
        <w:spacing w:after="0" w:line="214" w:lineRule="exact"/>
        <w:rPr>
          <w:rFonts w:ascii="Arial" w:cs="Arial" w:eastAsia="Arial" w:hAnsi="Arial"/>
          <w:sz w:val="20"/>
          <w:szCs w:val="20"/>
          <w:color w:val="auto"/>
        </w:rPr>
      </w:pPr>
    </w:p>
    <w:p>
      <w:pPr>
        <w:ind w:left="2540" w:right="6220"/>
        <w:spacing w:after="0" w:line="247" w:lineRule="auto"/>
        <w:rPr>
          <w:rFonts w:ascii="Arial" w:cs="Arial" w:eastAsia="Arial" w:hAnsi="Arial"/>
          <w:sz w:val="20"/>
          <w:szCs w:val="20"/>
          <w:color w:val="auto"/>
        </w:rPr>
      </w:pPr>
      <w:r>
        <w:rPr>
          <w:rFonts w:ascii="Arial" w:cs="Arial" w:eastAsia="Arial" w:hAnsi="Arial"/>
          <w:sz w:val="20"/>
          <w:szCs w:val="20"/>
          <w:color w:val="auto"/>
        </w:rPr>
        <w:t>HERCULES CAPITAL, INC. Legal Department</w:t>
      </w:r>
    </w:p>
    <w:p>
      <w:pPr>
        <w:spacing w:after="0" w:line="1" w:lineRule="exact"/>
        <w:rPr>
          <w:rFonts w:ascii="Arial" w:cs="Arial" w:eastAsia="Arial" w:hAnsi="Arial"/>
          <w:sz w:val="20"/>
          <w:szCs w:val="20"/>
          <w:color w:val="auto"/>
        </w:rPr>
      </w:pPr>
    </w:p>
    <w:p>
      <w:pPr>
        <w:ind w:left="2540" w:right="4540"/>
        <w:spacing w:after="0" w:line="239" w:lineRule="auto"/>
        <w:rPr>
          <w:rFonts w:ascii="Arial" w:cs="Arial" w:eastAsia="Arial" w:hAnsi="Arial"/>
          <w:sz w:val="20"/>
          <w:szCs w:val="20"/>
          <w:color w:val="auto"/>
        </w:rPr>
      </w:pPr>
      <w:r>
        <w:rPr>
          <w:rFonts w:ascii="Arial" w:cs="Arial" w:eastAsia="Arial" w:hAnsi="Arial"/>
          <w:sz w:val="20"/>
          <w:szCs w:val="20"/>
          <w:color w:val="auto"/>
        </w:rPr>
        <w:t>Attention: Chief Legal Officer and Janice Bourque 400 Hamilton Avenue, Suite 310</w:t>
      </w:r>
    </w:p>
    <w:p>
      <w:pPr>
        <w:ind w:left="2540" w:right="6900"/>
        <w:spacing w:after="0" w:line="281" w:lineRule="auto"/>
        <w:rPr>
          <w:rFonts w:ascii="Arial" w:cs="Arial" w:eastAsia="Arial" w:hAnsi="Arial"/>
          <w:sz w:val="20"/>
          <w:szCs w:val="20"/>
          <w:color w:val="auto"/>
        </w:rPr>
      </w:pPr>
      <w:r>
        <w:rPr>
          <w:rFonts w:ascii="Arial" w:cs="Arial" w:eastAsia="Arial" w:hAnsi="Arial"/>
          <w:sz w:val="18"/>
          <w:szCs w:val="18"/>
          <w:color w:val="auto"/>
        </w:rPr>
        <w:t>Palo Alto, CA 94301 email: XXXXX Telephone: XXXX</w:t>
      </w:r>
    </w:p>
    <w:p>
      <w:pPr>
        <w:spacing w:after="0" w:line="160" w:lineRule="exact"/>
        <w:rPr>
          <w:rFonts w:ascii="Arial" w:cs="Arial" w:eastAsia="Arial" w:hAnsi="Arial"/>
          <w:sz w:val="20"/>
          <w:szCs w:val="20"/>
          <w:color w:val="auto"/>
        </w:rPr>
      </w:pPr>
    </w:p>
    <w:p>
      <w:pPr>
        <w:ind w:left="2540" w:hanging="865"/>
        <w:spacing w:after="0"/>
        <w:tabs>
          <w:tab w:leader="none" w:pos="254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to Borrower:</w:t>
      </w:r>
    </w:p>
    <w:p>
      <w:pPr>
        <w:spacing w:after="0" w:line="215"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SYNDAX PHARMACEUTICALS, INC.</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Attention: General Counsel</w:t>
      </w:r>
    </w:p>
    <w:p>
      <w:pPr>
        <w:ind w:left="2540"/>
        <w:spacing w:after="0"/>
        <w:rPr>
          <w:sz w:val="20"/>
          <w:szCs w:val="20"/>
          <w:color w:val="auto"/>
        </w:rPr>
      </w:pPr>
      <w:r>
        <w:rPr>
          <w:rFonts w:ascii="Arial" w:cs="Arial" w:eastAsia="Arial" w:hAnsi="Arial"/>
          <w:sz w:val="20"/>
          <w:szCs w:val="20"/>
          <w:color w:val="auto"/>
        </w:rPr>
        <w:t>35 Gatehouse Drive</w:t>
      </w:r>
    </w:p>
    <w:p>
      <w:pPr>
        <w:ind w:left="2540"/>
        <w:spacing w:after="0"/>
        <w:rPr>
          <w:sz w:val="20"/>
          <w:szCs w:val="20"/>
          <w:color w:val="auto"/>
        </w:rPr>
      </w:pPr>
      <w:r>
        <w:rPr>
          <w:rFonts w:ascii="Arial" w:cs="Arial" w:eastAsia="Arial" w:hAnsi="Arial"/>
          <w:sz w:val="20"/>
          <w:szCs w:val="20"/>
          <w:color w:val="auto"/>
        </w:rPr>
        <w:t>Building D, Floor 3</w:t>
      </w:r>
    </w:p>
    <w:p>
      <w:pPr>
        <w:ind w:left="2540"/>
        <w:spacing w:after="0"/>
        <w:rPr>
          <w:sz w:val="20"/>
          <w:szCs w:val="20"/>
          <w:color w:val="auto"/>
        </w:rPr>
      </w:pPr>
      <w:r>
        <w:rPr>
          <w:rFonts w:ascii="Arial" w:cs="Arial" w:eastAsia="Arial" w:hAnsi="Arial"/>
          <w:sz w:val="20"/>
          <w:szCs w:val="20"/>
          <w:color w:val="auto"/>
        </w:rPr>
        <w:t>Waltham, MA 02451</w:t>
      </w:r>
    </w:p>
    <w:p>
      <w:pPr>
        <w:ind w:left="2540"/>
        <w:spacing w:after="0"/>
        <w:rPr>
          <w:sz w:val="20"/>
          <w:szCs w:val="20"/>
          <w:color w:val="auto"/>
        </w:rPr>
      </w:pPr>
      <w:r>
        <w:rPr>
          <w:rFonts w:ascii="Arial" w:cs="Arial" w:eastAsia="Arial" w:hAnsi="Arial"/>
          <w:sz w:val="20"/>
          <w:szCs w:val="20"/>
          <w:color w:val="auto"/>
        </w:rPr>
        <w:t>email: XXXX</w:t>
      </w:r>
    </w:p>
    <w:p>
      <w:pPr>
        <w:ind w:left="2540"/>
        <w:spacing w:after="0"/>
        <w:rPr>
          <w:sz w:val="20"/>
          <w:szCs w:val="20"/>
          <w:color w:val="auto"/>
        </w:rPr>
      </w:pPr>
      <w:r>
        <w:rPr>
          <w:rFonts w:ascii="Arial" w:cs="Arial" w:eastAsia="Arial" w:hAnsi="Arial"/>
          <w:sz w:val="20"/>
          <w:szCs w:val="20"/>
          <w:color w:val="auto"/>
        </w:rPr>
        <w:t>Telephone: XXXX</w:t>
      </w:r>
    </w:p>
    <w:p>
      <w:pPr>
        <w:spacing w:after="0" w:line="199" w:lineRule="exact"/>
        <w:rPr>
          <w:sz w:val="20"/>
          <w:szCs w:val="20"/>
          <w:color w:val="auto"/>
        </w:rPr>
      </w:pPr>
    </w:p>
    <w:p>
      <w:pPr>
        <w:ind w:left="820"/>
        <w:spacing w:after="0"/>
        <w:rPr>
          <w:sz w:val="20"/>
          <w:szCs w:val="20"/>
          <w:color w:val="auto"/>
        </w:rPr>
      </w:pPr>
      <w:r>
        <w:rPr>
          <w:rFonts w:ascii="Arial" w:cs="Arial" w:eastAsia="Arial" w:hAnsi="Arial"/>
          <w:sz w:val="20"/>
          <w:szCs w:val="20"/>
          <w:color w:val="auto"/>
        </w:rPr>
        <w:t>or to such other address as each party may designate for itself by like notice.</w:t>
      </w:r>
    </w:p>
    <w:p>
      <w:pPr>
        <w:spacing w:after="0" w:line="107" w:lineRule="exact"/>
        <w:rPr>
          <w:sz w:val="20"/>
          <w:szCs w:val="20"/>
          <w:color w:val="auto"/>
        </w:rPr>
      </w:pPr>
    </w:p>
    <w:p>
      <w:pPr>
        <w:ind w:left="820"/>
        <w:spacing w:after="0"/>
        <w:tabs>
          <w:tab w:leader="none" w:pos="17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Entire Agreement; Amendments.</w:t>
      </w:r>
    </w:p>
    <w:p>
      <w:pPr>
        <w:spacing w:after="0" w:line="215" w:lineRule="exact"/>
        <w:rPr>
          <w:sz w:val="20"/>
          <w:szCs w:val="20"/>
          <w:color w:val="auto"/>
        </w:rPr>
      </w:pPr>
    </w:p>
    <w:p>
      <w:pPr>
        <w:ind w:left="-60" w:right="100" w:firstLine="1735"/>
        <w:spacing w:after="0" w:line="327" w:lineRule="auto"/>
        <w:tabs>
          <w:tab w:leader="none" w:pos="253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December 6, 2019 and the Non-Disclosure Agreement).</w:t>
      </w:r>
    </w:p>
    <w:p>
      <w:pPr>
        <w:spacing w:after="0" w:line="129" w:lineRule="exact"/>
        <w:rPr>
          <w:rFonts w:ascii="Arial" w:cs="Arial" w:eastAsia="Arial" w:hAnsi="Arial"/>
          <w:sz w:val="16"/>
          <w:szCs w:val="16"/>
          <w:color w:val="auto"/>
        </w:rPr>
      </w:pPr>
    </w:p>
    <w:p>
      <w:pPr>
        <w:ind w:left="-60" w:firstLine="1735"/>
        <w:spacing w:after="0" w:line="256" w:lineRule="auto"/>
        <w:tabs>
          <w:tab w:leader="none" w:pos="2545" w:val="left"/>
        </w:tabs>
        <w:numPr>
          <w:ilvl w:val="0"/>
          <w:numId w:val="47"/>
        </w:numPr>
        <w:rPr>
          <w:rFonts w:ascii="Arial" w:cs="Arial" w:eastAsia="Arial" w:hAnsi="Arial"/>
          <w:sz w:val="19"/>
          <w:szCs w:val="19"/>
          <w:color w:val="auto"/>
        </w:rPr>
      </w:pPr>
      <w:r>
        <w:rPr>
          <w:rFonts w:ascii="Arial" w:cs="Arial" w:eastAsia="Arial" w:hAnsi="Arial"/>
          <w:sz w:val="19"/>
          <w:szCs w:val="19"/>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144145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80" w:top="554" w:right="379" w:bottom="1440" w:gutter="0" w:footer="0" w:header="0"/>
        </w:sectPr>
      </w:pPr>
    </w:p>
    <w:bookmarkStart w:id="96" w:name="page97"/>
    <w:bookmarkEnd w:id="96"/>
    <w:p>
      <w:pPr>
        <w:spacing w:after="0" w:line="272" w:lineRule="auto"/>
        <w:rPr>
          <w:sz w:val="20"/>
          <w:szCs w:val="20"/>
          <w:color w:val="auto"/>
        </w:rPr>
      </w:pPr>
      <w:r>
        <w:rPr>
          <w:rFonts w:ascii="Arial" w:cs="Arial" w:eastAsia="Arial" w:hAnsi="Arial"/>
          <w:sz w:val="18"/>
          <w:szCs w:val="18"/>
          <w:color w:val="auto"/>
        </w:rPr>
        <w:t>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p>
    <w:p>
      <w:pPr>
        <w:spacing w:after="0" w:line="168" w:lineRule="exact"/>
        <w:rPr>
          <w:sz w:val="20"/>
          <w:szCs w:val="20"/>
          <w:color w:val="auto"/>
        </w:rPr>
      </w:pPr>
    </w:p>
    <w:p>
      <w:pPr>
        <w:ind w:right="100" w:firstLine="864"/>
        <w:spacing w:after="0" w:line="246" w:lineRule="auto"/>
        <w:rPr>
          <w:sz w:val="20"/>
          <w:szCs w:val="20"/>
          <w:color w:val="auto"/>
        </w:rPr>
      </w:pPr>
      <w:r>
        <w:rPr>
          <w:rFonts w:ascii="Arial" w:cs="Arial" w:eastAsia="Arial" w:hAnsi="Arial"/>
          <w:sz w:val="20"/>
          <w:szCs w:val="20"/>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90" w:lineRule="exact"/>
        <w:rPr>
          <w:sz w:val="20"/>
          <w:szCs w:val="20"/>
          <w:color w:val="auto"/>
        </w:rPr>
      </w:pPr>
    </w:p>
    <w:p>
      <w:pPr>
        <w:ind w:right="120" w:firstLine="864"/>
        <w:spacing w:after="0" w:line="243" w:lineRule="auto"/>
        <w:rPr>
          <w:sz w:val="20"/>
          <w:szCs w:val="20"/>
          <w:color w:val="auto"/>
        </w:rPr>
      </w:pPr>
      <w:r>
        <w:rPr>
          <w:rFonts w:ascii="Arial" w:cs="Arial" w:eastAsia="Arial" w:hAnsi="Arial"/>
          <w:sz w:val="20"/>
          <w:szCs w:val="20"/>
          <w:color w:val="auto"/>
        </w:rPr>
        <w:t>11.5 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94" w:lineRule="exact"/>
        <w:rPr>
          <w:sz w:val="20"/>
          <w:szCs w:val="20"/>
          <w:color w:val="auto"/>
        </w:rPr>
      </w:pPr>
    </w:p>
    <w:p>
      <w:pPr>
        <w:jc w:val="both"/>
        <w:ind w:right="80" w:firstLine="864"/>
        <w:spacing w:after="0" w:line="269" w:lineRule="auto"/>
        <w:rPr>
          <w:sz w:val="20"/>
          <w:szCs w:val="20"/>
          <w:color w:val="auto"/>
        </w:rPr>
      </w:pPr>
      <w:r>
        <w:rPr>
          <w:rFonts w:ascii="Arial" w:cs="Arial" w:eastAsia="Arial" w:hAnsi="Arial"/>
          <w:sz w:val="19"/>
          <w:szCs w:val="19"/>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11.14, 11.15 and 11.17 shall survive the termination of this Agreement.</w:t>
      </w:r>
    </w:p>
    <w:p>
      <w:pPr>
        <w:spacing w:after="0" w:line="169" w:lineRule="exact"/>
        <w:rPr>
          <w:sz w:val="20"/>
          <w:szCs w:val="20"/>
          <w:color w:val="auto"/>
        </w:rPr>
      </w:pPr>
    </w:p>
    <w:p>
      <w:pPr>
        <w:ind w:right="20" w:firstLine="864"/>
        <w:spacing w:after="0" w:line="271" w:lineRule="auto"/>
        <w:rPr>
          <w:sz w:val="20"/>
          <w:szCs w:val="20"/>
          <w:color w:val="auto"/>
        </w:rPr>
      </w:pPr>
      <w:r>
        <w:rPr>
          <w:rFonts w:ascii="Arial" w:cs="Arial" w:eastAsia="Arial" w:hAnsi="Arial"/>
          <w:sz w:val="18"/>
          <w:szCs w:val="18"/>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w:t>
      </w:r>
    </w:p>
    <w:p>
      <w:pPr>
        <w:spacing w:after="0" w:line="3"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effect. Agent and the Lenders may assign, transfer, or endorse its rights hereunder and under the other Loan Documents without prior notice to Borrower,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(as reasonably determined by Agent),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97" w:name="page98"/>
    <w:bookmarkEnd w:id="97"/>
    <w:p>
      <w:pPr>
        <w:ind w:right="120"/>
        <w:spacing w:after="0" w:line="271" w:lineRule="auto"/>
        <w:rPr>
          <w:sz w:val="20"/>
          <w:szCs w:val="20"/>
          <w:color w:val="auto"/>
        </w:rPr>
      </w:pPr>
      <w:r>
        <w:rPr>
          <w:rFonts w:ascii="Arial" w:cs="Arial" w:eastAsia="Arial" w:hAnsi="Arial"/>
          <w:sz w:val="18"/>
          <w:szCs w:val="18"/>
          <w:color w:val="auto"/>
        </w:rPr>
        <w:t>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71" w:lineRule="exact"/>
        <w:rPr>
          <w:sz w:val="20"/>
          <w:szCs w:val="20"/>
          <w:color w:val="auto"/>
        </w:rPr>
      </w:pPr>
    </w:p>
    <w:p>
      <w:pPr>
        <w:ind w:right="40" w:firstLine="864"/>
        <w:spacing w:after="0" w:line="253" w:lineRule="auto"/>
        <w:rPr>
          <w:sz w:val="20"/>
          <w:szCs w:val="20"/>
          <w:color w:val="auto"/>
        </w:rPr>
      </w:pPr>
      <w:r>
        <w:rPr>
          <w:rFonts w:ascii="Arial" w:cs="Arial" w:eastAsia="Arial" w:hAnsi="Arial"/>
          <w:sz w:val="19"/>
          <w:szCs w:val="19"/>
          <w:color w:val="auto"/>
        </w:rPr>
        <w:t>11.8 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7" w:lineRule="exact"/>
        <w:rPr>
          <w:sz w:val="20"/>
          <w:szCs w:val="20"/>
          <w:color w:val="auto"/>
        </w:rPr>
      </w:pPr>
    </w:p>
    <w:p>
      <w:pPr>
        <w:ind w:firstLine="864"/>
        <w:spacing w:after="0" w:line="244" w:lineRule="auto"/>
        <w:rPr>
          <w:sz w:val="20"/>
          <w:szCs w:val="20"/>
          <w:color w:val="auto"/>
        </w:rPr>
      </w:pPr>
      <w:r>
        <w:rPr>
          <w:rFonts w:ascii="Arial" w:cs="Arial" w:eastAsia="Arial" w:hAnsi="Arial"/>
          <w:sz w:val="20"/>
          <w:szCs w:val="20"/>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93" w:lineRule="exact"/>
        <w:rPr>
          <w:sz w:val="20"/>
          <w:szCs w:val="20"/>
          <w:color w:val="auto"/>
        </w:rPr>
      </w:pPr>
    </w:p>
    <w:p>
      <w:pPr>
        <w:ind w:right="160" w:firstLine="864"/>
        <w:spacing w:after="0" w:line="243" w:lineRule="auto"/>
        <w:rPr>
          <w:sz w:val="20"/>
          <w:szCs w:val="20"/>
          <w:color w:val="auto"/>
        </w:rPr>
      </w:pPr>
      <w:r>
        <w:rPr>
          <w:rFonts w:ascii="Arial" w:cs="Arial" w:eastAsia="Arial" w:hAnsi="Arial"/>
          <w:sz w:val="20"/>
          <w:szCs w:val="20"/>
          <w:color w:val="auto"/>
        </w:rPr>
        <w:t>11.10 Consent to Jurisdiction and Venue. All judicial proceedings (to the extent that the reference requirement of Section 11.10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(d) irrevocably agrees to be bound by any judgment rendered thereby in connection with this Agreement or the other Loan</w:t>
      </w:r>
    </w:p>
    <w:p>
      <w:pPr>
        <w:spacing w:after="0" w:line="15"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Documents. Service of process on any party hereto in any action arising out of or relating to this Agreement shall be effective if given in accordance with the requirements for notice set forth in Section 11.2, and shall be deemed effective and received as set forth in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Section 11.2. Nothing herein shall affect the right to serve process in any other manner permitted by law or shall limit the right of either party to bring proceedings in the courts of any other jurisdiction.</w:t>
      </w:r>
    </w:p>
    <w:p>
      <w:pPr>
        <w:spacing w:after="0" w:line="193"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color w:val="auto"/>
        </w:rPr>
        <w:t>Mutual Waiver of Jury Trial / Judicial Reference.</w:t>
      </w:r>
    </w:p>
    <w:p>
      <w:pPr>
        <w:spacing w:after="0" w:line="215" w:lineRule="exact"/>
        <w:rPr>
          <w:sz w:val="20"/>
          <w:szCs w:val="20"/>
          <w:color w:val="auto"/>
        </w:rPr>
      </w:pPr>
    </w:p>
    <w:p>
      <w:pPr>
        <w:ind w:right="80" w:firstLine="1735"/>
        <w:spacing w:after="0" w:line="255" w:lineRule="auto"/>
        <w:tabs>
          <w:tab w:leader="none" w:pos="2594" w:val="left"/>
        </w:tabs>
        <w:numPr>
          <w:ilvl w:val="0"/>
          <w:numId w:val="48"/>
        </w:numPr>
        <w:rPr>
          <w:rFonts w:ascii="Arial" w:cs="Arial" w:eastAsia="Arial" w:hAnsi="Arial"/>
          <w:sz w:val="19"/>
          <w:szCs w:val="19"/>
          <w:color w:val="auto"/>
        </w:rPr>
      </w:pPr>
      <w:r>
        <w:rPr>
          <w:rFonts w:ascii="Arial" w:cs="Arial" w:eastAsia="Arial" w:hAnsi="Arial"/>
          <w:sz w:val="19"/>
          <w:szCs w:val="19"/>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86" w:lineRule="exact"/>
        <w:rPr>
          <w:rFonts w:ascii="Arial" w:cs="Arial" w:eastAsia="Arial" w:hAnsi="Arial"/>
          <w:sz w:val="19"/>
          <w:szCs w:val="19"/>
          <w:color w:val="auto"/>
        </w:rPr>
      </w:pPr>
    </w:p>
    <w:p>
      <w:pPr>
        <w:jc w:val="both"/>
        <w:ind w:right="220" w:firstLine="1735"/>
        <w:spacing w:after="0" w:line="271" w:lineRule="auto"/>
        <w:tabs>
          <w:tab w:leader="none" w:pos="26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waiver of jury trial set forth in Section 11.10(a)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w:t>
      </w:r>
    </w:p>
    <w:p>
      <w:pPr>
        <w:spacing w:after="0" w:line="2" w:lineRule="exact"/>
        <w:rPr>
          <w:rFonts w:ascii="Arial" w:cs="Arial" w:eastAsia="Arial" w:hAnsi="Arial"/>
          <w:sz w:val="18"/>
          <w:szCs w:val="18"/>
          <w:color w:val="auto"/>
        </w:rPr>
      </w:pPr>
    </w:p>
    <w:p>
      <w:pPr>
        <w:ind w:right="40"/>
        <w:spacing w:after="0" w:line="243" w:lineRule="auto"/>
        <w:rPr>
          <w:rFonts w:ascii="Arial" w:cs="Arial" w:eastAsia="Arial" w:hAnsi="Arial"/>
          <w:sz w:val="18"/>
          <w:szCs w:val="18"/>
          <w:color w:val="auto"/>
        </w:rPr>
      </w:pPr>
      <w:r>
        <w:rPr>
          <w:rFonts w:ascii="Arial" w:cs="Arial" w:eastAsia="Arial" w:hAnsi="Arial"/>
          <w:sz w:val="20"/>
          <w:szCs w:val="20"/>
          <w:color w:val="auto"/>
        </w:rPr>
        <w:t>California. Such proceeding shall be conducted in Santa Clara County, California, with California rules of evidence and discovery applicable to such proceeding.</w:t>
      </w:r>
    </w:p>
    <w:p>
      <w:pPr>
        <w:spacing w:after="0" w:line="192" w:lineRule="exact"/>
        <w:rPr>
          <w:rFonts w:ascii="Arial" w:cs="Arial" w:eastAsia="Arial" w:hAnsi="Arial"/>
          <w:sz w:val="18"/>
          <w:szCs w:val="18"/>
          <w:color w:val="auto"/>
        </w:rPr>
      </w:pPr>
    </w:p>
    <w:p>
      <w:pPr>
        <w:jc w:val="both"/>
        <w:ind w:right="140" w:firstLine="1735"/>
        <w:spacing w:after="0" w:line="269" w:lineRule="auto"/>
        <w:tabs>
          <w:tab w:leader="none" w:pos="2594"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the event Claims are to be resolved by judicial reference, either party may seek from a court identified in Section 11.11, any prejudgment order, writ or other relief and have such prejudgment order, writ or other relief enforced to the fullest extent permitted by law notwithstanding that all Claims are otherwise subject to resolution by judicial reference.</w:t>
      </w:r>
    </w:p>
    <w:p>
      <w:pPr>
        <w:spacing w:after="0" w:line="169" w:lineRule="exact"/>
        <w:rPr>
          <w:sz w:val="20"/>
          <w:szCs w:val="20"/>
          <w:color w:val="auto"/>
        </w:rPr>
      </w:pPr>
    </w:p>
    <w:p>
      <w:pPr>
        <w:ind w:right="40" w:firstLine="864"/>
        <w:spacing w:after="0" w:line="270" w:lineRule="auto"/>
        <w:rPr>
          <w:sz w:val="20"/>
          <w:szCs w:val="20"/>
          <w:color w:val="auto"/>
        </w:rPr>
      </w:pPr>
      <w:r>
        <w:rPr>
          <w:rFonts w:ascii="Arial" w:cs="Arial" w:eastAsia="Arial" w:hAnsi="Arial"/>
          <w:sz w:val="18"/>
          <w:szCs w:val="18"/>
          <w:color w:val="auto"/>
        </w:rPr>
        <w:t>11.12 Professional Fees. Borrower promises to pay Agent’s and the Lenders’ reasonable and documented out-of-pocket fees and expenses necessary to finalize the loan documentation, including but not limited to reasonable and documented attorneys’ fees, UCC searches, filing costs, and other miscellaneous expenses. In addition, Borrower promises to pay any and all reasonable and documented out-of-pocket attorneys’ and other professionals’ fees and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9" w:name="page100"/>
    <w:bookmarkEnd w:id="99"/>
    <w:p>
      <w:pPr>
        <w:ind w:firstLine="864"/>
        <w:spacing w:after="0" w:line="267" w:lineRule="auto"/>
        <w:rPr>
          <w:sz w:val="20"/>
          <w:szCs w:val="20"/>
          <w:color w:val="auto"/>
        </w:rPr>
      </w:pPr>
      <w:r>
        <w:rPr>
          <w:rFonts w:ascii="Arial" w:cs="Arial" w:eastAsia="Arial" w:hAnsi="Arial"/>
          <w:sz w:val="18"/>
          <w:szCs w:val="18"/>
          <w:color w:val="auto"/>
        </w:rPr>
        <w:t>11.13 Confidentiality.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and, at a minimum, are at least as protective as those set forth in this Agreement; (b) if such information is generally available to the public at the time it was disclosed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89" w:lineRule="exact"/>
        <w:rPr>
          <w:sz w:val="20"/>
          <w:szCs w:val="20"/>
          <w:color w:val="auto"/>
        </w:rPr>
      </w:pPr>
    </w:p>
    <w:p>
      <w:pPr>
        <w:ind w:right="40" w:firstLine="864"/>
        <w:spacing w:after="0" w:line="272" w:lineRule="auto"/>
        <w:rPr>
          <w:sz w:val="20"/>
          <w:szCs w:val="20"/>
          <w:color w:val="auto"/>
        </w:rPr>
      </w:pPr>
      <w:r>
        <w:rPr>
          <w:rFonts w:ascii="Arial" w:cs="Arial" w:eastAsia="Arial" w:hAnsi="Arial"/>
          <w:sz w:val="18"/>
          <w:szCs w:val="18"/>
          <w:color w:val="auto"/>
        </w:rPr>
        <w:t>11.14 Assignment of Rights. Borrower acknowledges and understands that Agent or the Lenders may, subject to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the Lenders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73" w:lineRule="exact"/>
        <w:rPr>
          <w:sz w:val="20"/>
          <w:szCs w:val="20"/>
          <w:color w:val="auto"/>
        </w:rPr>
      </w:pPr>
    </w:p>
    <w:p>
      <w:pPr>
        <w:ind w:right="160" w:firstLine="864"/>
        <w:spacing w:after="0" w:line="249" w:lineRule="auto"/>
        <w:rPr>
          <w:sz w:val="20"/>
          <w:szCs w:val="20"/>
          <w:color w:val="auto"/>
        </w:rPr>
      </w:pPr>
      <w:r>
        <w:rPr>
          <w:rFonts w:ascii="Arial" w:cs="Arial" w:eastAsia="Arial" w:hAnsi="Arial"/>
          <w:sz w:val="20"/>
          <w:szCs w:val="20"/>
          <w:color w:val="auto"/>
        </w:rPr>
        <w:t>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00" w:name="page101"/>
    <w:bookmarkEnd w:id="100"/>
    <w:p>
      <w:pPr>
        <w:ind w:right="80"/>
        <w:spacing w:after="0" w:line="272" w:lineRule="auto"/>
        <w:rPr>
          <w:sz w:val="20"/>
          <w:szCs w:val="20"/>
          <w:color w:val="auto"/>
        </w:rPr>
      </w:pPr>
      <w:r>
        <w:rPr>
          <w:rFonts w:ascii="Arial" w:cs="Arial" w:eastAsia="Arial" w:hAnsi="Arial"/>
          <w:sz w:val="18"/>
          <w:szCs w:val="18"/>
          <w:color w:val="auto"/>
        </w:rPr>
        <w:t>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68" w:lineRule="exact"/>
        <w:rPr>
          <w:sz w:val="20"/>
          <w:szCs w:val="20"/>
          <w:color w:val="auto"/>
        </w:rPr>
      </w:pPr>
    </w:p>
    <w:p>
      <w:pPr>
        <w:ind w:right="220" w:firstLine="864"/>
        <w:spacing w:after="0" w:line="249" w:lineRule="auto"/>
        <w:rPr>
          <w:sz w:val="20"/>
          <w:szCs w:val="20"/>
          <w:color w:val="auto"/>
        </w:rPr>
      </w:pPr>
      <w:r>
        <w:rPr>
          <w:rFonts w:ascii="Arial" w:cs="Arial" w:eastAsia="Arial" w:hAnsi="Arial"/>
          <w:sz w:val="20"/>
          <w:szCs w:val="20"/>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88"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11.17 No Third 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90" w:lineRule="exact"/>
        <w:rPr>
          <w:sz w:val="20"/>
          <w:szCs w:val="20"/>
          <w:color w:val="auto"/>
        </w:rPr>
      </w:pPr>
    </w:p>
    <w:p>
      <w:pPr>
        <w:ind w:right="680" w:firstLine="864"/>
        <w:spacing w:after="0" w:line="286" w:lineRule="auto"/>
        <w:rPr>
          <w:sz w:val="20"/>
          <w:szCs w:val="20"/>
          <w:color w:val="auto"/>
        </w:rPr>
      </w:pPr>
      <w:r>
        <w:rPr>
          <w:rFonts w:ascii="Arial" w:cs="Arial" w:eastAsia="Arial" w:hAnsi="Arial"/>
          <w:sz w:val="19"/>
          <w:szCs w:val="19"/>
          <w:color w:val="auto"/>
        </w:rPr>
        <w:t>11.18 Agency. Agent and each Lender hereby agree to the terms and conditions set forth on Addendum 3 attached hereto. Borrower acknowledges and agrees to the terms and conditions set forth on Addendum 3 attached hereto.</w:t>
      </w:r>
    </w:p>
    <w:p>
      <w:pPr>
        <w:spacing w:after="0" w:line="153" w:lineRule="exact"/>
        <w:rPr>
          <w:sz w:val="20"/>
          <w:szCs w:val="20"/>
          <w:color w:val="auto"/>
        </w:rPr>
      </w:pPr>
    </w:p>
    <w:p>
      <w:pPr>
        <w:ind w:right="100" w:firstLine="864"/>
        <w:spacing w:after="0" w:line="272" w:lineRule="auto"/>
        <w:rPr>
          <w:sz w:val="20"/>
          <w:szCs w:val="20"/>
          <w:color w:val="auto"/>
        </w:rPr>
      </w:pPr>
      <w:r>
        <w:rPr>
          <w:rFonts w:ascii="Arial" w:cs="Arial" w:eastAsia="Arial" w:hAnsi="Arial"/>
          <w:sz w:val="18"/>
          <w:szCs w:val="18"/>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website, separately or together, in written and oral presentations, advertising, promotional and marketing materials, client lists, public relations materials or on its website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68"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6"/>
          <w:szCs w:val="16"/>
          <w:color w:val="auto"/>
        </w:rPr>
        <w:t>Multiple Borrowers. Each Borrower hereby agrees to the terms and conditions set forth on Addendum 4 attached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hereto.</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(SIGNATURES TO FOLLOW)</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4" w:right="379" w:bottom="1440" w:gutter="0" w:footer="0" w:header="0"/>
        </w:sectPr>
      </w:pPr>
    </w:p>
    <w:bookmarkStart w:id="101" w:name="page102"/>
    <w:bookmarkEnd w:id="101"/>
    <w:p>
      <w:pPr>
        <w:ind w:firstLine="864"/>
        <w:spacing w:after="0" w:line="260" w:lineRule="auto"/>
        <w:rPr>
          <w:sz w:val="20"/>
          <w:szCs w:val="20"/>
          <w:color w:val="auto"/>
        </w:rPr>
      </w:pPr>
      <w:r>
        <w:rPr>
          <w:rFonts w:ascii="Arial" w:cs="Arial" w:eastAsia="Arial" w:hAnsi="Arial"/>
          <w:sz w:val="20"/>
          <w:szCs w:val="20"/>
          <w:color w:val="auto"/>
        </w:rPr>
        <w:t>IN WITNESS WHEREOF, Borrower, Agent and the Lenders have duly executed and delivered this Loan and Security Agreement as of the day and year first above written.</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BORROWER:</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SYNDAX PHARMACEUTICALS, INC.</w:t>
      </w:r>
    </w:p>
    <w:p>
      <w:pPr>
        <w:sectPr>
          <w:pgSz w:w="11900" w:h="16838" w:orient="portrait"/>
          <w:cols w:equalWidth="0" w:num="1">
            <w:col w:w="11180"/>
          </w:cols>
          <w:pgMar w:left="320" w:top="554" w:right="399" w:bottom="1440" w:gutter="0" w:footer="0" w:header="0"/>
        </w:sect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Signature: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Print Name:</w:t>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 Richard P. Shea</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Richard P. Shea</w:t>
      </w:r>
    </w:p>
    <w:p>
      <w:pPr>
        <w:ind w:left="260"/>
        <w:spacing w:after="0"/>
        <w:rPr>
          <w:sz w:val="20"/>
          <w:szCs w:val="20"/>
          <w:color w:val="auto"/>
        </w:rPr>
      </w:pPr>
      <w:r>
        <w:rPr>
          <w:rFonts w:ascii="Arial" w:cs="Arial" w:eastAsia="Arial" w:hAnsi="Arial"/>
          <w:sz w:val="18"/>
          <w:szCs w:val="18"/>
          <w:color w:val="auto"/>
        </w:rPr>
        <w:t>Chief Financial Officer &amp; Treasurer</w:t>
      </w:r>
    </w:p>
    <w:p>
      <w:pPr>
        <w:spacing w:after="0" w:line="222" w:lineRule="exact"/>
        <w:rPr>
          <w:sz w:val="20"/>
          <w:szCs w:val="20"/>
          <w:color w:val="auto"/>
        </w:rPr>
      </w:pPr>
    </w:p>
    <w:p>
      <w:pPr>
        <w:sectPr>
          <w:pgSz w:w="11900" w:h="16838" w:orient="portrait"/>
          <w:cols w:equalWidth="0" w:num="2">
            <w:col w:w="7020" w:space="500"/>
            <w:col w:w="3660"/>
          </w:cols>
          <w:pgMar w:left="320" w:top="55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Loan and Security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color w:val="auto"/>
        </w:rPr>
        <w:t>Accepted in Palo Alto, California:</w:t>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AGENT:</w:t>
      </w:r>
    </w:p>
    <w:p>
      <w:pPr>
        <w:spacing w:after="0" w:line="221" w:lineRule="exact"/>
        <w:rPr>
          <w:sz w:val="20"/>
          <w:szCs w:val="20"/>
          <w:color w:val="auto"/>
        </w:rPr>
      </w:pPr>
    </w:p>
    <w:p>
      <w:pPr>
        <w:jc w:val="right"/>
        <w:ind w:right="1699"/>
        <w:spacing w:after="0"/>
        <w:rPr>
          <w:sz w:val="20"/>
          <w:szCs w:val="20"/>
          <w:color w:val="auto"/>
        </w:rPr>
      </w:pPr>
      <w:r>
        <w:rPr>
          <w:rFonts w:ascii="Arial" w:cs="Arial" w:eastAsia="Arial" w:hAnsi="Arial"/>
          <w:sz w:val="20"/>
          <w:szCs w:val="20"/>
          <w:color w:val="auto"/>
        </w:rPr>
        <w:t>HERCULES CAPITAL, INC.</w:t>
      </w:r>
    </w:p>
    <w:p>
      <w:pPr>
        <w:spacing w:after="0" w:line="215" w:lineRule="exact"/>
        <w:rPr>
          <w:sz w:val="20"/>
          <w:szCs w:val="20"/>
          <w:color w:val="auto"/>
        </w:rPr>
      </w:pPr>
    </w:p>
    <w:tbl>
      <w:tblPr>
        <w:tblLayout w:type="fixed"/>
        <w:tblInd w:w="6060" w:type="dxa"/>
        <w:tblCellMar>
          <w:top w:w="0" w:type="dxa"/>
          <w:left w:w="0" w:type="dxa"/>
          <w:bottom w:w="0" w:type="dxa"/>
          <w:right w:w="0" w:type="dxa"/>
        </w:tblCellMar>
      </w:tblP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Signature:</w:t>
            </w:r>
          </w:p>
        </w:tc>
        <w:tc>
          <w:tcPr>
            <w:tcW w:w="2180" w:type="dxa"/>
            <w:vAlign w:val="bottom"/>
          </w:tcPr>
          <w:p>
            <w:pPr>
              <w:ind w:left="440"/>
              <w:spacing w:after="0"/>
              <w:rPr>
                <w:sz w:val="20"/>
                <w:szCs w:val="20"/>
                <w:color w:val="auto"/>
              </w:rPr>
            </w:pPr>
            <w:r>
              <w:rPr>
                <w:rFonts w:ascii="Arial" w:cs="Arial" w:eastAsia="Arial" w:hAnsi="Arial"/>
                <w:sz w:val="20"/>
                <w:szCs w:val="20"/>
                <w:color w:val="auto"/>
              </w:rPr>
              <w:t>/s/ Zhuo Huang</w:t>
            </w:r>
          </w:p>
        </w:tc>
      </w:tr>
      <w:tr>
        <w:trPr>
          <w:trHeight w:val="445"/>
        </w:trPr>
        <w:tc>
          <w:tcPr>
            <w:tcW w:w="1020" w:type="dxa"/>
            <w:vAlign w:val="bottom"/>
          </w:tcPr>
          <w:p>
            <w:pPr>
              <w:spacing w:after="0"/>
              <w:rPr>
                <w:sz w:val="20"/>
                <w:szCs w:val="20"/>
                <w:color w:val="auto"/>
              </w:rPr>
            </w:pPr>
            <w:r>
              <w:rPr>
                <w:rFonts w:ascii="Arial" w:cs="Arial" w:eastAsia="Arial" w:hAnsi="Arial"/>
                <w:sz w:val="20"/>
                <w:szCs w:val="20"/>
                <w:color w:val="auto"/>
                <w:w w:val="94"/>
              </w:rPr>
              <w:t>Print Name:</w:t>
            </w:r>
          </w:p>
        </w:tc>
        <w:tc>
          <w:tcPr>
            <w:tcW w:w="2180" w:type="dxa"/>
            <w:vAlign w:val="bottom"/>
          </w:tcPr>
          <w:p>
            <w:pPr>
              <w:ind w:left="580"/>
              <w:spacing w:after="0"/>
              <w:rPr>
                <w:sz w:val="20"/>
                <w:szCs w:val="20"/>
                <w:color w:val="auto"/>
              </w:rPr>
            </w:pPr>
            <w:r>
              <w:rPr>
                <w:rFonts w:ascii="Arial" w:cs="Arial" w:eastAsia="Arial" w:hAnsi="Arial"/>
                <w:sz w:val="20"/>
                <w:szCs w:val="20"/>
                <w:color w:val="auto"/>
              </w:rPr>
              <w:t>Zhuo Huang</w:t>
            </w:r>
          </w:p>
        </w:tc>
      </w:tr>
      <w:tr>
        <w:trPr>
          <w:trHeight w:val="445"/>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2180" w:type="dxa"/>
            <w:vAlign w:val="bottom"/>
          </w:tcPr>
          <w:p>
            <w:pPr>
              <w:ind w:left="40"/>
              <w:spacing w:after="0"/>
              <w:rPr>
                <w:sz w:val="20"/>
                <w:szCs w:val="20"/>
                <w:color w:val="auto"/>
              </w:rPr>
            </w:pPr>
            <w:r>
              <w:rPr>
                <w:rFonts w:ascii="Arial" w:cs="Arial" w:eastAsia="Arial" w:hAnsi="Arial"/>
                <w:sz w:val="20"/>
                <w:szCs w:val="20"/>
                <w:color w:val="auto"/>
                <w:w w:val="87"/>
              </w:rPr>
              <w:t>Associate General Counsel</w:t>
            </w:r>
          </w:p>
        </w:tc>
      </w:tr>
    </w:tbl>
    <w:p>
      <w:pPr>
        <w:spacing w:after="0" w:line="189"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LENDER:</w:t>
      </w:r>
    </w:p>
    <w:p>
      <w:pPr>
        <w:spacing w:after="0" w:line="221" w:lineRule="exact"/>
        <w:rPr>
          <w:sz w:val="20"/>
          <w:szCs w:val="20"/>
          <w:color w:val="auto"/>
        </w:rPr>
      </w:pPr>
    </w:p>
    <w:p>
      <w:pPr>
        <w:jc w:val="right"/>
        <w:ind w:right="1699"/>
        <w:spacing w:after="0"/>
        <w:rPr>
          <w:sz w:val="20"/>
          <w:szCs w:val="20"/>
          <w:color w:val="auto"/>
        </w:rPr>
      </w:pPr>
      <w:r>
        <w:rPr>
          <w:rFonts w:ascii="Arial" w:cs="Arial" w:eastAsia="Arial" w:hAnsi="Arial"/>
          <w:sz w:val="20"/>
          <w:szCs w:val="20"/>
          <w:color w:val="auto"/>
        </w:rPr>
        <w:t>HERCULES CAPITAL, INC.</w:t>
      </w:r>
    </w:p>
    <w:p>
      <w:pPr>
        <w:spacing w:after="0" w:line="215" w:lineRule="exact"/>
        <w:rPr>
          <w:sz w:val="20"/>
          <w:szCs w:val="20"/>
          <w:color w:val="auto"/>
        </w:rPr>
      </w:pPr>
    </w:p>
    <w:tbl>
      <w:tblPr>
        <w:tblLayout w:type="fixed"/>
        <w:tblInd w:w="6060" w:type="dxa"/>
        <w:tblCellMar>
          <w:top w:w="0" w:type="dxa"/>
          <w:left w:w="0" w:type="dxa"/>
          <w:bottom w:w="0" w:type="dxa"/>
          <w:right w:w="0" w:type="dxa"/>
        </w:tblCellMar>
      </w:tblPr>
      <w:tr>
        <w:trPr>
          <w:trHeight w:val="250"/>
        </w:trPr>
        <w:tc>
          <w:tcPr>
            <w:tcW w:w="1020" w:type="dxa"/>
            <w:vAlign w:val="bottom"/>
          </w:tcPr>
          <w:p>
            <w:pPr>
              <w:spacing w:after="0"/>
              <w:rPr>
                <w:sz w:val="20"/>
                <w:szCs w:val="20"/>
                <w:color w:val="auto"/>
              </w:rPr>
            </w:pPr>
            <w:r>
              <w:rPr>
                <w:rFonts w:ascii="Arial" w:cs="Arial" w:eastAsia="Arial" w:hAnsi="Arial"/>
                <w:sz w:val="20"/>
                <w:szCs w:val="20"/>
                <w:color w:val="auto"/>
              </w:rPr>
              <w:t>Signature:</w:t>
            </w:r>
          </w:p>
        </w:tc>
        <w:tc>
          <w:tcPr>
            <w:tcW w:w="2180" w:type="dxa"/>
            <w:vAlign w:val="bottom"/>
          </w:tcPr>
          <w:p>
            <w:pPr>
              <w:ind w:left="440"/>
              <w:spacing w:after="0"/>
              <w:rPr>
                <w:sz w:val="20"/>
                <w:szCs w:val="20"/>
                <w:color w:val="auto"/>
              </w:rPr>
            </w:pPr>
            <w:r>
              <w:rPr>
                <w:rFonts w:ascii="Arial" w:cs="Arial" w:eastAsia="Arial" w:hAnsi="Arial"/>
                <w:sz w:val="20"/>
                <w:szCs w:val="20"/>
                <w:color w:val="auto"/>
              </w:rPr>
              <w:t>/s/ Zhuo Huang</w:t>
            </w:r>
          </w:p>
        </w:tc>
      </w:tr>
      <w:tr>
        <w:trPr>
          <w:trHeight w:val="445"/>
        </w:trPr>
        <w:tc>
          <w:tcPr>
            <w:tcW w:w="1020" w:type="dxa"/>
            <w:vAlign w:val="bottom"/>
          </w:tcPr>
          <w:p>
            <w:pPr>
              <w:spacing w:after="0"/>
              <w:rPr>
                <w:sz w:val="20"/>
                <w:szCs w:val="20"/>
                <w:color w:val="auto"/>
              </w:rPr>
            </w:pPr>
            <w:r>
              <w:rPr>
                <w:rFonts w:ascii="Arial" w:cs="Arial" w:eastAsia="Arial" w:hAnsi="Arial"/>
                <w:sz w:val="20"/>
                <w:szCs w:val="20"/>
                <w:color w:val="auto"/>
                <w:w w:val="94"/>
              </w:rPr>
              <w:t>Print Name:</w:t>
            </w:r>
          </w:p>
        </w:tc>
        <w:tc>
          <w:tcPr>
            <w:tcW w:w="2180" w:type="dxa"/>
            <w:vAlign w:val="bottom"/>
          </w:tcPr>
          <w:p>
            <w:pPr>
              <w:ind w:left="580"/>
              <w:spacing w:after="0"/>
              <w:rPr>
                <w:sz w:val="20"/>
                <w:szCs w:val="20"/>
                <w:color w:val="auto"/>
              </w:rPr>
            </w:pPr>
            <w:r>
              <w:rPr>
                <w:rFonts w:ascii="Arial" w:cs="Arial" w:eastAsia="Arial" w:hAnsi="Arial"/>
                <w:sz w:val="20"/>
                <w:szCs w:val="20"/>
                <w:color w:val="auto"/>
              </w:rPr>
              <w:t>Zhuo Huang</w:t>
            </w:r>
          </w:p>
        </w:tc>
      </w:tr>
      <w:tr>
        <w:trPr>
          <w:trHeight w:val="445"/>
        </w:trPr>
        <w:tc>
          <w:tcPr>
            <w:tcW w:w="1020" w:type="dxa"/>
            <w:vAlign w:val="bottom"/>
          </w:tcPr>
          <w:p>
            <w:pPr>
              <w:spacing w:after="0"/>
              <w:rPr>
                <w:sz w:val="20"/>
                <w:szCs w:val="20"/>
                <w:color w:val="auto"/>
              </w:rPr>
            </w:pPr>
            <w:r>
              <w:rPr>
                <w:rFonts w:ascii="Arial" w:cs="Arial" w:eastAsia="Arial" w:hAnsi="Arial"/>
                <w:sz w:val="20"/>
                <w:szCs w:val="20"/>
                <w:color w:val="auto"/>
              </w:rPr>
              <w:t>Title:</w:t>
            </w:r>
          </w:p>
        </w:tc>
        <w:tc>
          <w:tcPr>
            <w:tcW w:w="2180" w:type="dxa"/>
            <w:vAlign w:val="bottom"/>
          </w:tcPr>
          <w:p>
            <w:pPr>
              <w:ind w:left="40"/>
              <w:spacing w:after="0"/>
              <w:rPr>
                <w:sz w:val="20"/>
                <w:szCs w:val="20"/>
                <w:color w:val="auto"/>
              </w:rPr>
            </w:pPr>
            <w:r>
              <w:rPr>
                <w:rFonts w:ascii="Arial" w:cs="Arial" w:eastAsia="Arial" w:hAnsi="Arial"/>
                <w:sz w:val="20"/>
                <w:szCs w:val="20"/>
                <w:color w:val="auto"/>
                <w:w w:val="87"/>
              </w:rPr>
              <w:t>Associate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Loan and Security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54" w:right="1440"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Table of Addenda, Exhibits and Schedules</w:t>
      </w:r>
    </w:p>
    <w:p>
      <w:pPr>
        <w:sectPr>
          <w:pgSz w:w="11900" w:h="16838" w:orient="portrait"/>
          <w:cols w:equalWidth="0" w:num="1">
            <w:col w:w="11120"/>
          </w:cols>
          <w:pgMar w:left="320" w:top="554" w:right="45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Addendum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Addendum 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Addendum 3:</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Addendum 4:</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Taxes; Increased Costs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[Reserved]</w:t>
      </w:r>
    </w:p>
    <w:p>
      <w:pPr>
        <w:spacing w:after="0"/>
        <w:rPr>
          <w:sz w:val="20"/>
          <w:szCs w:val="20"/>
          <w:color w:val="auto"/>
        </w:rPr>
      </w:pPr>
      <w:r>
        <w:rPr>
          <w:rFonts w:ascii="Arial" w:cs="Arial" w:eastAsia="Arial" w:hAnsi="Arial"/>
          <w:sz w:val="18"/>
          <w:szCs w:val="18"/>
          <w:color w:val="auto"/>
        </w:rPr>
        <w:t>Agent and Lender Terms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Multiple Borrower Terms</w:t>
      </w:r>
    </w:p>
    <w:p>
      <w:pPr>
        <w:spacing w:after="0" w:line="200" w:lineRule="exact"/>
        <w:rPr>
          <w:sz w:val="20"/>
          <w:szCs w:val="20"/>
          <w:color w:val="auto"/>
        </w:rPr>
      </w:pPr>
    </w:p>
    <w:p>
      <w:pPr>
        <w:sectPr>
          <w:pgSz w:w="11900" w:h="16838" w:orient="portrait"/>
          <w:cols w:equalWidth="0" w:num="2">
            <w:col w:w="1080" w:space="640"/>
            <w:col w:w="9400"/>
          </w:cols>
          <w:pgMar w:left="320" w:top="554" w:right="459" w:bottom="1440" w:gutter="0" w:footer="0" w:header="0"/>
          <w:type w:val="continuous"/>
        </w:sectPr>
      </w:pPr>
    </w:p>
    <w:p>
      <w:pPr>
        <w:spacing w:after="0" w:line="35"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Advance Request</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Attachment to Advance Request</w:t>
      </w:r>
    </w:p>
    <w:p>
      <w:pPr>
        <w:spacing w:after="0"/>
        <w:tabs>
          <w:tab w:leader="none" w:pos="144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Name, Locations, and Other Information for Borrower</w:t>
      </w:r>
    </w:p>
    <w:p>
      <w:pPr>
        <w:spacing w:after="0"/>
        <w:tabs>
          <w:tab w:leader="none" w:pos="14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Borrower’s Patents, Trademarks, Copyrights and Licenses</w:t>
      </w:r>
    </w:p>
    <w:p>
      <w:pPr>
        <w:spacing w:after="0"/>
        <w:tabs>
          <w:tab w:leader="none" w:pos="146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6"/>
          <w:szCs w:val="16"/>
          <w:color w:val="auto"/>
        </w:rPr>
        <w:t>Borrower’s Deposit Accounts and Investment Accounts</w:t>
      </w:r>
    </w:p>
    <w:p>
      <w:pPr>
        <w:spacing w:after="0"/>
        <w:tabs>
          <w:tab w:leader="none" w:pos="144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Compliance Certificate</w:t>
      </w:r>
    </w:p>
    <w:p>
      <w:pPr>
        <w:spacing w:after="0"/>
        <w:tabs>
          <w:tab w:leader="none" w:pos="142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6"/>
          <w:szCs w:val="16"/>
          <w:color w:val="auto"/>
        </w:rPr>
        <w:t>Joinder Agreement</w:t>
      </w:r>
    </w:p>
    <w:p>
      <w:pPr>
        <w:spacing w:after="0"/>
        <w:tabs>
          <w:tab w:leader="none" w:pos="146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8"/>
          <w:szCs w:val="18"/>
          <w:color w:val="auto"/>
        </w:rPr>
        <w:t>ACH Debit Authorization Agreement</w:t>
      </w:r>
    </w:p>
    <w:p>
      <w:pPr>
        <w:spacing w:after="0"/>
        <w:tabs>
          <w:tab w:leader="none" w:pos="1720" w:val="left"/>
        </w:tabs>
        <w:rPr>
          <w:sz w:val="20"/>
          <w:szCs w:val="20"/>
          <w:color w:val="auto"/>
        </w:rPr>
      </w:pPr>
      <w:r>
        <w:rPr>
          <w:rFonts w:ascii="Arial" w:cs="Arial" w:eastAsia="Arial" w:hAnsi="Arial"/>
          <w:sz w:val="20"/>
          <w:szCs w:val="20"/>
          <w:color w:val="auto"/>
        </w:rPr>
        <w:t>Exhibit H-1:</w:t>
      </w:r>
      <w:r>
        <w:rPr>
          <w:sz w:val="20"/>
          <w:szCs w:val="20"/>
          <w:color w:val="auto"/>
        </w:rPr>
        <w:tab/>
      </w:r>
      <w:r>
        <w:rPr>
          <w:rFonts w:ascii="Arial" w:cs="Arial" w:eastAsia="Arial" w:hAnsi="Arial"/>
          <w:sz w:val="16"/>
          <w:szCs w:val="16"/>
          <w:color w:val="auto"/>
        </w:rPr>
        <w:t>Form of U.S. Tax Compliance Certificate (For Foreign Lenders That Are Not Partnerships For U.S. Federal Income Tax</w:t>
      </w:r>
    </w:p>
    <w:p>
      <w:pPr>
        <w:ind w:left="1740"/>
        <w:spacing w:after="0"/>
        <w:rPr>
          <w:sz w:val="20"/>
          <w:szCs w:val="20"/>
          <w:color w:val="auto"/>
        </w:rPr>
      </w:pPr>
      <w:r>
        <w:rPr>
          <w:rFonts w:ascii="Arial" w:cs="Arial" w:eastAsia="Arial" w:hAnsi="Arial"/>
          <w:sz w:val="20"/>
          <w:szCs w:val="20"/>
          <w:color w:val="auto"/>
        </w:rPr>
        <w:t>Purposes)</w:t>
      </w:r>
    </w:p>
    <w:p>
      <w:pPr>
        <w:spacing w:after="0"/>
        <w:tabs>
          <w:tab w:leader="none" w:pos="1720" w:val="left"/>
        </w:tabs>
        <w:rPr>
          <w:sz w:val="20"/>
          <w:szCs w:val="20"/>
          <w:color w:val="auto"/>
        </w:rPr>
      </w:pPr>
      <w:r>
        <w:rPr>
          <w:rFonts w:ascii="Arial" w:cs="Arial" w:eastAsia="Arial" w:hAnsi="Arial"/>
          <w:sz w:val="20"/>
          <w:szCs w:val="20"/>
          <w:color w:val="auto"/>
        </w:rPr>
        <w:t>Exhibit H-2:</w:t>
      </w:r>
      <w:r>
        <w:rPr>
          <w:sz w:val="20"/>
          <w:szCs w:val="20"/>
          <w:color w:val="auto"/>
        </w:rPr>
        <w:tab/>
      </w:r>
      <w:r>
        <w:rPr>
          <w:rFonts w:ascii="Arial" w:cs="Arial" w:eastAsia="Arial" w:hAnsi="Arial"/>
          <w:sz w:val="16"/>
          <w:szCs w:val="16"/>
          <w:color w:val="auto"/>
        </w:rPr>
        <w:t>Form of U.S. Tax Compliance Certificate (For Foreign Participants That Are Not Partnerships For U.S. Federal Income</w:t>
      </w:r>
    </w:p>
    <w:p>
      <w:pPr>
        <w:ind w:left="1740"/>
        <w:spacing w:after="0"/>
        <w:rPr>
          <w:sz w:val="20"/>
          <w:szCs w:val="20"/>
          <w:color w:val="auto"/>
        </w:rPr>
      </w:pPr>
      <w:r>
        <w:rPr>
          <w:rFonts w:ascii="Arial" w:cs="Arial" w:eastAsia="Arial" w:hAnsi="Arial"/>
          <w:sz w:val="20"/>
          <w:szCs w:val="20"/>
          <w:color w:val="auto"/>
        </w:rPr>
        <w:t>Tax Purposes)</w:t>
      </w:r>
    </w:p>
    <w:p>
      <w:pPr>
        <w:spacing w:after="0"/>
        <w:tabs>
          <w:tab w:leader="none" w:pos="1720" w:val="left"/>
        </w:tabs>
        <w:rPr>
          <w:sz w:val="20"/>
          <w:szCs w:val="20"/>
          <w:color w:val="auto"/>
        </w:rPr>
      </w:pPr>
      <w:r>
        <w:rPr>
          <w:rFonts w:ascii="Arial" w:cs="Arial" w:eastAsia="Arial" w:hAnsi="Arial"/>
          <w:sz w:val="20"/>
          <w:szCs w:val="20"/>
          <w:color w:val="auto"/>
        </w:rPr>
        <w:t>Exhibit H-3:</w:t>
      </w:r>
      <w:r>
        <w:rPr>
          <w:sz w:val="20"/>
          <w:szCs w:val="20"/>
          <w:color w:val="auto"/>
        </w:rPr>
        <w:tab/>
      </w:r>
      <w:r>
        <w:rPr>
          <w:rFonts w:ascii="Arial" w:cs="Arial" w:eastAsia="Arial" w:hAnsi="Arial"/>
          <w:sz w:val="16"/>
          <w:szCs w:val="16"/>
          <w:color w:val="auto"/>
        </w:rPr>
        <w:t>Form of U.S. Tax Compliance Certificate (For Foreign Participants That Are Partnerships For U.S. Federal Income Tax</w:t>
      </w:r>
    </w:p>
    <w:p>
      <w:pPr>
        <w:ind w:left="1740"/>
        <w:spacing w:after="0"/>
        <w:rPr>
          <w:sz w:val="20"/>
          <w:szCs w:val="20"/>
          <w:color w:val="auto"/>
        </w:rPr>
      </w:pPr>
      <w:r>
        <w:rPr>
          <w:rFonts w:ascii="Arial" w:cs="Arial" w:eastAsia="Arial" w:hAnsi="Arial"/>
          <w:sz w:val="20"/>
          <w:szCs w:val="20"/>
          <w:color w:val="auto"/>
        </w:rPr>
        <w:t>Purposes)</w:t>
      </w:r>
    </w:p>
    <w:p>
      <w:pPr>
        <w:spacing w:after="0"/>
        <w:tabs>
          <w:tab w:leader="none" w:pos="1720" w:val="left"/>
        </w:tabs>
        <w:rPr>
          <w:sz w:val="20"/>
          <w:szCs w:val="20"/>
          <w:color w:val="auto"/>
        </w:rPr>
      </w:pPr>
      <w:r>
        <w:rPr>
          <w:rFonts w:ascii="Arial" w:cs="Arial" w:eastAsia="Arial" w:hAnsi="Arial"/>
          <w:sz w:val="20"/>
          <w:szCs w:val="20"/>
          <w:color w:val="auto"/>
        </w:rPr>
        <w:t>Exhibit H-4:</w:t>
      </w:r>
      <w:r>
        <w:rPr>
          <w:sz w:val="20"/>
          <w:szCs w:val="20"/>
          <w:color w:val="auto"/>
        </w:rPr>
        <w:tab/>
      </w:r>
      <w:r>
        <w:rPr>
          <w:rFonts w:ascii="Arial" w:cs="Arial" w:eastAsia="Arial" w:hAnsi="Arial"/>
          <w:sz w:val="16"/>
          <w:szCs w:val="16"/>
          <w:color w:val="auto"/>
        </w:rPr>
        <w:t>Form of U.S. Tax Compliance Certificate (For Foreign Lenders That Are Partnerships For U.S. Federal Income Tax</w:t>
      </w:r>
    </w:p>
    <w:p>
      <w:pPr>
        <w:ind w:left="1740"/>
        <w:spacing w:after="0"/>
        <w:rPr>
          <w:sz w:val="20"/>
          <w:szCs w:val="20"/>
          <w:color w:val="auto"/>
        </w:rPr>
      </w:pPr>
      <w:r>
        <w:rPr>
          <w:rFonts w:ascii="Arial" w:cs="Arial" w:eastAsia="Arial" w:hAnsi="Arial"/>
          <w:sz w:val="20"/>
          <w:szCs w:val="20"/>
          <w:color w:val="auto"/>
        </w:rPr>
        <w:t>Purposes)</w:t>
      </w:r>
    </w:p>
    <w:p>
      <w:pPr>
        <w:sectPr>
          <w:pgSz w:w="11900" w:h="16838" w:orient="portrait"/>
          <w:cols w:equalWidth="0" w:num="1">
            <w:col w:w="11120"/>
          </w:cols>
          <w:pgMar w:left="320" w:top="554" w:right="459" w:bottom="1440" w:gutter="0" w:footer="0" w:header="0"/>
          <w:type w:val="continuous"/>
        </w:sectPr>
      </w:pPr>
    </w:p>
    <w:p>
      <w:pPr>
        <w:spacing w:after="0" w:line="212"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Schedule 1.1 Schedule 1 Schedule 1A Schedule 1B Schedule 1C Schedule 5.3 Schedule 5.8 Schedule 5.9 Schedule 5.10 Schedule 5.11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Commitments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Subsidiaries</w:t>
      </w:r>
    </w:p>
    <w:p>
      <w:pPr>
        <w:ind w:left="140"/>
        <w:spacing w:after="0"/>
        <w:rPr>
          <w:sz w:val="20"/>
          <w:szCs w:val="20"/>
          <w:color w:val="auto"/>
        </w:rPr>
      </w:pPr>
      <w:r>
        <w:rPr>
          <w:rFonts w:ascii="Arial" w:cs="Arial" w:eastAsia="Arial" w:hAnsi="Arial"/>
          <w:sz w:val="16"/>
          <w:szCs w:val="16"/>
          <w:color w:val="auto"/>
        </w:rPr>
        <w:t>Existing Permitted Indebtedness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Existing Permitted Investments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Existing Permitted Liens</w:t>
      </w:r>
    </w:p>
    <w:p>
      <w:pPr>
        <w:ind w:left="140"/>
        <w:spacing w:after="0"/>
        <w:rPr>
          <w:sz w:val="20"/>
          <w:szCs w:val="20"/>
          <w:color w:val="auto"/>
        </w:rPr>
      </w:pPr>
      <w:r>
        <w:rPr>
          <w:rFonts w:ascii="Arial" w:cs="Arial" w:eastAsia="Arial" w:hAnsi="Arial"/>
          <w:sz w:val="20"/>
          <w:szCs w:val="20"/>
          <w:color w:val="auto"/>
        </w:rPr>
        <w:t>Consents, Etc.</w:t>
      </w:r>
    </w:p>
    <w:p>
      <w:pPr>
        <w:ind w:left="140"/>
        <w:spacing w:after="0"/>
        <w:rPr>
          <w:sz w:val="20"/>
          <w:szCs w:val="20"/>
          <w:color w:val="auto"/>
        </w:rPr>
      </w:pPr>
      <w:r>
        <w:rPr>
          <w:rFonts w:ascii="Arial" w:cs="Arial" w:eastAsia="Arial" w:hAnsi="Arial"/>
          <w:sz w:val="20"/>
          <w:szCs w:val="20"/>
          <w:color w:val="auto"/>
        </w:rPr>
        <w:t>Tax Matters</w:t>
      </w:r>
    </w:p>
    <w:p>
      <w:pPr>
        <w:ind w:left="140"/>
        <w:spacing w:after="0"/>
        <w:rPr>
          <w:sz w:val="20"/>
          <w:szCs w:val="20"/>
          <w:color w:val="auto"/>
        </w:rPr>
      </w:pPr>
      <w:r>
        <w:rPr>
          <w:rFonts w:ascii="Arial" w:cs="Arial" w:eastAsia="Arial" w:hAnsi="Arial"/>
          <w:sz w:val="20"/>
          <w:szCs w:val="20"/>
          <w:color w:val="auto"/>
        </w:rPr>
        <w:t>Intellectual Property Claims</w:t>
      </w:r>
    </w:p>
    <w:p>
      <w:pPr>
        <w:ind w:left="240"/>
        <w:spacing w:after="0"/>
        <w:rPr>
          <w:sz w:val="20"/>
          <w:szCs w:val="20"/>
          <w:color w:val="auto"/>
        </w:rPr>
      </w:pPr>
      <w:r>
        <w:rPr>
          <w:rFonts w:ascii="Arial" w:cs="Arial" w:eastAsia="Arial" w:hAnsi="Arial"/>
          <w:sz w:val="20"/>
          <w:szCs w:val="20"/>
          <w:color w:val="auto"/>
        </w:rPr>
        <w:t>Intellectual Property</w:t>
      </w:r>
    </w:p>
    <w:p>
      <w:pPr>
        <w:ind w:left="240"/>
        <w:spacing w:after="0"/>
        <w:rPr>
          <w:sz w:val="20"/>
          <w:szCs w:val="20"/>
          <w:color w:val="auto"/>
        </w:rPr>
      </w:pPr>
      <w:r>
        <w:rPr>
          <w:rFonts w:ascii="Arial" w:cs="Arial" w:eastAsia="Arial" w:hAnsi="Arial"/>
          <w:sz w:val="20"/>
          <w:szCs w:val="20"/>
          <w:color w:val="auto"/>
        </w:rPr>
        <w:t>Borrower Products</w:t>
      </w:r>
    </w:p>
    <w:p>
      <w:pPr>
        <w:spacing w:after="0" w:line="252" w:lineRule="exact"/>
        <w:rPr>
          <w:sz w:val="20"/>
          <w:szCs w:val="20"/>
          <w:color w:val="auto"/>
        </w:rPr>
      </w:pPr>
    </w:p>
    <w:p>
      <w:pPr>
        <w:sectPr>
          <w:pgSz w:w="11900" w:h="16838" w:orient="portrait"/>
          <w:cols w:equalWidth="0" w:num="2">
            <w:col w:w="1120" w:space="400"/>
            <w:col w:w="9600"/>
          </w:cols>
          <w:pgMar w:left="320" w:top="554" w:right="459" w:bottom="1440" w:gutter="0" w:footer="0" w:header="0"/>
          <w:type w:val="continuous"/>
        </w:sectPr>
      </w:pP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1120"/>
          </w:cols>
          <w:pgMar w:left="320" w:top="554" w:right="45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20"/>
          <w:szCs w:val="20"/>
          <w:b w:val="1"/>
          <w:bCs w:val="1"/>
          <w:color w:val="auto"/>
        </w:rPr>
        <w:t>Exhibit 10.3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SYNDAX PHARMACEUTICALS, INC.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AMENDED &amp; RESTATED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Effective: February 12, 2020</w:t>
      </w:r>
    </w:p>
    <w:p>
      <w:pPr>
        <w:spacing w:after="0" w:line="248" w:lineRule="exact"/>
        <w:rPr>
          <w:sz w:val="20"/>
          <w:szCs w:val="20"/>
          <w:color w:val="auto"/>
        </w:rPr>
      </w:pPr>
    </w:p>
    <w:p>
      <w:pPr>
        <w:jc w:val="both"/>
        <w:ind w:firstLine="589"/>
        <w:spacing w:after="0" w:line="290"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who is not also serving as an employee of Syndax 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any of its subsidiaries will receive the compensation described in this Amended and Restated Non-Employee Director Compensation Policy for his or her Board service. This policy may be amended at any time in the sole discretion of the Board.</w:t>
      </w:r>
    </w:p>
    <w:p>
      <w:pPr>
        <w:spacing w:after="0" w:line="18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8"/>
          <w:szCs w:val="18"/>
          <w:color w:val="auto"/>
        </w:rPr>
        <w:t>Each non-employee director serving on the Board of the Company will receive an annual base cash fee for his or her services of $40,000. Each non-employee director other than the non-executive chairperson of the Board (the “</w:t>
      </w:r>
      <w:r>
        <w:rPr>
          <w:rFonts w:ascii="Arial" w:cs="Arial" w:eastAsia="Arial" w:hAnsi="Arial"/>
          <w:sz w:val="18"/>
          <w:szCs w:val="18"/>
          <w:b w:val="1"/>
          <w:bCs w:val="1"/>
          <w:i w:val="1"/>
          <w:iCs w:val="1"/>
          <w:color w:val="auto"/>
        </w:rPr>
        <w:t>Chair</w:t>
      </w:r>
      <w:r>
        <w:rPr>
          <w:rFonts w:ascii="Arial" w:cs="Arial" w:eastAsia="Arial" w:hAnsi="Arial"/>
          <w:sz w:val="18"/>
          <w:szCs w:val="18"/>
          <w:color w:val="auto"/>
        </w:rPr>
        <w:t>”) shall also receive an annual award of options to purchase 24,000 shares and the Chair shall also receive an annual award of options to purchase 44,000 shares (each as adjusted for stock splits, stock dividends, recapitalization and similar events) of the Company’s common stock on the same date that the Board awards annual stock option grants to the Company’s executive officers (each an “</w:t>
      </w:r>
      <w:r>
        <w:rPr>
          <w:rFonts w:ascii="Arial" w:cs="Arial" w:eastAsia="Arial" w:hAnsi="Arial"/>
          <w:sz w:val="18"/>
          <w:szCs w:val="18"/>
          <w:b w:val="1"/>
          <w:bCs w:val="1"/>
          <w:i w:val="1"/>
          <w:iCs w:val="1"/>
          <w:color w:val="auto"/>
        </w:rPr>
        <w:t>Annual Option Award</w:t>
      </w:r>
      <w:r>
        <w:rPr>
          <w:rFonts w:ascii="Arial" w:cs="Arial" w:eastAsia="Arial" w:hAnsi="Arial"/>
          <w:sz w:val="18"/>
          <w:szCs w:val="18"/>
          <w:color w:val="auto"/>
        </w:rPr>
        <w:t>”). Each Annual Option Award will vest on the one-year anniversary of the date of grant, subject to the director’s continued service to the Company.</w:t>
      </w:r>
    </w:p>
    <w:p>
      <w:pPr>
        <w:spacing w:after="0" w:line="195"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9"/>
          <w:szCs w:val="19"/>
          <w:color w:val="auto"/>
        </w:rPr>
        <w:t>Newly appointed non-employee directors will receive at the time of his or her appointment to the Board, a one-time initial award of options to purchase 35,000 shares (as adjusted for stock splits, stock dividends, recapitalization and similar events) of the Company’s common stock (the “</w:t>
      </w:r>
      <w:r>
        <w:rPr>
          <w:rFonts w:ascii="Arial" w:cs="Arial" w:eastAsia="Arial" w:hAnsi="Arial"/>
          <w:sz w:val="19"/>
          <w:szCs w:val="19"/>
          <w:b w:val="1"/>
          <w:bCs w:val="1"/>
          <w:i w:val="1"/>
          <w:iCs w:val="1"/>
          <w:color w:val="auto"/>
        </w:rPr>
        <w:t>New Director Award</w:t>
      </w:r>
      <w:r>
        <w:rPr>
          <w:rFonts w:ascii="Arial" w:cs="Arial" w:eastAsia="Arial" w:hAnsi="Arial"/>
          <w:sz w:val="19"/>
          <w:szCs w:val="19"/>
          <w:color w:val="auto"/>
        </w:rPr>
        <w:t>”). Each New Director Award will vest monthly over a three-year period.</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Chair will also receive an annual cash retainer of $70,000 for his or her service in such role.</w:t>
      </w:r>
    </w:p>
    <w:p>
      <w:pPr>
        <w:spacing w:after="0" w:line="242" w:lineRule="exact"/>
        <w:rPr>
          <w:sz w:val="20"/>
          <w:szCs w:val="20"/>
          <w:color w:val="auto"/>
        </w:rPr>
      </w:pPr>
    </w:p>
    <w:p>
      <w:pPr>
        <w:jc w:val="both"/>
        <w:ind w:firstLine="589"/>
        <w:spacing w:after="0" w:line="260" w:lineRule="auto"/>
        <w:rPr>
          <w:sz w:val="20"/>
          <w:szCs w:val="20"/>
          <w:color w:val="auto"/>
        </w:rPr>
      </w:pPr>
      <w:r>
        <w:rPr>
          <w:rFonts w:ascii="Arial" w:cs="Arial" w:eastAsia="Arial" w:hAnsi="Arial"/>
          <w:sz w:val="20"/>
          <w:szCs w:val="20"/>
          <w:color w:val="auto"/>
        </w:rPr>
        <w:t>Each non-employee director, other than the chairperson of such committee, who serves on the following committees will receive an annual cash retainer, for each committee on which he or she serves, as listed below:</w:t>
      </w:r>
    </w:p>
    <w:p>
      <w:pPr>
        <w:spacing w:after="0" w:line="203" w:lineRule="exact"/>
        <w:rPr>
          <w:sz w:val="20"/>
          <w:szCs w:val="20"/>
          <w:color w:val="auto"/>
        </w:rPr>
      </w:pPr>
    </w:p>
    <w:p>
      <w:pPr>
        <w:ind w:left="1320" w:hanging="724"/>
        <w:spacing w:after="0"/>
        <w:tabs>
          <w:tab w:leader="none" w:pos="1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Audit committee – $10,000</w:t>
      </w:r>
    </w:p>
    <w:p>
      <w:pPr>
        <w:spacing w:after="0" w:line="15" w:lineRule="exact"/>
        <w:rPr>
          <w:rFonts w:ascii="Arial" w:cs="Arial" w:eastAsia="Arial" w:hAnsi="Arial"/>
          <w:sz w:val="20"/>
          <w:szCs w:val="20"/>
          <w:color w:val="auto"/>
        </w:rPr>
      </w:pPr>
    </w:p>
    <w:p>
      <w:pPr>
        <w:ind w:left="1320" w:hanging="724"/>
        <w:spacing w:after="0"/>
        <w:tabs>
          <w:tab w:leader="none" w:pos="1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Compensation committee – $7,500</w:t>
      </w:r>
    </w:p>
    <w:p>
      <w:pPr>
        <w:ind w:left="1320" w:hanging="724"/>
        <w:spacing w:after="0"/>
        <w:tabs>
          <w:tab w:leader="none" w:pos="13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Nominating and corporate governance committee – $5,000</w:t>
      </w:r>
    </w:p>
    <w:p>
      <w:pPr>
        <w:spacing w:after="0" w:line="226" w:lineRule="exact"/>
        <w:rPr>
          <w:sz w:val="20"/>
          <w:szCs w:val="20"/>
          <w:color w:val="auto"/>
        </w:rPr>
      </w:pPr>
    </w:p>
    <w:p>
      <w:pPr>
        <w:ind w:right="20" w:firstLine="589"/>
        <w:spacing w:after="0" w:line="260" w:lineRule="auto"/>
        <w:rPr>
          <w:sz w:val="20"/>
          <w:szCs w:val="20"/>
          <w:color w:val="auto"/>
        </w:rPr>
      </w:pPr>
      <w:r>
        <w:rPr>
          <w:rFonts w:ascii="Arial" w:cs="Arial" w:eastAsia="Arial" w:hAnsi="Arial"/>
          <w:sz w:val="20"/>
          <w:szCs w:val="20"/>
          <w:color w:val="auto"/>
        </w:rPr>
        <w:t>Each chairperson of the audit, compensation, nominating and corporate governance and science and technology committees will receive an additional annual cash retainer as follows:</w:t>
      </w:r>
    </w:p>
    <w:p>
      <w:pPr>
        <w:spacing w:after="0" w:line="203" w:lineRule="exact"/>
        <w:rPr>
          <w:sz w:val="20"/>
          <w:szCs w:val="20"/>
          <w:color w:val="auto"/>
        </w:rPr>
      </w:pPr>
    </w:p>
    <w:p>
      <w:pPr>
        <w:ind w:left="1320" w:hanging="724"/>
        <w:spacing w:after="0"/>
        <w:tabs>
          <w:tab w:leader="none" w:pos="13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Audit committee – $20,000</w:t>
      </w:r>
    </w:p>
    <w:p>
      <w:pPr>
        <w:spacing w:after="0" w:line="15" w:lineRule="exact"/>
        <w:rPr>
          <w:rFonts w:ascii="Arial" w:cs="Arial" w:eastAsia="Arial" w:hAnsi="Arial"/>
          <w:sz w:val="20"/>
          <w:szCs w:val="20"/>
          <w:color w:val="auto"/>
        </w:rPr>
      </w:pPr>
    </w:p>
    <w:p>
      <w:pPr>
        <w:ind w:left="1320" w:hanging="724"/>
        <w:spacing w:after="0"/>
        <w:tabs>
          <w:tab w:leader="none" w:pos="13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Compensation committee – $15,000</w:t>
      </w:r>
    </w:p>
    <w:p>
      <w:pPr>
        <w:ind w:left="1320" w:hanging="724"/>
        <w:spacing w:after="0"/>
        <w:tabs>
          <w:tab w:leader="none" w:pos="13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Nominating and corporate governance committee – $10,000</w:t>
      </w:r>
    </w:p>
    <w:p>
      <w:pPr>
        <w:spacing w:after="0" w:line="226"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Company will also reimburse each of the directors for his or her travel expenses incurred in connection with his or her attendance at Board and committee meetings. All cash retainers will be paid in equal quarterly installments.</w:t>
      </w:r>
    </w:p>
    <w:p>
      <w:pPr>
        <w:sectPr>
          <w:pgSz w:w="11900" w:h="16838" w:orient="portrait"/>
          <w:cols w:equalWidth="0" w:num="1">
            <w:col w:w="11240"/>
          </w:cols>
          <w:pgMar w:left="320" w:top="494" w:right="33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20"/>
          <w:szCs w:val="20"/>
          <w:b w:val="1"/>
          <w:bCs w:val="1"/>
          <w:color w:val="auto"/>
        </w:rPr>
        <w:t>Exhibit 10.4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AMENDED &amp; RESTATED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EXECUTIVE EMPLOYMENT AGREEMENT</w:t>
      </w:r>
    </w:p>
    <w:p>
      <w:pPr>
        <w:spacing w:after="0" w:line="148" w:lineRule="exact"/>
        <w:rPr>
          <w:sz w:val="20"/>
          <w:szCs w:val="20"/>
          <w:color w:val="auto"/>
        </w:rPr>
      </w:pPr>
    </w:p>
    <w:p>
      <w:pPr>
        <w:ind w:right="140" w:firstLine="864"/>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AMENDED AND RESTATED EXECUTIVE 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27</w:t>
      </w:r>
      <w:r>
        <w:rPr>
          <w:rFonts w:ascii="Arial" w:cs="Arial" w:eastAsia="Arial" w:hAnsi="Arial"/>
          <w:sz w:val="16"/>
          <w:szCs w:val="16"/>
          <w:color w:val="auto"/>
        </w:rPr>
        <w:t>th</w:t>
      </w:r>
      <w:r>
        <w:rPr>
          <w:rFonts w:ascii="Arial" w:cs="Arial" w:eastAsia="Arial" w:hAnsi="Arial"/>
          <w:sz w:val="20"/>
          <w:szCs w:val="20"/>
          <w:color w:val="auto"/>
        </w:rPr>
        <w:t xml:space="preserve"> day of April, 2020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between Briggs W. Morrison, M.D.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xml:space="preserve">”) and </w:t>
      </w:r>
      <w:r>
        <w:rPr>
          <w:rFonts w:ascii="Arial" w:cs="Arial" w:eastAsia="Arial" w:hAnsi="Arial"/>
          <w:sz w:val="20"/>
          <w:szCs w:val="20"/>
          <w:b w:val="1"/>
          <w:bCs w:val="1"/>
          <w:color w:val="auto"/>
        </w:rPr>
        <w:t>SYNDAX</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PHARMACEUTICALS, INC. </w:t>
      </w:r>
      <w:r>
        <w:rPr>
          <w:rFonts w:ascii="Arial" w:cs="Arial" w:eastAsia="Arial" w:hAnsi="Arial"/>
          <w:sz w:val="20"/>
          <w:szCs w:val="20"/>
          <w:color w:val="auto"/>
        </w:rPr>
        <w:t>(the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Certain capitalized terms used in this Agreement are defined in Article 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 w:type="dxa"/>
            <w:vAlign w:val="bottom"/>
          </w:tcPr>
          <w:p>
            <w:pPr>
              <w:spacing w:after="0"/>
              <w:rPr>
                <w:sz w:val="22"/>
                <w:szCs w:val="22"/>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9"/>
              </w:rPr>
              <w:t>RECITALS</w:t>
            </w:r>
          </w:p>
        </w:tc>
        <w:tc>
          <w:tcPr>
            <w:tcW w:w="0" w:type="dxa"/>
            <w:vAlign w:val="bottom"/>
          </w:tcPr>
          <w:p>
            <w:pPr>
              <w:spacing w:after="0"/>
              <w:rPr>
                <w:sz w:val="1"/>
                <w:szCs w:val="1"/>
                <w:color w:val="auto"/>
              </w:rPr>
            </w:pPr>
          </w:p>
        </w:tc>
      </w:tr>
      <w:tr>
        <w:trPr>
          <w:trHeight w:val="364"/>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500" w:type="dxa"/>
            <w:vAlign w:val="bottom"/>
          </w:tcPr>
          <w:p>
            <w:pPr>
              <w:ind w:left="900"/>
              <w:spacing w:after="0"/>
              <w:rPr>
                <w:sz w:val="20"/>
                <w:szCs w:val="20"/>
                <w:color w:val="auto"/>
              </w:rPr>
            </w:pPr>
            <w:r>
              <w:rPr>
                <w:rFonts w:ascii="Arial" w:cs="Arial" w:eastAsia="Arial" w:hAnsi="Arial"/>
                <w:sz w:val="20"/>
                <w:szCs w:val="20"/>
                <w:color w:val="auto"/>
              </w:rPr>
              <w:t>The Company is a biopharmaceutical company.</w:t>
            </w:r>
          </w:p>
        </w:tc>
        <w:tc>
          <w:tcPr>
            <w:tcW w:w="0" w:type="dxa"/>
            <w:vAlign w:val="bottom"/>
          </w:tcPr>
          <w:p>
            <w:pPr>
              <w:spacing w:after="0"/>
              <w:rPr>
                <w:sz w:val="1"/>
                <w:szCs w:val="1"/>
                <w:color w:val="auto"/>
              </w:rPr>
            </w:pPr>
          </w:p>
        </w:tc>
      </w:tr>
      <w:tr>
        <w:trPr>
          <w:trHeight w:val="384"/>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500" w:type="dxa"/>
            <w:vAlign w:val="bottom"/>
          </w:tcPr>
          <w:p>
            <w:pPr>
              <w:ind w:left="900"/>
              <w:spacing w:after="0"/>
              <w:rPr>
                <w:sz w:val="20"/>
                <w:szCs w:val="20"/>
                <w:color w:val="auto"/>
              </w:rPr>
            </w:pPr>
            <w:r>
              <w:rPr>
                <w:rFonts w:ascii="Arial" w:cs="Arial" w:eastAsia="Arial" w:hAnsi="Arial"/>
                <w:sz w:val="20"/>
                <w:szCs w:val="20"/>
                <w:color w:val="auto"/>
                <w:w w:val="91"/>
              </w:rPr>
              <w:t>The Company desires to employ Executive, or to continue Executive’s employment, in the position set forth below, and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89"/>
              </w:rPr>
              <w:t>Executive wishes to be employed, or continue to be employed, by the Company in such position, upon the terms and conditions set</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forth in this Agreement.</w:t>
            </w: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10500" w:type="dxa"/>
            <w:vAlign w:val="bottom"/>
          </w:tcPr>
          <w:p>
            <w:pPr>
              <w:jc w:val="center"/>
              <w:ind w:right="661"/>
              <w:spacing w:after="0"/>
              <w:rPr>
                <w:sz w:val="20"/>
                <w:szCs w:val="20"/>
                <w:color w:val="auto"/>
              </w:rPr>
            </w:pPr>
            <w:r>
              <w:rPr>
                <w:rFonts w:ascii="Arial" w:cs="Arial" w:eastAsia="Arial" w:hAnsi="Arial"/>
                <w:sz w:val="20"/>
                <w:szCs w:val="20"/>
                <w:b w:val="1"/>
                <w:bCs w:val="1"/>
                <w:color w:val="auto"/>
              </w:rPr>
              <w:t>AGREEMENT</w:t>
            </w:r>
          </w:p>
        </w:tc>
        <w:tc>
          <w:tcPr>
            <w:tcW w:w="0" w:type="dxa"/>
            <w:vAlign w:val="bottom"/>
          </w:tcPr>
          <w:p>
            <w:pPr>
              <w:spacing w:after="0"/>
              <w:rPr>
                <w:sz w:val="1"/>
                <w:szCs w:val="1"/>
                <w:color w:val="auto"/>
              </w:rPr>
            </w:pPr>
          </w:p>
        </w:tc>
      </w:tr>
      <w:tr>
        <w:trPr>
          <w:trHeight w:val="364"/>
        </w:trPr>
        <w:tc>
          <w:tcPr>
            <w:tcW w:w="760" w:type="dxa"/>
            <w:vAlign w:val="bottom"/>
            <w:vMerge w:val="restart"/>
          </w:tcPr>
          <w:p>
            <w:pPr>
              <w:spacing w:after="0"/>
              <w:rPr>
                <w:sz w:val="20"/>
                <w:szCs w:val="20"/>
                <w:color w:val="auto"/>
              </w:rPr>
            </w:pPr>
            <w:r>
              <w:rPr>
                <w:rFonts w:ascii="Arial" w:cs="Arial" w:eastAsia="Arial" w:hAnsi="Arial"/>
                <w:sz w:val="20"/>
                <w:szCs w:val="20"/>
                <w:color w:val="auto"/>
              </w:rPr>
              <w:t>follows:</w:t>
            </w:r>
          </w:p>
        </w:tc>
        <w:tc>
          <w:tcPr>
            <w:tcW w:w="10500" w:type="dxa"/>
            <w:vAlign w:val="bottom"/>
          </w:tcPr>
          <w:p>
            <w:pPr>
              <w:ind w:left="980"/>
              <w:spacing w:after="0"/>
              <w:rPr>
                <w:sz w:val="20"/>
                <w:szCs w:val="20"/>
                <w:color w:val="auto"/>
              </w:rPr>
            </w:pPr>
            <w:r>
              <w:rPr>
                <w:rFonts w:ascii="Arial" w:cs="Arial" w:eastAsia="Arial" w:hAnsi="Arial"/>
                <w:sz w:val="20"/>
                <w:szCs w:val="20"/>
                <w:b w:val="1"/>
                <w:bCs w:val="1"/>
                <w:color w:val="auto"/>
                <w:w w:val="91"/>
              </w:rPr>
              <w:t>NOW, THEREFORE</w:t>
            </w:r>
            <w:r>
              <w:rPr>
                <w:rFonts w:ascii="Arial" w:cs="Arial" w:eastAsia="Arial" w:hAnsi="Arial"/>
                <w:sz w:val="20"/>
                <w:szCs w:val="20"/>
                <w:color w:val="auto"/>
                <w:w w:val="91"/>
              </w:rPr>
              <w:t>, in consideration of the mutual promises contained herein, the Company and Executive agree as</w:t>
            </w:r>
          </w:p>
        </w:tc>
        <w:tc>
          <w:tcPr>
            <w:tcW w:w="0" w:type="dxa"/>
            <w:vAlign w:val="bottom"/>
          </w:tcPr>
          <w:p>
            <w:pPr>
              <w:spacing w:after="0"/>
              <w:rPr>
                <w:sz w:val="1"/>
                <w:szCs w:val="1"/>
                <w:color w:val="auto"/>
              </w:rPr>
            </w:pPr>
          </w:p>
        </w:tc>
      </w:tr>
      <w:tr>
        <w:trPr>
          <w:trHeight w:val="229"/>
        </w:trPr>
        <w:tc>
          <w:tcPr>
            <w:tcW w:w="760" w:type="dxa"/>
            <w:vAlign w:val="bottom"/>
            <w:vMerge w:val="continue"/>
          </w:tcPr>
          <w:p>
            <w:pPr>
              <w:spacing w:after="0"/>
              <w:rPr>
                <w:sz w:val="19"/>
                <w:szCs w:val="19"/>
                <w:color w:val="auto"/>
              </w:rPr>
            </w:pPr>
          </w:p>
        </w:tc>
        <w:tc>
          <w:tcPr>
            <w:tcW w:w="10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ARTICLE 1</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PRELIMINARY MATTERS</w:t>
            </w:r>
          </w:p>
        </w:tc>
        <w:tc>
          <w:tcPr>
            <w:tcW w:w="0" w:type="dxa"/>
            <w:vAlign w:val="bottom"/>
          </w:tcPr>
          <w:p>
            <w:pPr>
              <w:spacing w:after="0"/>
              <w:rPr>
                <w:sz w:val="1"/>
                <w:szCs w:val="1"/>
                <w:color w:val="auto"/>
              </w:rPr>
            </w:pPr>
          </w:p>
        </w:tc>
      </w:tr>
      <w:tr>
        <w:trPr>
          <w:trHeight w:val="235"/>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1.1.</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5"/>
              </w:rPr>
              <w:t>Prior Agreement</w:t>
            </w:r>
            <w:r>
              <w:rPr>
                <w:rFonts w:ascii="Arial" w:cs="Arial" w:eastAsia="Arial" w:hAnsi="Arial"/>
                <w:sz w:val="20"/>
                <w:szCs w:val="20"/>
                <w:color w:val="auto"/>
                <w:w w:val="95"/>
              </w:rPr>
              <w:t>. This Agreement, on its Effective Date, amends, restates and supersedes the Prior Employment</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Agreement.</w:t>
            </w:r>
          </w:p>
        </w:tc>
        <w:tc>
          <w:tcPr>
            <w:tcW w:w="0" w:type="dxa"/>
            <w:vAlign w:val="bottom"/>
          </w:tcPr>
          <w:p>
            <w:pPr>
              <w:spacing w:after="0"/>
              <w:rPr>
                <w:sz w:val="1"/>
                <w:szCs w:val="1"/>
                <w:color w:val="auto"/>
              </w:rPr>
            </w:pPr>
          </w:p>
        </w:tc>
      </w:tr>
      <w:tr>
        <w:trPr>
          <w:trHeight w:val="357"/>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1.2.</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0"/>
              </w:rPr>
              <w:t>Effectiveness of Agreement</w:t>
            </w:r>
            <w:r>
              <w:rPr>
                <w:rFonts w:ascii="Arial" w:cs="Arial" w:eastAsia="Arial" w:hAnsi="Arial"/>
                <w:sz w:val="20"/>
                <w:szCs w:val="20"/>
                <w:color w:val="auto"/>
                <w:w w:val="90"/>
              </w:rPr>
              <w:t>. This Agreement shall be effective and shall supersede the Prior Employment Agreement</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concurrently with the Effective Date.</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ARTICLE 2</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TERMS OF EMPLOYMENT</w:t>
            </w:r>
          </w:p>
        </w:tc>
        <w:tc>
          <w:tcPr>
            <w:tcW w:w="0" w:type="dxa"/>
            <w:vAlign w:val="bottom"/>
          </w:tcPr>
          <w:p>
            <w:pPr>
              <w:spacing w:after="0"/>
              <w:rPr>
                <w:sz w:val="1"/>
                <w:szCs w:val="1"/>
                <w:color w:val="auto"/>
              </w:rPr>
            </w:pPr>
          </w:p>
        </w:tc>
      </w:tr>
      <w:tr>
        <w:trPr>
          <w:trHeight w:val="235"/>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2.1.</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1"/>
              </w:rPr>
              <w:t>Appointment</w:t>
            </w:r>
            <w:r>
              <w:rPr>
                <w:rFonts w:ascii="Arial" w:cs="Arial" w:eastAsia="Arial" w:hAnsi="Arial"/>
                <w:sz w:val="20"/>
                <w:szCs w:val="20"/>
                <w:color w:val="auto"/>
                <w:w w:val="91"/>
              </w:rPr>
              <w:t>. Executive shall serve as the Chief Executive Officer, reporting to the Board. As Chief Executive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Executive will be the most senior officer of the Company and have such duties and responsibilities typically associated with such</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6"/>
              </w:rPr>
              <w:t>senior officer. During Executive’s employment with the Company, Executive shall (i) devote substantially all of Executive’s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business efforts to the Company, provided, however, that Executive may continue to serve as a managing director of MPM Asset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0"/>
              </w:rPr>
              <w:t>Management, LLC and as a member of corporate boards of directors, so long as such activities do not materially interfere with the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9"/>
              </w:rPr>
              <w:t>discharge of Executive’s duties as Chief Executive Officer, and (ii) faithfully and to the best of Executive’s abilities and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0"/>
              </w:rPr>
              <w:t>experience, and in accordance with the standards and ethics of the business in which the Company is engaged, perform all duties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7"/>
              </w:rPr>
              <w:t>that may be required of Executive by this Agreement, the Company’s policies and procedures, and such other duties and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4"/>
              </w:rPr>
              <w:t>responsibilities as may be assigned to Executive from time to time, as well as the directives of the Board. During Executive’s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2"/>
              </w:rPr>
              <w:t>employment with the Company, Executive shall not engage in any activity that conflicts with or is detrimental to the Company’s</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best interests, as determined by the Board.</w:t>
            </w:r>
          </w:p>
        </w:tc>
        <w:tc>
          <w:tcPr>
            <w:tcW w:w="0" w:type="dxa"/>
            <w:vAlign w:val="bottom"/>
          </w:tcPr>
          <w:p>
            <w:pPr>
              <w:spacing w:after="0"/>
              <w:rPr>
                <w:sz w:val="1"/>
                <w:szCs w:val="1"/>
                <w:color w:val="auto"/>
              </w:rPr>
            </w:pPr>
          </w:p>
        </w:tc>
      </w:tr>
      <w:tr>
        <w:trPr>
          <w:trHeight w:val="262"/>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2.2.</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6"/>
              </w:rPr>
              <w:t>Employment Term</w:t>
            </w:r>
            <w:r>
              <w:rPr>
                <w:rFonts w:ascii="Arial" w:cs="Arial" w:eastAsia="Arial" w:hAnsi="Arial"/>
                <w:sz w:val="20"/>
                <w:szCs w:val="20"/>
                <w:color w:val="auto"/>
                <w:w w:val="96"/>
              </w:rPr>
              <w:t>. Executive will be employed by the Company on an “at-will” basis. This means that either the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3"/>
              </w:rPr>
              <w:t>Company or Executive may terminate Executive’s employment at any time, for any reason, with or without Cause, and with or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4"/>
              </w:rPr>
              <w:t>without advance notice (provided that Resignation for Good Reason (as defined below) requires certain advanced notice by</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3"/>
              </w:rPr>
              <w:t>Executive of Executive’s termination of employment). It also means that Executive’s job title, duties, responsibilities, reporting</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level, compensation and benefits, as well as the Company’s personnel policies and procedures, may be</w:t>
            </w: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10500" w:type="dxa"/>
            <w:vAlign w:val="bottom"/>
          </w:tcPr>
          <w:p>
            <w:pPr>
              <w:jc w:val="center"/>
              <w:ind w:right="66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124"/>
        </w:trPr>
        <w:tc>
          <w:tcPr>
            <w:tcW w:w="760" w:type="dxa"/>
            <w:vAlign w:val="bottom"/>
            <w:tcBorders>
              <w:bottom w:val="single" w:sz="8" w:color="9A9A9A"/>
            </w:tcBorders>
          </w:tcPr>
          <w:p>
            <w:pPr>
              <w:spacing w:after="0"/>
              <w:rPr>
                <w:sz w:val="10"/>
                <w:szCs w:val="10"/>
                <w:color w:val="auto"/>
              </w:rPr>
            </w:pPr>
          </w:p>
        </w:tc>
        <w:tc>
          <w:tcPr>
            <w:tcW w:w="10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6" w:name="page107"/>
    <w:bookmarkEnd w:id="106"/>
    <w:p>
      <w:pPr>
        <w:jc w:val="both"/>
        <w:ind w:left="840" w:right="20" w:firstLine="797"/>
        <w:spacing w:after="0" w:line="250" w:lineRule="auto"/>
        <w:rPr>
          <w:sz w:val="20"/>
          <w:szCs w:val="20"/>
          <w:color w:val="auto"/>
        </w:rPr>
      </w:pPr>
      <w:r>
        <w:rPr>
          <w:rFonts w:ascii="Arial" w:cs="Arial" w:eastAsia="Arial" w:hAnsi="Arial"/>
          <w:sz w:val="20"/>
          <w:szCs w:val="20"/>
          <w:color w:val="auto"/>
        </w:rPr>
        <w:t>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18"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148" w:lineRule="exact"/>
        <w:rPr>
          <w:sz w:val="20"/>
          <w:szCs w:val="20"/>
          <w:color w:val="auto"/>
        </w:rPr>
      </w:pPr>
    </w:p>
    <w:p>
      <w:pPr>
        <w:jc w:val="both"/>
        <w:ind w:left="-40" w:right="60" w:firstLine="1735"/>
        <w:spacing w:after="0" w:line="248" w:lineRule="auto"/>
        <w:tabs>
          <w:tab w:leader="none" w:pos="3135"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Annual Base Salary</w:t>
      </w:r>
      <w:r>
        <w:rPr>
          <w:rFonts w:ascii="Arial" w:cs="Arial" w:eastAsia="Arial" w:hAnsi="Arial"/>
          <w:sz w:val="20"/>
          <w:szCs w:val="20"/>
          <w:color w:val="auto"/>
        </w:rPr>
        <w:t>. Executive’s annual base salary shall be $600,547 per year (“</w:t>
      </w:r>
      <w:r>
        <w:rPr>
          <w:rFonts w:ascii="Arial" w:cs="Arial" w:eastAsia="Arial" w:hAnsi="Arial"/>
          <w:sz w:val="20"/>
          <w:szCs w:val="20"/>
          <w:b w:val="1"/>
          <w:bCs w:val="1"/>
          <w:i w:val="1"/>
          <w:iCs w:val="1"/>
          <w:color w:val="auto"/>
        </w:rPr>
        <w:t>Annual Base</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Salary</w:t>
      </w:r>
      <w:r>
        <w:rPr>
          <w:rFonts w:ascii="Arial" w:cs="Arial" w:eastAsia="Arial" w:hAnsi="Arial"/>
          <w:sz w:val="20"/>
          <w:szCs w:val="20"/>
          <w:color w:val="auto"/>
        </w:rPr>
        <w:t>”), payable in equal installments, less applicable deductions and withholdings, in accordance with the Company’s standard payroll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practices. Executive’s Annual Base Salary shall be subject to review by the Company’s compensation committee and may be increased, from time to time.</w:t>
      </w:r>
    </w:p>
    <w:p>
      <w:pPr>
        <w:spacing w:after="0" w:line="128" w:lineRule="exact"/>
        <w:rPr>
          <w:rFonts w:ascii="Arial" w:cs="Arial" w:eastAsia="Arial" w:hAnsi="Arial"/>
          <w:sz w:val="20"/>
          <w:szCs w:val="20"/>
          <w:color w:val="auto"/>
        </w:rPr>
      </w:pPr>
    </w:p>
    <w:p>
      <w:pPr>
        <w:ind w:left="-40" w:right="20" w:firstLine="1735"/>
        <w:spacing w:after="0" w:line="277" w:lineRule="auto"/>
        <w:tabs>
          <w:tab w:leader="none" w:pos="2499"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Executive will be entitled to participate in all of the employee benefits and benefit plans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 Notwithstanding the foregoing, if applicable, the Company shall make a group health plan available to Executive, which provides applicable coverage at both Executive’s permanent residence and Executive’s principal place of employment. From time to time and as the Board deems appropriate, Executive may be eligible to receive options to purchase the Company’s common stock.</w:t>
      </w:r>
    </w:p>
    <w:p>
      <w:pPr>
        <w:spacing w:after="0" w:line="103" w:lineRule="exact"/>
        <w:rPr>
          <w:rFonts w:ascii="Arial" w:cs="Arial" w:eastAsia="Arial" w:hAnsi="Arial"/>
          <w:sz w:val="18"/>
          <w:szCs w:val="18"/>
          <w:color w:val="auto"/>
        </w:rPr>
      </w:pPr>
    </w:p>
    <w:p>
      <w:pPr>
        <w:ind w:left="-40" w:firstLine="1735"/>
        <w:spacing w:after="0" w:line="254" w:lineRule="auto"/>
        <w:tabs>
          <w:tab w:leader="none" w:pos="2488"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Bonus</w:t>
      </w:r>
      <w:r>
        <w:rPr>
          <w:rFonts w:ascii="Arial" w:cs="Arial" w:eastAsia="Arial" w:hAnsi="Arial"/>
          <w:sz w:val="19"/>
          <w:szCs w:val="19"/>
          <w:color w:val="auto"/>
        </w:rPr>
        <w:t>. In addition to Annual Base Salary, Executive shall be eligible to earn an annual performance bonus of</w:t>
      </w:r>
      <w:r>
        <w:rPr>
          <w:rFonts w:ascii="Arial" w:cs="Arial" w:eastAsia="Arial" w:hAnsi="Arial"/>
          <w:sz w:val="19"/>
          <w:szCs w:val="19"/>
          <w:b w:val="1"/>
          <w:bCs w:val="1"/>
          <w:color w:val="auto"/>
        </w:rPr>
        <w:t xml:space="preserve"> </w:t>
      </w:r>
      <w:r>
        <w:rPr>
          <w:rFonts w:ascii="Arial" w:cs="Arial" w:eastAsia="Arial" w:hAnsi="Arial"/>
          <w:sz w:val="19"/>
          <w:szCs w:val="19"/>
          <w:color w:val="auto"/>
        </w:rPr>
        <w:t>up to fifty percent (50%)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9"/>
          <w:szCs w:val="19"/>
          <w:b w:val="1"/>
          <w:bCs w:val="1"/>
          <w:i w:val="1"/>
          <w:iCs w:val="1"/>
          <w:color w:val="auto"/>
        </w:rPr>
        <w:t>Target Performance Bonus</w:t>
      </w:r>
      <w:r>
        <w:rPr>
          <w:rFonts w:ascii="Arial" w:cs="Arial" w:eastAsia="Arial" w:hAnsi="Arial"/>
          <w:sz w:val="19"/>
          <w:szCs w:val="19"/>
          <w:color w:val="auto"/>
        </w:rPr>
        <w:t>”). For clarity, it is expected that Executive will propose corporate objectives for each calendar year that will be Executive’s individual performance milestones. The Board will work with Executive to revise and refine these annual corporate objectives until a mutually acceptable set of corporate objectives is approved by the Board. The Board may award Executive a Target Performance Bonus for partial achievement of objectives and may grant Executive a higher bonus for exceptional performance. At Executive’s request, these annual corporate objectives may be revised in the discretion of the Board during the course of the year depending on changed circumstances.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w:t>
      </w:r>
      <w:r>
        <w:rPr>
          <w:rFonts w:ascii="Arial" w:cs="Arial" w:eastAsia="Arial" w:hAnsi="Arial"/>
          <w:sz w:val="15"/>
          <w:szCs w:val="15"/>
          <w:color w:val="auto"/>
        </w:rPr>
        <w:t>th</w:t>
      </w:r>
      <w:r>
        <w:rPr>
          <w:rFonts w:ascii="Arial" w:cs="Arial" w:eastAsia="Arial" w:hAnsi="Arial"/>
          <w:sz w:val="19"/>
          <w:szCs w:val="19"/>
          <w:color w:val="auto"/>
        </w:rPr>
        <w:t xml:space="preserve"> following the calendar year during which such bonus was earned. Except as provided in Sections 3.2 and 4.2, Executive shall be eligible to earn the Target Performance Bonus only if Executive is actively employed and in good standing with the Company on both the determination and payment dates for the Target Performance Bonus.</w:t>
      </w:r>
    </w:p>
    <w:p>
      <w:pPr>
        <w:spacing w:after="0" w:line="132" w:lineRule="exact"/>
        <w:rPr>
          <w:sz w:val="20"/>
          <w:szCs w:val="20"/>
          <w:color w:val="auto"/>
        </w:rPr>
      </w:pPr>
    </w:p>
    <w:p>
      <w:pPr>
        <w:ind w:left="840" w:right="20" w:hanging="796"/>
        <w:spacing w:after="0" w:line="256" w:lineRule="auto"/>
        <w:tabs>
          <w:tab w:leader="none" w:pos="8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Reimbursement of Expenses</w:t>
      </w:r>
      <w:r>
        <w:rPr>
          <w:rFonts w:ascii="Arial" w:cs="Arial" w:eastAsia="Arial" w:hAnsi="Arial"/>
          <w:sz w:val="19"/>
          <w:szCs w:val="19"/>
          <w:color w:val="auto"/>
        </w:rPr>
        <w:t>. Subject to Section 5.10(c), the Company shall reimburse Executive for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and reasonable business expenses incurred in connection with Executive’s duties in accordance with the Company’s generally applicable policies. Executive and the Company acknowledge that Executive will be required to spend a certain amount of time each month at the Company’s Waltham headquarters. Accordingly, the Company will reimburse, or pay for, all reasonable expenses incurred by Executive in connection with commuting between the Company’s Waltham office and Executive’s current principal residence in New Jersey, including Executive’s actual and reasonable living expenses incurred in the Waltham area and Executive’s actual and reasonable commuting expenses incurred between Waltham and Executive’s current principal residence in New Jersey. Executive will not be expected to relocate his residence to Waltham, but should Executive choose to relocate his residence to Waltham, the Company will pay for Executive’s relocation. The foregoing provisions of this Section 2.4 are subject to Section 5.10(c).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86995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122" w:right="359" w:bottom="1440" w:gutter="0" w:footer="0" w:header="0"/>
        </w:sectPr>
      </w:pPr>
    </w:p>
    <w:bookmarkStart w:id="107" w:name="page108"/>
    <w:bookmarkEnd w:id="107"/>
    <w:tbl>
      <w:tblPr>
        <w:tblLayout w:type="fixed"/>
        <w:tblInd w:w="6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0600" w:type="dxa"/>
            <w:vAlign w:val="bottom"/>
          </w:tcPr>
          <w:p>
            <w:pPr>
              <w:ind w:left="4480"/>
              <w:spacing w:after="0"/>
              <w:rPr>
                <w:sz w:val="20"/>
                <w:szCs w:val="20"/>
                <w:color w:val="auto"/>
              </w:rPr>
            </w:pPr>
            <w:r>
              <w:rPr>
                <w:rFonts w:ascii="Arial" w:cs="Arial" w:eastAsia="Arial" w:hAnsi="Arial"/>
                <w:sz w:val="20"/>
                <w:szCs w:val="20"/>
                <w:b w:val="1"/>
                <w:bCs w:val="1"/>
                <w:color w:val="auto"/>
              </w:rPr>
              <w:t>ARTICLE 3</w:t>
            </w:r>
          </w:p>
        </w:tc>
      </w:tr>
      <w:tr>
        <w:trPr>
          <w:trHeight w:val="378"/>
        </w:trPr>
        <w:tc>
          <w:tcPr>
            <w:tcW w:w="540" w:type="dxa"/>
            <w:vAlign w:val="bottom"/>
          </w:tcPr>
          <w:p>
            <w:pPr>
              <w:spacing w:after="0"/>
              <w:rPr>
                <w:sz w:val="24"/>
                <w:szCs w:val="24"/>
                <w:color w:val="auto"/>
              </w:rPr>
            </w:pPr>
          </w:p>
        </w:tc>
        <w:tc>
          <w:tcPr>
            <w:tcW w:w="10600" w:type="dxa"/>
            <w:vAlign w:val="bottom"/>
          </w:tcPr>
          <w:p>
            <w:pPr>
              <w:ind w:left="2760"/>
              <w:spacing w:after="0"/>
              <w:rPr>
                <w:sz w:val="20"/>
                <w:szCs w:val="20"/>
                <w:color w:val="auto"/>
              </w:rPr>
            </w:pPr>
            <w:r>
              <w:rPr>
                <w:rFonts w:ascii="Arial" w:cs="Arial" w:eastAsia="Arial" w:hAnsi="Arial"/>
                <w:sz w:val="20"/>
                <w:szCs w:val="20"/>
                <w:b w:val="1"/>
                <w:bCs w:val="1"/>
                <w:color w:val="auto"/>
              </w:rPr>
              <w:t>CHANGE IN CONTROL SEVERANCE BENEFITS</w:t>
            </w:r>
          </w:p>
        </w:tc>
      </w:tr>
      <w:tr>
        <w:trPr>
          <w:trHeight w:val="343"/>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3.1.</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w w:val="92"/>
              </w:rPr>
              <w:t>Severance Benefits</w:t>
            </w:r>
            <w:r>
              <w:rPr>
                <w:rFonts w:ascii="Arial" w:cs="Arial" w:eastAsia="Arial" w:hAnsi="Arial"/>
                <w:sz w:val="20"/>
                <w:szCs w:val="20"/>
                <w:color w:val="auto"/>
                <w:w w:val="92"/>
              </w:rPr>
              <w:t>. Upon a Change in Control Termination, and subject to the limitations and conditions set forth in</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89"/>
              </w:rPr>
              <w:t>this Agreement, Executive shall be eligible to receive the benefits set forth in this Article 3. The receipt of any severance payments</w:t>
            </w:r>
          </w:p>
        </w:tc>
      </w:tr>
      <w:tr>
        <w:trPr>
          <w:trHeight w:val="223"/>
        </w:trPr>
        <w:tc>
          <w:tcPr>
            <w:tcW w:w="540" w:type="dxa"/>
            <w:vAlign w:val="bottom"/>
          </w:tcPr>
          <w:p>
            <w:pPr>
              <w:spacing w:after="0"/>
              <w:rPr>
                <w:sz w:val="19"/>
                <w:szCs w:val="19"/>
                <w:color w:val="auto"/>
              </w:rPr>
            </w:pPr>
          </w:p>
        </w:tc>
        <w:tc>
          <w:tcPr>
            <w:tcW w:w="10600" w:type="dxa"/>
            <w:vAlign w:val="bottom"/>
          </w:tcPr>
          <w:p>
            <w:pPr>
              <w:ind w:left="260"/>
              <w:spacing w:after="0" w:line="223" w:lineRule="exact"/>
              <w:rPr>
                <w:sz w:val="20"/>
                <w:szCs w:val="20"/>
                <w:color w:val="auto"/>
              </w:rPr>
            </w:pPr>
            <w:r>
              <w:rPr>
                <w:rFonts w:ascii="Arial" w:cs="Arial" w:eastAsia="Arial" w:hAnsi="Arial"/>
                <w:sz w:val="20"/>
                <w:szCs w:val="20"/>
                <w:color w:val="auto"/>
                <w:w w:val="88"/>
              </w:rPr>
              <w:t>or benefits pursuant to this Agreement is subject to Executive signing and not revoking a separation agreement and general release</w:t>
            </w:r>
          </w:p>
        </w:tc>
      </w:tr>
      <w:tr>
        <w:trPr>
          <w:trHeight w:val="235"/>
        </w:trPr>
        <w:tc>
          <w:tcPr>
            <w:tcW w:w="540" w:type="dxa"/>
            <w:vAlign w:val="bottom"/>
          </w:tcPr>
          <w:p>
            <w:pPr>
              <w:spacing w:after="0"/>
              <w:rPr>
                <w:sz w:val="20"/>
                <w:szCs w:val="20"/>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of claims (the “</w:t>
            </w:r>
            <w:r>
              <w:rPr>
                <w:rFonts w:ascii="Arial" w:cs="Arial" w:eastAsia="Arial" w:hAnsi="Arial"/>
                <w:sz w:val="20"/>
                <w:szCs w:val="20"/>
                <w:b w:val="1"/>
                <w:bCs w:val="1"/>
                <w:i w:val="1"/>
                <w:iCs w:val="1"/>
                <w:color w:val="auto"/>
                <w:w w:val="90"/>
              </w:rPr>
              <w:t>Release</w:t>
            </w:r>
            <w:r>
              <w:rPr>
                <w:rFonts w:ascii="Arial" w:cs="Arial" w:eastAsia="Arial" w:hAnsi="Arial"/>
                <w:sz w:val="20"/>
                <w:szCs w:val="20"/>
                <w:color w:val="auto"/>
                <w:w w:val="90"/>
              </w:rPr>
              <w:t xml:space="preserve">”), in substantially the form attached hereto and incorporated herein as </w:t>
            </w:r>
            <w:r>
              <w:rPr>
                <w:rFonts w:ascii="Arial" w:cs="Arial" w:eastAsia="Arial" w:hAnsi="Arial"/>
                <w:sz w:val="20"/>
                <w:szCs w:val="20"/>
                <w:b w:val="1"/>
                <w:bCs w:val="1"/>
                <w:color w:val="auto"/>
                <w:w w:val="90"/>
              </w:rPr>
              <w:t>Exhibit A</w:t>
            </w:r>
            <w:r>
              <w:rPr>
                <w:rFonts w:ascii="Arial" w:cs="Arial" w:eastAsia="Arial" w:hAnsi="Arial"/>
                <w:sz w:val="20"/>
                <w:szCs w:val="20"/>
                <w:color w:val="auto"/>
                <w:w w:val="90"/>
              </w:rPr>
              <w:t xml:space="preserve">, </w:t>
            </w:r>
            <w:r>
              <w:rPr>
                <w:rFonts w:ascii="Arial" w:cs="Arial" w:eastAsia="Arial" w:hAnsi="Arial"/>
                <w:sz w:val="20"/>
                <w:szCs w:val="20"/>
                <w:b w:val="1"/>
                <w:bCs w:val="1"/>
                <w:color w:val="auto"/>
                <w:w w:val="90"/>
              </w:rPr>
              <w:t>Exhibit B</w:t>
            </w:r>
            <w:r>
              <w:rPr>
                <w:rFonts w:ascii="Arial" w:cs="Arial" w:eastAsia="Arial" w:hAnsi="Arial"/>
                <w:sz w:val="20"/>
                <w:szCs w:val="20"/>
                <w:color w:val="auto"/>
                <w:w w:val="90"/>
              </w:rPr>
              <w:t xml:space="preserve"> or </w:t>
            </w:r>
            <w:r>
              <w:rPr>
                <w:rFonts w:ascii="Arial" w:cs="Arial" w:eastAsia="Arial" w:hAnsi="Arial"/>
                <w:sz w:val="20"/>
                <w:szCs w:val="20"/>
                <w:b w:val="1"/>
                <w:bCs w:val="1"/>
                <w:color w:val="auto"/>
                <w:w w:val="90"/>
              </w:rPr>
              <w:t>Exhibit C</w:t>
            </w:r>
            <w:r>
              <w:rPr>
                <w:rFonts w:ascii="Arial" w:cs="Arial" w:eastAsia="Arial" w:hAnsi="Arial"/>
                <w:sz w:val="20"/>
                <w:szCs w:val="20"/>
                <w:color w:val="auto"/>
                <w:w w:val="90"/>
              </w:rPr>
              <w:t>,</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2"/>
              </w:rPr>
              <w:t>as appropriate, which Release must become effective and irrevocable no later than the sixtieth (60</w:t>
            </w:r>
            <w:r>
              <w:rPr>
                <w:rFonts w:ascii="Arial" w:cs="Arial" w:eastAsia="Arial" w:hAnsi="Arial"/>
                <w:sz w:val="16"/>
                <w:szCs w:val="16"/>
                <w:color w:val="auto"/>
                <w:w w:val="92"/>
              </w:rPr>
              <w:t>th</w:t>
            </w:r>
            <w:r>
              <w:rPr>
                <w:rFonts w:ascii="Arial" w:cs="Arial" w:eastAsia="Arial" w:hAnsi="Arial"/>
                <w:sz w:val="20"/>
                <w:szCs w:val="20"/>
                <w:color w:val="auto"/>
                <w:w w:val="92"/>
              </w:rPr>
              <w:t>) day following Executive’s</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4"/>
              </w:rPr>
              <w:t>termination of employment (the “</w:t>
            </w:r>
            <w:r>
              <w:rPr>
                <w:rFonts w:ascii="Arial" w:cs="Arial" w:eastAsia="Arial" w:hAnsi="Arial"/>
                <w:sz w:val="20"/>
                <w:szCs w:val="20"/>
                <w:b w:val="1"/>
                <w:bCs w:val="1"/>
                <w:i w:val="1"/>
                <w:iCs w:val="1"/>
                <w:color w:val="auto"/>
                <w:w w:val="94"/>
              </w:rPr>
              <w:t>Release Deadline Date</w:t>
            </w:r>
            <w:r>
              <w:rPr>
                <w:rFonts w:ascii="Arial" w:cs="Arial" w:eastAsia="Arial" w:hAnsi="Arial"/>
                <w:sz w:val="20"/>
                <w:szCs w:val="20"/>
                <w:color w:val="auto"/>
                <w:w w:val="94"/>
              </w:rPr>
              <w:t>”). If the Release does not become effective and irrevocable by the</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1"/>
              </w:rPr>
              <w:t>Release Deadline Date, Executive will forfeit any right to any severance payments or benefits under this Agreement. In no event</w:t>
            </w:r>
          </w:p>
        </w:tc>
      </w:tr>
      <w:tr>
        <w:trPr>
          <w:trHeight w:val="250"/>
        </w:trPr>
        <w:tc>
          <w:tcPr>
            <w:tcW w:w="540" w:type="dxa"/>
            <w:vAlign w:val="bottom"/>
          </w:tcPr>
          <w:p>
            <w:pPr>
              <w:spacing w:after="0"/>
              <w:rPr>
                <w:sz w:val="21"/>
                <w:szCs w:val="21"/>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9"/>
              </w:rPr>
              <w:t>will severance payments or benefits be paid or provided until the Release actually becomes effective and irrevocable.</w:t>
            </w:r>
          </w:p>
        </w:tc>
      </w:tr>
      <w:tr>
        <w:trPr>
          <w:trHeight w:val="357"/>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3.2.</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w w:val="90"/>
              </w:rPr>
              <w:t>Salary and Pro-Rata Bonus Payment</w:t>
            </w:r>
            <w:r>
              <w:rPr>
                <w:rFonts w:ascii="Arial" w:cs="Arial" w:eastAsia="Arial" w:hAnsi="Arial"/>
                <w:sz w:val="20"/>
                <w:szCs w:val="20"/>
                <w:color w:val="auto"/>
                <w:w w:val="90"/>
              </w:rPr>
              <w:t>. In consideration of Executive’s execution and non-revocation of the Release by</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7"/>
              </w:rPr>
              <w:t>the Release Deadline Date, in a form provided by the Company and in accordance with Article 5, the Company shall pay</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Executive a severance payment equal to (i) the sum of Executive’s Monthly Base Salary and Pro-Rata Bonus multiplied by (ii) the</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3"/>
              </w:rPr>
              <w:t>number of months in the Change in Control Severance Period, less applicable withholdings. The severance payment shall be</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4"/>
              </w:rPr>
              <w:t>payable (except as set forth in Article 5) in a lump sum on the first regularly-scheduled payroll date occurring on or after the</w:t>
            </w:r>
          </w:p>
        </w:tc>
      </w:tr>
      <w:tr>
        <w:trPr>
          <w:trHeight w:val="250"/>
        </w:trPr>
        <w:tc>
          <w:tcPr>
            <w:tcW w:w="540" w:type="dxa"/>
            <w:vAlign w:val="bottom"/>
          </w:tcPr>
          <w:p>
            <w:pPr>
              <w:spacing w:after="0"/>
              <w:rPr>
                <w:sz w:val="21"/>
                <w:szCs w:val="21"/>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rPr>
              <w:t>Release Deadline Date.</w:t>
            </w:r>
          </w:p>
        </w:tc>
      </w:tr>
      <w:tr>
        <w:trPr>
          <w:trHeight w:val="378"/>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3.3.</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rPr>
              <w:t>Health Continuation Coverage</w:t>
            </w:r>
            <w:r>
              <w:rPr>
                <w:rFonts w:ascii="Arial" w:cs="Arial" w:eastAsia="Arial" w:hAnsi="Arial"/>
                <w:sz w:val="20"/>
                <w:szCs w:val="20"/>
                <w:color w:val="auto"/>
              </w:rPr>
              <w:t>.</w:t>
            </w:r>
          </w:p>
        </w:tc>
      </w:tr>
    </w:tbl>
    <w:p>
      <w:pPr>
        <w:spacing w:after="0" w:line="154" w:lineRule="exact"/>
        <w:rPr>
          <w:sz w:val="20"/>
          <w:szCs w:val="20"/>
          <w:color w:val="auto"/>
        </w:rPr>
      </w:pPr>
    </w:p>
    <w:p>
      <w:pPr>
        <w:ind w:left="-20" w:firstLine="1735"/>
        <w:spacing w:after="0" w:line="268" w:lineRule="auto"/>
        <w:tabs>
          <w:tab w:leader="none" w:pos="31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27" w:lineRule="exact"/>
        <w:rPr>
          <w:rFonts w:ascii="Arial" w:cs="Arial" w:eastAsia="Arial" w:hAnsi="Arial"/>
          <w:sz w:val="18"/>
          <w:szCs w:val="18"/>
          <w:color w:val="auto"/>
        </w:rPr>
      </w:pPr>
    </w:p>
    <w:p>
      <w:pPr>
        <w:ind w:left="-20" w:right="700" w:firstLine="1735"/>
        <w:spacing w:after="0" w:line="260" w:lineRule="auto"/>
        <w:tabs>
          <w:tab w:leader="none" w:pos="2519" w:val="left"/>
        </w:tabs>
        <w:numPr>
          <w:ilvl w:val="0"/>
          <w:numId w:val="52"/>
        </w:numPr>
        <w:rPr>
          <w:rFonts w:ascii="Arial" w:cs="Arial" w:eastAsia="Arial" w:hAnsi="Arial"/>
          <w:sz w:val="20"/>
          <w:szCs w:val="20"/>
          <w:color w:val="auto"/>
        </w:rPr>
      </w:pPr>
      <w:r>
        <w:rPr>
          <w:rFonts w:ascii="Arial" w:cs="Arial" w:eastAsia="Arial" w:hAnsi="Arial"/>
          <w:sz w:val="20"/>
          <w:szCs w:val="20"/>
          <w:color w:val="auto"/>
        </w:rPr>
        <w:t>For purposes of this Section 3.3, (i) references to COBRA shall be deemed to refer also to analogous provisions of state law, and (ii) any applicable insurance premiums that are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278" w:right="359" w:bottom="1440" w:gutter="0" w:footer="0" w:header="0"/>
        </w:sectPr>
      </w:pPr>
    </w:p>
    <w:bookmarkStart w:id="108" w:name="page109"/>
    <w:bookmarkEnd w:id="108"/>
    <w:p>
      <w:pPr>
        <w:ind w:right="560"/>
        <w:spacing w:after="0" w:line="260" w:lineRule="auto"/>
        <w:rPr>
          <w:sz w:val="20"/>
          <w:szCs w:val="20"/>
          <w:color w:val="auto"/>
        </w:rPr>
      </w:pPr>
      <w:r>
        <w:rPr>
          <w:rFonts w:ascii="Arial" w:cs="Arial" w:eastAsia="Arial" w:hAnsi="Arial"/>
          <w:sz w:val="20"/>
          <w:szCs w:val="20"/>
          <w:color w:val="auto"/>
        </w:rPr>
        <w:t>by the Company shall not include any amounts payable by Executive under a Code Section 125 health care reimbursement plan, which amounts, if any, are the sole responsibility of Executive.</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3.4.</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w w:val="93"/>
              </w:rPr>
              <w:t>Stock Awards</w:t>
            </w:r>
            <w:r>
              <w:rPr>
                <w:rFonts w:ascii="Arial" w:cs="Arial" w:eastAsia="Arial" w:hAnsi="Arial"/>
                <w:sz w:val="20"/>
                <w:szCs w:val="20"/>
                <w:color w:val="auto"/>
                <w:w w:val="93"/>
              </w:rPr>
              <w:t>. Upon a Change in Control Termination, (i) the vesting and exercisability of all outstanding options to</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3"/>
              </w:rPr>
              <w:t>purchase the Company’s common stock (or stock appreciation rights or other rights with respect to the stock of the Company</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6"/>
              </w:rPr>
              <w:t>issued pursuant to any equity incentive plan of the Company) that are held by Executive on the Termination Date shall be</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5"/>
              </w:rPr>
              <w:t>accelerated in full, (ii) any reacquisition or repurchase rights held by the Company with respect to common stock issued or</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1"/>
              </w:rPr>
              <w:t>issuable (or with respect to other rights with respect to the stock of the Company issued or issuable) pursuant to any other stock</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6"/>
              </w:rPr>
              <w:t>award granted to Executive pursuant to any equity incentive plan of the Company shall lapse and (iii) the time period that</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1"/>
              </w:rPr>
              <w:t>Executive has to exercise any outstanding options to purchase the Company’s common stock that are held by Executive on the</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2"/>
              </w:rPr>
              <w:t>Termination Date shall be extended for a period equal to the shorter of (A) twelve (12) months or (B) the remaining term of the</w:t>
            </w:r>
          </w:p>
        </w:tc>
      </w:tr>
      <w:tr>
        <w:trPr>
          <w:trHeight w:val="250"/>
        </w:trPr>
        <w:tc>
          <w:tcPr>
            <w:tcW w:w="540" w:type="dxa"/>
            <w:vAlign w:val="bottom"/>
          </w:tcPr>
          <w:p>
            <w:pPr>
              <w:spacing w:after="0"/>
              <w:rPr>
                <w:sz w:val="21"/>
                <w:szCs w:val="21"/>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rPr>
              <w:t>outstanding option.</w:t>
            </w:r>
          </w:p>
        </w:tc>
      </w:tr>
      <w:tr>
        <w:trPr>
          <w:trHeight w:val="391"/>
        </w:trPr>
        <w:tc>
          <w:tcPr>
            <w:tcW w:w="540" w:type="dxa"/>
            <w:vAlign w:val="bottom"/>
          </w:tcPr>
          <w:p>
            <w:pPr>
              <w:spacing w:after="0"/>
              <w:rPr>
                <w:sz w:val="24"/>
                <w:szCs w:val="24"/>
                <w:color w:val="auto"/>
              </w:rPr>
            </w:pPr>
          </w:p>
        </w:tc>
        <w:tc>
          <w:tcPr>
            <w:tcW w:w="10600" w:type="dxa"/>
            <w:vAlign w:val="bottom"/>
          </w:tcPr>
          <w:p>
            <w:pPr>
              <w:ind w:left="4480"/>
              <w:spacing w:after="0"/>
              <w:rPr>
                <w:sz w:val="20"/>
                <w:szCs w:val="20"/>
                <w:color w:val="auto"/>
              </w:rPr>
            </w:pPr>
            <w:r>
              <w:rPr>
                <w:rFonts w:ascii="Arial" w:cs="Arial" w:eastAsia="Arial" w:hAnsi="Arial"/>
                <w:sz w:val="20"/>
                <w:szCs w:val="20"/>
                <w:b w:val="1"/>
                <w:bCs w:val="1"/>
                <w:color w:val="auto"/>
              </w:rPr>
              <w:t>ARTICLE 4</w:t>
            </w:r>
          </w:p>
        </w:tc>
      </w:tr>
      <w:tr>
        <w:trPr>
          <w:trHeight w:val="378"/>
        </w:trPr>
        <w:tc>
          <w:tcPr>
            <w:tcW w:w="540" w:type="dxa"/>
            <w:vAlign w:val="bottom"/>
          </w:tcPr>
          <w:p>
            <w:pPr>
              <w:spacing w:after="0"/>
              <w:rPr>
                <w:sz w:val="24"/>
                <w:szCs w:val="24"/>
                <w:color w:val="auto"/>
              </w:rPr>
            </w:pPr>
          </w:p>
        </w:tc>
        <w:tc>
          <w:tcPr>
            <w:tcW w:w="10600" w:type="dxa"/>
            <w:vAlign w:val="bottom"/>
          </w:tcPr>
          <w:p>
            <w:pPr>
              <w:ind w:left="2620"/>
              <w:spacing w:after="0"/>
              <w:rPr>
                <w:sz w:val="20"/>
                <w:szCs w:val="20"/>
                <w:color w:val="auto"/>
              </w:rPr>
            </w:pPr>
            <w:r>
              <w:rPr>
                <w:rFonts w:ascii="Arial" w:cs="Arial" w:eastAsia="Arial" w:hAnsi="Arial"/>
                <w:sz w:val="20"/>
                <w:szCs w:val="20"/>
                <w:b w:val="1"/>
                <w:bCs w:val="1"/>
                <w:color w:val="auto"/>
              </w:rPr>
              <w:t>COVERED TERMINATION SEVERANCE BENEFITS</w:t>
            </w:r>
          </w:p>
        </w:tc>
      </w:tr>
      <w:tr>
        <w:trPr>
          <w:trHeight w:val="343"/>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4.1.</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w w:val="96"/>
              </w:rPr>
              <w:t>Severance Benefits</w:t>
            </w:r>
            <w:r>
              <w:rPr>
                <w:rFonts w:ascii="Arial" w:cs="Arial" w:eastAsia="Arial" w:hAnsi="Arial"/>
                <w:sz w:val="20"/>
                <w:szCs w:val="20"/>
                <w:color w:val="auto"/>
                <w:w w:val="96"/>
              </w:rPr>
              <w:t>. Upon a Covered Termination, and subject to the limitations and conditions set forth in this</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Agreement, Executive shall be eligible to receive the benefits set forth in this Article 4. The receipt of any severance payments or</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89"/>
              </w:rPr>
              <w:t>benefits pursuant to this Agreement is subject to Executive signing and not revoking the appropriate Release, which Release must</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6"/>
              </w:rPr>
              <w:t>become effective and irrevocable no later than the Release Deadline Date. If the Release does not become effective and</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5"/>
              </w:rPr>
              <w:t>irrevocable by the Release Deadline Date, Executive will forfeit any right to any severance payments or benefits under this</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Agreement. In no event will severance payments or benefits be paid or provided until the Release actually becomes effective and</w:t>
            </w:r>
          </w:p>
        </w:tc>
      </w:tr>
      <w:tr>
        <w:trPr>
          <w:trHeight w:val="250"/>
        </w:trPr>
        <w:tc>
          <w:tcPr>
            <w:tcW w:w="540" w:type="dxa"/>
            <w:vAlign w:val="bottom"/>
          </w:tcPr>
          <w:p>
            <w:pPr>
              <w:spacing w:after="0"/>
              <w:rPr>
                <w:sz w:val="21"/>
                <w:szCs w:val="21"/>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rPr>
              <w:t>irrevocable.</w:t>
            </w:r>
          </w:p>
        </w:tc>
      </w:tr>
      <w:tr>
        <w:trPr>
          <w:trHeight w:val="384"/>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4.2.</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w w:val="90"/>
              </w:rPr>
              <w:t>Salary Payment</w:t>
            </w:r>
            <w:r>
              <w:rPr>
                <w:rFonts w:ascii="Arial" w:cs="Arial" w:eastAsia="Arial" w:hAnsi="Arial"/>
                <w:sz w:val="20"/>
                <w:szCs w:val="20"/>
                <w:color w:val="auto"/>
                <w:w w:val="90"/>
              </w:rPr>
              <w:t>. In consideration of Executive’s timely execution and non-revocation of a full release of all claims, in a</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form provided by the Company and in accordance with Article 5, the Company shall pay Executive a severance payment equal to</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the sum of (i) Executive’s Monthly Base Salary multiplied by the number of months in the Covered Termination Severance Period</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6"/>
              </w:rPr>
              <w:t>and (ii) the Target Performance Bonus as in effect on the date of a Covered Termination multiplied by the number of days</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0"/>
              </w:rPr>
              <w:t>Executive was employed in the year of the Covered Termination divided by the total number of days in such year, less applicable</w:t>
            </w:r>
          </w:p>
        </w:tc>
      </w:tr>
      <w:tr>
        <w:trPr>
          <w:trHeight w:val="229"/>
        </w:trPr>
        <w:tc>
          <w:tcPr>
            <w:tcW w:w="540" w:type="dxa"/>
            <w:vAlign w:val="bottom"/>
          </w:tcPr>
          <w:p>
            <w:pPr>
              <w:spacing w:after="0"/>
              <w:rPr>
                <w:sz w:val="19"/>
                <w:szCs w:val="19"/>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w w:val="95"/>
              </w:rPr>
              <w:t>withholdings. The severance payment shall be payable (except as set forth in Article 5) in a lump sum on the first regularly-</w:t>
            </w:r>
          </w:p>
        </w:tc>
      </w:tr>
      <w:tr>
        <w:trPr>
          <w:trHeight w:val="250"/>
        </w:trPr>
        <w:tc>
          <w:tcPr>
            <w:tcW w:w="540" w:type="dxa"/>
            <w:vAlign w:val="bottom"/>
          </w:tcPr>
          <w:p>
            <w:pPr>
              <w:spacing w:after="0"/>
              <w:rPr>
                <w:sz w:val="21"/>
                <w:szCs w:val="21"/>
                <w:color w:val="auto"/>
              </w:rPr>
            </w:pPr>
          </w:p>
        </w:tc>
        <w:tc>
          <w:tcPr>
            <w:tcW w:w="10600" w:type="dxa"/>
            <w:vAlign w:val="bottom"/>
          </w:tcPr>
          <w:p>
            <w:pPr>
              <w:ind w:left="260"/>
              <w:spacing w:after="0"/>
              <w:rPr>
                <w:sz w:val="20"/>
                <w:szCs w:val="20"/>
                <w:color w:val="auto"/>
              </w:rPr>
            </w:pPr>
            <w:r>
              <w:rPr>
                <w:rFonts w:ascii="Arial" w:cs="Arial" w:eastAsia="Arial" w:hAnsi="Arial"/>
                <w:sz w:val="20"/>
                <w:szCs w:val="20"/>
                <w:color w:val="auto"/>
              </w:rPr>
              <w:t>scheduled payroll date occurring on or after the Release Deadline Date.</w:t>
            </w:r>
          </w:p>
        </w:tc>
      </w:tr>
      <w:tr>
        <w:trPr>
          <w:trHeight w:val="391"/>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4.3.</w:t>
            </w:r>
          </w:p>
        </w:tc>
        <w:tc>
          <w:tcPr>
            <w:tcW w:w="10600" w:type="dxa"/>
            <w:vAlign w:val="bottom"/>
          </w:tcPr>
          <w:p>
            <w:pPr>
              <w:ind w:left="1040"/>
              <w:spacing w:after="0"/>
              <w:rPr>
                <w:sz w:val="20"/>
                <w:szCs w:val="20"/>
                <w:color w:val="auto"/>
              </w:rPr>
            </w:pPr>
            <w:r>
              <w:rPr>
                <w:rFonts w:ascii="Arial" w:cs="Arial" w:eastAsia="Arial" w:hAnsi="Arial"/>
                <w:sz w:val="20"/>
                <w:szCs w:val="20"/>
                <w:b w:val="1"/>
                <w:bCs w:val="1"/>
                <w:color w:val="auto"/>
              </w:rPr>
              <w:t>Health Continuation Coverage</w:t>
            </w:r>
            <w:r>
              <w:rPr>
                <w:rFonts w:ascii="Arial" w:cs="Arial" w:eastAsia="Arial" w:hAnsi="Arial"/>
                <w:sz w:val="20"/>
                <w:szCs w:val="20"/>
                <w:color w:val="auto"/>
              </w:rPr>
              <w:t>.</w:t>
            </w:r>
          </w:p>
        </w:tc>
      </w:tr>
    </w:tbl>
    <w:p>
      <w:pPr>
        <w:spacing w:after="0" w:line="33" w:lineRule="exact"/>
        <w:rPr>
          <w:sz w:val="20"/>
          <w:szCs w:val="20"/>
          <w:color w:val="auto"/>
        </w:rPr>
      </w:pPr>
    </w:p>
    <w:p>
      <w:pPr>
        <w:ind w:firstLine="1735"/>
        <w:spacing w:after="0" w:line="255" w:lineRule="auto"/>
        <w:tabs>
          <w:tab w:leader="none" w:pos="2528" w:val="left"/>
        </w:tabs>
        <w:numPr>
          <w:ilvl w:val="0"/>
          <w:numId w:val="53"/>
        </w:numPr>
        <w:rPr>
          <w:rFonts w:ascii="Arial" w:cs="Arial" w:eastAsia="Arial" w:hAnsi="Arial"/>
          <w:sz w:val="19"/>
          <w:szCs w:val="19"/>
          <w:color w:val="auto"/>
        </w:rPr>
      </w:pPr>
      <w:r>
        <w:rPr>
          <w:rFonts w:ascii="Arial" w:cs="Arial" w:eastAsia="Arial" w:hAnsi="Arial"/>
          <w:sz w:val="19"/>
          <w:szCs w:val="19"/>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85" w:right="359" w:bottom="1440" w:gutter="0" w:footer="0" w:header="0"/>
        </w:sectPr>
      </w:pPr>
    </w:p>
    <w:bookmarkStart w:id="109" w:name="page110"/>
    <w:bookmarkEnd w:id="109"/>
    <w:p>
      <w:pPr>
        <w:ind w:right="20"/>
        <w:spacing w:after="0" w:line="274" w:lineRule="auto"/>
        <w:rPr>
          <w:sz w:val="20"/>
          <w:szCs w:val="20"/>
          <w:color w:val="auto"/>
        </w:rPr>
      </w:pPr>
      <w:r>
        <w:rPr>
          <w:rFonts w:ascii="Arial" w:cs="Arial" w:eastAsia="Arial" w:hAnsi="Arial"/>
          <w:sz w:val="18"/>
          <w:szCs w:val="18"/>
          <w:color w:val="auto"/>
        </w:rPr>
        <w:t>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12" w:lineRule="exact"/>
        <w:rPr>
          <w:sz w:val="20"/>
          <w:szCs w:val="20"/>
          <w:color w:val="auto"/>
        </w:rPr>
      </w:pPr>
    </w:p>
    <w:p>
      <w:pPr>
        <w:ind w:right="280" w:firstLine="1735"/>
        <w:spacing w:after="0" w:line="290" w:lineRule="auto"/>
        <w:tabs>
          <w:tab w:leader="none" w:pos="25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80"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6"/>
          <w:szCs w:val="16"/>
          <w:b w:val="1"/>
          <w:bCs w:val="1"/>
          <w:color w:val="auto"/>
        </w:rPr>
        <w:t>Stock Awards</w:t>
      </w:r>
      <w:r>
        <w:rPr>
          <w:rFonts w:ascii="Arial" w:cs="Arial" w:eastAsia="Arial" w:hAnsi="Arial"/>
          <w:sz w:val="16"/>
          <w:szCs w:val="16"/>
          <w:color w:val="auto"/>
        </w:rPr>
        <w:t>. Upon a Covered Termination:</w:t>
      </w:r>
    </w:p>
    <w:p>
      <w:pPr>
        <w:spacing w:after="0" w:line="167" w:lineRule="exact"/>
        <w:rPr>
          <w:sz w:val="20"/>
          <w:szCs w:val="20"/>
          <w:color w:val="auto"/>
        </w:rPr>
      </w:pPr>
    </w:p>
    <w:p>
      <w:pPr>
        <w:ind w:right="20" w:firstLine="1735"/>
        <w:spacing w:after="0" w:line="242" w:lineRule="auto"/>
        <w:tabs>
          <w:tab w:leader="none" w:pos="252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20"/>
          <w:szCs w:val="20"/>
          <w:b w:val="1"/>
          <w:bCs w:val="1"/>
          <w:i w:val="1"/>
          <w:iCs w:val="1"/>
          <w:color w:val="auto"/>
        </w:rPr>
        <w:t>Option Shares</w:t>
      </w:r>
      <w:r>
        <w:rPr>
          <w:rFonts w:ascii="Arial" w:cs="Arial" w:eastAsia="Arial" w:hAnsi="Arial"/>
          <w:sz w:val="20"/>
          <w:szCs w:val="20"/>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29" w:lineRule="exact"/>
        <w:rPr>
          <w:rFonts w:ascii="Arial" w:cs="Arial" w:eastAsia="Arial" w:hAnsi="Arial"/>
          <w:sz w:val="20"/>
          <w:szCs w:val="20"/>
          <w:color w:val="auto"/>
        </w:rPr>
      </w:pPr>
    </w:p>
    <w:p>
      <w:pPr>
        <w:ind w:right="40" w:firstLine="1735"/>
        <w:spacing w:after="0" w:line="256" w:lineRule="auto"/>
        <w:tabs>
          <w:tab w:leader="none" w:pos="2539"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19"/>
          <w:szCs w:val="19"/>
          <w:b w:val="1"/>
          <w:bCs w:val="1"/>
          <w:i w:val="1"/>
          <w:iCs w:val="1"/>
          <w:color w:val="auto"/>
        </w:rPr>
        <w:t>Restricted Shares</w:t>
      </w:r>
      <w:r>
        <w:rPr>
          <w:rFonts w:ascii="Arial" w:cs="Arial" w:eastAsia="Arial" w:hAnsi="Arial"/>
          <w:sz w:val="19"/>
          <w:szCs w:val="19"/>
          <w:color w:val="auto"/>
        </w:rPr>
        <w:t>”) held by the Executive as of the Termination Date shall lapse as to the number of Restricted Shares as equals the number of 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23" w:lineRule="exact"/>
        <w:rPr>
          <w:rFonts w:ascii="Arial" w:cs="Arial" w:eastAsia="Arial" w:hAnsi="Arial"/>
          <w:sz w:val="19"/>
          <w:szCs w:val="19"/>
          <w:color w:val="auto"/>
        </w:rPr>
      </w:pPr>
    </w:p>
    <w:p>
      <w:pPr>
        <w:ind w:right="140" w:firstLine="1735"/>
        <w:spacing w:after="0" w:line="249" w:lineRule="auto"/>
        <w:tabs>
          <w:tab w:leader="none" w:pos="252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10640" w:type="dxa"/>
            <w:vAlign w:val="bottom"/>
          </w:tcPr>
          <w:p>
            <w:pPr>
              <w:jc w:val="center"/>
              <w:ind w:right="541"/>
              <w:spacing w:after="0"/>
              <w:rPr>
                <w:sz w:val="20"/>
                <w:szCs w:val="20"/>
                <w:color w:val="auto"/>
              </w:rPr>
            </w:pPr>
            <w:r>
              <w:rPr>
                <w:rFonts w:ascii="Arial" w:cs="Arial" w:eastAsia="Arial" w:hAnsi="Arial"/>
                <w:sz w:val="20"/>
                <w:szCs w:val="20"/>
                <w:b w:val="1"/>
                <w:bCs w:val="1"/>
                <w:color w:val="auto"/>
              </w:rPr>
              <w:t>ARTICLE 5</w:t>
            </w:r>
          </w:p>
        </w:tc>
      </w:tr>
      <w:tr>
        <w:trPr>
          <w:trHeight w:val="391"/>
        </w:trPr>
        <w:tc>
          <w:tcPr>
            <w:tcW w:w="620" w:type="dxa"/>
            <w:vAlign w:val="bottom"/>
          </w:tcPr>
          <w:p>
            <w:pPr>
              <w:spacing w:after="0"/>
              <w:rPr>
                <w:sz w:val="24"/>
                <w:szCs w:val="24"/>
                <w:color w:val="auto"/>
              </w:rPr>
            </w:pPr>
          </w:p>
        </w:tc>
        <w:tc>
          <w:tcPr>
            <w:tcW w:w="10640" w:type="dxa"/>
            <w:vAlign w:val="bottom"/>
          </w:tcPr>
          <w:p>
            <w:pPr>
              <w:jc w:val="center"/>
              <w:ind w:right="521"/>
              <w:spacing w:after="0"/>
              <w:rPr>
                <w:sz w:val="20"/>
                <w:szCs w:val="20"/>
                <w:color w:val="auto"/>
              </w:rPr>
            </w:pPr>
            <w:r>
              <w:rPr>
                <w:rFonts w:ascii="Arial" w:cs="Arial" w:eastAsia="Arial" w:hAnsi="Arial"/>
                <w:sz w:val="20"/>
                <w:szCs w:val="20"/>
                <w:b w:val="1"/>
                <w:bCs w:val="1"/>
                <w:color w:val="auto"/>
              </w:rPr>
              <w:t>LIMITATIONS AND CONDITIONS ON BENEFITS</w:t>
            </w:r>
          </w:p>
        </w:tc>
      </w:tr>
      <w:tr>
        <w:trPr>
          <w:trHeight w:val="343"/>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5.1.</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3"/>
              </w:rPr>
              <w:t>Rights Conditioned on Compliance</w:t>
            </w:r>
            <w:r>
              <w:rPr>
                <w:rFonts w:ascii="Arial" w:cs="Arial" w:eastAsia="Arial" w:hAnsi="Arial"/>
                <w:sz w:val="20"/>
                <w:szCs w:val="20"/>
                <w:color w:val="auto"/>
                <w:w w:val="93"/>
              </w:rPr>
              <w:t>. Executive’s rights to receive all severance benefits described in Article 3 and</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5"/>
              </w:rPr>
              <w:t>Article 4 shall be conditioned upon and subject to Executive’s compliance with the limitations and conditions on benefits as</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rPr>
              <w:t>described in this Article 5.</w:t>
            </w:r>
          </w:p>
        </w:tc>
      </w:tr>
      <w:tr>
        <w:trPr>
          <w:trHeight w:val="384"/>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5.2.</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3"/>
              </w:rPr>
              <w:t>Continuation of Service Until Date of Termination</w:t>
            </w:r>
            <w:r>
              <w:rPr>
                <w:rFonts w:ascii="Arial" w:cs="Arial" w:eastAsia="Arial" w:hAnsi="Arial"/>
                <w:sz w:val="20"/>
                <w:szCs w:val="20"/>
                <w:color w:val="auto"/>
                <w:w w:val="93"/>
              </w:rPr>
              <w:t>. Executive shall continue to provide service to the Company in</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rPr>
              <w:t>good faith until the Termination Date, unless such performance is</w:t>
            </w:r>
          </w:p>
        </w:tc>
      </w:tr>
      <w:tr>
        <w:trPr>
          <w:trHeight w:val="445"/>
        </w:trPr>
        <w:tc>
          <w:tcPr>
            <w:tcW w:w="620" w:type="dxa"/>
            <w:vAlign w:val="bottom"/>
          </w:tcPr>
          <w:p>
            <w:pPr>
              <w:spacing w:after="0"/>
              <w:rPr>
                <w:sz w:val="24"/>
                <w:szCs w:val="24"/>
                <w:color w:val="auto"/>
              </w:rPr>
            </w:pPr>
          </w:p>
        </w:tc>
        <w:tc>
          <w:tcPr>
            <w:tcW w:w="10640" w:type="dxa"/>
            <w:vAlign w:val="bottom"/>
          </w:tcPr>
          <w:p>
            <w:pPr>
              <w:jc w:val="center"/>
              <w:ind w:right="521"/>
              <w:spacing w:after="0"/>
              <w:rPr>
                <w:sz w:val="20"/>
                <w:szCs w:val="20"/>
                <w:color w:val="auto"/>
              </w:rPr>
            </w:pPr>
            <w:r>
              <w:rPr>
                <w:rFonts w:ascii="Arial" w:cs="Arial" w:eastAsia="Arial" w:hAnsi="Arial"/>
                <w:sz w:val="20"/>
                <w:szCs w:val="20"/>
                <w:color w:val="auto"/>
                <w:w w:val="89"/>
              </w:rPr>
              <w:t>5</w:t>
            </w:r>
          </w:p>
        </w:tc>
      </w:tr>
      <w:tr>
        <w:trPr>
          <w:trHeight w:val="124"/>
        </w:trPr>
        <w:tc>
          <w:tcPr>
            <w:tcW w:w="620" w:type="dxa"/>
            <w:vAlign w:val="bottom"/>
            <w:tcBorders>
              <w:bottom w:val="single" w:sz="8" w:color="9A9A9A"/>
            </w:tcBorders>
          </w:tcPr>
          <w:p>
            <w:pPr>
              <w:spacing w:after="0"/>
              <w:rPr>
                <w:sz w:val="10"/>
                <w:szCs w:val="10"/>
                <w:color w:val="auto"/>
              </w:rPr>
            </w:pPr>
          </w:p>
        </w:tc>
        <w:tc>
          <w:tcPr>
            <w:tcW w:w="10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77" w:right="319" w:bottom="1440" w:gutter="0" w:footer="0" w:header="0"/>
        </w:sectPr>
      </w:pPr>
    </w:p>
    <w:bookmarkStart w:id="110" w:name="page111"/>
    <w:bookmarkEnd w:id="110"/>
    <w:p>
      <w:pPr>
        <w:ind w:left="1620"/>
        <w:spacing w:after="0"/>
        <w:rPr>
          <w:sz w:val="20"/>
          <w:szCs w:val="20"/>
          <w:color w:val="auto"/>
        </w:rPr>
      </w:pPr>
      <w:r>
        <w:rPr>
          <w:rFonts w:ascii="Arial" w:cs="Arial" w:eastAsia="Arial" w:hAnsi="Arial"/>
          <w:sz w:val="20"/>
          <w:szCs w:val="20"/>
          <w:color w:val="auto"/>
        </w:rPr>
        <w:t>otherwise excused in writing by the Company.</w:t>
      </w:r>
    </w:p>
    <w:p>
      <w:pPr>
        <w:spacing w:after="0" w:line="143" w:lineRule="exact"/>
        <w:rPr>
          <w:sz w:val="20"/>
          <w:szCs w:val="20"/>
          <w:color w:val="auto"/>
        </w:rPr>
      </w:pPr>
    </w:p>
    <w:p>
      <w:pPr>
        <w:ind w:left="840" w:right="40" w:hanging="796"/>
        <w:spacing w:after="0" w:line="305" w:lineRule="auto"/>
        <w:tabs>
          <w:tab w:leader="none" w:pos="8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6"/>
          <w:szCs w:val="16"/>
          <w:b w:val="1"/>
          <w:bCs w:val="1"/>
          <w:color w:val="auto"/>
        </w:rPr>
        <w:t>Release Prior to Payment of Benefits</w:t>
      </w:r>
      <w:r>
        <w:rPr>
          <w:rFonts w:ascii="Arial" w:cs="Arial" w:eastAsia="Arial" w:hAnsi="Arial"/>
          <w:sz w:val="16"/>
          <w:szCs w:val="16"/>
          <w:color w:val="auto"/>
        </w:rPr>
        <w:t>. Upon the occurrence of a Change in Control Termination or a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5.4.</w:t>
            </w:r>
          </w:p>
        </w:tc>
        <w:tc>
          <w:tcPr>
            <w:tcW w:w="10360" w:type="dxa"/>
            <w:vAlign w:val="bottom"/>
          </w:tcPr>
          <w:p>
            <w:pPr>
              <w:ind w:left="1040"/>
              <w:spacing w:after="0"/>
              <w:rPr>
                <w:sz w:val="20"/>
                <w:szCs w:val="20"/>
                <w:color w:val="auto"/>
              </w:rPr>
            </w:pPr>
            <w:r>
              <w:rPr>
                <w:rFonts w:ascii="Arial" w:cs="Arial" w:eastAsia="Arial" w:hAnsi="Arial"/>
                <w:sz w:val="20"/>
                <w:szCs w:val="20"/>
                <w:b w:val="1"/>
                <w:bCs w:val="1"/>
                <w:color w:val="auto"/>
                <w:w w:val="95"/>
              </w:rPr>
              <w:t>Return of Company Property</w:t>
            </w:r>
            <w:r>
              <w:rPr>
                <w:rFonts w:ascii="Arial" w:cs="Arial" w:eastAsia="Arial" w:hAnsi="Arial"/>
                <w:sz w:val="20"/>
                <w:szCs w:val="20"/>
                <w:color w:val="auto"/>
                <w:w w:val="95"/>
              </w:rPr>
              <w:t>. Not later than the Termination Date, Executive shall return to the Company all</w:t>
            </w:r>
          </w:p>
        </w:tc>
      </w:tr>
      <w:tr>
        <w:trPr>
          <w:trHeight w:val="229"/>
        </w:trPr>
        <w:tc>
          <w:tcPr>
            <w:tcW w:w="540" w:type="dxa"/>
            <w:vAlign w:val="bottom"/>
          </w:tcPr>
          <w:p>
            <w:pPr>
              <w:spacing w:after="0"/>
              <w:rPr>
                <w:sz w:val="19"/>
                <w:szCs w:val="19"/>
                <w:color w:val="auto"/>
              </w:rPr>
            </w:pPr>
          </w:p>
        </w:tc>
        <w:tc>
          <w:tcPr>
            <w:tcW w:w="10360" w:type="dxa"/>
            <w:vAlign w:val="bottom"/>
          </w:tcPr>
          <w:p>
            <w:pPr>
              <w:ind w:left="260"/>
              <w:spacing w:after="0"/>
              <w:rPr>
                <w:sz w:val="20"/>
                <w:szCs w:val="20"/>
                <w:color w:val="auto"/>
              </w:rPr>
            </w:pPr>
            <w:r>
              <w:rPr>
                <w:rFonts w:ascii="Arial" w:cs="Arial" w:eastAsia="Arial" w:hAnsi="Arial"/>
                <w:sz w:val="20"/>
                <w:szCs w:val="20"/>
                <w:color w:val="auto"/>
                <w:w w:val="89"/>
              </w:rPr>
              <w:t>documents (and all copies thereof) and other property belonging to the Company that Executive has in his or her possession or</w:t>
            </w:r>
          </w:p>
        </w:tc>
      </w:tr>
      <w:tr>
        <w:trPr>
          <w:trHeight w:val="229"/>
        </w:trPr>
        <w:tc>
          <w:tcPr>
            <w:tcW w:w="540" w:type="dxa"/>
            <w:vAlign w:val="bottom"/>
          </w:tcPr>
          <w:p>
            <w:pPr>
              <w:spacing w:after="0"/>
              <w:rPr>
                <w:sz w:val="19"/>
                <w:szCs w:val="19"/>
                <w:color w:val="auto"/>
              </w:rPr>
            </w:pPr>
          </w:p>
        </w:tc>
        <w:tc>
          <w:tcPr>
            <w:tcW w:w="10360" w:type="dxa"/>
            <w:vAlign w:val="bottom"/>
          </w:tcPr>
          <w:p>
            <w:pPr>
              <w:ind w:left="260"/>
              <w:spacing w:after="0"/>
              <w:rPr>
                <w:sz w:val="20"/>
                <w:szCs w:val="20"/>
                <w:color w:val="auto"/>
              </w:rPr>
            </w:pPr>
            <w:r>
              <w:rPr>
                <w:rFonts w:ascii="Arial" w:cs="Arial" w:eastAsia="Arial" w:hAnsi="Arial"/>
                <w:sz w:val="20"/>
                <w:szCs w:val="20"/>
                <w:color w:val="auto"/>
                <w:w w:val="89"/>
              </w:rPr>
              <w:t>control. The documents and property to be returned include, but are not limited to, all files, correspondence, email, memoranda,</w:t>
            </w:r>
          </w:p>
        </w:tc>
      </w:tr>
      <w:tr>
        <w:trPr>
          <w:trHeight w:val="229"/>
        </w:trPr>
        <w:tc>
          <w:tcPr>
            <w:tcW w:w="540" w:type="dxa"/>
            <w:vAlign w:val="bottom"/>
          </w:tcPr>
          <w:p>
            <w:pPr>
              <w:spacing w:after="0"/>
              <w:rPr>
                <w:sz w:val="19"/>
                <w:szCs w:val="19"/>
                <w:color w:val="auto"/>
              </w:rPr>
            </w:pPr>
          </w:p>
        </w:tc>
        <w:tc>
          <w:tcPr>
            <w:tcW w:w="10360" w:type="dxa"/>
            <w:vAlign w:val="bottom"/>
          </w:tcPr>
          <w:p>
            <w:pPr>
              <w:ind w:left="260"/>
              <w:spacing w:after="0"/>
              <w:rPr>
                <w:sz w:val="20"/>
                <w:szCs w:val="20"/>
                <w:color w:val="auto"/>
              </w:rPr>
            </w:pPr>
            <w:r>
              <w:rPr>
                <w:rFonts w:ascii="Arial" w:cs="Arial" w:eastAsia="Arial" w:hAnsi="Arial"/>
                <w:sz w:val="20"/>
                <w:szCs w:val="20"/>
                <w:color w:val="auto"/>
                <w:w w:val="91"/>
              </w:rPr>
              <w:t>notes, notebooks, records, plans, forecasts, reports, studies, analyses, compilations of data, proposals, agreements, financial</w:t>
            </w:r>
          </w:p>
        </w:tc>
      </w:tr>
      <w:tr>
        <w:trPr>
          <w:trHeight w:val="229"/>
        </w:trPr>
        <w:tc>
          <w:tcPr>
            <w:tcW w:w="540" w:type="dxa"/>
            <w:vAlign w:val="bottom"/>
          </w:tcPr>
          <w:p>
            <w:pPr>
              <w:spacing w:after="0"/>
              <w:rPr>
                <w:sz w:val="19"/>
                <w:szCs w:val="19"/>
                <w:color w:val="auto"/>
              </w:rPr>
            </w:pPr>
          </w:p>
        </w:tc>
        <w:tc>
          <w:tcPr>
            <w:tcW w:w="10360" w:type="dxa"/>
            <w:vAlign w:val="bottom"/>
          </w:tcPr>
          <w:p>
            <w:pPr>
              <w:ind w:left="260"/>
              <w:spacing w:after="0"/>
              <w:rPr>
                <w:sz w:val="20"/>
                <w:szCs w:val="20"/>
                <w:color w:val="auto"/>
              </w:rPr>
            </w:pPr>
            <w:r>
              <w:rPr>
                <w:rFonts w:ascii="Arial" w:cs="Arial" w:eastAsia="Arial" w:hAnsi="Arial"/>
                <w:sz w:val="20"/>
                <w:szCs w:val="20"/>
                <w:color w:val="auto"/>
                <w:w w:val="90"/>
              </w:rPr>
              <w:t>information, research and development information, marketing information, operational and personnel information, databases,</w:t>
            </w:r>
          </w:p>
        </w:tc>
      </w:tr>
      <w:tr>
        <w:trPr>
          <w:trHeight w:val="229"/>
        </w:trPr>
        <w:tc>
          <w:tcPr>
            <w:tcW w:w="540" w:type="dxa"/>
            <w:vAlign w:val="bottom"/>
          </w:tcPr>
          <w:p>
            <w:pPr>
              <w:spacing w:after="0"/>
              <w:rPr>
                <w:sz w:val="19"/>
                <w:szCs w:val="19"/>
                <w:color w:val="auto"/>
              </w:rPr>
            </w:pPr>
          </w:p>
        </w:tc>
        <w:tc>
          <w:tcPr>
            <w:tcW w:w="10360" w:type="dxa"/>
            <w:vAlign w:val="bottom"/>
          </w:tcPr>
          <w:p>
            <w:pPr>
              <w:ind w:left="260"/>
              <w:spacing w:after="0"/>
              <w:rPr>
                <w:sz w:val="20"/>
                <w:szCs w:val="20"/>
                <w:color w:val="auto"/>
              </w:rPr>
            </w:pPr>
            <w:r>
              <w:rPr>
                <w:rFonts w:ascii="Arial" w:cs="Arial" w:eastAsia="Arial" w:hAnsi="Arial"/>
                <w:sz w:val="20"/>
                <w:szCs w:val="20"/>
                <w:color w:val="auto"/>
                <w:w w:val="90"/>
              </w:rPr>
              <w:t>computer-recorded information, tangible property and equipment (including, but not limited to, computers, facsimile machines,</w:t>
            </w:r>
          </w:p>
        </w:tc>
      </w:tr>
      <w:tr>
        <w:trPr>
          <w:trHeight w:val="245"/>
        </w:trPr>
        <w:tc>
          <w:tcPr>
            <w:tcW w:w="540" w:type="dxa"/>
            <w:vAlign w:val="bottom"/>
          </w:tcPr>
          <w:p>
            <w:pPr>
              <w:spacing w:after="0"/>
              <w:rPr>
                <w:sz w:val="21"/>
                <w:szCs w:val="21"/>
                <w:color w:val="auto"/>
              </w:rPr>
            </w:pPr>
          </w:p>
        </w:tc>
        <w:tc>
          <w:tcPr>
            <w:tcW w:w="10360" w:type="dxa"/>
            <w:vAlign w:val="bottom"/>
          </w:tcPr>
          <w:p>
            <w:pPr>
              <w:ind w:left="260"/>
              <w:spacing w:after="0"/>
              <w:rPr>
                <w:sz w:val="20"/>
                <w:szCs w:val="20"/>
                <w:color w:val="auto"/>
              </w:rPr>
            </w:pPr>
            <w:r>
              <w:rPr>
                <w:rFonts w:ascii="Arial" w:cs="Arial" w:eastAsia="Arial" w:hAnsi="Arial"/>
                <w:sz w:val="20"/>
                <w:szCs w:val="20"/>
                <w:color w:val="auto"/>
                <w:w w:val="90"/>
              </w:rPr>
              <w:t>mobile telephones and servers), credit cards, entry cards, identification badges and keys, and any materials of any kind which</w:t>
            </w:r>
          </w:p>
        </w:tc>
      </w:tr>
    </w:tbl>
    <w:p>
      <w:pPr>
        <w:ind w:left="840"/>
        <w:spacing w:after="0" w:line="254" w:lineRule="auto"/>
        <w:rPr>
          <w:sz w:val="20"/>
          <w:szCs w:val="20"/>
          <w:color w:val="auto"/>
        </w:rPr>
      </w:pPr>
      <w:r>
        <w:rPr>
          <w:rFonts w:ascii="Arial" w:cs="Arial" w:eastAsia="Arial" w:hAnsi="Arial"/>
          <w:sz w:val="19"/>
          <w:szCs w:val="19"/>
          <w:color w:val="auto"/>
        </w:rPr>
        <w:t>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 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126" w:lineRule="exact"/>
        <w:rPr>
          <w:sz w:val="20"/>
          <w:szCs w:val="20"/>
          <w:color w:val="auto"/>
        </w:rPr>
      </w:pPr>
    </w:p>
    <w:p>
      <w:pPr>
        <w:ind w:left="840"/>
        <w:spacing w:after="0"/>
        <w:tabs>
          <w:tab w:leader="none" w:pos="240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154" w:lineRule="exact"/>
        <w:rPr>
          <w:sz w:val="20"/>
          <w:szCs w:val="20"/>
          <w:color w:val="auto"/>
        </w:rPr>
      </w:pPr>
    </w:p>
    <w:p>
      <w:pPr>
        <w:ind w:left="-40" w:right="60" w:firstLine="1735"/>
        <w:spacing w:after="0" w:line="244" w:lineRule="auto"/>
        <w:tabs>
          <w:tab w:leader="none" w:pos="2488" w:val="left"/>
        </w:tabs>
        <w:numPr>
          <w:ilvl w:val="0"/>
          <w:numId w:val="56"/>
        </w:numPr>
        <w:rPr>
          <w:rFonts w:ascii="Arial" w:cs="Arial" w:eastAsia="Arial" w:hAnsi="Arial"/>
          <w:sz w:val="20"/>
          <w:szCs w:val="20"/>
          <w:color w:val="auto"/>
        </w:rPr>
      </w:pPr>
      <w:r>
        <w:rPr>
          <w:rFonts w:ascii="Arial" w:cs="Arial" w:eastAsia="Arial" w:hAnsi="Arial"/>
          <w:sz w:val="20"/>
          <w:szCs w:val="20"/>
          <w:color w:val="auto"/>
        </w:rPr>
        <w:t>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86995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111" w:name="page112"/>
    <w:bookmarkEnd w:id="111"/>
    <w:p>
      <w:pPr>
        <w:ind w:right="40"/>
        <w:spacing w:after="0" w:line="256" w:lineRule="auto"/>
        <w:rPr>
          <w:sz w:val="20"/>
          <w:szCs w:val="20"/>
          <w:color w:val="auto"/>
        </w:rPr>
      </w:pPr>
      <w:r>
        <w:rPr>
          <w:rFonts w:ascii="Arial" w:cs="Arial" w:eastAsia="Arial" w:hAnsi="Arial"/>
          <w:sz w:val="19"/>
          <w:szCs w:val="19"/>
          <w:color w:val="auto"/>
        </w:rPr>
        <w:t>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31" w:lineRule="exact"/>
        <w:rPr>
          <w:sz w:val="20"/>
          <w:szCs w:val="20"/>
          <w:color w:val="auto"/>
        </w:rPr>
      </w:pPr>
    </w:p>
    <w:p>
      <w:pPr>
        <w:ind w:right="180" w:firstLine="1735"/>
        <w:spacing w:after="0" w:line="315" w:lineRule="auto"/>
        <w:tabs>
          <w:tab w:leader="none" w:pos="2539"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From and after the Termination Date, Executive shall continue to abide by all of the terms and provisions of the Confidentiality Agreement (and any other comparable agreement signed by Executive), in accordance with its terms.</w:t>
      </w:r>
    </w:p>
    <w:p>
      <w:pPr>
        <w:spacing w:after="0" w:line="76" w:lineRule="exact"/>
        <w:rPr>
          <w:rFonts w:ascii="Arial" w:cs="Arial" w:eastAsia="Arial" w:hAnsi="Arial"/>
          <w:sz w:val="18"/>
          <w:szCs w:val="18"/>
          <w:color w:val="auto"/>
        </w:rPr>
      </w:pPr>
    </w:p>
    <w:p>
      <w:pPr>
        <w:ind w:left="2540" w:hanging="805"/>
        <w:spacing w:after="0"/>
        <w:tabs>
          <w:tab w:leader="none" w:pos="2540" w:val="left"/>
        </w:tabs>
        <w:numPr>
          <w:ilvl w:val="0"/>
          <w:numId w:val="57"/>
        </w:numPr>
        <w:rPr>
          <w:rFonts w:ascii="Arial" w:cs="Arial" w:eastAsia="Arial" w:hAnsi="Arial"/>
          <w:sz w:val="20"/>
          <w:szCs w:val="20"/>
          <w:color w:val="auto"/>
        </w:rPr>
      </w:pPr>
      <w:r>
        <w:rPr>
          <w:rFonts w:ascii="Arial" w:cs="Arial" w:eastAsia="Arial" w:hAnsi="Arial"/>
          <w:sz w:val="20"/>
          <w:szCs w:val="20"/>
          <w:color w:val="auto"/>
        </w:rPr>
        <w:t>Executive agrees that the choice of law and choice of forum provisions in Section</w:t>
      </w:r>
    </w:p>
    <w:p>
      <w:pPr>
        <w:spacing w:after="0" w:line="15"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10.10 of the Confidentiality Agreement shall be amended to conform to the choice of law and choice of forum provisions in Section 8.11 of this Agreement. No other terms of the Confidentiality Agreement are amended by this Agreement, and the Confidentiality Agreement remains in full force and effect.</w:t>
      </w:r>
    </w:p>
    <w:p>
      <w:pPr>
        <w:spacing w:after="0" w:line="114" w:lineRule="exact"/>
        <w:rPr>
          <w:sz w:val="20"/>
          <w:szCs w:val="20"/>
          <w:color w:val="auto"/>
        </w:rPr>
      </w:pPr>
    </w:p>
    <w:p>
      <w:pPr>
        <w:ind w:firstLine="1735"/>
        <w:spacing w:after="0" w:line="256" w:lineRule="auto"/>
        <w:tabs>
          <w:tab w:leader="none" w:pos="2539"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Executive acknowledges and agrees that Executive’s obligations under this Section 5.5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08"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Parachute Payments</w:t>
      </w:r>
      <w:r>
        <w:rPr>
          <w:rFonts w:ascii="Arial" w:cs="Arial" w:eastAsia="Arial" w:hAnsi="Arial"/>
          <w:sz w:val="16"/>
          <w:szCs w:val="16"/>
          <w:color w:val="auto"/>
        </w:rPr>
        <w:t>.</w:t>
      </w:r>
    </w:p>
    <w:p>
      <w:pPr>
        <w:spacing w:after="0" w:line="161" w:lineRule="exact"/>
        <w:rPr>
          <w:sz w:val="20"/>
          <w:szCs w:val="20"/>
          <w:color w:val="auto"/>
        </w:rPr>
      </w:pPr>
    </w:p>
    <w:p>
      <w:pPr>
        <w:ind w:firstLine="1735"/>
        <w:spacing w:after="0" w:line="268" w:lineRule="auto"/>
        <w:tabs>
          <w:tab w:leader="none" w:pos="2528"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Parachute Payment Limitation</w:t>
      </w:r>
      <w:r>
        <w:rPr>
          <w:rFonts w:ascii="Arial" w:cs="Arial" w:eastAsia="Arial" w:hAnsi="Arial"/>
          <w:sz w:val="18"/>
          <w:szCs w:val="18"/>
          <w:color w:val="auto"/>
        </w:rPr>
        <w:t>. If any payment or benefit (including payments and benefits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would receive in connection with a Change in Control from the Company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paragraph,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cancellation of accelerated vesting of equity awards other than stock options; (C) cancellation of accelerated vesting of stock options; and</w:t>
      </w:r>
    </w:p>
    <w:p>
      <w:pPr>
        <w:spacing w:after="0" w:line="45" w:lineRule="exact"/>
        <w:rPr>
          <w:rFonts w:ascii="Arial" w:cs="Arial" w:eastAsia="Arial" w:hAnsi="Arial"/>
          <w:sz w:val="16"/>
          <w:szCs w:val="16"/>
          <w:color w:val="auto"/>
        </w:rPr>
      </w:pPr>
    </w:p>
    <w:p>
      <w:pPr>
        <w:ind w:right="460" w:firstLine="8"/>
        <w:spacing w:after="0" w:line="243" w:lineRule="auto"/>
        <w:tabs>
          <w:tab w:leader="none" w:pos="324"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reduction of other benefits paid to Executive. In the event that acceleration of compensation from Executive’s equity awards is to be reduced, such acceleration of vesting shall be canceled in the reverse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order of the date of grant.</w:t>
      </w:r>
    </w:p>
    <w:p>
      <w:pPr>
        <w:spacing w:after="0" w:line="161" w:lineRule="exact"/>
        <w:rPr>
          <w:sz w:val="20"/>
          <w:szCs w:val="20"/>
          <w:color w:val="auto"/>
        </w:rPr>
      </w:pPr>
    </w:p>
    <w:p>
      <w:pPr>
        <w:ind w:right="60" w:firstLine="1735"/>
        <w:spacing w:after="0" w:line="258" w:lineRule="auto"/>
        <w:tabs>
          <w:tab w:leader="none" w:pos="2539"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27" w:lineRule="exact"/>
        <w:rPr>
          <w:rFonts w:ascii="Arial" w:cs="Arial" w:eastAsia="Arial" w:hAnsi="Arial"/>
          <w:sz w:val="19"/>
          <w:szCs w:val="19"/>
          <w:color w:val="auto"/>
        </w:rPr>
      </w:pPr>
    </w:p>
    <w:p>
      <w:pPr>
        <w:ind w:right="40" w:firstLine="1735"/>
        <w:spacing w:after="0" w:line="274" w:lineRule="auto"/>
        <w:tabs>
          <w:tab w:leader="none" w:pos="25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independent registered public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93"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5.7.</w:t>
            </w:r>
          </w:p>
        </w:tc>
        <w:tc>
          <w:tcPr>
            <w:tcW w:w="10580" w:type="dxa"/>
            <w:vAlign w:val="bottom"/>
          </w:tcPr>
          <w:p>
            <w:pPr>
              <w:ind w:left="1040"/>
              <w:spacing w:after="0"/>
              <w:rPr>
                <w:sz w:val="20"/>
                <w:szCs w:val="20"/>
                <w:color w:val="auto"/>
              </w:rPr>
            </w:pPr>
            <w:r>
              <w:rPr>
                <w:rFonts w:ascii="Arial" w:cs="Arial" w:eastAsia="Arial" w:hAnsi="Arial"/>
                <w:sz w:val="20"/>
                <w:szCs w:val="20"/>
                <w:b w:val="1"/>
                <w:bCs w:val="1"/>
                <w:color w:val="auto"/>
                <w:w w:val="92"/>
              </w:rPr>
              <w:t>Certain Reductions and Offsets</w:t>
            </w:r>
            <w:r>
              <w:rPr>
                <w:rFonts w:ascii="Arial" w:cs="Arial" w:eastAsia="Arial" w:hAnsi="Arial"/>
                <w:sz w:val="20"/>
                <w:szCs w:val="20"/>
                <w:color w:val="auto"/>
                <w:w w:val="92"/>
              </w:rPr>
              <w:t>. To the extent that any federal, state or local laws, including, without limitation, the</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4"/>
              </w:rPr>
              <w:t>Worker Adjustment and Retraining Notification Act or any other so- called “plant closing” laws, require the Company to give</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5"/>
              </w:rPr>
              <w:t>advance notice or make a payment of any kind to Executive because of Executive’s involuntary termination due to a layoff,</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2"/>
              </w:rPr>
              <w:t>reduction in force, plant or facility closing, sale of business, change in control or any other similar event or reason, the benefits</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3"/>
              </w:rPr>
              <w:t>payable under this Agreement shall be correspondingly reduced. The benefits provided under this Agreement are intended to</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1"/>
              </w:rPr>
              <w:t>satisfy any and all statutory obligations that may arise out of Executive’s involuntary termination of employment for the foregoing</w:t>
            </w:r>
          </w:p>
        </w:tc>
      </w:tr>
      <w:tr>
        <w:trPr>
          <w:trHeight w:val="250"/>
        </w:trPr>
        <w:tc>
          <w:tcPr>
            <w:tcW w:w="54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rPr>
              <w:t>reasons, and the parties shall construe and enforce the terms of this Agreement accordingly.</w:t>
            </w:r>
          </w:p>
        </w:tc>
      </w:tr>
      <w:tr>
        <w:trPr>
          <w:trHeight w:val="370"/>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5.8.</w:t>
            </w:r>
          </w:p>
        </w:tc>
        <w:tc>
          <w:tcPr>
            <w:tcW w:w="10580" w:type="dxa"/>
            <w:vAlign w:val="bottom"/>
          </w:tcPr>
          <w:p>
            <w:pPr>
              <w:ind w:left="1040"/>
              <w:spacing w:after="0"/>
              <w:rPr>
                <w:sz w:val="20"/>
                <w:szCs w:val="20"/>
                <w:color w:val="auto"/>
              </w:rPr>
            </w:pPr>
            <w:r>
              <w:rPr>
                <w:rFonts w:ascii="Arial" w:cs="Arial" w:eastAsia="Arial" w:hAnsi="Arial"/>
                <w:sz w:val="20"/>
                <w:szCs w:val="20"/>
                <w:b w:val="1"/>
                <w:bCs w:val="1"/>
                <w:color w:val="auto"/>
                <w:w w:val="90"/>
              </w:rPr>
              <w:t>Mitigation</w:t>
            </w:r>
            <w:r>
              <w:rPr>
                <w:rFonts w:ascii="Arial" w:cs="Arial" w:eastAsia="Arial" w:hAnsi="Arial"/>
                <w:sz w:val="20"/>
                <w:szCs w:val="20"/>
                <w:color w:val="auto"/>
                <w:w w:val="90"/>
              </w:rPr>
              <w:t>. Except as otherwise specifically provided herein, Executive shall not be required to mitigate damages or the</w:t>
            </w:r>
          </w:p>
        </w:tc>
      </w:tr>
      <w:tr>
        <w:trPr>
          <w:trHeight w:val="245"/>
        </w:trPr>
        <w:tc>
          <w:tcPr>
            <w:tcW w:w="54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1"/>
              </w:rPr>
              <w:t>amount of any payment provided under this Agreement by seeking other employment or otherwise, nor shall the amount of any</w:t>
            </w:r>
          </w:p>
        </w:tc>
      </w:tr>
    </w:tbl>
    <w:p>
      <w:pPr>
        <w:ind w:left="880" w:right="240"/>
        <w:spacing w:after="0" w:line="241" w:lineRule="auto"/>
        <w:rPr>
          <w:sz w:val="20"/>
          <w:szCs w:val="20"/>
          <w:color w:val="auto"/>
        </w:rPr>
      </w:pPr>
      <w:r>
        <w:rPr>
          <w:rFonts w:ascii="Arial" w:cs="Arial" w:eastAsia="Arial" w:hAnsi="Arial"/>
          <w:sz w:val="20"/>
          <w:szCs w:val="20"/>
          <w:color w:val="auto"/>
        </w:rPr>
        <w:t>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243" w:lineRule="exact"/>
        <w:rPr>
          <w:sz w:val="20"/>
          <w:szCs w:val="20"/>
          <w:color w:val="auto"/>
        </w:rPr>
      </w:pPr>
    </w:p>
    <w:p>
      <w:pPr>
        <w:ind w:left="880" w:right="340" w:hanging="796"/>
        <w:spacing w:after="0" w:line="252" w:lineRule="auto"/>
        <w:tabs>
          <w:tab w:leader="none" w:pos="86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20"/>
          <w:szCs w:val="20"/>
          <w:b w:val="1"/>
          <w:bCs w:val="1"/>
          <w:color w:val="auto"/>
        </w:rPr>
        <w:t>Indebtedness of Executive</w:t>
      </w:r>
      <w:r>
        <w:rPr>
          <w:rFonts w:ascii="Arial" w:cs="Arial" w:eastAsia="Arial" w:hAnsi="Arial"/>
          <w:sz w:val="20"/>
          <w:szCs w:val="20"/>
          <w:color w:val="auto"/>
        </w:rPr>
        <w:t>. If Executive is indebted to the Company on the effective date of a 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Covered Termination, the Company reserves the right to offset any severance payments and benefits under this Agreement by the amount of such indebtedness.</w:t>
      </w:r>
    </w:p>
    <w:p>
      <w:pPr>
        <w:sectPr>
          <w:pgSz w:w="11900" w:h="16838" w:orient="portrait"/>
          <w:cols w:equalWidth="0" w:num="1">
            <w:col w:w="11200"/>
          </w:cols>
          <w:pgMar w:left="320" w:top="285" w:right="379" w:bottom="1440" w:gutter="0" w:footer="0" w:header="0"/>
        </w:sectPr>
      </w:pP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5.10.</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840" w:space="720"/>
            <w:col w:w="8640"/>
          </w:cols>
          <w:pgMar w:left="320" w:top="285" w:right="379" w:bottom="1440" w:gutter="0" w:footer="0" w:header="0"/>
          <w:type w:val="continuous"/>
        </w:sectPr>
      </w:pPr>
    </w:p>
    <w:p>
      <w:pPr>
        <w:spacing w:after="0" w:line="7" w:lineRule="exact"/>
        <w:rPr>
          <w:sz w:val="20"/>
          <w:szCs w:val="20"/>
          <w:color w:val="auto"/>
        </w:rPr>
      </w:pPr>
    </w:p>
    <w:p>
      <w:pPr>
        <w:ind w:right="180" w:firstLine="1735"/>
        <w:spacing w:after="0" w:line="244" w:lineRule="auto"/>
        <w:tabs>
          <w:tab w:leader="none" w:pos="2528"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Separation from Service</w:t>
      </w:r>
      <w:r>
        <w:rPr>
          <w:rFonts w:ascii="Arial" w:cs="Arial" w:eastAsia="Arial" w:hAnsi="Arial"/>
          <w:sz w:val="20"/>
          <w:szCs w:val="20"/>
          <w:color w:val="auto"/>
        </w:rPr>
        <w:t>. Notwithstanding any provision to the contrary in this Agreement, no amount</w:t>
      </w:r>
      <w:r>
        <w:rPr>
          <w:rFonts w:ascii="Arial" w:cs="Arial" w:eastAsia="Arial" w:hAnsi="Arial"/>
          <w:sz w:val="20"/>
          <w:szCs w:val="20"/>
          <w:b w:val="1"/>
          <w:bCs w:val="1"/>
          <w:color w:val="auto"/>
        </w:rPr>
        <w:t xml:space="preserve"> </w:t>
      </w:r>
      <w:r>
        <w:rPr>
          <w:rFonts w:ascii="Arial" w:cs="Arial" w:eastAsia="Arial" w:hAnsi="Arial"/>
          <w:sz w:val="20"/>
          <w:szCs w:val="20"/>
          <w:color w:val="auto"/>
        </w:rPr>
        <w:t>deemed 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6"/>
          <w:szCs w:val="16"/>
          <w:color w:val="auto"/>
        </w:rPr>
        <w:t>th</w:t>
      </w:r>
      <w:r>
        <w:rPr>
          <w:rFonts w:ascii="Arial" w:cs="Arial" w:eastAsia="Arial" w:hAnsi="Arial"/>
          <w:sz w:val="20"/>
          <w:szCs w:val="20"/>
          <w:color w:val="auto"/>
        </w:rPr>
        <w:t>) day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85" w:right="379" w:bottom="1440" w:gutter="0" w:footer="0" w:header="0"/>
          <w:type w:val="continuous"/>
        </w:sectPr>
      </w:pPr>
    </w:p>
    <w:bookmarkStart w:id="113" w:name="page114"/>
    <w:bookmarkEnd w:id="113"/>
    <w:p>
      <w:pPr>
        <w:ind w:right="160"/>
        <w:spacing w:after="0" w:line="246" w:lineRule="auto"/>
        <w:rPr>
          <w:sz w:val="20"/>
          <w:szCs w:val="20"/>
          <w:color w:val="auto"/>
        </w:rPr>
      </w:pPr>
      <w:r>
        <w:rPr>
          <w:rFonts w:ascii="Arial" w:cs="Arial" w:eastAsia="Arial" w:hAnsi="Arial"/>
          <w:sz w:val="20"/>
          <w:szCs w:val="20"/>
          <w:color w:val="auto"/>
        </w:rPr>
        <w:t>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6"/>
          <w:szCs w:val="16"/>
          <w:color w:val="auto"/>
        </w:rPr>
        <w:t>th</w:t>
      </w:r>
      <w:r>
        <w:rPr>
          <w:rFonts w:ascii="Arial" w:cs="Arial" w:eastAsia="Arial" w:hAnsi="Arial"/>
          <w:sz w:val="20"/>
          <w:szCs w:val="20"/>
          <w:color w:val="auto"/>
        </w:rPr>
        <w:t>) day after Executive’s separation from service and the remaining payments shall be made as provided in this Agreement.</w:t>
      </w:r>
    </w:p>
    <w:p>
      <w:pPr>
        <w:spacing w:after="0" w:line="130" w:lineRule="exact"/>
        <w:rPr>
          <w:sz w:val="20"/>
          <w:szCs w:val="20"/>
          <w:color w:val="auto"/>
        </w:rPr>
      </w:pPr>
    </w:p>
    <w:p>
      <w:pPr>
        <w:ind w:firstLine="1735"/>
        <w:spacing w:after="0" w:line="256" w:lineRule="auto"/>
        <w:tabs>
          <w:tab w:leader="none" w:pos="2539"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Specified Executive</w:t>
      </w:r>
      <w:r>
        <w:rPr>
          <w:rFonts w:ascii="Arial" w:cs="Arial" w:eastAsia="Arial" w:hAnsi="Arial"/>
          <w:sz w:val="19"/>
          <w:szCs w:val="19"/>
          <w:color w:val="auto"/>
        </w:rPr>
        <w:t>. Notwithstanding any provision to the contrary in this Agreement, if Executive is</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113" w:lineRule="exact"/>
        <w:rPr>
          <w:rFonts w:ascii="Arial" w:cs="Arial" w:eastAsia="Arial" w:hAnsi="Arial"/>
          <w:sz w:val="19"/>
          <w:szCs w:val="19"/>
          <w:color w:val="auto"/>
        </w:rPr>
      </w:pPr>
    </w:p>
    <w:p>
      <w:pPr>
        <w:ind w:firstLine="1735"/>
        <w:spacing w:after="0" w:line="262" w:lineRule="auto"/>
        <w:tabs>
          <w:tab w:leader="none" w:pos="2528"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Expense Reimbursements</w:t>
      </w:r>
      <w:r>
        <w:rPr>
          <w:rFonts w:ascii="Arial" w:cs="Arial" w:eastAsia="Arial" w:hAnsi="Arial"/>
          <w:sz w:val="19"/>
          <w:szCs w:val="19"/>
          <w:color w:val="auto"/>
        </w:rPr>
        <w:t>. To the extent that any reimbursement payable pursuant to this Agreement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15" w:lineRule="exact"/>
        <w:rPr>
          <w:rFonts w:ascii="Arial" w:cs="Arial" w:eastAsia="Arial" w:hAnsi="Arial"/>
          <w:sz w:val="19"/>
          <w:szCs w:val="19"/>
          <w:color w:val="auto"/>
        </w:rPr>
      </w:pPr>
    </w:p>
    <w:p>
      <w:pPr>
        <w:ind w:right="20" w:firstLine="1735"/>
        <w:spacing w:after="0" w:line="248" w:lineRule="auto"/>
        <w:tabs>
          <w:tab w:leader="none" w:pos="2539"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Installments</w:t>
      </w:r>
      <w:r>
        <w:rPr>
          <w:rFonts w:ascii="Arial" w:cs="Arial" w:eastAsia="Arial" w:hAnsi="Arial"/>
          <w:sz w:val="20"/>
          <w:szCs w:val="20"/>
          <w:color w:val="auto"/>
        </w:rPr>
        <w:t>. For purposes of Section 409A of the Code (including, without limitation, for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20"/>
                <w:szCs w:val="20"/>
                <w:b w:val="1"/>
                <w:bCs w:val="1"/>
                <w:color w:val="auto"/>
              </w:rPr>
              <w:t>5.11.</w:t>
            </w:r>
          </w:p>
        </w:tc>
        <w:tc>
          <w:tcPr>
            <w:tcW w:w="10520" w:type="dxa"/>
            <w:vAlign w:val="bottom"/>
          </w:tcPr>
          <w:p>
            <w:pPr>
              <w:ind w:left="980"/>
              <w:spacing w:after="0"/>
              <w:rPr>
                <w:sz w:val="20"/>
                <w:szCs w:val="20"/>
                <w:color w:val="auto"/>
              </w:rPr>
            </w:pPr>
            <w:r>
              <w:rPr>
                <w:rFonts w:ascii="Arial" w:cs="Arial" w:eastAsia="Arial" w:hAnsi="Arial"/>
                <w:sz w:val="20"/>
                <w:szCs w:val="20"/>
                <w:b w:val="1"/>
                <w:bCs w:val="1"/>
                <w:color w:val="auto"/>
                <w:w w:val="92"/>
              </w:rPr>
              <w:t>Tax Withholding</w:t>
            </w:r>
            <w:r>
              <w:rPr>
                <w:rFonts w:ascii="Arial" w:cs="Arial" w:eastAsia="Arial" w:hAnsi="Arial"/>
                <w:sz w:val="20"/>
                <w:szCs w:val="20"/>
                <w:color w:val="auto"/>
                <w:w w:val="92"/>
              </w:rPr>
              <w:t>. All payments under this Agreement shall be subject to applicable withholding for federal, state and</w:t>
            </w:r>
          </w:p>
        </w:tc>
      </w:tr>
      <w:tr>
        <w:trPr>
          <w:trHeight w:val="250"/>
        </w:trPr>
        <w:tc>
          <w:tcPr>
            <w:tcW w:w="600" w:type="dxa"/>
            <w:vAlign w:val="bottom"/>
          </w:tcPr>
          <w:p>
            <w:pPr>
              <w:spacing w:after="0"/>
              <w:rPr>
                <w:sz w:val="21"/>
                <w:szCs w:val="21"/>
                <w:color w:val="auto"/>
              </w:rPr>
            </w:pPr>
          </w:p>
        </w:tc>
        <w:tc>
          <w:tcPr>
            <w:tcW w:w="10520" w:type="dxa"/>
            <w:vAlign w:val="bottom"/>
          </w:tcPr>
          <w:p>
            <w:pPr>
              <w:ind w:left="200"/>
              <w:spacing w:after="0"/>
              <w:rPr>
                <w:sz w:val="20"/>
                <w:szCs w:val="20"/>
                <w:color w:val="auto"/>
              </w:rPr>
            </w:pPr>
            <w:r>
              <w:rPr>
                <w:rFonts w:ascii="Arial" w:cs="Arial" w:eastAsia="Arial" w:hAnsi="Arial"/>
                <w:sz w:val="20"/>
                <w:szCs w:val="20"/>
                <w:color w:val="auto"/>
              </w:rPr>
              <w:t>local income and employment taxes.</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5.12.</w:t>
            </w:r>
          </w:p>
        </w:tc>
        <w:tc>
          <w:tcPr>
            <w:tcW w:w="10520" w:type="dxa"/>
            <w:vAlign w:val="bottom"/>
          </w:tcPr>
          <w:p>
            <w:pPr>
              <w:ind w:left="980"/>
              <w:spacing w:after="0"/>
              <w:rPr>
                <w:sz w:val="20"/>
                <w:szCs w:val="20"/>
                <w:color w:val="auto"/>
              </w:rPr>
            </w:pPr>
            <w:r>
              <w:rPr>
                <w:rFonts w:ascii="Arial" w:cs="Arial" w:eastAsia="Arial" w:hAnsi="Arial"/>
                <w:sz w:val="20"/>
                <w:szCs w:val="20"/>
                <w:b w:val="1"/>
                <w:bCs w:val="1"/>
                <w:color w:val="auto"/>
                <w:w w:val="95"/>
              </w:rPr>
              <w:t xml:space="preserve">No Duplication of Severance Benefits. </w:t>
            </w:r>
            <w:r>
              <w:rPr>
                <w:rFonts w:ascii="Arial" w:cs="Arial" w:eastAsia="Arial" w:hAnsi="Arial"/>
                <w:sz w:val="20"/>
                <w:szCs w:val="20"/>
                <w:color w:val="auto"/>
                <w:w w:val="95"/>
              </w:rPr>
              <w:t>The severance and other benefits provided in Article 3 and Article 4 are</w:t>
            </w:r>
          </w:p>
        </w:tc>
      </w:tr>
      <w:tr>
        <w:trPr>
          <w:trHeight w:val="229"/>
        </w:trPr>
        <w:tc>
          <w:tcPr>
            <w:tcW w:w="600" w:type="dxa"/>
            <w:vAlign w:val="bottom"/>
          </w:tcPr>
          <w:p>
            <w:pPr>
              <w:spacing w:after="0"/>
              <w:rPr>
                <w:sz w:val="19"/>
                <w:szCs w:val="19"/>
                <w:color w:val="auto"/>
              </w:rPr>
            </w:pPr>
          </w:p>
        </w:tc>
        <w:tc>
          <w:tcPr>
            <w:tcW w:w="10520" w:type="dxa"/>
            <w:vAlign w:val="bottom"/>
          </w:tcPr>
          <w:p>
            <w:pPr>
              <w:ind w:left="200"/>
              <w:spacing w:after="0"/>
              <w:rPr>
                <w:sz w:val="20"/>
                <w:szCs w:val="20"/>
                <w:color w:val="auto"/>
              </w:rPr>
            </w:pPr>
            <w:r>
              <w:rPr>
                <w:rFonts w:ascii="Arial" w:cs="Arial" w:eastAsia="Arial" w:hAnsi="Arial"/>
                <w:sz w:val="20"/>
                <w:szCs w:val="20"/>
                <w:color w:val="auto"/>
                <w:w w:val="89"/>
              </w:rPr>
              <w:t>mutually exclusive of each other, and in no event shall Executive receive any severance or other benefits pursuant to both Article 3</w:t>
            </w:r>
          </w:p>
        </w:tc>
      </w:tr>
      <w:tr>
        <w:trPr>
          <w:trHeight w:val="250"/>
        </w:trPr>
        <w:tc>
          <w:tcPr>
            <w:tcW w:w="600" w:type="dxa"/>
            <w:vAlign w:val="bottom"/>
          </w:tcPr>
          <w:p>
            <w:pPr>
              <w:spacing w:after="0"/>
              <w:rPr>
                <w:sz w:val="21"/>
                <w:szCs w:val="21"/>
                <w:color w:val="auto"/>
              </w:rPr>
            </w:pPr>
          </w:p>
        </w:tc>
        <w:tc>
          <w:tcPr>
            <w:tcW w:w="10520" w:type="dxa"/>
            <w:vAlign w:val="bottom"/>
          </w:tcPr>
          <w:p>
            <w:pPr>
              <w:ind w:left="200"/>
              <w:spacing w:after="0"/>
              <w:rPr>
                <w:sz w:val="20"/>
                <w:szCs w:val="20"/>
                <w:color w:val="auto"/>
              </w:rPr>
            </w:pPr>
            <w:r>
              <w:rPr>
                <w:rFonts w:ascii="Arial" w:cs="Arial" w:eastAsia="Arial" w:hAnsi="Arial"/>
                <w:sz w:val="20"/>
                <w:szCs w:val="20"/>
                <w:color w:val="auto"/>
              </w:rPr>
              <w:t>and Article 4.</w:t>
            </w:r>
          </w:p>
        </w:tc>
      </w:tr>
      <w:tr>
        <w:trPr>
          <w:trHeight w:val="499"/>
        </w:trPr>
        <w:tc>
          <w:tcPr>
            <w:tcW w:w="600" w:type="dxa"/>
            <w:vAlign w:val="bottom"/>
          </w:tcPr>
          <w:p>
            <w:pPr>
              <w:spacing w:after="0"/>
              <w:rPr>
                <w:sz w:val="24"/>
                <w:szCs w:val="24"/>
                <w:color w:val="auto"/>
              </w:rPr>
            </w:pPr>
          </w:p>
        </w:tc>
        <w:tc>
          <w:tcPr>
            <w:tcW w:w="10520" w:type="dxa"/>
            <w:vAlign w:val="bottom"/>
          </w:tcPr>
          <w:p>
            <w:pPr>
              <w:ind w:left="4420"/>
              <w:spacing w:after="0"/>
              <w:rPr>
                <w:sz w:val="20"/>
                <w:szCs w:val="20"/>
                <w:color w:val="auto"/>
              </w:rPr>
            </w:pPr>
            <w:r>
              <w:rPr>
                <w:rFonts w:ascii="Arial" w:cs="Arial" w:eastAsia="Arial" w:hAnsi="Arial"/>
                <w:sz w:val="20"/>
                <w:szCs w:val="20"/>
                <w:b w:val="1"/>
                <w:bCs w:val="1"/>
                <w:color w:val="auto"/>
              </w:rPr>
              <w:t>ARTICLE 6</w:t>
            </w:r>
          </w:p>
        </w:tc>
      </w:tr>
      <w:tr>
        <w:trPr>
          <w:trHeight w:val="364"/>
        </w:trPr>
        <w:tc>
          <w:tcPr>
            <w:tcW w:w="600" w:type="dxa"/>
            <w:vAlign w:val="bottom"/>
          </w:tcPr>
          <w:p>
            <w:pPr>
              <w:spacing w:after="0"/>
              <w:rPr>
                <w:sz w:val="24"/>
                <w:szCs w:val="24"/>
                <w:color w:val="auto"/>
              </w:rPr>
            </w:pPr>
          </w:p>
        </w:tc>
        <w:tc>
          <w:tcPr>
            <w:tcW w:w="10520" w:type="dxa"/>
            <w:vAlign w:val="bottom"/>
          </w:tcPr>
          <w:p>
            <w:pPr>
              <w:ind w:left="280"/>
              <w:spacing w:after="0"/>
              <w:rPr>
                <w:sz w:val="20"/>
                <w:szCs w:val="20"/>
                <w:color w:val="auto"/>
              </w:rPr>
            </w:pPr>
            <w:r>
              <w:rPr>
                <w:rFonts w:ascii="Arial" w:cs="Arial" w:eastAsia="Arial" w:hAnsi="Arial"/>
                <w:sz w:val="20"/>
                <w:szCs w:val="20"/>
                <w:b w:val="1"/>
                <w:bCs w:val="1"/>
                <w:color w:val="auto"/>
              </w:rPr>
              <w:t>TERMINATION WITH CAUSE OR BY VOLUNTARY RESIGNATION; OTHER RIGHTS AND BENEFITS</w:t>
            </w:r>
          </w:p>
        </w:tc>
      </w:tr>
      <w:tr>
        <w:trPr>
          <w:trHeight w:val="373"/>
        </w:trPr>
        <w:tc>
          <w:tcPr>
            <w:tcW w:w="600" w:type="dxa"/>
            <w:vAlign w:val="bottom"/>
          </w:tcPr>
          <w:p>
            <w:pPr>
              <w:spacing w:after="0"/>
              <w:rPr>
                <w:sz w:val="20"/>
                <w:szCs w:val="20"/>
                <w:color w:val="auto"/>
              </w:rPr>
            </w:pPr>
            <w:r>
              <w:rPr>
                <w:rFonts w:ascii="Arial" w:cs="Arial" w:eastAsia="Arial" w:hAnsi="Arial"/>
                <w:sz w:val="20"/>
                <w:szCs w:val="20"/>
                <w:b w:val="1"/>
                <w:bCs w:val="1"/>
                <w:color w:val="auto"/>
              </w:rPr>
              <w:t>6.1.</w:t>
            </w:r>
          </w:p>
        </w:tc>
        <w:tc>
          <w:tcPr>
            <w:tcW w:w="10520" w:type="dxa"/>
            <w:vAlign w:val="bottom"/>
          </w:tcPr>
          <w:p>
            <w:pPr>
              <w:ind w:left="980"/>
              <w:spacing w:after="0"/>
              <w:rPr>
                <w:sz w:val="20"/>
                <w:szCs w:val="20"/>
                <w:color w:val="auto"/>
              </w:rPr>
            </w:pPr>
            <w:r>
              <w:rPr>
                <w:rFonts w:ascii="Arial" w:cs="Arial" w:eastAsia="Arial" w:hAnsi="Arial"/>
                <w:sz w:val="20"/>
                <w:szCs w:val="20"/>
                <w:b w:val="1"/>
                <w:bCs w:val="1"/>
                <w:color w:val="auto"/>
                <w:w w:val="96"/>
              </w:rPr>
              <w:t>Termination for Cause by the Company</w:t>
            </w:r>
            <w:r>
              <w:rPr>
                <w:rFonts w:ascii="Arial" w:cs="Arial" w:eastAsia="Arial" w:hAnsi="Arial"/>
                <w:sz w:val="20"/>
                <w:szCs w:val="20"/>
                <w:color w:val="auto"/>
                <w:w w:val="96"/>
              </w:rPr>
              <w:t>. If the Company shall terminate the Executive’s employment with the</w:t>
            </w:r>
          </w:p>
        </w:tc>
      </w:tr>
    </w:tbl>
    <w:p>
      <w:pPr>
        <w:ind w:left="880" w:right="120"/>
        <w:spacing w:after="0" w:line="255" w:lineRule="auto"/>
        <w:rPr>
          <w:sz w:val="20"/>
          <w:szCs w:val="20"/>
          <w:color w:val="auto"/>
        </w:rPr>
      </w:pPr>
      <w:r>
        <w:rPr>
          <w:rFonts w:ascii="Arial" w:cs="Arial" w:eastAsia="Arial" w:hAnsi="Arial"/>
          <w:sz w:val="19"/>
          <w:szCs w:val="19"/>
          <w:color w:val="auto"/>
        </w:rPr>
        <w:t>Company for Cause, then upon such termination, the Company shall have no further obligation to Executive hereunder except for the payment or provision, as applicable, of (i) the portion of the Annual Base Salary for the period prior to the effective date of termination earned but unpaid (if any), (ii) all unreimbursed expenses (if any), subject to Sections 2.4 and 5.10(c), and (iii)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114" w:name="page115"/>
    <w:bookmarkEnd w:id="114"/>
    <w:p>
      <w:pPr>
        <w:ind w:left="1660"/>
        <w:spacing w:after="0"/>
        <w:rPr>
          <w:sz w:val="20"/>
          <w:szCs w:val="20"/>
          <w:color w:val="auto"/>
        </w:rPr>
      </w:pPr>
      <w:r>
        <w:rPr>
          <w:rFonts w:ascii="Arial" w:cs="Arial" w:eastAsia="Arial" w:hAnsi="Arial"/>
          <w:sz w:val="18"/>
          <w:szCs w:val="18"/>
          <w:color w:val="auto"/>
        </w:rPr>
        <w:t>beneficiary or otherwise on the date of termination (“</w:t>
      </w: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For the avoidance of doubt, Executive shall have</w:t>
      </w:r>
    </w:p>
    <w:p>
      <w:pPr>
        <w:spacing w:after="0" w:line="39" w:lineRule="exact"/>
        <w:rPr>
          <w:sz w:val="20"/>
          <w:szCs w:val="20"/>
          <w:color w:val="auto"/>
        </w:rPr>
      </w:pPr>
    </w:p>
    <w:p>
      <w:pPr>
        <w:ind w:left="880" w:right="60"/>
        <w:spacing w:after="0" w:line="243" w:lineRule="auto"/>
        <w:rPr>
          <w:sz w:val="20"/>
          <w:szCs w:val="20"/>
          <w:color w:val="auto"/>
        </w:rPr>
      </w:pPr>
      <w:r>
        <w:rPr>
          <w:rFonts w:ascii="Arial" w:cs="Arial" w:eastAsia="Arial" w:hAnsi="Arial"/>
          <w:sz w:val="20"/>
          <w:szCs w:val="20"/>
          <w:color w:val="auto"/>
        </w:rPr>
        <w:t>no right to receive (and Other Benefits shall not include) any amounts under any Company severance plan or policy or pursuant to Article 3 or Article 4 upon Executive’s termination for Cause.</w:t>
      </w:r>
    </w:p>
    <w:p>
      <w:pPr>
        <w:spacing w:after="0" w:line="133"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Termination by Voluntary Resignation by the Executive (other than Resignation for Good Reason)</w:t>
      </w:r>
      <w:r>
        <w:rPr>
          <w:rFonts w:ascii="Arial" w:cs="Arial" w:eastAsia="Arial" w:hAnsi="Arial"/>
          <w:sz w:val="16"/>
          <w:szCs w:val="16"/>
          <w:color w:val="auto"/>
        </w:rPr>
        <w:t>. Upon any</w:t>
      </w:r>
    </w:p>
    <w:p>
      <w:pPr>
        <w:spacing w:after="0" w:line="21" w:lineRule="exact"/>
        <w:rPr>
          <w:sz w:val="20"/>
          <w:szCs w:val="20"/>
          <w:color w:val="auto"/>
        </w:rPr>
      </w:pPr>
    </w:p>
    <w:p>
      <w:pPr>
        <w:jc w:val="both"/>
        <w:ind w:left="880"/>
        <w:spacing w:after="0" w:line="265" w:lineRule="auto"/>
        <w:rPr>
          <w:sz w:val="20"/>
          <w:szCs w:val="20"/>
          <w:color w:val="auto"/>
        </w:rPr>
      </w:pPr>
      <w:r>
        <w:rPr>
          <w:rFonts w:ascii="Arial" w:cs="Arial" w:eastAsia="Arial" w:hAnsi="Arial"/>
          <w:sz w:val="18"/>
          <w:szCs w:val="18"/>
          <w:color w:val="auto"/>
        </w:rPr>
        <w:t>voluntary resignation by Executive that is not a Resignation for Good Reason, the Company shall have no further obligation to the Executive hereunder except for the payment of (i) the portion of the Annual Base Salary for the period prior to the effective date of termination earned but unpaid (if any), (ii) all unreimbursed expenses (if any), subject to Section 2.4 and Section 5.10(c), and</w:t>
      </w:r>
    </w:p>
    <w:p>
      <w:pPr>
        <w:spacing w:after="0" w:line="2" w:lineRule="exact"/>
        <w:rPr>
          <w:sz w:val="20"/>
          <w:szCs w:val="20"/>
          <w:color w:val="auto"/>
        </w:rPr>
      </w:pPr>
    </w:p>
    <w:p>
      <w:pPr>
        <w:ind w:left="880" w:right="260" w:hanging="9"/>
        <w:spacing w:after="0" w:line="260" w:lineRule="auto"/>
        <w:tabs>
          <w:tab w:leader="none" w:pos="1226"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6.3.</w:t>
            </w:r>
          </w:p>
        </w:tc>
        <w:tc>
          <w:tcPr>
            <w:tcW w:w="10540" w:type="dxa"/>
            <w:vAlign w:val="bottom"/>
          </w:tcPr>
          <w:p>
            <w:pPr>
              <w:ind w:left="1040"/>
              <w:spacing w:after="0"/>
              <w:rPr>
                <w:sz w:val="20"/>
                <w:szCs w:val="20"/>
                <w:color w:val="auto"/>
              </w:rPr>
            </w:pPr>
            <w:r>
              <w:rPr>
                <w:rFonts w:ascii="Arial" w:cs="Arial" w:eastAsia="Arial" w:hAnsi="Arial"/>
                <w:sz w:val="20"/>
                <w:szCs w:val="20"/>
                <w:b w:val="1"/>
                <w:bCs w:val="1"/>
                <w:color w:val="auto"/>
                <w:w w:val="99"/>
              </w:rPr>
              <w:t xml:space="preserve">Other Rights and Benefits. </w:t>
            </w:r>
            <w:r>
              <w:rPr>
                <w:rFonts w:ascii="Arial" w:cs="Arial" w:eastAsia="Arial" w:hAnsi="Arial"/>
                <w:sz w:val="20"/>
                <w:szCs w:val="20"/>
                <w:color w:val="auto"/>
                <w:w w:val="99"/>
              </w:rPr>
              <w:t>Nothing in this Agreement shall prevent or limit Executive’s continuing or future</w:t>
            </w:r>
          </w:p>
        </w:tc>
      </w:tr>
      <w:tr>
        <w:trPr>
          <w:trHeight w:val="229"/>
        </w:trPr>
        <w:tc>
          <w:tcPr>
            <w:tcW w:w="62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w w:val="93"/>
              </w:rPr>
              <w:t>participation in any benefit, bonus, incentive or other plans, programs, policies or practices provided by the Company and for</w:t>
            </w:r>
          </w:p>
        </w:tc>
      </w:tr>
      <w:tr>
        <w:trPr>
          <w:trHeight w:val="229"/>
        </w:trPr>
        <w:tc>
          <w:tcPr>
            <w:tcW w:w="62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w w:val="93"/>
              </w:rPr>
              <w:t>which Executive may otherwise qualify, nor shall anything herein limit or otherwise affect such rights as Executive may have</w:t>
            </w:r>
          </w:p>
        </w:tc>
      </w:tr>
      <w:tr>
        <w:trPr>
          <w:trHeight w:val="229"/>
        </w:trPr>
        <w:tc>
          <w:tcPr>
            <w:tcW w:w="62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w w:val="89"/>
              </w:rPr>
              <w:t>under other agreements with the Company except as provided in Article 1, Article 5, Section 6.1 and Section 6.2 above. Except as</w:t>
            </w:r>
          </w:p>
        </w:tc>
      </w:tr>
      <w:tr>
        <w:trPr>
          <w:trHeight w:val="229"/>
        </w:trPr>
        <w:tc>
          <w:tcPr>
            <w:tcW w:w="62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w w:val="89"/>
              </w:rPr>
              <w:t>otherwise expressly provided herein, amounts that are vested benefits or that Executive is otherwise entitled to receive under any</w:t>
            </w:r>
          </w:p>
        </w:tc>
      </w:tr>
      <w:tr>
        <w:trPr>
          <w:trHeight w:val="229"/>
        </w:trPr>
        <w:tc>
          <w:tcPr>
            <w:tcW w:w="620" w:type="dxa"/>
            <w:vAlign w:val="bottom"/>
          </w:tcPr>
          <w:p>
            <w:pPr>
              <w:spacing w:after="0"/>
              <w:rPr>
                <w:sz w:val="19"/>
                <w:szCs w:val="19"/>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w w:val="96"/>
              </w:rPr>
              <w:t>plan, policy, practice or program of the Company at or subsequent to the date of a Change in Control shall be payable in</w:t>
            </w:r>
          </w:p>
        </w:tc>
      </w:tr>
      <w:tr>
        <w:trPr>
          <w:trHeight w:val="250"/>
        </w:trPr>
        <w:tc>
          <w:tcPr>
            <w:tcW w:w="620" w:type="dxa"/>
            <w:vAlign w:val="bottom"/>
          </w:tcPr>
          <w:p>
            <w:pPr>
              <w:spacing w:after="0"/>
              <w:rPr>
                <w:sz w:val="21"/>
                <w:szCs w:val="21"/>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rPr>
              <w:t>accordance with such plan, policy, practice or program.</w:t>
            </w:r>
          </w:p>
        </w:tc>
      </w:tr>
      <w:tr>
        <w:trPr>
          <w:trHeight w:val="364"/>
        </w:trPr>
        <w:tc>
          <w:tcPr>
            <w:tcW w:w="620" w:type="dxa"/>
            <w:vAlign w:val="bottom"/>
          </w:tcPr>
          <w:p>
            <w:pPr>
              <w:spacing w:after="0"/>
              <w:rPr>
                <w:sz w:val="24"/>
                <w:szCs w:val="24"/>
                <w:color w:val="auto"/>
              </w:rPr>
            </w:pPr>
          </w:p>
        </w:tc>
        <w:tc>
          <w:tcPr>
            <w:tcW w:w="10540" w:type="dxa"/>
            <w:vAlign w:val="bottom"/>
          </w:tcPr>
          <w:p>
            <w:pPr>
              <w:ind w:left="4480"/>
              <w:spacing w:after="0"/>
              <w:rPr>
                <w:sz w:val="20"/>
                <w:szCs w:val="20"/>
                <w:color w:val="auto"/>
              </w:rPr>
            </w:pPr>
            <w:r>
              <w:rPr>
                <w:rFonts w:ascii="Arial" w:cs="Arial" w:eastAsia="Arial" w:hAnsi="Arial"/>
                <w:sz w:val="20"/>
                <w:szCs w:val="20"/>
                <w:b w:val="1"/>
                <w:bCs w:val="1"/>
                <w:color w:val="auto"/>
              </w:rPr>
              <w:t>ARTICLE 7</w:t>
            </w:r>
          </w:p>
        </w:tc>
      </w:tr>
      <w:tr>
        <w:trPr>
          <w:trHeight w:val="235"/>
        </w:trPr>
        <w:tc>
          <w:tcPr>
            <w:tcW w:w="620" w:type="dxa"/>
            <w:vAlign w:val="bottom"/>
          </w:tcPr>
          <w:p>
            <w:pPr>
              <w:spacing w:after="0"/>
              <w:rPr>
                <w:sz w:val="20"/>
                <w:szCs w:val="20"/>
                <w:color w:val="auto"/>
              </w:rPr>
            </w:pPr>
          </w:p>
        </w:tc>
        <w:tc>
          <w:tcPr>
            <w:tcW w:w="10540" w:type="dxa"/>
            <w:vAlign w:val="bottom"/>
          </w:tcPr>
          <w:p>
            <w:pPr>
              <w:ind w:left="4360"/>
              <w:spacing w:after="0"/>
              <w:rPr>
                <w:sz w:val="20"/>
                <w:szCs w:val="20"/>
                <w:color w:val="auto"/>
              </w:rPr>
            </w:pPr>
            <w:r>
              <w:rPr>
                <w:rFonts w:ascii="Arial" w:cs="Arial" w:eastAsia="Arial" w:hAnsi="Arial"/>
                <w:sz w:val="20"/>
                <w:szCs w:val="20"/>
                <w:b w:val="1"/>
                <w:bCs w:val="1"/>
                <w:color w:val="auto"/>
              </w:rPr>
              <w:t>DEFINITIONS</w:t>
            </w:r>
          </w:p>
        </w:tc>
      </w:tr>
      <w:tr>
        <w:trPr>
          <w:trHeight w:val="250"/>
        </w:trPr>
        <w:tc>
          <w:tcPr>
            <w:tcW w:w="11160" w:type="dxa"/>
            <w:vAlign w:val="bottom"/>
            <w:gridSpan w:val="2"/>
          </w:tcPr>
          <w:p>
            <w:pPr>
              <w:spacing w:after="0"/>
              <w:rPr>
                <w:sz w:val="20"/>
                <w:szCs w:val="20"/>
                <w:color w:val="auto"/>
              </w:rPr>
            </w:pPr>
            <w:r>
              <w:rPr>
                <w:rFonts w:ascii="Arial" w:cs="Arial" w:eastAsia="Arial" w:hAnsi="Arial"/>
                <w:sz w:val="20"/>
                <w:szCs w:val="20"/>
                <w:color w:val="auto"/>
              </w:rPr>
              <w:t>Unless otherwise provided, for purposes of this Agreement, the following definitions shall apply:</w:t>
            </w:r>
          </w:p>
        </w:tc>
      </w:tr>
      <w:tr>
        <w:trPr>
          <w:trHeight w:val="364"/>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7.1.</w:t>
            </w:r>
          </w:p>
        </w:tc>
        <w:tc>
          <w:tcPr>
            <w:tcW w:w="10540" w:type="dxa"/>
            <w:vAlign w:val="bottom"/>
          </w:tcPr>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tc>
      </w:tr>
      <w:tr>
        <w:trPr>
          <w:trHeight w:val="357"/>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7.2.</w:t>
            </w:r>
          </w:p>
        </w:tc>
        <w:tc>
          <w:tcPr>
            <w:tcW w:w="10540" w:type="dxa"/>
            <w:vAlign w:val="bottom"/>
          </w:tcPr>
          <w:p>
            <w:pPr>
              <w:ind w:left="10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Cause</w:t>
            </w:r>
            <w:r>
              <w:rPr>
                <w:rFonts w:ascii="Arial" w:cs="Arial" w:eastAsia="Arial" w:hAnsi="Arial"/>
                <w:sz w:val="20"/>
                <w:szCs w:val="20"/>
                <w:color w:val="auto"/>
                <w:w w:val="91"/>
              </w:rPr>
              <w:t>” means, upon a reasonable determination by the Company, Executive’s: (i) dishonest statements or acts with</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4"/>
              </w:rPr>
              <w:t>respect to the Company, any subsidiary or any affiliate of the Company, which has the effect of materially injuring (whether</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3"/>
              </w:rPr>
              <w:t>financially or otherwise) the business or reputation of the Company; (ii) conviction of or indictment for (A) a felony or (B) any</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3"/>
              </w:rPr>
              <w:t>misdemeanor (excluding minor traffic violations) involving moral turpitude, deceit, dishonesty or fraud (“indictment,” for these</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2"/>
              </w:rPr>
              <w:t>purposes, meaning an indictment, probable cause hearing or any other procedure pursuant to which an initial determination of</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1"/>
              </w:rPr>
              <w:t>probable or reasonable cause with respect to such offense is made); (iii) gross negligence, willful misconduct or insubordination</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4"/>
              </w:rPr>
              <w:t>with respect to the Company or any subsidiary or any affiliate of the Company; or (iv) material breach of any of Executive’s</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0"/>
              </w:rPr>
              <w:t>obligations under any agreement to which Executive and the Company or any subsidiary are a party. With respect to clause (iv),</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89"/>
              </w:rPr>
              <w:t>Executive will be given notice and a 30-day period in which to cure such breach, only to the extent such breach can be reasonably</w:t>
            </w:r>
          </w:p>
        </w:tc>
      </w:tr>
      <w:tr>
        <w:trPr>
          <w:trHeight w:val="216"/>
        </w:trPr>
        <w:tc>
          <w:tcPr>
            <w:tcW w:w="620" w:type="dxa"/>
            <w:vAlign w:val="bottom"/>
          </w:tcPr>
          <w:p>
            <w:pPr>
              <w:spacing w:after="0"/>
              <w:rPr>
                <w:sz w:val="18"/>
                <w:szCs w:val="18"/>
                <w:color w:val="auto"/>
              </w:rPr>
            </w:pPr>
          </w:p>
        </w:tc>
        <w:tc>
          <w:tcPr>
            <w:tcW w:w="10540" w:type="dxa"/>
            <w:vAlign w:val="bottom"/>
          </w:tcPr>
          <w:p>
            <w:pPr>
              <w:ind w:left="260"/>
              <w:spacing w:after="0" w:line="216" w:lineRule="exact"/>
              <w:rPr>
                <w:sz w:val="20"/>
                <w:szCs w:val="20"/>
                <w:color w:val="auto"/>
              </w:rPr>
            </w:pPr>
            <w:r>
              <w:rPr>
                <w:rFonts w:ascii="Arial" w:cs="Arial" w:eastAsia="Arial" w:hAnsi="Arial"/>
                <w:sz w:val="20"/>
                <w:szCs w:val="20"/>
                <w:color w:val="auto"/>
                <w:w w:val="94"/>
              </w:rPr>
              <w:t>expected to be able to be cured within such period. Executive agrees that the breach of any confidentiality obligation to the</w:t>
            </w:r>
          </w:p>
        </w:tc>
      </w:tr>
      <w:tr>
        <w:trPr>
          <w:trHeight w:val="250"/>
        </w:trPr>
        <w:tc>
          <w:tcPr>
            <w:tcW w:w="620" w:type="dxa"/>
            <w:vAlign w:val="bottom"/>
          </w:tcPr>
          <w:p>
            <w:pPr>
              <w:spacing w:after="0"/>
              <w:rPr>
                <w:sz w:val="21"/>
                <w:szCs w:val="21"/>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rPr>
              <w:t>Company or any subsidiary shall not be curable to any extent.</w:t>
            </w:r>
          </w:p>
        </w:tc>
      </w:tr>
      <w:tr>
        <w:trPr>
          <w:trHeight w:val="343"/>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7.3.</w:t>
            </w:r>
          </w:p>
        </w:tc>
        <w:tc>
          <w:tcPr>
            <w:tcW w:w="10540" w:type="dxa"/>
            <w:vAlign w:val="bottom"/>
          </w:tcPr>
          <w:p>
            <w:pPr>
              <w:ind w:left="104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Change in Control</w:t>
            </w:r>
            <w:r>
              <w:rPr>
                <w:rFonts w:ascii="Arial" w:cs="Arial" w:eastAsia="Arial" w:hAnsi="Arial"/>
                <w:sz w:val="20"/>
                <w:szCs w:val="20"/>
                <w:color w:val="auto"/>
                <w:w w:val="90"/>
              </w:rPr>
              <w:t>” means the occurrence, in a single transaction or in a series of related transactions, of any one or</w:t>
            </w:r>
          </w:p>
        </w:tc>
      </w:tr>
      <w:tr>
        <w:trPr>
          <w:trHeight w:val="250"/>
        </w:trPr>
        <w:tc>
          <w:tcPr>
            <w:tcW w:w="620" w:type="dxa"/>
            <w:vAlign w:val="bottom"/>
          </w:tcPr>
          <w:p>
            <w:pPr>
              <w:spacing w:after="0"/>
              <w:rPr>
                <w:sz w:val="21"/>
                <w:szCs w:val="21"/>
                <w:color w:val="auto"/>
              </w:rPr>
            </w:pPr>
          </w:p>
        </w:tc>
        <w:tc>
          <w:tcPr>
            <w:tcW w:w="10540" w:type="dxa"/>
            <w:vAlign w:val="bottom"/>
          </w:tcPr>
          <w:p>
            <w:pPr>
              <w:ind w:left="260"/>
              <w:spacing w:after="0"/>
              <w:rPr>
                <w:sz w:val="20"/>
                <w:szCs w:val="20"/>
                <w:color w:val="auto"/>
              </w:rPr>
            </w:pPr>
            <w:r>
              <w:rPr>
                <w:rFonts w:ascii="Arial" w:cs="Arial" w:eastAsia="Arial" w:hAnsi="Arial"/>
                <w:sz w:val="20"/>
                <w:szCs w:val="20"/>
                <w:color w:val="auto"/>
              </w:rPr>
              <w:t>more of the following events:</w:t>
            </w:r>
          </w:p>
        </w:tc>
      </w:tr>
    </w:tbl>
    <w:p>
      <w:pPr>
        <w:spacing w:after="0" w:line="141" w:lineRule="exact"/>
        <w:rPr>
          <w:sz w:val="20"/>
          <w:szCs w:val="20"/>
          <w:color w:val="auto"/>
        </w:rPr>
      </w:pPr>
    </w:p>
    <w:p>
      <w:pPr>
        <w:ind w:right="160" w:firstLine="1735"/>
        <w:spacing w:after="0" w:line="249" w:lineRule="auto"/>
        <w:tabs>
          <w:tab w:leader="none" w:pos="2528" w:val="left"/>
        </w:tabs>
        <w:numPr>
          <w:ilvl w:val="0"/>
          <w:numId w:val="66"/>
        </w:numPr>
        <w:rPr>
          <w:rFonts w:ascii="Arial" w:cs="Arial" w:eastAsia="Arial" w:hAnsi="Arial"/>
          <w:sz w:val="20"/>
          <w:szCs w:val="20"/>
          <w:color w:val="auto"/>
        </w:rPr>
      </w:pPr>
      <w:r>
        <w:rPr>
          <w:rFonts w:ascii="Arial" w:cs="Arial" w:eastAsia="Arial" w:hAnsi="Arial"/>
          <w:sz w:val="20"/>
          <w:szCs w:val="20"/>
          <w:color w:val="auto"/>
        </w:rPr>
        <w:t>Any natural person, entity or group within the meaning of Section 13(d) or 14(d) of the Securities Exchange Act of 1934, as amended (“</w:t>
      </w:r>
      <w:r>
        <w:rPr>
          <w:rFonts w:ascii="Arial" w:cs="Arial" w:eastAsia="Arial" w:hAnsi="Arial"/>
          <w:sz w:val="20"/>
          <w:szCs w:val="20"/>
          <w:b w:val="1"/>
          <w:bCs w:val="1"/>
          <w:i w:val="1"/>
          <w:iCs w:val="1"/>
          <w:color w:val="auto"/>
        </w:rPr>
        <w:t>Exchange Act Person</w:t>
      </w:r>
      <w:r>
        <w:rPr>
          <w:rFonts w:ascii="Arial" w:cs="Arial" w:eastAsia="Arial" w:hAnsi="Arial"/>
          <w:sz w:val="20"/>
          <w:szCs w:val="20"/>
          <w:color w:val="auto"/>
        </w:rPr>
        <w:t>”), becomes the owner, directly or indirectly, of securities of the Company representing more than fifty percent (50%)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5" w:name="page116"/>
    <w:bookmarkEnd w:id="115"/>
    <w:p>
      <w:pPr>
        <w:spacing w:after="0" w:line="271" w:lineRule="auto"/>
        <w:rPr>
          <w:sz w:val="20"/>
          <w:szCs w:val="20"/>
          <w:color w:val="auto"/>
        </w:rPr>
      </w:pPr>
      <w:r>
        <w:rPr>
          <w:rFonts w:ascii="Arial" w:cs="Arial" w:eastAsia="Arial" w:hAnsi="Arial"/>
          <w:sz w:val="18"/>
          <w:szCs w:val="18"/>
          <w:color w:val="auto"/>
        </w:rPr>
        <w:t>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17" w:lineRule="exact"/>
        <w:rPr>
          <w:sz w:val="20"/>
          <w:szCs w:val="20"/>
          <w:color w:val="auto"/>
        </w:rPr>
      </w:pPr>
    </w:p>
    <w:p>
      <w:pPr>
        <w:ind w:firstLine="1735"/>
        <w:spacing w:after="0" w:line="243" w:lineRule="auto"/>
        <w:tabs>
          <w:tab w:leader="none" w:pos="2539"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40" w:lineRule="exact"/>
        <w:rPr>
          <w:rFonts w:ascii="Arial" w:cs="Arial" w:eastAsia="Arial" w:hAnsi="Arial"/>
          <w:sz w:val="20"/>
          <w:szCs w:val="20"/>
          <w:color w:val="auto"/>
        </w:rPr>
      </w:pPr>
    </w:p>
    <w:p>
      <w:pPr>
        <w:ind w:firstLine="1735"/>
        <w:spacing w:after="0" w:line="260" w:lineRule="auto"/>
        <w:tabs>
          <w:tab w:leader="none" w:pos="2528"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stockholders of the Company approve or the Board approves a plan of complete dissolution or liquidation of the Company, or a complete dissolution or liquidation of the Company shall otherwise occur; or</w:t>
      </w:r>
    </w:p>
    <w:p>
      <w:pPr>
        <w:spacing w:after="0" w:line="121" w:lineRule="exact"/>
        <w:rPr>
          <w:rFonts w:ascii="Arial" w:cs="Arial" w:eastAsia="Arial" w:hAnsi="Arial"/>
          <w:sz w:val="20"/>
          <w:szCs w:val="20"/>
          <w:color w:val="auto"/>
        </w:rPr>
      </w:pPr>
    </w:p>
    <w:p>
      <w:pPr>
        <w:ind w:firstLine="1735"/>
        <w:spacing w:after="0" w:line="244" w:lineRule="auto"/>
        <w:tabs>
          <w:tab w:leader="none" w:pos="2539"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25" w:lineRule="exact"/>
        <w:rPr>
          <w:sz w:val="20"/>
          <w:szCs w:val="20"/>
          <w:color w:val="auto"/>
        </w:rPr>
      </w:pPr>
    </w:p>
    <w:p>
      <w:pPr>
        <w:jc w:val="both"/>
        <w:ind w:right="40" w:firstLine="973"/>
        <w:spacing w:after="0" w:line="278"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03"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7.4.</w:t>
            </w:r>
          </w:p>
        </w:tc>
        <w:tc>
          <w:tcPr>
            <w:tcW w:w="10460" w:type="dxa"/>
            <w:vAlign w:val="bottom"/>
          </w:tcPr>
          <w:p>
            <w:pPr>
              <w:ind w:left="104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Change in Control Benefits Period</w:t>
            </w:r>
            <w:r>
              <w:rPr>
                <w:rFonts w:ascii="Arial" w:cs="Arial" w:eastAsia="Arial" w:hAnsi="Arial"/>
                <w:sz w:val="20"/>
                <w:szCs w:val="20"/>
                <w:color w:val="auto"/>
                <w:w w:val="88"/>
              </w:rPr>
              <w:t>” means the period of eighteen (18) months commencing on the Termination Date.</w:t>
            </w:r>
          </w:p>
        </w:tc>
      </w:tr>
      <w:tr>
        <w:trPr>
          <w:trHeight w:val="370"/>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7.5.</w:t>
            </w:r>
          </w:p>
        </w:tc>
        <w:tc>
          <w:tcPr>
            <w:tcW w:w="10460" w:type="dxa"/>
            <w:vAlign w:val="bottom"/>
          </w:tcPr>
          <w:p>
            <w:pPr>
              <w:ind w:left="10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Change in Control Severance Period</w:t>
            </w:r>
            <w:r>
              <w:rPr>
                <w:rFonts w:ascii="Arial" w:cs="Arial" w:eastAsia="Arial" w:hAnsi="Arial"/>
                <w:sz w:val="20"/>
                <w:szCs w:val="20"/>
                <w:color w:val="auto"/>
                <w:w w:val="91"/>
              </w:rPr>
              <w:t>” means the period of eighteen (18) months commencing on the Termination</w:t>
            </w:r>
          </w:p>
        </w:tc>
      </w:tr>
      <w:tr>
        <w:trPr>
          <w:trHeight w:val="250"/>
        </w:trPr>
        <w:tc>
          <w:tcPr>
            <w:tcW w:w="540" w:type="dxa"/>
            <w:vAlign w:val="bottom"/>
          </w:tcPr>
          <w:p>
            <w:pPr>
              <w:spacing w:after="0"/>
              <w:rPr>
                <w:sz w:val="21"/>
                <w:szCs w:val="21"/>
                <w:color w:val="auto"/>
              </w:rPr>
            </w:pPr>
          </w:p>
        </w:tc>
        <w:tc>
          <w:tcPr>
            <w:tcW w:w="10460" w:type="dxa"/>
            <w:vAlign w:val="bottom"/>
          </w:tcPr>
          <w:p>
            <w:pPr>
              <w:ind w:left="260"/>
              <w:spacing w:after="0"/>
              <w:rPr>
                <w:sz w:val="20"/>
                <w:szCs w:val="20"/>
                <w:color w:val="auto"/>
              </w:rPr>
            </w:pPr>
            <w:r>
              <w:rPr>
                <w:rFonts w:ascii="Arial" w:cs="Arial" w:eastAsia="Arial" w:hAnsi="Arial"/>
                <w:sz w:val="20"/>
                <w:szCs w:val="20"/>
                <w:color w:val="auto"/>
              </w:rPr>
              <w:t>Date.</w:t>
            </w:r>
          </w:p>
        </w:tc>
      </w:tr>
      <w:tr>
        <w:trPr>
          <w:trHeight w:val="359"/>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7.6.</w:t>
            </w:r>
          </w:p>
        </w:tc>
        <w:tc>
          <w:tcPr>
            <w:tcW w:w="10460" w:type="dxa"/>
            <w:vAlign w:val="bottom"/>
          </w:tcPr>
          <w:p>
            <w:pPr>
              <w:ind w:left="10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Change in Control Termination</w:t>
            </w:r>
            <w:r>
              <w:rPr>
                <w:rFonts w:ascii="Arial" w:cs="Arial" w:eastAsia="Arial" w:hAnsi="Arial"/>
                <w:sz w:val="20"/>
                <w:szCs w:val="20"/>
                <w:color w:val="auto"/>
                <w:w w:val="91"/>
              </w:rPr>
              <w:t>” means an “</w:t>
            </w:r>
            <w:r>
              <w:rPr>
                <w:rFonts w:ascii="Arial" w:cs="Arial" w:eastAsia="Arial" w:hAnsi="Arial"/>
                <w:sz w:val="20"/>
                <w:szCs w:val="20"/>
                <w:b w:val="1"/>
                <w:bCs w:val="1"/>
                <w:i w:val="1"/>
                <w:iCs w:val="1"/>
                <w:color w:val="auto"/>
                <w:w w:val="91"/>
              </w:rPr>
              <w:t>Involuntary Termination Without Cause</w:t>
            </w:r>
            <w:r>
              <w:rPr>
                <w:rFonts w:ascii="Arial" w:cs="Arial" w:eastAsia="Arial" w:hAnsi="Arial"/>
                <w:sz w:val="20"/>
                <w:szCs w:val="20"/>
                <w:color w:val="auto"/>
                <w:w w:val="91"/>
              </w:rPr>
              <w:t>” or “</w:t>
            </w:r>
            <w:r>
              <w:rPr>
                <w:rFonts w:ascii="Arial" w:cs="Arial" w:eastAsia="Arial" w:hAnsi="Arial"/>
                <w:sz w:val="20"/>
                <w:szCs w:val="20"/>
                <w:b w:val="1"/>
                <w:bCs w:val="1"/>
                <w:i w:val="1"/>
                <w:iCs w:val="1"/>
                <w:color w:val="auto"/>
                <w:w w:val="91"/>
              </w:rPr>
              <w:t>Resignation for Good</w:t>
            </w:r>
          </w:p>
        </w:tc>
      </w:tr>
    </w:tbl>
    <w:p>
      <w:pPr>
        <w:ind w:left="880" w:right="60"/>
        <w:spacing w:after="0" w:line="260" w:lineRule="auto"/>
        <w:rPr>
          <w:sz w:val="20"/>
          <w:szCs w:val="20"/>
          <w:color w:val="auto"/>
        </w:rPr>
      </w:pPr>
      <w:r>
        <w:rPr>
          <w:rFonts w:ascii="Arial" w:cs="Arial" w:eastAsia="Arial" w:hAnsi="Arial"/>
          <w:sz w:val="19"/>
          <w:szCs w:val="19"/>
          <w:b w:val="1"/>
          <w:bCs w:val="1"/>
          <w:i w:val="1"/>
          <w:iCs w:val="1"/>
          <w:color w:val="auto"/>
        </w:rPr>
        <w:t>Reason</w:t>
      </w:r>
      <w:r>
        <w:rPr>
          <w:rFonts w:ascii="Arial" w:cs="Arial" w:eastAsia="Arial" w:hAnsi="Arial"/>
          <w:sz w:val="19"/>
          <w:szCs w:val="19"/>
          <w:i w:val="1"/>
          <w:iCs w:val="1"/>
          <w:color w:val="auto"/>
        </w:rPr>
        <w:t>,</w:t>
      </w:r>
      <w:r>
        <w:rPr>
          <w:rFonts w:ascii="Arial" w:cs="Arial" w:eastAsia="Arial" w:hAnsi="Arial"/>
          <w:sz w:val="19"/>
          <w:szCs w:val="19"/>
          <w:color w:val="auto"/>
        </w:rPr>
        <w:t>” either of which occurs on, or within three (3) months prior to, or within twelve (12) months following, the effective date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 Change in Control, provided that any such termination is a “separation from service” within the meaning of Treasury Regulation Section 1.409A- 1(h). Death and disability shall not be deemed Change in Control Terminations.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57"/>
        </w:trPr>
        <w:tc>
          <w:tcPr>
            <w:tcW w:w="600" w:type="dxa"/>
            <w:vAlign w:val="bottom"/>
          </w:tcPr>
          <w:p>
            <w:pPr>
              <w:spacing w:after="0"/>
              <w:rPr>
                <w:sz w:val="20"/>
                <w:szCs w:val="20"/>
                <w:color w:val="auto"/>
              </w:rPr>
            </w:pPr>
            <w:r>
              <w:rPr>
                <w:rFonts w:ascii="Arial" w:cs="Arial" w:eastAsia="Arial" w:hAnsi="Arial"/>
                <w:sz w:val="20"/>
                <w:szCs w:val="20"/>
                <w:b w:val="1"/>
                <w:bCs w:val="1"/>
                <w:color w:val="auto"/>
              </w:rPr>
              <w:t>7.7.</w:t>
            </w:r>
          </w:p>
        </w:tc>
        <w:tc>
          <w:tcPr>
            <w:tcW w:w="10500" w:type="dxa"/>
            <w:vAlign w:val="bottom"/>
          </w:tcPr>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means the Consolidated Omnibus Budget Reconciliation Act of 1985, as amended.</w:t>
            </w:r>
          </w:p>
        </w:tc>
      </w:tr>
      <w:tr>
        <w:trPr>
          <w:trHeight w:val="391"/>
        </w:trPr>
        <w:tc>
          <w:tcPr>
            <w:tcW w:w="600" w:type="dxa"/>
            <w:vAlign w:val="bottom"/>
          </w:tcPr>
          <w:p>
            <w:pPr>
              <w:spacing w:after="0"/>
              <w:rPr>
                <w:sz w:val="20"/>
                <w:szCs w:val="20"/>
                <w:color w:val="auto"/>
              </w:rPr>
            </w:pPr>
            <w:r>
              <w:rPr>
                <w:rFonts w:ascii="Arial" w:cs="Arial" w:eastAsia="Arial" w:hAnsi="Arial"/>
                <w:sz w:val="20"/>
                <w:szCs w:val="20"/>
                <w:b w:val="1"/>
                <w:bCs w:val="1"/>
                <w:color w:val="auto"/>
              </w:rPr>
              <w:t>7.8.</w:t>
            </w:r>
          </w:p>
        </w:tc>
        <w:tc>
          <w:tcPr>
            <w:tcW w:w="10500" w:type="dxa"/>
            <w:vAlign w:val="bottom"/>
          </w:tcPr>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7.9.</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Company</w:t>
            </w:r>
            <w:r>
              <w:rPr>
                <w:rFonts w:ascii="Arial" w:cs="Arial" w:eastAsia="Arial" w:hAnsi="Arial"/>
                <w:sz w:val="20"/>
                <w:szCs w:val="20"/>
                <w:color w:val="auto"/>
                <w:w w:val="91"/>
              </w:rPr>
              <w:t>” means Syndax Pharmaceuticals, Inc. or, following a Change in Control, the surviving entity resulting from</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such transaction, or any subsequent surviving entity resulting from any subsequent Change in Control.</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7.10.</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Confidentiality Agreement</w:t>
            </w:r>
            <w:r>
              <w:rPr>
                <w:rFonts w:ascii="Arial" w:cs="Arial" w:eastAsia="Arial" w:hAnsi="Arial"/>
                <w:sz w:val="20"/>
                <w:szCs w:val="20"/>
                <w:color w:val="auto"/>
                <w:w w:val="91"/>
              </w:rPr>
              <w:t>” means Executive’s Assignment of Developments, Non- Disclosure and Non-Solicitation</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Agreement with the Company, dated June 22, 2015 (or any successor agreement thereto).</w:t>
            </w:r>
          </w:p>
        </w:tc>
      </w:tr>
      <w:tr>
        <w:trPr>
          <w:trHeight w:val="357"/>
        </w:trPr>
        <w:tc>
          <w:tcPr>
            <w:tcW w:w="600" w:type="dxa"/>
            <w:vAlign w:val="bottom"/>
          </w:tcPr>
          <w:p>
            <w:pPr>
              <w:spacing w:after="0"/>
              <w:rPr>
                <w:sz w:val="20"/>
                <w:szCs w:val="20"/>
                <w:color w:val="auto"/>
              </w:rPr>
            </w:pPr>
            <w:r>
              <w:rPr>
                <w:rFonts w:ascii="Arial" w:cs="Arial" w:eastAsia="Arial" w:hAnsi="Arial"/>
                <w:sz w:val="20"/>
                <w:szCs w:val="20"/>
                <w:b w:val="1"/>
                <w:bCs w:val="1"/>
                <w:color w:val="auto"/>
              </w:rPr>
              <w:t>7.11.</w:t>
            </w:r>
          </w:p>
        </w:tc>
        <w:tc>
          <w:tcPr>
            <w:tcW w:w="10500" w:type="dxa"/>
            <w:vAlign w:val="bottom"/>
          </w:tcPr>
          <w:p>
            <w:pPr>
              <w:ind w:left="98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i w:val="1"/>
                <w:iCs w:val="1"/>
                <w:color w:val="auto"/>
                <w:w w:val="92"/>
              </w:rPr>
              <w:t>Covered Termination</w:t>
            </w:r>
            <w:r>
              <w:rPr>
                <w:rFonts w:ascii="Arial" w:cs="Arial" w:eastAsia="Arial" w:hAnsi="Arial"/>
                <w:sz w:val="20"/>
                <w:szCs w:val="20"/>
                <w:color w:val="auto"/>
                <w:w w:val="92"/>
              </w:rPr>
              <w:t>” means an “</w:t>
            </w:r>
            <w:r>
              <w:rPr>
                <w:rFonts w:ascii="Arial" w:cs="Arial" w:eastAsia="Arial" w:hAnsi="Arial"/>
                <w:sz w:val="20"/>
                <w:szCs w:val="20"/>
                <w:b w:val="1"/>
                <w:bCs w:val="1"/>
                <w:i w:val="1"/>
                <w:iCs w:val="1"/>
                <w:color w:val="auto"/>
                <w:w w:val="92"/>
              </w:rPr>
              <w:t>Involuntary Termination Without Cause</w:t>
            </w:r>
            <w:r>
              <w:rPr>
                <w:rFonts w:ascii="Arial" w:cs="Arial" w:eastAsia="Arial" w:hAnsi="Arial"/>
                <w:sz w:val="20"/>
                <w:szCs w:val="20"/>
                <w:color w:val="auto"/>
                <w:w w:val="92"/>
              </w:rPr>
              <w:t>” or “</w:t>
            </w:r>
            <w:r>
              <w:rPr>
                <w:rFonts w:ascii="Arial" w:cs="Arial" w:eastAsia="Arial" w:hAnsi="Arial"/>
                <w:sz w:val="20"/>
                <w:szCs w:val="20"/>
                <w:b w:val="1"/>
                <w:bCs w:val="1"/>
                <w:i w:val="1"/>
                <w:iCs w:val="1"/>
                <w:color w:val="auto"/>
                <w:w w:val="92"/>
              </w:rPr>
              <w:t>Resignation for Good Reason</w:t>
            </w:r>
            <w:r>
              <w:rPr>
                <w:rFonts w:ascii="Arial" w:cs="Arial" w:eastAsia="Arial" w:hAnsi="Arial"/>
                <w:sz w:val="20"/>
                <w:szCs w:val="20"/>
                <w:i w:val="1"/>
                <w:iCs w:val="1"/>
                <w:color w:val="auto"/>
                <w:w w:val="92"/>
              </w:rPr>
              <w:t>,</w:t>
            </w:r>
            <w:r>
              <w:rPr>
                <w:rFonts w:ascii="Arial" w:cs="Arial" w:eastAsia="Arial" w:hAnsi="Arial"/>
                <w:sz w:val="20"/>
                <w:szCs w:val="20"/>
                <w:color w:val="auto"/>
                <w:w w:val="92"/>
              </w:rPr>
              <w:t>”</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0"/>
              </w:rPr>
              <w:t>provided that any such termination is a “separation from service” within the meaning of Treasury Regulation Section 1.409A-1(h).</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Death and disability shall not be deemed Covered Terminations. If an Involuntary Termination Without Cause or Resignation for</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Good Reason qualifies as a Change in Control Termination, it shall not constitute a Covered Termination.</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7.12.</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Covered Termination Benefits Period</w:t>
            </w:r>
            <w:r>
              <w:rPr>
                <w:rFonts w:ascii="Arial" w:cs="Arial" w:eastAsia="Arial" w:hAnsi="Arial"/>
                <w:sz w:val="20"/>
                <w:szCs w:val="20"/>
                <w:color w:val="auto"/>
                <w:w w:val="91"/>
              </w:rPr>
              <w:t>” means the period of eighteen (18) months commencing on the Termination</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Date.</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7.13.</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Covered Termination Severance Period</w:t>
            </w:r>
            <w:r>
              <w:rPr>
                <w:rFonts w:ascii="Arial" w:cs="Arial" w:eastAsia="Arial" w:hAnsi="Arial"/>
                <w:sz w:val="20"/>
                <w:szCs w:val="20"/>
                <w:color w:val="auto"/>
                <w:w w:val="91"/>
              </w:rPr>
              <w:t>” means the period of twelve (12) months commencing on the Termination</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Date.</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7.14.</w:t>
            </w:r>
          </w:p>
        </w:tc>
        <w:tc>
          <w:tcPr>
            <w:tcW w:w="10500" w:type="dxa"/>
            <w:vAlign w:val="bottom"/>
          </w:tcPr>
          <w:p>
            <w:pPr>
              <w:ind w:left="98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Involuntary Termination Without Cause</w:t>
            </w:r>
            <w:r>
              <w:rPr>
                <w:rFonts w:ascii="Arial" w:cs="Arial" w:eastAsia="Arial" w:hAnsi="Arial"/>
                <w:sz w:val="20"/>
                <w:szCs w:val="20"/>
                <w:color w:val="auto"/>
                <w:w w:val="88"/>
              </w:rPr>
              <w:t>” means Executive’s dismissal or discharge by the Company for reasons other</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than Cause and other than as a result of death or disability.</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7.15.</w:t>
            </w:r>
          </w:p>
        </w:tc>
        <w:tc>
          <w:tcPr>
            <w:tcW w:w="10500" w:type="dxa"/>
            <w:vAlign w:val="bottom"/>
          </w:tcPr>
          <w:p>
            <w:pPr>
              <w:ind w:left="98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Monthly Base Salary</w:t>
            </w:r>
            <w:r>
              <w:rPr>
                <w:rFonts w:ascii="Arial" w:cs="Arial" w:eastAsia="Arial" w:hAnsi="Arial"/>
                <w:sz w:val="20"/>
                <w:szCs w:val="20"/>
                <w:color w:val="auto"/>
                <w:w w:val="94"/>
              </w:rPr>
              <w:t>” means 1/12</w:t>
            </w:r>
            <w:r>
              <w:rPr>
                <w:rFonts w:ascii="Arial" w:cs="Arial" w:eastAsia="Arial" w:hAnsi="Arial"/>
                <w:sz w:val="16"/>
                <w:szCs w:val="16"/>
                <w:color w:val="auto"/>
                <w:w w:val="94"/>
              </w:rPr>
              <w:t>th</w:t>
            </w:r>
            <w:r>
              <w:rPr>
                <w:rFonts w:ascii="Arial" w:cs="Arial" w:eastAsia="Arial" w:hAnsi="Arial"/>
                <w:sz w:val="20"/>
                <w:szCs w:val="20"/>
                <w:color w:val="auto"/>
                <w:w w:val="94"/>
              </w:rPr>
              <w:t xml:space="preserve"> of the greater of (i) Executive’s annual base salary (excluding incentive pay,</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0"/>
              </w:rPr>
              <w:t>premium pay, commissions, overtime, bonuses and other forms of variable compensation) as in effect on the date of a Change in</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Control Termination or a Covered Termination, as applicable, or (ii) in the case of a Change in Control Termination, Executive’s</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7"/>
              </w:rPr>
              <w:t>annual base salary (excluding incentive pay, premium pay, commissions, overtime, bonuses and other forms of variable</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compensation) as in effect on the date of a Change in Control.</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7.16.</w:t>
            </w:r>
          </w:p>
        </w:tc>
        <w:tc>
          <w:tcPr>
            <w:tcW w:w="10500" w:type="dxa"/>
            <w:vAlign w:val="bottom"/>
          </w:tcPr>
          <w:p>
            <w:pPr>
              <w:ind w:left="98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Prior Employment Agreement</w:t>
            </w:r>
            <w:r>
              <w:rPr>
                <w:rFonts w:ascii="Arial" w:cs="Arial" w:eastAsia="Arial" w:hAnsi="Arial"/>
                <w:sz w:val="20"/>
                <w:szCs w:val="20"/>
                <w:color w:val="auto"/>
                <w:w w:val="89"/>
              </w:rPr>
              <w:t>” means that certain offer letter agreement, between the Company and Executive, dated</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September 30, 2015.</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7.17.</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Pro-Rata Bonus</w:t>
            </w:r>
            <w:r>
              <w:rPr>
                <w:rFonts w:ascii="Arial" w:cs="Arial" w:eastAsia="Arial" w:hAnsi="Arial"/>
                <w:sz w:val="20"/>
                <w:szCs w:val="20"/>
                <w:color w:val="auto"/>
                <w:w w:val="91"/>
              </w:rPr>
              <w:t>” means 1/12</w:t>
            </w:r>
            <w:r>
              <w:rPr>
                <w:rFonts w:ascii="Arial" w:cs="Arial" w:eastAsia="Arial" w:hAnsi="Arial"/>
                <w:sz w:val="16"/>
                <w:szCs w:val="16"/>
                <w:color w:val="auto"/>
                <w:w w:val="91"/>
              </w:rPr>
              <w:t>th</w:t>
            </w:r>
            <w:r>
              <w:rPr>
                <w:rFonts w:ascii="Arial" w:cs="Arial" w:eastAsia="Arial" w:hAnsi="Arial"/>
                <w:sz w:val="20"/>
                <w:szCs w:val="20"/>
                <w:color w:val="auto"/>
                <w:w w:val="91"/>
              </w:rPr>
              <w:t xml:space="preserve"> of the greater of (i) the average Target Performance Bonus paid to Executive for the</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three years preceding the date of a Change in Control Termination (or such lesser number of years during which Executive has</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7"/>
              </w:rPr>
              <w:t>been employed by the Company), or (ii) the Target Performance Bonus, as in effect on the date of a Change in Control</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Termination.</w:t>
            </w:r>
          </w:p>
        </w:tc>
      </w:tr>
      <w:tr>
        <w:trPr>
          <w:trHeight w:val="357"/>
        </w:trPr>
        <w:tc>
          <w:tcPr>
            <w:tcW w:w="600" w:type="dxa"/>
            <w:vAlign w:val="bottom"/>
          </w:tcPr>
          <w:p>
            <w:pPr>
              <w:spacing w:after="0"/>
              <w:rPr>
                <w:sz w:val="20"/>
                <w:szCs w:val="20"/>
                <w:color w:val="auto"/>
              </w:rPr>
            </w:pPr>
            <w:r>
              <w:rPr>
                <w:rFonts w:ascii="Arial" w:cs="Arial" w:eastAsia="Arial" w:hAnsi="Arial"/>
                <w:sz w:val="20"/>
                <w:szCs w:val="20"/>
                <w:b w:val="1"/>
                <w:bCs w:val="1"/>
                <w:color w:val="auto"/>
              </w:rPr>
              <w:t>7.18.</w:t>
            </w:r>
          </w:p>
        </w:tc>
        <w:tc>
          <w:tcPr>
            <w:tcW w:w="10500" w:type="dxa"/>
            <w:vAlign w:val="bottom"/>
          </w:tcPr>
          <w:p>
            <w:pPr>
              <w:ind w:left="98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Resignation for Good Reason</w:t>
            </w:r>
            <w:r>
              <w:rPr>
                <w:rFonts w:ascii="Arial" w:cs="Arial" w:eastAsia="Arial" w:hAnsi="Arial"/>
                <w:sz w:val="20"/>
                <w:szCs w:val="20"/>
                <w:color w:val="auto"/>
                <w:w w:val="90"/>
              </w:rPr>
              <w:t>” means Executive’s resignation from all employee positions Executive then holds with</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the Company within sixty (60) days following any of the following events taken without Executive’s consent, provided Executive</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6"/>
              </w:rPr>
              <w:t>has given the Company written notice of such event within thirty (30) days after the first occurrence of such event and the</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Company has not cured such event within thirty (30) days thereafter:</w:t>
            </w:r>
          </w:p>
        </w:tc>
      </w:tr>
    </w:tbl>
    <w:p>
      <w:pPr>
        <w:spacing w:after="0" w:line="141" w:lineRule="exact"/>
        <w:rPr>
          <w:sz w:val="20"/>
          <w:szCs w:val="20"/>
          <w:color w:val="auto"/>
        </w:rPr>
      </w:pPr>
    </w:p>
    <w:p>
      <w:pPr>
        <w:ind w:left="-60" w:right="80" w:firstLine="1735"/>
        <w:spacing w:after="0" w:line="290" w:lineRule="auto"/>
        <w:tabs>
          <w:tab w:leader="none" w:pos="24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80" w:top="115" w:right="399" w:bottom="1440" w:gutter="0" w:footer="0" w:header="0"/>
        </w:sectPr>
      </w:pPr>
    </w:p>
    <w:bookmarkStart w:id="117" w:name="page118"/>
    <w:bookmarkEnd w:id="117"/>
    <w:p>
      <w:pPr>
        <w:ind w:left="2540" w:hanging="805"/>
        <w:spacing w:after="0"/>
        <w:tabs>
          <w:tab w:leader="none" w:pos="2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Executive’s duties, authority or responsibilities are materially diminished (not simply a change in title or</w:t>
      </w:r>
    </w:p>
    <w:p>
      <w:pPr>
        <w:spacing w:after="0" w:line="2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reporting relationships);</w:t>
      </w:r>
    </w:p>
    <w:p>
      <w:pPr>
        <w:spacing w:after="0" w:line="145" w:lineRule="exact"/>
        <w:rPr>
          <w:rFonts w:ascii="Arial" w:cs="Arial" w:eastAsia="Arial" w:hAnsi="Arial"/>
          <w:sz w:val="19"/>
          <w:szCs w:val="19"/>
          <w:color w:val="auto"/>
        </w:rPr>
      </w:pPr>
    </w:p>
    <w:p>
      <w:pPr>
        <w:ind w:left="2540" w:hanging="805"/>
        <w:spacing w:after="0"/>
        <w:tabs>
          <w:tab w:leader="none" w:pos="254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 material breach by the Company of the terms of the Agreement;</w:t>
      </w:r>
    </w:p>
    <w:p>
      <w:pPr>
        <w:spacing w:after="0" w:line="147" w:lineRule="exact"/>
        <w:rPr>
          <w:rFonts w:ascii="Arial" w:cs="Arial" w:eastAsia="Arial" w:hAnsi="Arial"/>
          <w:sz w:val="20"/>
          <w:szCs w:val="20"/>
          <w:color w:val="auto"/>
        </w:rPr>
      </w:pPr>
    </w:p>
    <w:p>
      <w:pPr>
        <w:ind w:right="40" w:firstLine="1735"/>
        <w:spacing w:after="0" w:line="313" w:lineRule="auto"/>
        <w:tabs>
          <w:tab w:leader="none" w:pos="2539" w:val="left"/>
        </w:tabs>
        <w:numPr>
          <w:ilvl w:val="0"/>
          <w:numId w:val="69"/>
        </w:numPr>
        <w:rPr>
          <w:rFonts w:ascii="Arial" w:cs="Arial" w:eastAsia="Arial" w:hAnsi="Arial"/>
          <w:sz w:val="16"/>
          <w:szCs w:val="16"/>
          <w:color w:val="auto"/>
        </w:rPr>
      </w:pPr>
      <w:r>
        <w:rPr>
          <w:rFonts w:ascii="Arial" w:cs="Arial" w:eastAsia="Arial" w:hAnsi="Arial"/>
          <w:sz w:val="16"/>
          <w:szCs w:val="16"/>
          <w:color w:val="auto"/>
        </w:rPr>
        <w:t>Either (i) Executive is required to establish residence in a location more than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6"/>
          <w:szCs w:val="16"/>
          <w:b w:val="1"/>
          <w:bCs w:val="1"/>
          <w:i w:val="1"/>
          <w:iCs w:val="1"/>
          <w:color w:val="auto"/>
        </w:rPr>
        <w:t>Executive’s Principal Place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Business</w:t>
      </w:r>
      <w:r>
        <w:rPr>
          <w:rFonts w:ascii="Arial" w:cs="Arial" w:eastAsia="Arial" w:hAnsi="Arial"/>
          <w:sz w:val="16"/>
          <w:szCs w:val="16"/>
          <w:color w:val="auto"/>
        </w:rPr>
        <w:t>”) as a result of a change in location by the Company of Executive’s Principal Place of Business; provided however,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foregoing shall not include the establishment of a secondary residence within fifty (50) miles from the Company’s Waltham headquarters with Executive’s consent or any commute between Executive’s current principal personal residence and the Company’s Waltham headquarters; or</w:t>
      </w:r>
    </w:p>
    <w:p>
      <w:pPr>
        <w:spacing w:after="0" w:line="86" w:lineRule="exact"/>
        <w:rPr>
          <w:rFonts w:ascii="Arial" w:cs="Arial" w:eastAsia="Arial" w:hAnsi="Arial"/>
          <w:sz w:val="16"/>
          <w:szCs w:val="16"/>
          <w:color w:val="auto"/>
        </w:rPr>
      </w:pPr>
    </w:p>
    <w:p>
      <w:pPr>
        <w:ind w:right="240" w:firstLine="1735"/>
        <w:spacing w:after="0" w:line="260" w:lineRule="auto"/>
        <w:tabs>
          <w:tab w:leader="none" w:pos="252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failure of the Company to obtain a satisfactory agreement from any successor to materially assume and materially agree to perform under the terms of this Agreement.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7.19.</w:t>
            </w:r>
          </w:p>
        </w:tc>
        <w:tc>
          <w:tcPr>
            <w:tcW w:w="10580" w:type="dxa"/>
            <w:vAlign w:val="bottom"/>
          </w:tcPr>
          <w:p>
            <w:pPr>
              <w:ind w:left="98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Termination Date</w:t>
            </w:r>
            <w:r>
              <w:rPr>
                <w:rFonts w:ascii="Arial" w:cs="Arial" w:eastAsia="Arial" w:hAnsi="Arial"/>
                <w:sz w:val="20"/>
                <w:szCs w:val="20"/>
                <w:color w:val="auto"/>
                <w:w w:val="95"/>
              </w:rPr>
              <w:t>” means the effective date of the Change in Control Termination, the Covered Termination or a</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termination for Cause, as applicable.</w:t>
            </w:r>
          </w:p>
        </w:tc>
      </w:tr>
      <w:tr>
        <w:trPr>
          <w:trHeight w:val="364"/>
        </w:trPr>
        <w:tc>
          <w:tcPr>
            <w:tcW w:w="680" w:type="dxa"/>
            <w:vAlign w:val="bottom"/>
          </w:tcPr>
          <w:p>
            <w:pPr>
              <w:spacing w:after="0"/>
              <w:rPr>
                <w:sz w:val="24"/>
                <w:szCs w:val="24"/>
                <w:color w:val="auto"/>
              </w:rPr>
            </w:pPr>
          </w:p>
        </w:tc>
        <w:tc>
          <w:tcPr>
            <w:tcW w:w="10580" w:type="dxa"/>
            <w:vAlign w:val="bottom"/>
          </w:tcPr>
          <w:p>
            <w:pPr>
              <w:jc w:val="center"/>
              <w:ind w:right="601"/>
              <w:spacing w:after="0"/>
              <w:rPr>
                <w:sz w:val="20"/>
                <w:szCs w:val="20"/>
                <w:color w:val="auto"/>
              </w:rPr>
            </w:pPr>
            <w:r>
              <w:rPr>
                <w:rFonts w:ascii="Arial" w:cs="Arial" w:eastAsia="Arial" w:hAnsi="Arial"/>
                <w:sz w:val="20"/>
                <w:szCs w:val="20"/>
                <w:b w:val="1"/>
                <w:bCs w:val="1"/>
                <w:color w:val="auto"/>
              </w:rPr>
              <w:t>ARTICLE 8</w:t>
            </w:r>
          </w:p>
        </w:tc>
      </w:tr>
      <w:tr>
        <w:trPr>
          <w:trHeight w:val="229"/>
        </w:trPr>
        <w:tc>
          <w:tcPr>
            <w:tcW w:w="680" w:type="dxa"/>
            <w:vAlign w:val="bottom"/>
          </w:tcPr>
          <w:p>
            <w:pPr>
              <w:spacing w:after="0"/>
              <w:rPr>
                <w:sz w:val="19"/>
                <w:szCs w:val="19"/>
                <w:color w:val="auto"/>
              </w:rPr>
            </w:pPr>
          </w:p>
        </w:tc>
        <w:tc>
          <w:tcPr>
            <w:tcW w:w="10580" w:type="dxa"/>
            <w:vAlign w:val="bottom"/>
          </w:tcPr>
          <w:p>
            <w:pPr>
              <w:jc w:val="center"/>
              <w:ind w:right="581"/>
              <w:spacing w:after="0"/>
              <w:rPr>
                <w:sz w:val="20"/>
                <w:szCs w:val="20"/>
                <w:color w:val="auto"/>
              </w:rPr>
            </w:pPr>
            <w:r>
              <w:rPr>
                <w:rFonts w:ascii="Arial" w:cs="Arial" w:eastAsia="Arial" w:hAnsi="Arial"/>
                <w:sz w:val="20"/>
                <w:szCs w:val="20"/>
                <w:b w:val="1"/>
                <w:bCs w:val="1"/>
                <w:color w:val="auto"/>
                <w:w w:val="99"/>
              </w:rPr>
              <w:t>GENERAL PROVISIONS</w:t>
            </w:r>
          </w:p>
        </w:tc>
      </w:tr>
      <w:tr>
        <w:trPr>
          <w:trHeight w:val="235"/>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8.1.</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4"/>
              </w:rPr>
              <w:t>Employment Status</w:t>
            </w:r>
            <w:r>
              <w:rPr>
                <w:rFonts w:ascii="Arial" w:cs="Arial" w:eastAsia="Arial" w:hAnsi="Arial"/>
                <w:sz w:val="20"/>
                <w:szCs w:val="20"/>
                <w:color w:val="auto"/>
                <w:w w:val="94"/>
              </w:rPr>
              <w:t>. This Agreement does not constitute a contract of employment or impose upon Executive any</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4"/>
              </w:rPr>
              <w:t>obligation to remain as an employee, or impose on the Company any obligation (i) to retain Executive as an employee, (ii) to</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8"/>
              </w:rPr>
              <w:t>change the status of Executive as an at-will employee or (iii) to change the Company’s policies regarding termination of</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employment.</w:t>
            </w:r>
          </w:p>
        </w:tc>
      </w:tr>
      <w:tr>
        <w:trPr>
          <w:trHeight w:val="478"/>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8.2.</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1"/>
              </w:rPr>
              <w:t>Notices</w:t>
            </w:r>
            <w:r>
              <w:rPr>
                <w:rFonts w:ascii="Arial" w:cs="Arial" w:eastAsia="Arial" w:hAnsi="Arial"/>
                <w:sz w:val="20"/>
                <w:szCs w:val="20"/>
                <w:color w:val="auto"/>
                <w:w w:val="91"/>
              </w:rPr>
              <w:t>. Any notices provided hereunder must be in writing, and such notices or any other written communication shall</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2"/>
              </w:rPr>
              <w:t>be deemed effective upon the earlier of personal delivery (including personal delivery by facsimile) or the third day after mailing</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9"/>
              </w:rPr>
              <w:t>by first class mail, to the Company at its primary office location and to Executive at Executive’s address as listed in the</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6"/>
              </w:rPr>
              <w:t>Company’s payroll records. Any payments made by the Company to Executive under the terms of this Agreement shall be</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delivered to Executive either in person or at the address as listed in the Company’s payroll records.</w:t>
            </w:r>
          </w:p>
        </w:tc>
      </w:tr>
      <w:tr>
        <w:trPr>
          <w:trHeight w:val="343"/>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8.3.</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0"/>
              </w:rPr>
              <w:t>Severability</w:t>
            </w:r>
            <w:r>
              <w:rPr>
                <w:rFonts w:ascii="Arial" w:cs="Arial" w:eastAsia="Arial" w:hAnsi="Arial"/>
                <w:sz w:val="20"/>
                <w:szCs w:val="20"/>
                <w:color w:val="auto"/>
                <w:w w:val="90"/>
              </w:rPr>
              <w:t>. Whenever possible, each provision of this Agreement will be interpreted in such manner as to be effective</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1"/>
              </w:rPr>
              <w:t>and valid under applicable law, but if any provision of this Agreement is held to be invalid, illegal or unenforceable in any respect</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9"/>
              </w:rPr>
              <w:t>under any applicable law or rule in any jurisdiction, such invalidity, illegality or unenforceability will not affect any other</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4"/>
              </w:rPr>
              <w:t>provision or any other jurisdiction, but this Agreement will be reformed, construed and enforced in such jurisdiction as if such</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invalid, illegal or unenforceable provisions had never been contained herein.</w:t>
            </w:r>
          </w:p>
        </w:tc>
      </w:tr>
      <w:tr>
        <w:trPr>
          <w:trHeight w:val="384"/>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8.4.</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2"/>
              </w:rPr>
              <w:t>Waiver</w:t>
            </w:r>
            <w:r>
              <w:rPr>
                <w:rFonts w:ascii="Arial" w:cs="Arial" w:eastAsia="Arial" w:hAnsi="Arial"/>
                <w:sz w:val="20"/>
                <w:szCs w:val="20"/>
                <w:color w:val="auto"/>
                <w:w w:val="92"/>
              </w:rPr>
              <w:t>. If either party should waive any breach of any provisions of this Agreement, he, she or it shall not thereby be</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deemed to have waived any preceding or succeeding breach of the same or any other provision of this Agreement.</w:t>
            </w:r>
          </w:p>
        </w:tc>
      </w:tr>
      <w:tr>
        <w:trPr>
          <w:trHeight w:val="343"/>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8.5.</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8"/>
              </w:rPr>
              <w:t>Complete Agreement</w:t>
            </w:r>
            <w:r>
              <w:rPr>
                <w:rFonts w:ascii="Arial" w:cs="Arial" w:eastAsia="Arial" w:hAnsi="Arial"/>
                <w:sz w:val="20"/>
                <w:szCs w:val="20"/>
                <w:color w:val="auto"/>
                <w:w w:val="98"/>
              </w:rPr>
              <w:t>. This Agreement, including</w:t>
            </w:r>
            <w:r>
              <w:rPr>
                <w:rFonts w:ascii="Arial" w:cs="Arial" w:eastAsia="Arial" w:hAnsi="Arial"/>
                <w:sz w:val="20"/>
                <w:szCs w:val="20"/>
                <w:b w:val="1"/>
                <w:bCs w:val="1"/>
                <w:color w:val="auto"/>
                <w:w w:val="98"/>
              </w:rPr>
              <w:t xml:space="preserve"> Exhibit A</w:t>
            </w:r>
            <w:r>
              <w:rPr>
                <w:rFonts w:ascii="Arial" w:cs="Arial" w:eastAsia="Arial" w:hAnsi="Arial"/>
                <w:sz w:val="20"/>
                <w:szCs w:val="20"/>
                <w:color w:val="auto"/>
                <w:w w:val="98"/>
              </w:rPr>
              <w:t>,</w:t>
            </w:r>
            <w:r>
              <w:rPr>
                <w:rFonts w:ascii="Arial" w:cs="Arial" w:eastAsia="Arial" w:hAnsi="Arial"/>
                <w:sz w:val="20"/>
                <w:szCs w:val="20"/>
                <w:b w:val="1"/>
                <w:bCs w:val="1"/>
                <w:color w:val="auto"/>
                <w:w w:val="98"/>
              </w:rPr>
              <w:t xml:space="preserve"> Exhibit B </w:t>
            </w:r>
            <w:r>
              <w:rPr>
                <w:rFonts w:ascii="Arial" w:cs="Arial" w:eastAsia="Arial" w:hAnsi="Arial"/>
                <w:sz w:val="20"/>
                <w:szCs w:val="20"/>
                <w:color w:val="auto"/>
                <w:w w:val="98"/>
              </w:rPr>
              <w:t>and</w:t>
            </w:r>
            <w:r>
              <w:rPr>
                <w:rFonts w:ascii="Arial" w:cs="Arial" w:eastAsia="Arial" w:hAnsi="Arial"/>
                <w:sz w:val="20"/>
                <w:szCs w:val="20"/>
                <w:b w:val="1"/>
                <w:bCs w:val="1"/>
                <w:color w:val="auto"/>
                <w:w w:val="98"/>
              </w:rPr>
              <w:t xml:space="preserve"> Exhibit C</w:t>
            </w:r>
            <w:r>
              <w:rPr>
                <w:rFonts w:ascii="Arial" w:cs="Arial" w:eastAsia="Arial" w:hAnsi="Arial"/>
                <w:sz w:val="20"/>
                <w:szCs w:val="20"/>
                <w:color w:val="auto"/>
                <w:w w:val="98"/>
              </w:rPr>
              <w:t>, and the Confidentiality</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6"/>
              </w:rPr>
              <w:t>Agreement constitute the entire agreement between Executive and the Company and is the complete, final and exclusive</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0"/>
              </w:rPr>
              <w:t>embodiment of their agreement with regard to this subject matter, wholly superseding all written and oral agreements with respect</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to payments and benefits to Executive in</w:t>
            </w:r>
          </w:p>
        </w:tc>
      </w:tr>
      <w:tr>
        <w:trPr>
          <w:trHeight w:val="458"/>
        </w:trPr>
        <w:tc>
          <w:tcPr>
            <w:tcW w:w="680" w:type="dxa"/>
            <w:vAlign w:val="bottom"/>
          </w:tcPr>
          <w:p>
            <w:pPr>
              <w:spacing w:after="0"/>
              <w:rPr>
                <w:sz w:val="24"/>
                <w:szCs w:val="24"/>
                <w:color w:val="auto"/>
              </w:rPr>
            </w:pPr>
          </w:p>
        </w:tc>
        <w:tc>
          <w:tcPr>
            <w:tcW w:w="10580" w:type="dxa"/>
            <w:vAlign w:val="bottom"/>
          </w:tcPr>
          <w:p>
            <w:pPr>
              <w:jc w:val="center"/>
              <w:ind w:right="601"/>
              <w:spacing w:after="0"/>
              <w:rPr>
                <w:sz w:val="20"/>
                <w:szCs w:val="20"/>
                <w:color w:val="auto"/>
              </w:rPr>
            </w:pPr>
            <w:r>
              <w:rPr>
                <w:rFonts w:ascii="Arial" w:cs="Arial" w:eastAsia="Arial" w:hAnsi="Arial"/>
                <w:sz w:val="20"/>
                <w:szCs w:val="20"/>
                <w:color w:val="auto"/>
                <w:w w:val="89"/>
              </w:rPr>
              <w:t>13</w:t>
            </w:r>
          </w:p>
        </w:tc>
      </w:tr>
      <w:tr>
        <w:trPr>
          <w:trHeight w:val="124"/>
        </w:trPr>
        <w:tc>
          <w:tcPr>
            <w:tcW w:w="680" w:type="dxa"/>
            <w:vAlign w:val="bottom"/>
            <w:tcBorders>
              <w:bottom w:val="single" w:sz="8" w:color="9A9A9A"/>
            </w:tcBorders>
          </w:tcPr>
          <w:p>
            <w:pPr>
              <w:spacing w:after="0"/>
              <w:rPr>
                <w:sz w:val="10"/>
                <w:szCs w:val="10"/>
                <w:color w:val="auto"/>
              </w:rPr>
            </w:pPr>
          </w:p>
        </w:tc>
        <w:tc>
          <w:tcPr>
            <w:tcW w:w="10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285"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0580" w:type="dxa"/>
            <w:vAlign w:val="bottom"/>
            <w:gridSpan w:val="3"/>
          </w:tcPr>
          <w:p>
            <w:pPr>
              <w:ind w:left="980"/>
              <w:spacing w:after="0"/>
              <w:rPr>
                <w:sz w:val="20"/>
                <w:szCs w:val="20"/>
                <w:color w:val="auto"/>
              </w:rPr>
            </w:pPr>
            <w:r>
              <w:rPr>
                <w:rFonts w:ascii="Arial" w:cs="Arial" w:eastAsia="Arial" w:hAnsi="Arial"/>
                <w:sz w:val="20"/>
                <w:szCs w:val="20"/>
                <w:color w:val="auto"/>
                <w:w w:val="94"/>
              </w:rPr>
              <w:t>the event of employment termination. It is entered into without reliance on any promise or representation other than</w:t>
            </w:r>
          </w:p>
        </w:tc>
      </w:tr>
      <w:tr>
        <w:trPr>
          <w:trHeight w:val="250"/>
        </w:trPr>
        <w:tc>
          <w:tcPr>
            <w:tcW w:w="680" w:type="dxa"/>
            <w:vAlign w:val="bottom"/>
          </w:tcPr>
          <w:p>
            <w:pPr>
              <w:spacing w:after="0"/>
              <w:rPr>
                <w:sz w:val="21"/>
                <w:szCs w:val="21"/>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those expressly contained herein.</w:t>
            </w:r>
          </w:p>
        </w:tc>
      </w:tr>
      <w:tr>
        <w:trPr>
          <w:trHeight w:val="370"/>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8.6.</w:t>
            </w:r>
          </w:p>
        </w:tc>
        <w:tc>
          <w:tcPr>
            <w:tcW w:w="10580" w:type="dxa"/>
            <w:vAlign w:val="bottom"/>
            <w:gridSpan w:val="3"/>
          </w:tcPr>
          <w:p>
            <w:pPr>
              <w:ind w:left="980"/>
              <w:spacing w:after="0"/>
              <w:rPr>
                <w:sz w:val="20"/>
                <w:szCs w:val="20"/>
                <w:color w:val="auto"/>
              </w:rPr>
            </w:pPr>
            <w:r>
              <w:rPr>
                <w:rFonts w:ascii="Arial" w:cs="Arial" w:eastAsia="Arial" w:hAnsi="Arial"/>
                <w:sz w:val="20"/>
                <w:szCs w:val="20"/>
                <w:b w:val="1"/>
                <w:bCs w:val="1"/>
                <w:color w:val="auto"/>
                <w:w w:val="96"/>
              </w:rPr>
              <w:t>Amendment or Termination of Agreement; Continuation of Agreement</w:t>
            </w:r>
            <w:r>
              <w:rPr>
                <w:rFonts w:ascii="Arial" w:cs="Arial" w:eastAsia="Arial" w:hAnsi="Arial"/>
                <w:sz w:val="20"/>
                <w:szCs w:val="20"/>
                <w:color w:val="auto"/>
                <w:w w:val="96"/>
              </w:rPr>
              <w:t>. This Agreement may be changed or</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0"/>
              </w:rPr>
              <w:t>terminated only upon the mutual written consent of the Company and Executive. The written consent of the Company to a change</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0"/>
              </w:rPr>
              <w:t>or termination of this Agreement must be signed by an executive officer of the Company (other than Executive) after such change</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4"/>
              </w:rPr>
              <w:t>or termination has been approved by the Board. Unless so terminated, this Agreement shall continue in effect for as long as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1"/>
              </w:rPr>
              <w:t>Executive continues to be employed by the Company or by any surviving entity following any Change in Control. In other words,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7"/>
              </w:rPr>
              <w:t>if, following a Change in Control, Executive continues to be employed by the surviving entity without a Change in Control</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7"/>
              </w:rPr>
              <w:t>Termination and the surviving entity then undergoes a Change in Control, following which Executive is terminated by the</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2"/>
              </w:rPr>
              <w:t>subsequent surviving entity in a Change in Control Termination, then Executive shall receive the benefits described in Article 3</w:t>
            </w:r>
          </w:p>
        </w:tc>
      </w:tr>
      <w:tr>
        <w:trPr>
          <w:trHeight w:val="250"/>
        </w:trPr>
        <w:tc>
          <w:tcPr>
            <w:tcW w:w="680" w:type="dxa"/>
            <w:vAlign w:val="bottom"/>
          </w:tcPr>
          <w:p>
            <w:pPr>
              <w:spacing w:after="0"/>
              <w:rPr>
                <w:sz w:val="21"/>
                <w:szCs w:val="21"/>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hereof.</w:t>
            </w:r>
          </w:p>
        </w:tc>
      </w:tr>
      <w:tr>
        <w:trPr>
          <w:trHeight w:val="357"/>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8.7.</w:t>
            </w:r>
          </w:p>
        </w:tc>
        <w:tc>
          <w:tcPr>
            <w:tcW w:w="10580" w:type="dxa"/>
            <w:vAlign w:val="bottom"/>
            <w:gridSpan w:val="3"/>
          </w:tcPr>
          <w:p>
            <w:pPr>
              <w:ind w:left="980"/>
              <w:spacing w:after="0"/>
              <w:rPr>
                <w:sz w:val="20"/>
                <w:szCs w:val="20"/>
                <w:color w:val="auto"/>
              </w:rPr>
            </w:pPr>
            <w:r>
              <w:rPr>
                <w:rFonts w:ascii="Arial" w:cs="Arial" w:eastAsia="Arial" w:hAnsi="Arial"/>
                <w:sz w:val="20"/>
                <w:szCs w:val="20"/>
                <w:b w:val="1"/>
                <w:bCs w:val="1"/>
                <w:color w:val="auto"/>
                <w:w w:val="89"/>
              </w:rPr>
              <w:t>Counterparts</w:t>
            </w:r>
            <w:r>
              <w:rPr>
                <w:rFonts w:ascii="Arial" w:cs="Arial" w:eastAsia="Arial" w:hAnsi="Arial"/>
                <w:sz w:val="20"/>
                <w:szCs w:val="20"/>
                <w:color w:val="auto"/>
                <w:w w:val="89"/>
              </w:rPr>
              <w:t>. This Agreement may be executed in separate counterparts, any one of which need not contain signatures</w:t>
            </w:r>
          </w:p>
        </w:tc>
      </w:tr>
      <w:tr>
        <w:trPr>
          <w:trHeight w:val="250"/>
        </w:trPr>
        <w:tc>
          <w:tcPr>
            <w:tcW w:w="680" w:type="dxa"/>
            <w:vAlign w:val="bottom"/>
          </w:tcPr>
          <w:p>
            <w:pPr>
              <w:spacing w:after="0"/>
              <w:rPr>
                <w:sz w:val="21"/>
                <w:szCs w:val="21"/>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of more than one party, but all of which taken together will constitute one and the same Agreement.</w:t>
            </w:r>
          </w:p>
        </w:tc>
      </w:tr>
      <w:tr>
        <w:trPr>
          <w:trHeight w:val="370"/>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8.8.</w:t>
            </w:r>
          </w:p>
        </w:tc>
        <w:tc>
          <w:tcPr>
            <w:tcW w:w="10580" w:type="dxa"/>
            <w:vAlign w:val="bottom"/>
            <w:gridSpan w:val="3"/>
          </w:tcPr>
          <w:p>
            <w:pPr>
              <w:ind w:left="980"/>
              <w:spacing w:after="0"/>
              <w:rPr>
                <w:sz w:val="20"/>
                <w:szCs w:val="20"/>
                <w:color w:val="auto"/>
              </w:rPr>
            </w:pPr>
            <w:r>
              <w:rPr>
                <w:rFonts w:ascii="Arial" w:cs="Arial" w:eastAsia="Arial" w:hAnsi="Arial"/>
                <w:sz w:val="20"/>
                <w:szCs w:val="20"/>
                <w:b w:val="1"/>
                <w:bCs w:val="1"/>
                <w:color w:val="auto"/>
                <w:w w:val="90"/>
              </w:rPr>
              <w:t>Headings</w:t>
            </w:r>
            <w:r>
              <w:rPr>
                <w:rFonts w:ascii="Arial" w:cs="Arial" w:eastAsia="Arial" w:hAnsi="Arial"/>
                <w:sz w:val="20"/>
                <w:szCs w:val="20"/>
                <w:color w:val="auto"/>
                <w:w w:val="90"/>
              </w:rPr>
              <w:t>. The headings of the Articles and Sections hereof are inserted for convenience only and shall not be deemed</w:t>
            </w:r>
          </w:p>
        </w:tc>
      </w:tr>
      <w:tr>
        <w:trPr>
          <w:trHeight w:val="250"/>
        </w:trPr>
        <w:tc>
          <w:tcPr>
            <w:tcW w:w="680" w:type="dxa"/>
            <w:vAlign w:val="bottom"/>
          </w:tcPr>
          <w:p>
            <w:pPr>
              <w:spacing w:after="0"/>
              <w:rPr>
                <w:sz w:val="21"/>
                <w:szCs w:val="21"/>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to constitute a part hereof nor to affect the meaning thereof.</w:t>
            </w:r>
          </w:p>
        </w:tc>
      </w:tr>
      <w:tr>
        <w:trPr>
          <w:trHeight w:val="370"/>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8.9.</w:t>
            </w:r>
          </w:p>
        </w:tc>
        <w:tc>
          <w:tcPr>
            <w:tcW w:w="10580" w:type="dxa"/>
            <w:vAlign w:val="bottom"/>
            <w:gridSpan w:val="3"/>
          </w:tcPr>
          <w:p>
            <w:pPr>
              <w:ind w:left="980"/>
              <w:spacing w:after="0"/>
              <w:rPr>
                <w:sz w:val="20"/>
                <w:szCs w:val="20"/>
                <w:color w:val="auto"/>
              </w:rPr>
            </w:pPr>
            <w:r>
              <w:rPr>
                <w:rFonts w:ascii="Arial" w:cs="Arial" w:eastAsia="Arial" w:hAnsi="Arial"/>
                <w:sz w:val="20"/>
                <w:szCs w:val="20"/>
                <w:b w:val="1"/>
                <w:bCs w:val="1"/>
                <w:color w:val="auto"/>
                <w:w w:val="96"/>
              </w:rPr>
              <w:t>Successors and Assigns</w:t>
            </w:r>
            <w:r>
              <w:rPr>
                <w:rFonts w:ascii="Arial" w:cs="Arial" w:eastAsia="Arial" w:hAnsi="Arial"/>
                <w:sz w:val="20"/>
                <w:szCs w:val="20"/>
                <w:color w:val="auto"/>
                <w:w w:val="96"/>
              </w:rPr>
              <w:t>. This Agreement is intended to bind and inure to the benefit of and be enforceable by</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3"/>
              </w:rPr>
              <w:t>Executive, and the Company, and any surviving entity resulting from a Change in Control and upon any other person who is a</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5"/>
              </w:rPr>
              <w:t>successor by merger, acquisition, consolidation or otherwise to the business formerly carried on by the Company, and their</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89"/>
              </w:rPr>
              <w:t>respective successors, assigns, heirs, executors and administrators, without regard to whether or not such person actively assumes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1"/>
              </w:rPr>
              <w:t>any rights or duties hereunder; provided, however, that Executive may not assign any duties hereunder and may not assign any</w:t>
            </w:r>
          </w:p>
        </w:tc>
      </w:tr>
      <w:tr>
        <w:trPr>
          <w:trHeight w:val="250"/>
        </w:trPr>
        <w:tc>
          <w:tcPr>
            <w:tcW w:w="680" w:type="dxa"/>
            <w:vAlign w:val="bottom"/>
          </w:tcPr>
          <w:p>
            <w:pPr>
              <w:spacing w:after="0"/>
              <w:rPr>
                <w:sz w:val="21"/>
                <w:szCs w:val="21"/>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rights hereunder without the written consent of the Company, which consent shall not be withheld unreasonably.</w:t>
            </w:r>
          </w:p>
        </w:tc>
      </w:tr>
      <w:tr>
        <w:trPr>
          <w:trHeight w:val="478"/>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8.10.</w:t>
            </w:r>
          </w:p>
        </w:tc>
        <w:tc>
          <w:tcPr>
            <w:tcW w:w="10580" w:type="dxa"/>
            <w:vAlign w:val="bottom"/>
            <w:gridSpan w:val="3"/>
          </w:tcPr>
          <w:p>
            <w:pPr>
              <w:ind w:left="980"/>
              <w:spacing w:after="0"/>
              <w:rPr>
                <w:sz w:val="20"/>
                <w:szCs w:val="20"/>
                <w:color w:val="auto"/>
              </w:rPr>
            </w:pPr>
            <w:r>
              <w:rPr>
                <w:rFonts w:ascii="Arial" w:cs="Arial" w:eastAsia="Arial" w:hAnsi="Arial"/>
                <w:sz w:val="20"/>
                <w:szCs w:val="20"/>
                <w:b w:val="1"/>
                <w:bCs w:val="1"/>
                <w:color w:val="auto"/>
                <w:w w:val="89"/>
              </w:rPr>
              <w:t>Choice of Law</w:t>
            </w:r>
            <w:r>
              <w:rPr>
                <w:rFonts w:ascii="Arial" w:cs="Arial" w:eastAsia="Arial" w:hAnsi="Arial"/>
                <w:sz w:val="20"/>
                <w:szCs w:val="20"/>
                <w:color w:val="auto"/>
                <w:w w:val="89"/>
              </w:rPr>
              <w:t>. Because of the Company’s and Executive’s interests in ensuring that disputes regarding this Agreement</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1"/>
              </w:rPr>
              <w:t>are resolved on a uniform basis, the parties agree that all questions concerning the construction, validity and interpretation of this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4"/>
              </w:rPr>
              <w:t>Agreement will be governed by the law of the State of New York, without regard for any conflict of law principles. Further, the</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1"/>
              </w:rPr>
              <w:t>parties consent to the jurisdiction of the state and federal courts of the State of New York for all purposes in connection with this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1"/>
              </w:rPr>
              <w:t>Agreement. The parties hereby irrevocably waive, to the fullest extent permitted by applicable law, any objection which Executive</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3"/>
              </w:rPr>
              <w:t>or the Company may now or hereafter have to the laying of venue of any such dispute brought in such court or any defense of</w:t>
            </w:r>
          </w:p>
        </w:tc>
      </w:tr>
      <w:tr>
        <w:trPr>
          <w:trHeight w:val="250"/>
        </w:trPr>
        <w:tc>
          <w:tcPr>
            <w:tcW w:w="680" w:type="dxa"/>
            <w:vAlign w:val="bottom"/>
          </w:tcPr>
          <w:p>
            <w:pPr>
              <w:spacing w:after="0"/>
              <w:rPr>
                <w:sz w:val="21"/>
                <w:szCs w:val="21"/>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inconvenient forum for the maintenance of such dispute.</w:t>
            </w:r>
          </w:p>
        </w:tc>
      </w:tr>
      <w:tr>
        <w:trPr>
          <w:trHeight w:val="438"/>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8.11.</w:t>
            </w:r>
          </w:p>
        </w:tc>
        <w:tc>
          <w:tcPr>
            <w:tcW w:w="10580" w:type="dxa"/>
            <w:vAlign w:val="bottom"/>
            <w:gridSpan w:val="3"/>
          </w:tcPr>
          <w:p>
            <w:pPr>
              <w:ind w:left="980"/>
              <w:spacing w:after="0"/>
              <w:rPr>
                <w:sz w:val="20"/>
                <w:szCs w:val="20"/>
                <w:color w:val="auto"/>
              </w:rPr>
            </w:pPr>
            <w:r>
              <w:rPr>
                <w:rFonts w:ascii="Arial" w:cs="Arial" w:eastAsia="Arial" w:hAnsi="Arial"/>
                <w:sz w:val="20"/>
                <w:szCs w:val="20"/>
                <w:b w:val="1"/>
                <w:bCs w:val="1"/>
                <w:color w:val="auto"/>
                <w:w w:val="96"/>
              </w:rPr>
              <w:t xml:space="preserve">Arbitration. </w:t>
            </w:r>
            <w:r>
              <w:rPr>
                <w:rFonts w:ascii="Arial" w:cs="Arial" w:eastAsia="Arial" w:hAnsi="Arial"/>
                <w:sz w:val="20"/>
                <w:szCs w:val="20"/>
                <w:color w:val="auto"/>
                <w:w w:val="96"/>
              </w:rPr>
              <w:t>To ensure the rapid and economical resolution of any disputes that may arise under or relate to this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89"/>
              </w:rPr>
              <w:t>Agreement or Executive’s employment relationship, Executive and the Company agree that any and all disputes, claims, or causes</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0"/>
              </w:rPr>
              <w:t>of action, in law or equity, arising from or relating to the performance, enforcement, execution, or interpretation of this Agreement,</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6"/>
              </w:rPr>
              <w:t>Executive’s employment with the Company, or the termination of Executive’s employment (collectively, “</w:t>
            </w:r>
            <w:r>
              <w:rPr>
                <w:rFonts w:ascii="Arial" w:cs="Arial" w:eastAsia="Arial" w:hAnsi="Arial"/>
                <w:sz w:val="20"/>
                <w:szCs w:val="20"/>
                <w:b w:val="1"/>
                <w:bCs w:val="1"/>
                <w:i w:val="1"/>
                <w:iCs w:val="1"/>
                <w:color w:val="auto"/>
                <w:w w:val="96"/>
              </w:rPr>
              <w:t>Claims</w:t>
            </w:r>
            <w:r>
              <w:rPr>
                <w:rFonts w:ascii="Arial" w:cs="Arial" w:eastAsia="Arial" w:hAnsi="Arial"/>
                <w:sz w:val="20"/>
                <w:szCs w:val="20"/>
                <w:color w:val="auto"/>
                <w:w w:val="96"/>
              </w:rPr>
              <w:t>”), shall be</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6"/>
              </w:rPr>
              <w:t>resolved to the fullest extent permitted by law, by final, binding, and (to the extent permitted by law) confidential arbitration</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2"/>
              </w:rPr>
              <w:t>before a single arbitrator in the state where Executive is employed. The arbitration shall be governed by the Federal Arbitration</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4"/>
              </w:rPr>
              <w:t xml:space="preserve">Act, 9 U.S.C. Section 1 </w:t>
            </w:r>
            <w:r>
              <w:rPr>
                <w:rFonts w:ascii="Arial" w:cs="Arial" w:eastAsia="Arial" w:hAnsi="Arial"/>
                <w:sz w:val="20"/>
                <w:szCs w:val="20"/>
                <w:i w:val="1"/>
                <w:iCs w:val="1"/>
                <w:color w:val="auto"/>
                <w:w w:val="94"/>
              </w:rPr>
              <w:t>et seq.</w:t>
            </w:r>
            <w:r>
              <w:rPr>
                <w:rFonts w:ascii="Arial" w:cs="Arial" w:eastAsia="Arial" w:hAnsi="Arial"/>
                <w:sz w:val="20"/>
                <w:szCs w:val="20"/>
                <w:color w:val="auto"/>
                <w:w w:val="94"/>
              </w:rPr>
              <w:t>, as amended, and shall be administered by the Judicial Arbitration &amp; Mediation Services, Inc.</w:t>
            </w:r>
          </w:p>
        </w:tc>
      </w:tr>
      <w:tr>
        <w:trPr>
          <w:trHeight w:val="229"/>
        </w:trPr>
        <w:tc>
          <w:tcPr>
            <w:tcW w:w="680" w:type="dxa"/>
            <w:vAlign w:val="bottom"/>
          </w:tcPr>
          <w:p>
            <w:pPr>
              <w:spacing w:after="0"/>
              <w:rPr>
                <w:sz w:val="19"/>
                <w:szCs w:val="19"/>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JAMS</w:t>
            </w:r>
            <w:r>
              <w:rPr>
                <w:rFonts w:ascii="Arial" w:cs="Arial" w:eastAsia="Arial" w:hAnsi="Arial"/>
                <w:sz w:val="20"/>
                <w:szCs w:val="20"/>
                <w:color w:val="auto"/>
                <w:w w:val="95"/>
              </w:rPr>
              <w:t>”), in accordance with its then-current Employment Arbitration Rules &amp; Procedures (the “</w:t>
            </w:r>
            <w:r>
              <w:rPr>
                <w:rFonts w:ascii="Arial" w:cs="Arial" w:eastAsia="Arial" w:hAnsi="Arial"/>
                <w:sz w:val="20"/>
                <w:szCs w:val="20"/>
                <w:b w:val="1"/>
                <w:bCs w:val="1"/>
                <w:i w:val="1"/>
                <w:iCs w:val="1"/>
                <w:color w:val="auto"/>
                <w:w w:val="95"/>
              </w:rPr>
              <w:t>JAMS Rules</w:t>
            </w:r>
            <w:r>
              <w:rPr>
                <w:rFonts w:ascii="Arial" w:cs="Arial" w:eastAsia="Arial" w:hAnsi="Arial"/>
                <w:sz w:val="20"/>
                <w:szCs w:val="20"/>
                <w:color w:val="auto"/>
                <w:w w:val="95"/>
              </w:rPr>
              <w:t>”). The JAMS</w:t>
            </w:r>
          </w:p>
        </w:tc>
      </w:tr>
      <w:tr>
        <w:trPr>
          <w:trHeight w:val="206"/>
        </w:trPr>
        <w:tc>
          <w:tcPr>
            <w:tcW w:w="680" w:type="dxa"/>
            <w:vAlign w:val="bottom"/>
          </w:tcPr>
          <w:p>
            <w:pPr>
              <w:spacing w:after="0"/>
              <w:rPr>
                <w:sz w:val="17"/>
                <w:szCs w:val="17"/>
                <w:color w:val="auto"/>
              </w:rPr>
            </w:pPr>
          </w:p>
        </w:tc>
        <w:tc>
          <w:tcPr>
            <w:tcW w:w="10580" w:type="dxa"/>
            <w:vAlign w:val="bottom"/>
            <w:gridSpan w:val="3"/>
          </w:tcPr>
          <w:p>
            <w:pPr>
              <w:ind w:left="200"/>
              <w:spacing w:after="0" w:line="206" w:lineRule="exact"/>
              <w:rPr>
                <w:sz w:val="20"/>
                <w:szCs w:val="20"/>
                <w:color w:val="auto"/>
              </w:rPr>
            </w:pPr>
            <w:r>
              <w:rPr>
                <w:rFonts w:ascii="Arial" w:cs="Arial" w:eastAsia="Arial" w:hAnsi="Arial"/>
                <w:sz w:val="20"/>
                <w:szCs w:val="20"/>
                <w:color w:val="auto"/>
                <w:w w:val="90"/>
              </w:rPr>
              <w:t xml:space="preserve">Rules are also available online at </w:t>
            </w:r>
            <w:r>
              <w:rPr>
                <w:rFonts w:ascii="Arial" w:cs="Arial" w:eastAsia="Arial" w:hAnsi="Arial"/>
                <w:sz w:val="20"/>
                <w:szCs w:val="20"/>
                <w:color w:val="0000FF"/>
                <w:w w:val="90"/>
              </w:rPr>
              <w:t>http://www.jamsadr.com/rules-employment-arbitration/</w:t>
            </w:r>
            <w:r>
              <w:rPr>
                <w:rFonts w:ascii="Arial" w:cs="Arial" w:eastAsia="Arial" w:hAnsi="Arial"/>
                <w:sz w:val="20"/>
                <w:szCs w:val="20"/>
                <w:color w:val="auto"/>
                <w:w w:val="90"/>
              </w:rPr>
              <w:t>. The parties or their representatives may</w:t>
            </w:r>
          </w:p>
        </w:tc>
      </w:tr>
      <w:tr>
        <w:trPr>
          <w:trHeight w:val="20"/>
        </w:trPr>
        <w:tc>
          <w:tcPr>
            <w:tcW w:w="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4"/>
        </w:trPr>
        <w:tc>
          <w:tcPr>
            <w:tcW w:w="680" w:type="dxa"/>
            <w:vAlign w:val="bottom"/>
          </w:tcPr>
          <w:p>
            <w:pPr>
              <w:spacing w:after="0"/>
              <w:rPr>
                <w:sz w:val="22"/>
                <w:szCs w:val="22"/>
                <w:color w:val="auto"/>
              </w:rPr>
            </w:pPr>
          </w:p>
        </w:tc>
        <w:tc>
          <w:tcPr>
            <w:tcW w:w="10580" w:type="dxa"/>
            <w:vAlign w:val="bottom"/>
            <w:gridSpan w:val="3"/>
          </w:tcPr>
          <w:p>
            <w:pPr>
              <w:ind w:left="200"/>
              <w:spacing w:after="0"/>
              <w:rPr>
                <w:sz w:val="20"/>
                <w:szCs w:val="20"/>
                <w:color w:val="auto"/>
              </w:rPr>
            </w:pPr>
            <w:r>
              <w:rPr>
                <w:rFonts w:ascii="Arial" w:cs="Arial" w:eastAsia="Arial" w:hAnsi="Arial"/>
                <w:sz w:val="20"/>
                <w:szCs w:val="20"/>
                <w:color w:val="auto"/>
              </w:rPr>
              <w:t>also call JAMS at 800.352.5267 if they have questions about the arbitration process.</w:t>
            </w:r>
          </w:p>
        </w:tc>
      </w:tr>
      <w:tr>
        <w:trPr>
          <w:trHeight w:val="445"/>
        </w:trPr>
        <w:tc>
          <w:tcPr>
            <w:tcW w:w="680" w:type="dxa"/>
            <w:vAlign w:val="bottom"/>
          </w:tcPr>
          <w:p>
            <w:pPr>
              <w:spacing w:after="0"/>
              <w:rPr>
                <w:sz w:val="24"/>
                <w:szCs w:val="24"/>
                <w:color w:val="auto"/>
              </w:rPr>
            </w:pPr>
          </w:p>
        </w:tc>
        <w:tc>
          <w:tcPr>
            <w:tcW w:w="7220" w:type="dxa"/>
            <w:vAlign w:val="bottom"/>
            <w:gridSpan w:val="2"/>
          </w:tcPr>
          <w:p>
            <w:pPr>
              <w:ind w:left="4840"/>
              <w:spacing w:after="0"/>
              <w:rPr>
                <w:sz w:val="20"/>
                <w:szCs w:val="20"/>
                <w:color w:val="auto"/>
              </w:rPr>
            </w:pPr>
            <w:r>
              <w:rPr>
                <w:rFonts w:ascii="Arial" w:cs="Arial" w:eastAsia="Arial" w:hAnsi="Arial"/>
                <w:sz w:val="20"/>
                <w:szCs w:val="20"/>
                <w:color w:val="auto"/>
              </w:rPr>
              <w:t>14</w:t>
            </w:r>
          </w:p>
        </w:tc>
        <w:tc>
          <w:tcPr>
            <w:tcW w:w="3360" w:type="dxa"/>
            <w:vAlign w:val="bottom"/>
          </w:tcPr>
          <w:p>
            <w:pPr>
              <w:spacing w:after="0"/>
              <w:rPr>
                <w:sz w:val="24"/>
                <w:szCs w:val="24"/>
                <w:color w:val="auto"/>
              </w:rPr>
            </w:pPr>
          </w:p>
        </w:tc>
      </w:tr>
      <w:tr>
        <w:trPr>
          <w:trHeight w:val="124"/>
        </w:trPr>
        <w:tc>
          <w:tcPr>
            <w:tcW w:w="6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9" w:name="page120"/>
    <w:bookmarkEnd w:id="119"/>
    <w:p>
      <w:pPr>
        <w:ind w:left="880" w:firstLine="797"/>
        <w:spacing w:after="0" w:line="254" w:lineRule="auto"/>
        <w:rPr>
          <w:sz w:val="20"/>
          <w:szCs w:val="20"/>
          <w:color w:val="auto"/>
        </w:rPr>
      </w:pPr>
      <w:r>
        <w:rPr>
          <w:rFonts w:ascii="Arial" w:cs="Arial" w:eastAsia="Arial" w:hAnsi="Arial"/>
          <w:sz w:val="19"/>
          <w:szCs w:val="19"/>
          <w:color w:val="auto"/>
        </w:rPr>
        <w:t>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15" w:lineRule="exact"/>
        <w:rPr>
          <w:sz w:val="20"/>
          <w:szCs w:val="20"/>
          <w:color w:val="auto"/>
        </w:rPr>
      </w:pPr>
    </w:p>
    <w:p>
      <w:pPr>
        <w:ind w:left="880" w:right="860" w:hanging="796"/>
        <w:spacing w:after="0" w:line="293" w:lineRule="auto"/>
        <w:tabs>
          <w:tab w:leader="none" w:pos="86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9"/>
          <w:szCs w:val="19"/>
          <w:b w:val="1"/>
          <w:bCs w:val="1"/>
          <w:color w:val="auto"/>
        </w:rPr>
        <w:t>Construction of Agreement</w:t>
      </w:r>
      <w:r>
        <w:rPr>
          <w:rFonts w:ascii="Arial" w:cs="Arial" w:eastAsia="Arial" w:hAnsi="Arial"/>
          <w:sz w:val="19"/>
          <w:szCs w:val="19"/>
          <w:color w:val="auto"/>
        </w:rPr>
        <w:t>. In the event of a conflict between the text of this Agreement and any summary,</w:t>
      </w:r>
      <w:r>
        <w:rPr>
          <w:rFonts w:ascii="Arial" w:cs="Arial" w:eastAsia="Arial" w:hAnsi="Arial"/>
          <w:sz w:val="19"/>
          <w:szCs w:val="19"/>
          <w:b w:val="1"/>
          <w:bCs w:val="1"/>
          <w:color w:val="auto"/>
        </w:rPr>
        <w:t xml:space="preserve"> </w:t>
      </w:r>
      <w:r>
        <w:rPr>
          <w:rFonts w:ascii="Arial" w:cs="Arial" w:eastAsia="Arial" w:hAnsi="Arial"/>
          <w:sz w:val="19"/>
          <w:szCs w:val="19"/>
          <w:color w:val="auto"/>
        </w:rPr>
        <w:t>description or other information regarding this Agreement, the text of this Agreement shall control.</w:t>
      </w:r>
    </w:p>
    <w:p>
      <w:pPr>
        <w:spacing w:after="0" w:line="141"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 ACCORDANCE</w:t>
      </w:r>
    </w:p>
    <w:p>
      <w:pPr>
        <w:spacing w:after="0" w:line="21" w:lineRule="exact"/>
        <w:rPr>
          <w:sz w:val="20"/>
          <w:szCs w:val="20"/>
          <w:color w:val="auto"/>
        </w:rPr>
      </w:pPr>
    </w:p>
    <w:p>
      <w:pPr>
        <w:ind w:right="60"/>
        <w:spacing w:after="0"/>
        <w:rPr>
          <w:sz w:val="20"/>
          <w:szCs w:val="20"/>
          <w:color w:val="auto"/>
        </w:rPr>
      </w:pPr>
      <w:r>
        <w:rPr>
          <w:rFonts w:ascii="Arial" w:cs="Arial" w:eastAsia="Arial" w:hAnsi="Arial"/>
          <w:sz w:val="20"/>
          <w:szCs w:val="20"/>
          <w:b w:val="1"/>
          <w:bCs w:val="1"/>
          <w:color w:val="auto"/>
        </w:rPr>
        <w:t>WITH 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0" w:name="page121"/>
    <w:bookmarkEnd w:id="120"/>
    <w:p>
      <w:pPr>
        <w:ind w:left="88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Agreement on the Effective Date written above.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 w:type="dxa"/>
            <w:vAlign w:val="bottom"/>
          </w:tcPr>
          <w:p>
            <w:pPr>
              <w:spacing w:after="0"/>
              <w:rPr>
                <w:sz w:val="22"/>
                <w:szCs w:val="22"/>
                <w:color w:val="auto"/>
              </w:rPr>
            </w:pPr>
          </w:p>
        </w:tc>
        <w:tc>
          <w:tcPr>
            <w:tcW w:w="7560" w:type="dxa"/>
            <w:vAlign w:val="bottom"/>
            <w:gridSpan w:val="5"/>
          </w:tcPr>
          <w:p>
            <w:pPr>
              <w:spacing w:after="0"/>
              <w:rPr>
                <w:sz w:val="20"/>
                <w:szCs w:val="20"/>
                <w:color w:val="auto"/>
              </w:rPr>
            </w:pPr>
            <w:r>
              <w:rPr>
                <w:rFonts w:ascii="Arial" w:cs="Arial" w:eastAsia="Arial" w:hAnsi="Arial"/>
                <w:sz w:val="20"/>
                <w:szCs w:val="20"/>
                <w:b w:val="1"/>
                <w:bCs w:val="1"/>
                <w:color w:val="auto"/>
              </w:rPr>
              <w:t>SYNDAX PHARMACEUTICALS, INC.</w:t>
            </w:r>
          </w:p>
        </w:tc>
        <w:tc>
          <w:tcPr>
            <w:tcW w:w="3580" w:type="dxa"/>
            <w:vAlign w:val="bottom"/>
            <w:gridSpan w:val="3"/>
          </w:tcPr>
          <w:p>
            <w:pPr>
              <w:ind w:left="660"/>
              <w:spacing w:after="0"/>
              <w:rPr>
                <w:sz w:val="20"/>
                <w:szCs w:val="20"/>
                <w:color w:val="auto"/>
              </w:rPr>
            </w:pPr>
            <w:r>
              <w:rPr>
                <w:rFonts w:ascii="Arial" w:cs="Arial" w:eastAsia="Arial" w:hAnsi="Arial"/>
                <w:sz w:val="20"/>
                <w:szCs w:val="20"/>
                <w:b w:val="1"/>
                <w:bCs w:val="1"/>
                <w:color w:val="auto"/>
              </w:rPr>
              <w:t>EXECUTIVE</w:t>
            </w:r>
          </w:p>
        </w:tc>
      </w:tr>
      <w:tr>
        <w:trPr>
          <w:trHeight w:val="454"/>
        </w:trPr>
        <w:tc>
          <w:tcPr>
            <w:tcW w:w="1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20"/>
                <w:szCs w:val="20"/>
                <w:color w:val="auto"/>
                <w:w w:val="95"/>
              </w:rPr>
              <w:t>By: /s/ Luke J. Albrecht</w:t>
            </w:r>
          </w:p>
        </w:tc>
        <w:tc>
          <w:tcPr>
            <w:tcW w:w="1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580" w:type="dxa"/>
            <w:vAlign w:val="bottom"/>
            <w:gridSpan w:val="3"/>
          </w:tcPr>
          <w:p>
            <w:pPr>
              <w:ind w:left="2880"/>
              <w:spacing w:after="0"/>
              <w:rPr>
                <w:sz w:val="20"/>
                <w:szCs w:val="20"/>
                <w:color w:val="auto"/>
              </w:rPr>
            </w:pPr>
            <w:r>
              <w:rPr>
                <w:rFonts w:ascii="Arial" w:cs="Arial" w:eastAsia="Arial" w:hAnsi="Arial"/>
                <w:sz w:val="20"/>
                <w:szCs w:val="20"/>
                <w:color w:val="auto"/>
              </w:rPr>
              <w:t>By: /s/</w:t>
            </w:r>
          </w:p>
        </w:tc>
      </w:tr>
      <w:tr>
        <w:trPr>
          <w:trHeight w:val="20"/>
        </w:trPr>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560" w:type="dxa"/>
            <w:vAlign w:val="bottom"/>
            <w:gridSpan w:val="5"/>
          </w:tcPr>
          <w:p>
            <w:pPr>
              <w:spacing w:after="0" w:line="209" w:lineRule="exact"/>
              <w:rPr>
                <w:sz w:val="20"/>
                <w:szCs w:val="20"/>
                <w:color w:val="auto"/>
              </w:rPr>
            </w:pPr>
            <w:r>
              <w:rPr>
                <w:rFonts w:ascii="Arial" w:cs="Arial" w:eastAsia="Arial" w:hAnsi="Arial"/>
                <w:sz w:val="20"/>
                <w:szCs w:val="20"/>
                <w:color w:val="auto"/>
              </w:rPr>
              <w:t>Briggs W. Morrison, M.D.</w:t>
            </w:r>
          </w:p>
        </w:tc>
        <w:tc>
          <w:tcPr>
            <w:tcW w:w="3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732"/>
        </w:trPr>
        <w:tc>
          <w:tcPr>
            <w:tcW w:w="120" w:type="dxa"/>
            <w:vAlign w:val="bottom"/>
          </w:tcPr>
          <w:p>
            <w:pPr>
              <w:spacing w:after="0"/>
              <w:rPr>
                <w:sz w:val="24"/>
                <w:szCs w:val="24"/>
                <w:color w:val="auto"/>
              </w:rPr>
            </w:pPr>
          </w:p>
        </w:tc>
        <w:tc>
          <w:tcPr>
            <w:tcW w:w="19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94"/>
              </w:rPr>
              <w:t>Name: Luke J. Albrecht</w:t>
            </w:r>
          </w:p>
        </w:tc>
        <w:tc>
          <w:tcPr>
            <w:tcW w:w="12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3580" w:type="dxa"/>
            <w:vAlign w:val="bottom"/>
            <w:gridSpan w:val="3"/>
          </w:tcPr>
          <w:p>
            <w:pPr>
              <w:ind w:left="2920"/>
              <w:spacing w:after="0"/>
              <w:rPr>
                <w:sz w:val="20"/>
                <w:szCs w:val="20"/>
                <w:color w:val="auto"/>
              </w:rPr>
            </w:pPr>
            <w:r>
              <w:rPr>
                <w:rFonts w:ascii="Arial" w:cs="Arial" w:eastAsia="Arial" w:hAnsi="Arial"/>
                <w:sz w:val="20"/>
                <w:szCs w:val="20"/>
                <w:color w:val="auto"/>
              </w:rPr>
              <w:t>Name:</w:t>
            </w:r>
          </w:p>
        </w:tc>
      </w:tr>
      <w:tr>
        <w:trPr>
          <w:trHeight w:val="250"/>
        </w:trPr>
        <w:tc>
          <w:tcPr>
            <w:tcW w:w="120" w:type="dxa"/>
            <w:vAlign w:val="bottom"/>
          </w:tcPr>
          <w:p>
            <w:pPr>
              <w:spacing w:after="0"/>
              <w:rPr>
                <w:sz w:val="21"/>
                <w:szCs w:val="21"/>
                <w:color w:val="auto"/>
              </w:rPr>
            </w:pPr>
          </w:p>
        </w:tc>
        <w:tc>
          <w:tcPr>
            <w:tcW w:w="7560" w:type="dxa"/>
            <w:vAlign w:val="bottom"/>
            <w:gridSpan w:val="5"/>
          </w:tcPr>
          <w:p>
            <w:pPr>
              <w:spacing w:after="0"/>
              <w:rPr>
                <w:sz w:val="20"/>
                <w:szCs w:val="20"/>
                <w:color w:val="auto"/>
              </w:rPr>
            </w:pPr>
            <w:r>
              <w:rPr>
                <w:rFonts w:ascii="Arial" w:cs="Arial" w:eastAsia="Arial" w:hAnsi="Arial"/>
                <w:sz w:val="20"/>
                <w:szCs w:val="20"/>
                <w:color w:val="auto"/>
              </w:rPr>
              <w:t>Briggs W. Morrison, M.D.</w:t>
            </w: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58"/>
        </w:trPr>
        <w:tc>
          <w:tcPr>
            <w:tcW w:w="12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Arial" w:cs="Arial" w:eastAsia="Arial" w:hAnsi="Arial"/>
                <w:sz w:val="20"/>
                <w:szCs w:val="20"/>
                <w:color w:val="auto"/>
                <w:w w:val="98"/>
              </w:rPr>
              <w:t>Title: General Counsel</w:t>
            </w:r>
          </w:p>
        </w:tc>
        <w:tc>
          <w:tcPr>
            <w:tcW w:w="1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28"/>
        </w:trPr>
        <w:tc>
          <w:tcPr>
            <w:tcW w:w="2100" w:type="dxa"/>
            <w:vAlign w:val="bottom"/>
            <w:gridSpan w:val="4"/>
          </w:tcPr>
          <w:p>
            <w:pPr>
              <w:spacing w:after="0"/>
              <w:rPr>
                <w:sz w:val="20"/>
                <w:szCs w:val="20"/>
                <w:color w:val="auto"/>
              </w:rPr>
            </w:pPr>
            <w:r>
              <w:rPr>
                <w:rFonts w:ascii="Arial" w:cs="Arial" w:eastAsia="Arial" w:hAnsi="Arial"/>
                <w:sz w:val="20"/>
                <w:szCs w:val="20"/>
                <w:color w:val="auto"/>
              </w:rPr>
              <w:t>Exhibit A:</w:t>
            </w:r>
          </w:p>
        </w:tc>
        <w:tc>
          <w:tcPr>
            <w:tcW w:w="5580" w:type="dxa"/>
            <w:vAlign w:val="bottom"/>
            <w:gridSpan w:val="2"/>
          </w:tcPr>
          <w:p>
            <w:pPr>
              <w:ind w:left="100"/>
              <w:spacing w:after="0"/>
              <w:rPr>
                <w:sz w:val="20"/>
                <w:szCs w:val="20"/>
                <w:color w:val="auto"/>
              </w:rPr>
            </w:pPr>
            <w:r>
              <w:rPr>
                <w:rFonts w:ascii="Arial" w:cs="Arial" w:eastAsia="Arial" w:hAnsi="Arial"/>
                <w:sz w:val="20"/>
                <w:szCs w:val="20"/>
                <w:color w:val="auto"/>
              </w:rPr>
              <w:t>Release (Individual Termination – Age 40 or Older)</w:t>
            </w: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7"/>
        </w:trPr>
        <w:tc>
          <w:tcPr>
            <w:tcW w:w="2100" w:type="dxa"/>
            <w:vAlign w:val="bottom"/>
            <w:gridSpan w:val="4"/>
          </w:tcPr>
          <w:p>
            <w:pPr>
              <w:spacing w:after="0"/>
              <w:rPr>
                <w:sz w:val="20"/>
                <w:szCs w:val="20"/>
                <w:color w:val="auto"/>
              </w:rPr>
            </w:pPr>
            <w:r>
              <w:rPr>
                <w:rFonts w:ascii="Arial" w:cs="Arial" w:eastAsia="Arial" w:hAnsi="Arial"/>
                <w:sz w:val="20"/>
                <w:szCs w:val="20"/>
                <w:color w:val="auto"/>
              </w:rPr>
              <w:t>Exhibit B:</w:t>
            </w:r>
          </w:p>
        </w:tc>
        <w:tc>
          <w:tcPr>
            <w:tcW w:w="5580" w:type="dxa"/>
            <w:vAlign w:val="bottom"/>
            <w:gridSpan w:val="2"/>
          </w:tcPr>
          <w:p>
            <w:pPr>
              <w:ind w:left="100"/>
              <w:spacing w:after="0"/>
              <w:rPr>
                <w:sz w:val="20"/>
                <w:szCs w:val="20"/>
                <w:color w:val="auto"/>
              </w:rPr>
            </w:pPr>
            <w:r>
              <w:rPr>
                <w:rFonts w:ascii="Arial" w:cs="Arial" w:eastAsia="Arial" w:hAnsi="Arial"/>
                <w:sz w:val="20"/>
                <w:szCs w:val="20"/>
                <w:color w:val="auto"/>
              </w:rPr>
              <w:t>Release (Individual and Group Termination – Under Age 40)</w:t>
            </w: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0"/>
        </w:trPr>
        <w:tc>
          <w:tcPr>
            <w:tcW w:w="2100" w:type="dxa"/>
            <w:vAlign w:val="bottom"/>
            <w:gridSpan w:val="4"/>
          </w:tcPr>
          <w:p>
            <w:pPr>
              <w:spacing w:after="0"/>
              <w:rPr>
                <w:sz w:val="20"/>
                <w:szCs w:val="20"/>
                <w:color w:val="auto"/>
              </w:rPr>
            </w:pPr>
            <w:r>
              <w:rPr>
                <w:rFonts w:ascii="Arial" w:cs="Arial" w:eastAsia="Arial" w:hAnsi="Arial"/>
                <w:sz w:val="20"/>
                <w:szCs w:val="20"/>
                <w:color w:val="auto"/>
              </w:rPr>
              <w:t>Exhibit C:</w:t>
            </w:r>
          </w:p>
        </w:tc>
        <w:tc>
          <w:tcPr>
            <w:tcW w:w="5580" w:type="dxa"/>
            <w:vAlign w:val="bottom"/>
            <w:gridSpan w:val="2"/>
          </w:tcPr>
          <w:p>
            <w:pPr>
              <w:ind w:left="100"/>
              <w:spacing w:after="0"/>
              <w:rPr>
                <w:sz w:val="20"/>
                <w:szCs w:val="20"/>
                <w:color w:val="auto"/>
              </w:rPr>
            </w:pPr>
            <w:r>
              <w:rPr>
                <w:rFonts w:ascii="Arial" w:cs="Arial" w:eastAsia="Arial" w:hAnsi="Arial"/>
                <w:sz w:val="20"/>
                <w:szCs w:val="20"/>
                <w:color w:val="auto"/>
              </w:rPr>
              <w:t>Release (Group Termination – Age 40 or Older)</w:t>
            </w: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68"/>
        </w:trPr>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0"/>
          <w:szCs w:val="20"/>
          <w:b w:val="1"/>
          <w:bCs w:val="1"/>
          <w:color w:val="auto"/>
        </w:rPr>
        <w:t>EXHIBIT A RELEASE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(INDIVIDUAL TERMINATION – AGE 40 OR OLDER)</w:t>
      </w:r>
    </w:p>
    <w:p>
      <w:pPr>
        <w:spacing w:after="0" w:line="266" w:lineRule="exact"/>
        <w:rPr>
          <w:sz w:val="20"/>
          <w:szCs w:val="20"/>
          <w:color w:val="auto"/>
        </w:rPr>
      </w:pPr>
    </w:p>
    <w:p>
      <w:pPr>
        <w:ind w:right="340"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ind w:right="40"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ind w:firstLine="864"/>
        <w:spacing w:after="0" w:line="256" w:lineRule="auto"/>
        <w:rPr>
          <w:sz w:val="20"/>
          <w:szCs w:val="20"/>
          <w:color w:val="auto"/>
        </w:rPr>
      </w:pPr>
      <w:r>
        <w:rPr>
          <w:rFonts w:ascii="Arial" w:cs="Arial" w:eastAsia="Arial" w:hAnsi="Arial"/>
          <w:sz w:val="19"/>
          <w:szCs w:val="19"/>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 Company’s Chief Executive Officer; and (E) this Release shall not be effective until the date upon which the revocation period has expired, which shall be the eighth (8th) day after I execute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this Release (provided that I do not revoke it).</w:t>
      </w:r>
    </w:p>
    <w:p>
      <w:pPr>
        <w:spacing w:after="0" w:line="148" w:lineRule="exact"/>
        <w:rPr>
          <w:sz w:val="20"/>
          <w:szCs w:val="20"/>
          <w:color w:val="auto"/>
        </w:rPr>
      </w:pPr>
    </w:p>
    <w:p>
      <w:pPr>
        <w:jc w:val="both"/>
        <w:ind w:right="20"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99"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284" w:right="59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20"/>
          <w:szCs w:val="20"/>
          <w:b w:val="1"/>
          <w:bCs w:val="1"/>
          <w:color w:val="auto"/>
        </w:rPr>
        <w:t>EXHIBIT B</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RELEASE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(INDIVIDUAL AND GROUP TERMINATION – UNDER AGE 40)</w:t>
      </w:r>
    </w:p>
    <w:p>
      <w:pPr>
        <w:spacing w:after="0" w:line="315" w:lineRule="exact"/>
        <w:rPr>
          <w:sz w:val="20"/>
          <w:szCs w:val="20"/>
          <w:color w:val="auto"/>
        </w:rPr>
      </w:pPr>
    </w:p>
    <w:p>
      <w:pPr>
        <w:ind w:right="300"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 monetary relief if the agency were to pursue any claims relating to my employment with the Company).</w:t>
      </w:r>
    </w:p>
    <w:p>
      <w:pPr>
        <w:spacing w:after="0" w:line="122" w:lineRule="exact"/>
        <w:rPr>
          <w:sz w:val="20"/>
          <w:szCs w:val="20"/>
          <w:color w:val="auto"/>
        </w:rPr>
      </w:pPr>
    </w:p>
    <w:p>
      <w:pPr>
        <w:ind w:right="20" w:firstLine="864"/>
        <w:spacing w:after="0" w:line="244" w:lineRule="auto"/>
        <w:rPr>
          <w:sz w:val="20"/>
          <w:szCs w:val="20"/>
          <w:color w:val="auto"/>
        </w:rPr>
      </w:pPr>
      <w:r>
        <w:rPr>
          <w:rFonts w:ascii="Arial" w:cs="Arial" w:eastAsia="Arial" w:hAnsi="Arial"/>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25" w:lineRule="exact"/>
        <w:rPr>
          <w:sz w:val="20"/>
          <w:szCs w:val="20"/>
          <w:color w:val="auto"/>
        </w:rPr>
      </w:pPr>
    </w:p>
    <w:p>
      <w:pPr>
        <w:jc w:val="both"/>
        <w:ind w:right="240" w:firstLine="864"/>
        <w:spacing w:after="0" w:line="249" w:lineRule="auto"/>
        <w:rPr>
          <w:sz w:val="20"/>
          <w:szCs w:val="20"/>
          <w:color w:val="auto"/>
        </w:rPr>
      </w:pPr>
      <w:r>
        <w:rPr>
          <w:rFonts w:ascii="Arial" w:cs="Arial" w:eastAsia="Arial" w:hAnsi="Arial"/>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the-job injury or illness for which I have not already filed a workers’ compensation claim.</w:t>
      </w:r>
    </w:p>
    <w:p>
      <w:pPr>
        <w:spacing w:after="0" w:line="53"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5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271" w:right="59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RELEASE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(GROUP TERMINATION – AGE 40 OR OLDER)</w:t>
      </w:r>
    </w:p>
    <w:p>
      <w:pPr>
        <w:spacing w:after="0" w:line="315" w:lineRule="exact"/>
        <w:rPr>
          <w:sz w:val="20"/>
          <w:szCs w:val="20"/>
          <w:color w:val="auto"/>
        </w:rPr>
      </w:pPr>
    </w:p>
    <w:p>
      <w:pPr>
        <w:ind w:right="340"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ind w:right="40"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ind w:firstLine="864"/>
        <w:spacing w:after="0" w:line="257" w:lineRule="auto"/>
        <w:rPr>
          <w:sz w:val="20"/>
          <w:szCs w:val="20"/>
          <w:color w:val="auto"/>
        </w:rPr>
      </w:pPr>
      <w:r>
        <w:rPr>
          <w:rFonts w:ascii="Arial" w:cs="Arial" w:eastAsia="Arial" w:hAnsi="Arial"/>
          <w:sz w:val="19"/>
          <w:szCs w:val="19"/>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6" w:name="page127"/>
    <w:bookmarkEnd w:id="126"/>
    <w:p>
      <w:pPr>
        <w:spacing w:after="0" w:line="244" w:lineRule="auto"/>
        <w:rPr>
          <w:sz w:val="20"/>
          <w:szCs w:val="20"/>
          <w:color w:val="auto"/>
        </w:rPr>
      </w:pPr>
      <w:r>
        <w:rPr>
          <w:rFonts w:ascii="Arial" w:cs="Arial" w:eastAsia="Arial" w:hAnsi="Arial"/>
          <w:sz w:val="20"/>
          <w:szCs w:val="20"/>
          <w:color w:val="auto"/>
        </w:rPr>
        <w:t>of revocation to the 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39" w:lineRule="exact"/>
        <w:rPr>
          <w:sz w:val="20"/>
          <w:szCs w:val="20"/>
          <w:color w:val="auto"/>
        </w:rPr>
      </w:pPr>
    </w:p>
    <w:p>
      <w:pPr>
        <w:jc w:val="both"/>
        <w:ind w:right="80"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67" w:lineRule="exact"/>
        <w:rPr>
          <w:sz w:val="20"/>
          <w:szCs w:val="20"/>
          <w:color w:val="auto"/>
        </w:rPr>
      </w:pPr>
    </w:p>
    <w:p>
      <w:pPr>
        <w:ind w:right="140" w:firstLine="864"/>
        <w:spacing w:after="0" w:line="244" w:lineRule="auto"/>
        <w:rPr>
          <w:sz w:val="20"/>
          <w:szCs w:val="20"/>
          <w:color w:val="auto"/>
        </w:rPr>
      </w:pPr>
      <w:r>
        <w:rPr>
          <w:rFonts w:ascii="Arial" w:cs="Arial" w:eastAsia="Arial" w:hAnsi="Arial"/>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14"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ind w:left="5280"/>
        <w:spacing w:after="0"/>
        <w:rPr>
          <w:sz w:val="20"/>
          <w:szCs w:val="20"/>
          <w:color w:val="auto"/>
        </w:rPr>
      </w:pPr>
      <w:r>
        <w:rPr>
          <w:rFonts w:ascii="Arial" w:cs="Arial" w:eastAsia="Arial" w:hAnsi="Arial"/>
          <w:sz w:val="20"/>
          <w:szCs w:val="20"/>
          <w:u w:val="single" w:color="auto"/>
          <w:color w:val="auto"/>
        </w:rPr>
        <w:t>D</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20"/>
          <w:szCs w:val="20"/>
          <w:u w:val="single" w:color="auto"/>
          <w:color w:val="auto"/>
        </w:rPr>
        <w:t>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040"/>
          </w:cols>
          <w:pgMar w:left="320" w:top="285" w:right="539" w:bottom="1440" w:gutter="0" w:footer="0" w:header="0"/>
        </w:sectPr>
      </w:pPr>
    </w:p>
    <w:bookmarkStart w:id="127" w:name="page128"/>
    <w:bookmarkEnd w:id="127"/>
    <w:p>
      <w:pPr>
        <w:jc w:val="center"/>
        <w:ind w:right="-479"/>
        <w:spacing w:after="0"/>
        <w:rPr>
          <w:sz w:val="20"/>
          <w:szCs w:val="20"/>
          <w:color w:val="auto"/>
        </w:rPr>
      </w:pPr>
      <w:r>
        <w:rPr>
          <w:rFonts w:ascii="Arial" w:cs="Arial" w:eastAsia="Arial" w:hAnsi="Arial"/>
          <w:sz w:val="20"/>
          <w:szCs w:val="20"/>
          <w:b w:val="1"/>
          <w:bCs w:val="1"/>
          <w:color w:val="auto"/>
        </w:rPr>
        <w:t>Exhibit 10.5</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AMENDED &amp; RESTATED</w:t>
      </w:r>
    </w:p>
    <w:p>
      <w:pPr>
        <w:spacing w:after="0" w:line="204"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EXECUTIVE EMPLOYMENT AGREEMENT</w:t>
      </w:r>
    </w:p>
    <w:p>
      <w:pPr>
        <w:spacing w:after="0" w:line="148" w:lineRule="exact"/>
        <w:rPr>
          <w:sz w:val="20"/>
          <w:szCs w:val="20"/>
          <w:color w:val="auto"/>
        </w:rPr>
      </w:pPr>
    </w:p>
    <w:p>
      <w:pPr>
        <w:ind w:left="120" w:firstLine="830"/>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AMENDED AND RESTATED EXECUTIVE 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27</w:t>
      </w:r>
      <w:r>
        <w:rPr>
          <w:rFonts w:ascii="Arial" w:cs="Arial" w:eastAsia="Arial" w:hAnsi="Arial"/>
          <w:sz w:val="16"/>
          <w:szCs w:val="16"/>
          <w:color w:val="auto"/>
        </w:rPr>
        <w:t>th</w:t>
      </w:r>
      <w:r>
        <w:rPr>
          <w:rFonts w:ascii="Arial" w:cs="Arial" w:eastAsia="Arial" w:hAnsi="Arial"/>
          <w:sz w:val="20"/>
          <w:szCs w:val="20"/>
          <w:color w:val="auto"/>
        </w:rPr>
        <w:t xml:space="preserve"> day of April, 2020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between Michael A. Metzger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xml:space="preserve">”) and </w:t>
      </w:r>
      <w:r>
        <w:rPr>
          <w:rFonts w:ascii="Arial" w:cs="Arial" w:eastAsia="Arial" w:hAnsi="Arial"/>
          <w:sz w:val="20"/>
          <w:szCs w:val="20"/>
          <w:b w:val="1"/>
          <w:bCs w:val="1"/>
          <w:color w:val="auto"/>
        </w:rPr>
        <w:t>SYNDAX</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PHARMACEUTICALS, INC. </w:t>
      </w:r>
      <w:r>
        <w:rPr>
          <w:rFonts w:ascii="Arial" w:cs="Arial" w:eastAsia="Arial" w:hAnsi="Arial"/>
          <w:sz w:val="20"/>
          <w:szCs w:val="20"/>
          <w:color w:val="auto"/>
        </w:rPr>
        <w:t>(the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Certain capitalized terms used in this Agreement are defined in Article 7.</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RECITALS</w:t>
      </w:r>
    </w:p>
    <w:p>
      <w:pPr>
        <w:spacing w:after="0" w:line="140" w:lineRule="exact"/>
        <w:rPr>
          <w:sz w:val="20"/>
          <w:szCs w:val="20"/>
          <w:color w:val="auto"/>
        </w:rPr>
      </w:pPr>
    </w:p>
    <w:p>
      <w:pPr>
        <w:ind w:left="1840" w:hanging="861"/>
        <w:spacing w:after="0"/>
        <w:tabs>
          <w:tab w:leader="none" w:pos="1840"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The Company is a biopharmaceutical company.</w:t>
      </w:r>
    </w:p>
    <w:p>
      <w:pPr>
        <w:spacing w:after="0" w:line="168" w:lineRule="exact"/>
        <w:rPr>
          <w:rFonts w:ascii="Arial" w:cs="Arial" w:eastAsia="Arial" w:hAnsi="Arial"/>
          <w:sz w:val="20"/>
          <w:szCs w:val="20"/>
          <w:b w:val="1"/>
          <w:bCs w:val="1"/>
          <w:color w:val="auto"/>
        </w:rPr>
      </w:pPr>
    </w:p>
    <w:p>
      <w:pPr>
        <w:ind w:left="820" w:right="760" w:hanging="747"/>
        <w:spacing w:after="0" w:line="249" w:lineRule="auto"/>
        <w:rPr>
          <w:rFonts w:ascii="Arial" w:cs="Arial" w:eastAsia="Arial" w:hAnsi="Arial"/>
          <w:sz w:val="20"/>
          <w:szCs w:val="20"/>
          <w:b w:val="1"/>
          <w:bCs w:val="1"/>
          <w:color w:val="auto"/>
        </w:rPr>
      </w:pPr>
      <w:r>
        <w:rPr>
          <w:rFonts w:ascii="Arial" w:cs="Arial" w:eastAsia="Arial" w:hAnsi="Arial"/>
          <w:sz w:val="20"/>
          <w:szCs w:val="20"/>
          <w:b w:val="1"/>
          <w:bCs w:val="1"/>
          <w:color w:val="auto"/>
        </w:rPr>
        <w:t>B.</w:t>
      </w:r>
      <w:r>
        <w:rPr>
          <w:rFonts w:ascii="Arial" w:cs="Arial" w:eastAsia="Arial" w:hAnsi="Arial"/>
          <w:sz w:val="20"/>
          <w:szCs w:val="20"/>
          <w:color w:val="auto"/>
        </w:rPr>
        <w:t>The Company desires to employ Executive, or to continue Executive’s employment, in the position set forth below, and Executive wishes to be employed, or continue to be employed, by the Company in such position, upon the terms and conditions set forth in this Agreement.</w:t>
      </w:r>
    </w:p>
    <w:p>
      <w:pPr>
        <w:spacing w:after="0" w:line="134"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AGREEMENT</w:t>
      </w:r>
    </w:p>
    <w:p>
      <w:pPr>
        <w:spacing w:after="0" w:line="13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Company and Executive</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agree as follows:</w:t>
      </w:r>
    </w:p>
    <w:p>
      <w:pPr>
        <w:spacing w:after="0" w:line="139"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ARTICLE 1</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PRELIMINARY MATTERS</w:t>
      </w:r>
    </w:p>
    <w:p>
      <w:pPr>
        <w:ind w:left="760" w:right="2240" w:hanging="696"/>
        <w:spacing w:after="0" w:line="243" w:lineRule="auto"/>
        <w:tabs>
          <w:tab w:leader="none" w:pos="7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Prior Agreement</w:t>
      </w:r>
      <w:r>
        <w:rPr>
          <w:rFonts w:ascii="Arial" w:cs="Arial" w:eastAsia="Arial" w:hAnsi="Arial"/>
          <w:sz w:val="20"/>
          <w:szCs w:val="20"/>
          <w:color w:val="auto"/>
        </w:rPr>
        <w:t>. This Agreement, on its Effective Date, amends, restates and supersedes</w:t>
      </w:r>
      <w:r>
        <w:rPr>
          <w:rFonts w:ascii="Arial" w:cs="Arial" w:eastAsia="Arial" w:hAnsi="Arial"/>
          <w:sz w:val="20"/>
          <w:szCs w:val="20"/>
          <w:b w:val="1"/>
          <w:bCs w:val="1"/>
          <w:color w:val="auto"/>
        </w:rPr>
        <w:t xml:space="preserve"> </w:t>
      </w:r>
      <w:r>
        <w:rPr>
          <w:rFonts w:ascii="Arial" w:cs="Arial" w:eastAsia="Arial" w:hAnsi="Arial"/>
          <w:sz w:val="20"/>
          <w:szCs w:val="20"/>
          <w:color w:val="auto"/>
        </w:rPr>
        <w:t>the Prior Employment Agreement.</w:t>
      </w:r>
    </w:p>
    <w:p>
      <w:pPr>
        <w:spacing w:after="0" w:line="119" w:lineRule="exact"/>
        <w:rPr>
          <w:sz w:val="20"/>
          <w:szCs w:val="20"/>
          <w:color w:val="auto"/>
        </w:rPr>
      </w:pPr>
    </w:p>
    <w:p>
      <w:pPr>
        <w:ind w:left="840" w:right="720" w:hanging="771"/>
        <w:spacing w:after="0" w:line="266" w:lineRule="auto"/>
        <w:tabs>
          <w:tab w:leader="none" w:pos="8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20"/>
          <w:szCs w:val="20"/>
          <w:b w:val="1"/>
          <w:bCs w:val="1"/>
          <w:color w:val="auto"/>
        </w:rPr>
        <w:t>Effectiveness of Agreement</w:t>
      </w:r>
      <w:r>
        <w:rPr>
          <w:rFonts w:ascii="Arial" w:cs="Arial" w:eastAsia="Arial" w:hAnsi="Arial"/>
          <w:sz w:val="20"/>
          <w:szCs w:val="20"/>
          <w:color w:val="auto"/>
        </w:rPr>
        <w:t>. This Agreement shall be effective and shall supersede the Prior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concurrently with the Effective Date.</w:t>
      </w:r>
    </w:p>
    <w:p>
      <w:pPr>
        <w:spacing w:after="0" w:line="110"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ARTICLE 2</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TERMS OF EMPLOYMENT</w:t>
      </w:r>
    </w:p>
    <w:p>
      <w:pPr>
        <w:ind w:left="840" w:right="180" w:hanging="771"/>
        <w:spacing w:after="0" w:line="268" w:lineRule="auto"/>
        <w:tabs>
          <w:tab w:leader="none" w:pos="8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8"/>
          <w:szCs w:val="18"/>
          <w:b w:val="1"/>
          <w:bCs w:val="1"/>
          <w:color w:val="auto"/>
        </w:rPr>
        <w:t>Appointment</w:t>
      </w:r>
      <w:r>
        <w:rPr>
          <w:rFonts w:ascii="Arial" w:cs="Arial" w:eastAsia="Arial" w:hAnsi="Arial"/>
          <w:sz w:val="18"/>
          <w:szCs w:val="18"/>
          <w:color w:val="auto"/>
        </w:rPr>
        <w:t>. Executive shall serve as the President and Chief Operating Officer, reporting to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ultimately to the Board. As President and Chief Operating Officer, Executive will have such duties and responsibilities typically associated with such officer plus other duties as may from time to time be assigned to Executive. During Executive’s employment with the Company, Executive shall (i) devote substantially all of Executive’s business efforts to the Company, provided, however, that Executive may (a) participate in charitable, civic, educational, professional, community or industry affairs, (b) manage Executive’s passive personal investments, and (c)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w:t>
      </w:r>
    </w:p>
    <w:p>
      <w:pPr>
        <w:spacing w:after="0" w:line="115" w:lineRule="exact"/>
        <w:rPr>
          <w:sz w:val="20"/>
          <w:szCs w:val="20"/>
          <w:color w:val="auto"/>
        </w:rPr>
      </w:pPr>
    </w:p>
    <w:p>
      <w:pPr>
        <w:ind w:left="840" w:right="120" w:hanging="771"/>
        <w:spacing w:after="0" w:line="266" w:lineRule="auto"/>
        <w:tabs>
          <w:tab w:leader="none" w:pos="8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Employment Term</w:t>
      </w:r>
      <w:r>
        <w:rPr>
          <w:rFonts w:ascii="Arial" w:cs="Arial" w:eastAsia="Arial" w:hAnsi="Arial"/>
          <w:sz w:val="20"/>
          <w:szCs w:val="20"/>
          <w:color w:val="auto"/>
        </w:rPr>
        <w:t>. Executive will be employed by the Company on an “at-will” basis. This means that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Executive may terminate Executive’s employment at</w:t>
      </w:r>
    </w:p>
    <w:p>
      <w:pPr>
        <w:spacing w:after="0" w:line="170" w:lineRule="exact"/>
        <w:rPr>
          <w:sz w:val="20"/>
          <w:szCs w:val="20"/>
          <w:color w:val="auto"/>
        </w:rPr>
      </w:pPr>
    </w:p>
    <w:p>
      <w:pPr>
        <w:jc w:val="center"/>
        <w:ind w:right="-47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320" w:top="116" w:right="799" w:bottom="1440" w:gutter="0" w:footer="0" w:header="0"/>
        </w:sectPr>
      </w:pPr>
    </w:p>
    <w:bookmarkStart w:id="128" w:name="page129"/>
    <w:bookmarkEnd w:id="128"/>
    <w:p>
      <w:pPr>
        <w:ind w:left="720" w:right="340" w:firstLine="756"/>
        <w:spacing w:after="0" w:line="276" w:lineRule="auto"/>
        <w:rPr>
          <w:sz w:val="20"/>
          <w:szCs w:val="20"/>
          <w:color w:val="auto"/>
        </w:rPr>
      </w:pPr>
      <w:r>
        <w:rPr>
          <w:rFonts w:ascii="Arial" w:cs="Arial" w:eastAsia="Arial" w:hAnsi="Arial"/>
          <w:sz w:val="18"/>
          <w:szCs w:val="18"/>
          <w:color w:val="auto"/>
        </w:rPr>
        <w:t>any time, for any reason, with or without Cause, and with or without advance notice (provided that Resignation for Good Reason (as defined below) requires certain advanced notice by Executive of Executive’s termination of employment).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91"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2.3.</w:t>
            </w:r>
          </w:p>
        </w:tc>
        <w:tc>
          <w:tcPr>
            <w:tcW w:w="1840" w:type="dxa"/>
            <w:vAlign w:val="bottom"/>
          </w:tcPr>
          <w:p>
            <w:pPr>
              <w:ind w:left="320"/>
              <w:spacing w:after="0"/>
              <w:rPr>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tc>
        <w:tc>
          <w:tcPr>
            <w:tcW w:w="6600" w:type="dxa"/>
            <w:vAlign w:val="bottom"/>
          </w:tcPr>
          <w:p>
            <w:pPr>
              <w:spacing w:after="0"/>
              <w:rPr>
                <w:sz w:val="22"/>
                <w:szCs w:val="22"/>
                <w:color w:val="auto"/>
              </w:rPr>
            </w:pPr>
          </w:p>
        </w:tc>
      </w:tr>
      <w:tr>
        <w:trPr>
          <w:trHeight w:val="386"/>
        </w:trPr>
        <w:tc>
          <w:tcPr>
            <w:tcW w:w="540" w:type="dxa"/>
            <w:vAlign w:val="bottom"/>
          </w:tcPr>
          <w:p>
            <w:pPr>
              <w:spacing w:after="0"/>
              <w:rPr>
                <w:sz w:val="24"/>
                <w:szCs w:val="24"/>
                <w:color w:val="auto"/>
              </w:rPr>
            </w:pPr>
          </w:p>
        </w:tc>
        <w:tc>
          <w:tcPr>
            <w:tcW w:w="1840" w:type="dxa"/>
            <w:vAlign w:val="bottom"/>
          </w:tcPr>
          <w:p>
            <w:pPr>
              <w:ind w:left="240"/>
              <w:spacing w:after="0"/>
              <w:rPr>
                <w:sz w:val="20"/>
                <w:szCs w:val="20"/>
                <w:color w:val="auto"/>
              </w:rPr>
            </w:pPr>
            <w:r>
              <w:rPr>
                <w:rFonts w:ascii="Arial" w:cs="Arial" w:eastAsia="Arial" w:hAnsi="Arial"/>
                <w:sz w:val="20"/>
                <w:szCs w:val="20"/>
                <w:color w:val="auto"/>
              </w:rPr>
              <w:t>a)</w:t>
            </w:r>
          </w:p>
        </w:tc>
        <w:tc>
          <w:tcPr>
            <w:tcW w:w="6600" w:type="dxa"/>
            <w:vAlign w:val="bottom"/>
          </w:tcPr>
          <w:p>
            <w:pPr>
              <w:ind w:left="260"/>
              <w:spacing w:after="0"/>
              <w:rPr>
                <w:sz w:val="20"/>
                <w:szCs w:val="20"/>
                <w:color w:val="auto"/>
              </w:rPr>
            </w:pPr>
            <w:r>
              <w:rPr>
                <w:rFonts w:ascii="Arial" w:cs="Arial" w:eastAsia="Arial" w:hAnsi="Arial"/>
                <w:sz w:val="20"/>
                <w:szCs w:val="20"/>
                <w:b w:val="1"/>
                <w:bCs w:val="1"/>
                <w:color w:val="auto"/>
                <w:w w:val="88"/>
              </w:rPr>
              <w:t>Annual Base Salary</w:t>
            </w:r>
            <w:r>
              <w:rPr>
                <w:rFonts w:ascii="Arial" w:cs="Arial" w:eastAsia="Arial" w:hAnsi="Arial"/>
                <w:sz w:val="20"/>
                <w:szCs w:val="20"/>
                <w:color w:val="auto"/>
                <w:w w:val="88"/>
              </w:rPr>
              <w:t>. Executive’s annual base salary shall be $576,800 per year</w:t>
            </w:r>
          </w:p>
        </w:tc>
      </w:tr>
    </w:tbl>
    <w:p>
      <w:pPr>
        <w:ind w:right="500"/>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Annual Base Salary</w:t>
      </w:r>
      <w:r>
        <w:rPr>
          <w:rFonts w:ascii="Arial" w:cs="Arial" w:eastAsia="Arial" w:hAnsi="Arial"/>
          <w:sz w:val="20"/>
          <w:szCs w:val="20"/>
          <w:color w:val="auto"/>
        </w:rPr>
        <w:t>”), payable in equal installments, less applicable deductions and withholdings, in accordance with the Company’s standard payroll practices. Executive’s Annual Base Salary shall be subject to review by the Company’s compensation committee and may be increased, from time to time.</w:t>
      </w:r>
    </w:p>
    <w:p>
      <w:pPr>
        <w:spacing w:after="0" w:line="135" w:lineRule="exact"/>
        <w:rPr>
          <w:sz w:val="20"/>
          <w:szCs w:val="20"/>
          <w:color w:val="auto"/>
        </w:rPr>
      </w:pPr>
    </w:p>
    <w:p>
      <w:pPr>
        <w:ind w:firstLine="1665"/>
        <w:spacing w:after="0" w:line="243"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b w:val="1"/>
          <w:bCs w:val="1"/>
          <w:color w:val="auto"/>
        </w:rPr>
        <w:t>Benefits</w:t>
      </w:r>
      <w:r>
        <w:rPr>
          <w:rFonts w:ascii="Arial" w:cs="Arial" w:eastAsia="Arial" w:hAnsi="Arial"/>
          <w:sz w:val="20"/>
          <w:szCs w:val="20"/>
          <w:color w:val="auto"/>
        </w:rPr>
        <w:t>. Executive will be entitled to participate in all of the employee benefits and benefit plans that the 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 Notwithstanding the foregoing, if applicable, the Company shall make a group health plan available to Executive, which provides applicable coverage at both Executive’s permanent residence and Executive’s principal place of employment. From time to time and as the Board deems appropriate, Executive may be eligible to receive options to purchase the Company’s common stock.</w:t>
      </w:r>
    </w:p>
    <w:p>
      <w:pPr>
        <w:spacing w:after="0" w:line="123" w:lineRule="exact"/>
        <w:rPr>
          <w:sz w:val="20"/>
          <w:szCs w:val="20"/>
          <w:color w:val="auto"/>
        </w:rPr>
      </w:pPr>
    </w:p>
    <w:p>
      <w:pPr>
        <w:ind w:right="120" w:firstLine="1661"/>
        <w:spacing w:after="0" w:line="27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Bonus</w:t>
      </w:r>
      <w:r>
        <w:rPr>
          <w:rFonts w:ascii="Arial" w:cs="Arial" w:eastAsia="Arial" w:hAnsi="Arial"/>
          <w:sz w:val="18"/>
          <w:szCs w:val="18"/>
          <w:color w:val="auto"/>
        </w:rPr>
        <w:t>. In addition to Annual Base Salary, Executive shall be eligible to earn an annual performance bonus of up to fifty percent (50%)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The amount of and Executive’s eligibility for the Target Performance Bonus shall be determined in the sole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w:t>
      </w:r>
      <w:r>
        <w:rPr>
          <w:rFonts w:ascii="Arial" w:cs="Arial" w:eastAsia="Arial" w:hAnsi="Arial"/>
          <w:sz w:val="14"/>
          <w:szCs w:val="14"/>
          <w:color w:val="auto"/>
        </w:rPr>
        <w:t>th</w:t>
      </w:r>
      <w:r>
        <w:rPr>
          <w:rFonts w:ascii="Arial" w:cs="Arial" w:eastAsia="Arial" w:hAnsi="Arial"/>
          <w:sz w:val="18"/>
          <w:szCs w:val="18"/>
          <w:color w:val="auto"/>
        </w:rPr>
        <w:t xml:space="preserve"> following the calendar year during which such bonus was earned. Except as provided in Sections 3.2 and 4.2, Executive shall be eligible to earn the Target Performance Bonus only if Executive is actively employed and in good standing with the Company on both the determination and payment dates for the Target Performance Bonus.</w:t>
      </w:r>
    </w:p>
    <w:p>
      <w:pPr>
        <w:spacing w:after="0" w:line="216" w:lineRule="exact"/>
        <w:rPr>
          <w:sz w:val="20"/>
          <w:szCs w:val="20"/>
          <w:color w:val="auto"/>
        </w:rPr>
      </w:pPr>
    </w:p>
    <w:p>
      <w:pPr>
        <w:ind w:left="720" w:right="600" w:hanging="758"/>
        <w:spacing w:after="0" w:line="256" w:lineRule="auto"/>
        <w:tabs>
          <w:tab w:leader="none" w:pos="70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9"/>
          <w:szCs w:val="19"/>
          <w:b w:val="1"/>
          <w:bCs w:val="1"/>
          <w:color w:val="auto"/>
        </w:rPr>
        <w:t>Reimbursement of Expenses</w:t>
      </w:r>
      <w:r>
        <w:rPr>
          <w:rFonts w:ascii="Arial" w:cs="Arial" w:eastAsia="Arial" w:hAnsi="Arial"/>
          <w:sz w:val="19"/>
          <w:szCs w:val="19"/>
          <w:color w:val="auto"/>
        </w:rPr>
        <w:t>. Subject to Section 5.10(c), the Company shall reimburse Executive for</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necessary and reasonable business expenses incurred in connection with Executive’s duties in accordance with the Company’s generally applicable policies. Executive and the Company acknowledge that Executive will be required to spend a certain amount of time each month at the Company’s Waltham headquarters. Accordingly, the Company will reimburse, or pay for, all reasonable expenses incurred by Executive in connection with commuting between the Company’s Waltham office and Executive’s current principal residence in New York, including Executive’s actual and reasonable living expenses incurred in the Waltham area and Executive’s actual and reasonable commuting expenses incurred between Waltham and Executive’s current principal residence in New York. Executive will not be required to relocate his residence to Waltham, but should Executive choose to relocate his residence to Waltham, the Company will pay</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20"/>
          </w:cols>
          <w:pgMar w:left="440" w:top="121" w:right="639" w:bottom="1440" w:gutter="0" w:footer="0" w:header="0"/>
        </w:sectPr>
      </w:pPr>
    </w:p>
    <w:bookmarkStart w:id="129" w:name="page130"/>
    <w:bookmarkEnd w:id="129"/>
    <w:p>
      <w:pPr>
        <w:ind w:left="1460"/>
        <w:spacing w:after="0"/>
        <w:rPr>
          <w:sz w:val="20"/>
          <w:szCs w:val="20"/>
          <w:color w:val="auto"/>
        </w:rPr>
      </w:pPr>
      <w:r>
        <w:rPr>
          <w:rFonts w:ascii="Arial" w:cs="Arial" w:eastAsia="Arial" w:hAnsi="Arial"/>
          <w:sz w:val="19"/>
          <w:szCs w:val="19"/>
          <w:color w:val="auto"/>
        </w:rPr>
        <w:t>up to $50,000 for ordinary and necessary expenses incurred by Executive as a result of Executive’s relocation.</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The foregoing provisions of this Section 2.4 are subject to Section 5.10(c).</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3</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CHANGE IN CONTROL SEVERANCE BENEFITS</w:t>
      </w:r>
    </w:p>
    <w:p>
      <w:pPr>
        <w:spacing w:after="0" w:line="148" w:lineRule="exact"/>
        <w:rPr>
          <w:sz w:val="20"/>
          <w:szCs w:val="20"/>
          <w:color w:val="auto"/>
        </w:rPr>
      </w:pPr>
    </w:p>
    <w:p>
      <w:pPr>
        <w:ind w:left="720" w:right="320" w:hanging="771"/>
        <w:spacing w:after="0" w:line="256" w:lineRule="auto"/>
        <w:tabs>
          <w:tab w:leader="none" w:pos="70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auto"/>
        </w:rPr>
        <w:t>Severance Benefits</w:t>
      </w:r>
      <w:r>
        <w:rPr>
          <w:rFonts w:ascii="Arial" w:cs="Arial" w:eastAsia="Arial" w:hAnsi="Arial"/>
          <w:sz w:val="19"/>
          <w:szCs w:val="19"/>
          <w:color w:val="auto"/>
        </w:rPr>
        <w:t>. Upon a Change in Control Termination, and subject to the limitations and conditions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this Agreement, Executive shall be eligible to receive the benefits set forth in this Article 3. The receipt of any severance payments or benefits pursuant to this Agreement is subject to Executive signing and not revoking a separation agreement and general release of claims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in substantially the form attached hereto and incorporated herein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or </w:t>
      </w:r>
      <w:r>
        <w:rPr>
          <w:rFonts w:ascii="Arial" w:cs="Arial" w:eastAsia="Arial" w:hAnsi="Arial"/>
          <w:sz w:val="19"/>
          <w:szCs w:val="19"/>
          <w:b w:val="1"/>
          <w:bCs w:val="1"/>
          <w:color w:val="auto"/>
        </w:rPr>
        <w:t>Exhibit C</w:t>
      </w:r>
      <w:r>
        <w:rPr>
          <w:rFonts w:ascii="Arial" w:cs="Arial" w:eastAsia="Arial" w:hAnsi="Arial"/>
          <w:sz w:val="19"/>
          <w:szCs w:val="19"/>
          <w:color w:val="auto"/>
        </w:rPr>
        <w:t>, as appropriate, which Release must become effective and irrevocable no later than the sixtieth (60</w:t>
      </w:r>
      <w:r>
        <w:rPr>
          <w:rFonts w:ascii="Arial" w:cs="Arial" w:eastAsia="Arial" w:hAnsi="Arial"/>
          <w:sz w:val="15"/>
          <w:szCs w:val="15"/>
          <w:color w:val="auto"/>
        </w:rPr>
        <w:t>th</w:t>
      </w:r>
      <w:r>
        <w:rPr>
          <w:rFonts w:ascii="Arial" w:cs="Arial" w:eastAsia="Arial" w:hAnsi="Arial"/>
          <w:sz w:val="19"/>
          <w:szCs w:val="19"/>
          <w:color w:val="auto"/>
        </w:rPr>
        <w:t>) day following Executive’s termination of employment (the “</w:t>
      </w:r>
      <w:r>
        <w:rPr>
          <w:rFonts w:ascii="Arial" w:cs="Arial" w:eastAsia="Arial" w:hAnsi="Arial"/>
          <w:sz w:val="19"/>
          <w:szCs w:val="19"/>
          <w:b w:val="1"/>
          <w:bCs w:val="1"/>
          <w:i w:val="1"/>
          <w:iCs w:val="1"/>
          <w:color w:val="auto"/>
        </w:rPr>
        <w:t>Release Deadline Date</w:t>
      </w:r>
      <w:r>
        <w:rPr>
          <w:rFonts w:ascii="Arial" w:cs="Arial" w:eastAsia="Arial" w:hAnsi="Arial"/>
          <w:sz w:val="19"/>
          <w:szCs w:val="19"/>
          <w:color w:val="auto"/>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27" w:lineRule="exact"/>
        <w:rPr>
          <w:sz w:val="20"/>
          <w:szCs w:val="20"/>
          <w:color w:val="auto"/>
        </w:rPr>
      </w:pPr>
    </w:p>
    <w:p>
      <w:pPr>
        <w:ind w:left="720" w:right="820" w:hanging="758"/>
        <w:spacing w:after="0" w:line="260" w:lineRule="auto"/>
        <w:tabs>
          <w:tab w:leader="none" w:pos="70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b w:val="1"/>
          <w:bCs w:val="1"/>
          <w:color w:val="auto"/>
        </w:rPr>
        <w:t>Salary and Pro-Rata Bonus Payment</w:t>
      </w:r>
      <w:r>
        <w:rPr>
          <w:rFonts w:ascii="Arial" w:cs="Arial" w:eastAsia="Arial" w:hAnsi="Arial"/>
          <w:sz w:val="19"/>
          <w:szCs w:val="19"/>
          <w:color w:val="auto"/>
        </w:rPr>
        <w:t>. In consideration of Executive’s execution and non-revocation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by the Release Deadline Date, in a form provided by the Company and in accordance with Article 5, the Company shall pay Executive a severance payment equal to (i) the sum of Executive’s Monthly Base Salary and Pro-Rata Bonus multiplied by (ii) the number of months in the Change in Control Severance Period, less applicable withholdings. The severance payment shall be payable (except as set forth in Article 5) in a lump sum on the first regularly-scheduled payroll date occurring on or after the Release Deadline Date.</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60" w:type="dxa"/>
            <w:vAlign w:val="bottom"/>
          </w:tcPr>
          <w:p>
            <w:pPr>
              <w:jc w:val="right"/>
              <w:ind w:right="161"/>
              <w:spacing w:after="0"/>
              <w:rPr>
                <w:sz w:val="20"/>
                <w:szCs w:val="20"/>
                <w:color w:val="auto"/>
              </w:rPr>
            </w:pPr>
            <w:r>
              <w:rPr>
                <w:rFonts w:ascii="Arial" w:cs="Arial" w:eastAsia="Arial" w:hAnsi="Arial"/>
                <w:sz w:val="20"/>
                <w:szCs w:val="20"/>
                <w:b w:val="1"/>
                <w:bCs w:val="1"/>
                <w:color w:val="auto"/>
                <w:w w:val="83"/>
              </w:rPr>
              <w:t>3.3.</w:t>
            </w:r>
          </w:p>
        </w:tc>
        <w:tc>
          <w:tcPr>
            <w:tcW w:w="9140" w:type="dxa"/>
            <w:vAlign w:val="bottom"/>
            <w:gridSpan w:val="2"/>
          </w:tcPr>
          <w:p>
            <w:pPr>
              <w:ind w:left="300"/>
              <w:spacing w:after="0"/>
              <w:rPr>
                <w:sz w:val="20"/>
                <w:szCs w:val="20"/>
                <w:color w:val="auto"/>
              </w:rPr>
            </w:pPr>
            <w:r>
              <w:rPr>
                <w:rFonts w:ascii="Arial" w:cs="Arial" w:eastAsia="Arial" w:hAnsi="Arial"/>
                <w:sz w:val="20"/>
                <w:szCs w:val="20"/>
                <w:b w:val="1"/>
                <w:bCs w:val="1"/>
                <w:color w:val="auto"/>
              </w:rPr>
              <w:t>Health Continuation Coverage</w:t>
            </w:r>
            <w:r>
              <w:rPr>
                <w:rFonts w:ascii="Arial" w:cs="Arial" w:eastAsia="Arial" w:hAnsi="Arial"/>
                <w:sz w:val="20"/>
                <w:szCs w:val="20"/>
                <w:color w:val="auto"/>
              </w:rPr>
              <w:t>.</w:t>
            </w:r>
          </w:p>
        </w:tc>
      </w:tr>
      <w:tr>
        <w:trPr>
          <w:trHeight w:val="278"/>
        </w:trPr>
        <w:tc>
          <w:tcPr>
            <w:tcW w:w="560" w:type="dxa"/>
            <w:vAlign w:val="bottom"/>
          </w:tcPr>
          <w:p>
            <w:pPr>
              <w:spacing w:after="0"/>
              <w:rPr>
                <w:sz w:val="24"/>
                <w:szCs w:val="24"/>
                <w:color w:val="auto"/>
              </w:rPr>
            </w:pPr>
          </w:p>
        </w:tc>
        <w:tc>
          <w:tcPr>
            <w:tcW w:w="1260" w:type="dxa"/>
            <w:vAlign w:val="bottom"/>
          </w:tcPr>
          <w:p>
            <w:pPr>
              <w:ind w:left="260"/>
              <w:spacing w:after="0"/>
              <w:rPr>
                <w:sz w:val="20"/>
                <w:szCs w:val="20"/>
                <w:color w:val="auto"/>
              </w:rPr>
            </w:pPr>
            <w:r>
              <w:rPr>
                <w:rFonts w:ascii="Arial" w:cs="Arial" w:eastAsia="Arial" w:hAnsi="Arial"/>
                <w:sz w:val="20"/>
                <w:szCs w:val="20"/>
                <w:color w:val="auto"/>
              </w:rPr>
              <w:t>a)</w:t>
            </w:r>
          </w:p>
        </w:tc>
        <w:tc>
          <w:tcPr>
            <w:tcW w:w="7880" w:type="dxa"/>
            <w:vAlign w:val="bottom"/>
          </w:tcPr>
          <w:p>
            <w:pPr>
              <w:ind w:left="860"/>
              <w:spacing w:after="0"/>
              <w:rPr>
                <w:sz w:val="20"/>
                <w:szCs w:val="20"/>
                <w:color w:val="auto"/>
              </w:rPr>
            </w:pPr>
            <w:r>
              <w:rPr>
                <w:rFonts w:ascii="Arial" w:cs="Arial" w:eastAsia="Arial" w:hAnsi="Arial"/>
                <w:sz w:val="20"/>
                <w:szCs w:val="20"/>
                <w:color w:val="auto"/>
                <w:w w:val="88"/>
              </w:rPr>
              <w:t>Provided that Executive is eligible and has made the necessary elections for continuation</w:t>
            </w:r>
          </w:p>
        </w:tc>
      </w:tr>
    </w:tbl>
    <w:p>
      <w:pPr>
        <w:spacing w:after="0" w:line="267" w:lineRule="auto"/>
        <w:rPr>
          <w:sz w:val="20"/>
          <w:szCs w:val="20"/>
          <w:color w:val="auto"/>
        </w:rPr>
      </w:pPr>
      <w:r>
        <w:rPr>
          <w:rFonts w:ascii="Arial" w:cs="Arial" w:eastAsia="Arial" w:hAnsi="Arial"/>
          <w:sz w:val="18"/>
          <w:szCs w:val="18"/>
          <w:color w:val="auto"/>
        </w:rPr>
        <w:t>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440" w:top="121" w:right="61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color w:val="auto"/>
        </w:rPr>
        <w:t>COBRA period.</w:t>
      </w:r>
    </w:p>
    <w:p>
      <w:pPr>
        <w:spacing w:after="0" w:line="148" w:lineRule="exact"/>
        <w:rPr>
          <w:sz w:val="20"/>
          <w:szCs w:val="20"/>
          <w:color w:val="auto"/>
        </w:rPr>
      </w:pPr>
    </w:p>
    <w:p>
      <w:pPr>
        <w:ind w:left="1660"/>
        <w:spacing w:after="0"/>
        <w:tabs>
          <w:tab w:leader="none" w:pos="35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For purposes of this Section 3.3, (i) references to COBRA shall be deemed to refer also to</w:t>
      </w:r>
    </w:p>
    <w:p>
      <w:pPr>
        <w:spacing w:after="0" w:line="38" w:lineRule="exact"/>
        <w:rPr>
          <w:sz w:val="20"/>
          <w:szCs w:val="20"/>
          <w:color w:val="auto"/>
        </w:rPr>
      </w:pPr>
    </w:p>
    <w:p>
      <w:pPr>
        <w:ind w:right="620"/>
        <w:spacing w:after="0" w:line="241" w:lineRule="auto"/>
        <w:rPr>
          <w:sz w:val="20"/>
          <w:szCs w:val="20"/>
          <w:color w:val="auto"/>
        </w:rPr>
      </w:pPr>
      <w:r>
        <w:rPr>
          <w:rFonts w:ascii="Arial" w:cs="Arial" w:eastAsia="Arial" w:hAnsi="Arial"/>
          <w:sz w:val="20"/>
          <w:szCs w:val="20"/>
          <w:color w:val="auto"/>
        </w:rPr>
        <w:t>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35" w:lineRule="exact"/>
        <w:rPr>
          <w:sz w:val="20"/>
          <w:szCs w:val="20"/>
          <w:color w:val="auto"/>
        </w:rPr>
      </w:pPr>
    </w:p>
    <w:p>
      <w:pPr>
        <w:ind w:left="720" w:right="260" w:hanging="771"/>
        <w:spacing w:after="0" w:line="256" w:lineRule="auto"/>
        <w:tabs>
          <w:tab w:leader="none" w:pos="70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b w:val="1"/>
          <w:bCs w:val="1"/>
          <w:color w:val="auto"/>
        </w:rPr>
        <w:t>Stock Awards</w:t>
      </w:r>
      <w:r>
        <w:rPr>
          <w:rFonts w:ascii="Arial" w:cs="Arial" w:eastAsia="Arial" w:hAnsi="Arial"/>
          <w:sz w:val="19"/>
          <w:szCs w:val="19"/>
          <w:color w:val="auto"/>
        </w:rPr>
        <w:t>. Upon a Change in Control Termination, (i) the vesting and exercisability of all outstanding options</w:t>
      </w:r>
      <w:r>
        <w:rPr>
          <w:rFonts w:ascii="Arial" w:cs="Arial" w:eastAsia="Arial" w:hAnsi="Arial"/>
          <w:sz w:val="19"/>
          <w:szCs w:val="19"/>
          <w:b w:val="1"/>
          <w:bCs w:val="1"/>
          <w:color w:val="auto"/>
        </w:rPr>
        <w:t xml:space="preserve"> </w:t>
      </w:r>
      <w:r>
        <w:rPr>
          <w:rFonts w:ascii="Arial" w:cs="Arial" w:eastAsia="Arial" w:hAnsi="Arial"/>
          <w:sz w:val="19"/>
          <w:szCs w:val="19"/>
          <w:color w:val="auto"/>
        </w:rPr>
        <w:t>to purchase the Company’s common stock (or stock appreciation rights or other rights with respect to the stock of the Company issued pursuant to any equity incentive plan of the Company) that are held by Executive on the Termination Date shall be accelerated in full, (ii)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(iii) 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4</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COVERED TERMINATION SEVERANCE BENEFITS</w:t>
      </w:r>
    </w:p>
    <w:p>
      <w:pPr>
        <w:spacing w:after="0" w:line="134" w:lineRule="exact"/>
        <w:rPr>
          <w:sz w:val="20"/>
          <w:szCs w:val="20"/>
          <w:color w:val="auto"/>
        </w:rPr>
      </w:pPr>
    </w:p>
    <w:p>
      <w:pPr>
        <w:ind w:left="720" w:right="680" w:hanging="758"/>
        <w:spacing w:after="0" w:line="258" w:lineRule="auto"/>
        <w:tabs>
          <w:tab w:leader="none" w:pos="70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Severance Benefits</w:t>
      </w:r>
      <w:r>
        <w:rPr>
          <w:rFonts w:ascii="Arial" w:cs="Arial" w:eastAsia="Arial" w:hAnsi="Arial"/>
          <w:sz w:val="19"/>
          <w:szCs w:val="19"/>
          <w:color w:val="auto"/>
        </w:rPr>
        <w:t>. Upon a Covered Termination, and subject to the limitations and conditions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36" w:lineRule="exact"/>
        <w:rPr>
          <w:sz w:val="20"/>
          <w:szCs w:val="20"/>
          <w:color w:val="auto"/>
        </w:rPr>
      </w:pPr>
    </w:p>
    <w:p>
      <w:pPr>
        <w:ind w:left="720" w:right="300" w:hanging="771"/>
        <w:spacing w:after="0" w:line="275" w:lineRule="auto"/>
        <w:tabs>
          <w:tab w:leader="none" w:pos="70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8"/>
          <w:szCs w:val="18"/>
          <w:b w:val="1"/>
          <w:bCs w:val="1"/>
          <w:color w:val="auto"/>
        </w:rPr>
        <w:t>Salary Payment</w:t>
      </w:r>
      <w:r>
        <w:rPr>
          <w:rFonts w:ascii="Arial" w:cs="Arial" w:eastAsia="Arial" w:hAnsi="Arial"/>
          <w:sz w:val="18"/>
          <w:szCs w:val="18"/>
          <w:color w:val="auto"/>
        </w:rPr>
        <w:t>. In consideration of Executive’s timely execution and non-revocation of a full release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claims, in a form provided by the Company and in accordance with Article 5, the Company shall pay Executive a severance payment equal to the sum of (i) Executive’s Monthly Base Salary multiplied by the number of months in the Covered Termination Severance Period and (ii) the Target Performance Bonus as in effect on the date of a Covered Termination multiplied by the number of days Executive was employed in the year of the Covered Termination divided by the total number of days in such year, less applicable withholdings. The severance payment shall be payable (except as set forth in Article 5) in a lump sum on the first regularly-scheduled payroll date occurring on or after the Release Deadline Date.</w:t>
      </w:r>
    </w:p>
    <w:p>
      <w:pPr>
        <w:spacing w:after="0" w:line="106"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Health Continuation Coverage</w:t>
      </w:r>
      <w:r>
        <w:rPr>
          <w:rFonts w:ascii="Arial" w:cs="Arial" w:eastAsia="Arial" w:hAnsi="Arial"/>
          <w:sz w:val="18"/>
          <w:szCs w:val="18"/>
          <w:color w:val="auto"/>
        </w:rPr>
        <w:t>.</w:t>
      </w:r>
    </w:p>
    <w:p>
      <w:pPr>
        <w:spacing w:after="0" w:line="261" w:lineRule="exact"/>
        <w:rPr>
          <w:sz w:val="20"/>
          <w:szCs w:val="20"/>
          <w:color w:val="auto"/>
        </w:rPr>
      </w:pPr>
    </w:p>
    <w:p>
      <w:pPr>
        <w:ind w:firstLine="1668"/>
        <w:spacing w:after="0" w:line="274" w:lineRule="auto"/>
        <w:rPr>
          <w:sz w:val="20"/>
          <w:szCs w:val="20"/>
          <w:color w:val="auto"/>
        </w:rPr>
      </w:pPr>
      <w:r>
        <w:rPr>
          <w:rFonts w:ascii="Arial" w:cs="Arial" w:eastAsia="Arial" w:hAnsi="Arial"/>
          <w:sz w:val="18"/>
          <w:szCs w:val="18"/>
          <w:color w:val="auto"/>
        </w:rPr>
        <w:t>a) 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20"/>
          </w:cols>
          <w:pgMar w:left="440" w:top="177" w:right="639" w:bottom="1440" w:gutter="0" w:footer="0" w:header="0"/>
        </w:sectPr>
      </w:pPr>
    </w:p>
    <w:bookmarkStart w:id="131" w:name="page132"/>
    <w:bookmarkEnd w:id="131"/>
    <w:p>
      <w:pPr>
        <w:spacing w:after="0" w:line="270" w:lineRule="auto"/>
        <w:rPr>
          <w:sz w:val="20"/>
          <w:szCs w:val="20"/>
          <w:color w:val="auto"/>
        </w:rPr>
      </w:pPr>
      <w:r>
        <w:rPr>
          <w:rFonts w:ascii="Arial" w:cs="Arial" w:eastAsia="Arial" w:hAnsi="Arial"/>
          <w:sz w:val="18"/>
          <w:szCs w:val="18"/>
          <w:color w:val="auto"/>
        </w:rPr>
        <w:t>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22" w:lineRule="exact"/>
        <w:rPr>
          <w:sz w:val="20"/>
          <w:szCs w:val="20"/>
          <w:color w:val="auto"/>
        </w:rPr>
      </w:pPr>
    </w:p>
    <w:p>
      <w:pPr>
        <w:ind w:right="200" w:firstLine="1646"/>
        <w:spacing w:after="0" w:line="246" w:lineRule="auto"/>
        <w:rPr>
          <w:sz w:val="20"/>
          <w:szCs w:val="20"/>
          <w:color w:val="auto"/>
        </w:rPr>
      </w:pPr>
      <w:r>
        <w:rPr>
          <w:rFonts w:ascii="Arial" w:cs="Arial" w:eastAsia="Arial" w:hAnsi="Arial"/>
          <w:sz w:val="20"/>
          <w:szCs w:val="20"/>
          <w:color w:val="auto"/>
        </w:rPr>
        <w:t>b) 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16"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60" w:type="dxa"/>
            <w:vAlign w:val="bottom"/>
          </w:tcPr>
          <w:p>
            <w:pPr>
              <w:jc w:val="right"/>
              <w:ind w:right="161"/>
              <w:spacing w:after="0"/>
              <w:rPr>
                <w:sz w:val="20"/>
                <w:szCs w:val="20"/>
                <w:color w:val="auto"/>
              </w:rPr>
            </w:pPr>
            <w:r>
              <w:rPr>
                <w:rFonts w:ascii="Arial" w:cs="Arial" w:eastAsia="Arial" w:hAnsi="Arial"/>
                <w:sz w:val="20"/>
                <w:szCs w:val="20"/>
                <w:b w:val="1"/>
                <w:bCs w:val="1"/>
                <w:color w:val="auto"/>
                <w:w w:val="83"/>
              </w:rPr>
              <w:t>4.4.</w:t>
            </w:r>
          </w:p>
        </w:tc>
        <w:tc>
          <w:tcPr>
            <w:tcW w:w="8680" w:type="dxa"/>
            <w:vAlign w:val="bottom"/>
            <w:gridSpan w:val="2"/>
          </w:tcPr>
          <w:p>
            <w:pPr>
              <w:ind w:left="300"/>
              <w:spacing w:after="0"/>
              <w:rPr>
                <w:sz w:val="20"/>
                <w:szCs w:val="20"/>
                <w:color w:val="auto"/>
              </w:rPr>
            </w:pPr>
            <w:r>
              <w:rPr>
                <w:rFonts w:ascii="Arial" w:cs="Arial" w:eastAsia="Arial" w:hAnsi="Arial"/>
                <w:sz w:val="20"/>
                <w:szCs w:val="20"/>
                <w:b w:val="1"/>
                <w:bCs w:val="1"/>
                <w:color w:val="auto"/>
              </w:rPr>
              <w:t>Stock Awards</w:t>
            </w:r>
            <w:r>
              <w:rPr>
                <w:rFonts w:ascii="Arial" w:cs="Arial" w:eastAsia="Arial" w:hAnsi="Arial"/>
                <w:sz w:val="20"/>
                <w:szCs w:val="20"/>
                <w:color w:val="auto"/>
              </w:rPr>
              <w:t>. Upon a Covered Termination:</w:t>
            </w:r>
          </w:p>
        </w:tc>
      </w:tr>
      <w:tr>
        <w:trPr>
          <w:trHeight w:val="386"/>
        </w:trPr>
        <w:tc>
          <w:tcPr>
            <w:tcW w:w="56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Arial" w:cs="Arial" w:eastAsia="Arial" w:hAnsi="Arial"/>
                <w:sz w:val="20"/>
                <w:szCs w:val="20"/>
                <w:color w:val="auto"/>
              </w:rPr>
              <w:t>a)</w:t>
            </w:r>
          </w:p>
        </w:tc>
        <w:tc>
          <w:tcPr>
            <w:tcW w:w="7420" w:type="dxa"/>
            <w:vAlign w:val="bottom"/>
          </w:tcPr>
          <w:p>
            <w:pPr>
              <w:ind w:left="860"/>
              <w:spacing w:after="0"/>
              <w:rPr>
                <w:sz w:val="20"/>
                <w:szCs w:val="20"/>
                <w:color w:val="auto"/>
              </w:rPr>
            </w:pPr>
            <w:r>
              <w:rPr>
                <w:rFonts w:ascii="Arial" w:cs="Arial" w:eastAsia="Arial" w:hAnsi="Arial"/>
                <w:sz w:val="20"/>
                <w:szCs w:val="20"/>
                <w:color w:val="auto"/>
                <w:w w:val="89"/>
              </w:rPr>
              <w:t>the vesting and exercisability of all outstanding options to purchase the Company’s</w:t>
            </w:r>
          </w:p>
        </w:tc>
      </w:tr>
    </w:tbl>
    <w:p>
      <w:pPr>
        <w:ind w:right="120"/>
        <w:spacing w:after="0" w:line="255" w:lineRule="auto"/>
        <w:rPr>
          <w:sz w:val="20"/>
          <w:szCs w:val="20"/>
          <w:color w:val="auto"/>
        </w:rPr>
      </w:pPr>
      <w:r>
        <w:rPr>
          <w:rFonts w:ascii="Arial" w:cs="Arial" w:eastAsia="Arial" w:hAnsi="Arial"/>
          <w:sz w:val="19"/>
          <w:szCs w:val="19"/>
          <w:color w:val="auto"/>
        </w:rPr>
        <w:t>common 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19"/>
          <w:szCs w:val="19"/>
          <w:b w:val="1"/>
          <w:bCs w:val="1"/>
          <w:i w:val="1"/>
          <w:iCs w:val="1"/>
          <w:color w:val="auto"/>
        </w:rPr>
        <w:t>Option Shares</w:t>
      </w:r>
      <w:r>
        <w:rPr>
          <w:rFonts w:ascii="Arial" w:cs="Arial" w:eastAsia="Arial" w:hAnsi="Arial"/>
          <w:sz w:val="19"/>
          <w:szCs w:val="19"/>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15" w:lineRule="exact"/>
        <w:rPr>
          <w:sz w:val="20"/>
          <w:szCs w:val="20"/>
          <w:color w:val="auto"/>
        </w:rPr>
      </w:pPr>
    </w:p>
    <w:p>
      <w:pPr>
        <w:jc w:val="both"/>
        <w:ind w:right="160" w:firstLine="1661"/>
        <w:spacing w:after="0" w:line="257" w:lineRule="auto"/>
        <w:rPr>
          <w:sz w:val="20"/>
          <w:szCs w:val="20"/>
          <w:color w:val="auto"/>
        </w:rPr>
      </w:pPr>
      <w:r>
        <w:rPr>
          <w:rFonts w:ascii="Arial" w:cs="Arial" w:eastAsia="Arial" w:hAnsi="Arial"/>
          <w:sz w:val="19"/>
          <w:szCs w:val="19"/>
          <w:color w:val="auto"/>
        </w:rPr>
        <w:t>b) 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Shares</w:t>
      </w:r>
      <w:r>
        <w:rPr>
          <w:rFonts w:ascii="Arial" w:cs="Arial" w:eastAsia="Arial" w:hAnsi="Arial"/>
          <w:sz w:val="19"/>
          <w:szCs w:val="19"/>
          <w:color w:val="auto"/>
        </w:rPr>
        <w:t>”) held by the Executive as of the Termination Date shall lapse as to the number of Restricted Shares as equals the number of 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19" w:lineRule="exact"/>
        <w:rPr>
          <w:sz w:val="20"/>
          <w:szCs w:val="20"/>
          <w:color w:val="auto"/>
        </w:rPr>
      </w:pPr>
    </w:p>
    <w:p>
      <w:pPr>
        <w:ind w:right="140" w:firstLine="1668"/>
        <w:spacing w:after="0" w:line="249" w:lineRule="auto"/>
        <w:rPr>
          <w:sz w:val="20"/>
          <w:szCs w:val="20"/>
          <w:color w:val="auto"/>
        </w:rPr>
      </w:pPr>
      <w:r>
        <w:rPr>
          <w:rFonts w:ascii="Arial" w:cs="Arial" w:eastAsia="Arial" w:hAnsi="Arial"/>
          <w:sz w:val="20"/>
          <w:szCs w:val="20"/>
          <w:color w:val="auto"/>
        </w:rPr>
        <w:t>c) the time period that Executive has to exercise any outstanding options to purchase the Company’s common stock that are held by Executive on the Termination Date shall be extended for a period equal to the shorter of (A) twelve (12) months or (B) the remaining term of the outstanding option.</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440" w:top="177" w:right="6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56"/>
        </w:trPr>
        <w:tc>
          <w:tcPr>
            <w:tcW w:w="520" w:type="dxa"/>
            <w:vAlign w:val="bottom"/>
          </w:tcPr>
          <w:p>
            <w:pPr>
              <w:spacing w:after="0"/>
              <w:rPr>
                <w:sz w:val="22"/>
                <w:szCs w:val="22"/>
                <w:color w:val="auto"/>
              </w:rPr>
            </w:pPr>
          </w:p>
        </w:tc>
        <w:tc>
          <w:tcPr>
            <w:tcW w:w="9980" w:type="dxa"/>
            <w:vAlign w:val="bottom"/>
          </w:tcPr>
          <w:p>
            <w:pPr>
              <w:ind w:left="4460"/>
              <w:spacing w:after="0"/>
              <w:rPr>
                <w:sz w:val="20"/>
                <w:szCs w:val="20"/>
                <w:color w:val="auto"/>
              </w:rPr>
            </w:pPr>
            <w:r>
              <w:rPr>
                <w:rFonts w:ascii="Arial" w:cs="Arial" w:eastAsia="Arial" w:hAnsi="Arial"/>
                <w:sz w:val="20"/>
                <w:szCs w:val="20"/>
                <w:b w:val="1"/>
                <w:bCs w:val="1"/>
                <w:color w:val="auto"/>
              </w:rPr>
              <w:t>ARTICLE 5</w:t>
            </w:r>
          </w:p>
        </w:tc>
      </w:tr>
      <w:tr>
        <w:trPr>
          <w:trHeight w:val="391"/>
        </w:trPr>
        <w:tc>
          <w:tcPr>
            <w:tcW w:w="520" w:type="dxa"/>
            <w:vAlign w:val="bottom"/>
          </w:tcPr>
          <w:p>
            <w:pPr>
              <w:spacing w:after="0"/>
              <w:rPr>
                <w:sz w:val="24"/>
                <w:szCs w:val="24"/>
                <w:color w:val="auto"/>
              </w:rPr>
            </w:pPr>
          </w:p>
        </w:tc>
        <w:tc>
          <w:tcPr>
            <w:tcW w:w="9980" w:type="dxa"/>
            <w:vAlign w:val="bottom"/>
          </w:tcPr>
          <w:p>
            <w:pPr>
              <w:ind w:left="2720"/>
              <w:spacing w:after="0"/>
              <w:rPr>
                <w:sz w:val="20"/>
                <w:szCs w:val="20"/>
                <w:color w:val="auto"/>
              </w:rPr>
            </w:pPr>
            <w:r>
              <w:rPr>
                <w:rFonts w:ascii="Arial" w:cs="Arial" w:eastAsia="Arial" w:hAnsi="Arial"/>
                <w:sz w:val="20"/>
                <w:szCs w:val="20"/>
                <w:b w:val="1"/>
                <w:bCs w:val="1"/>
                <w:color w:val="auto"/>
              </w:rPr>
              <w:t>LIMITATIONS AND CONDITIONS ON BENEFITS</w:t>
            </w:r>
          </w:p>
        </w:tc>
      </w:tr>
      <w:tr>
        <w:trPr>
          <w:trHeight w:val="357"/>
        </w:trPr>
        <w:tc>
          <w:tcPr>
            <w:tcW w:w="520" w:type="dxa"/>
            <w:vAlign w:val="bottom"/>
          </w:tcPr>
          <w:p>
            <w:pPr>
              <w:jc w:val="right"/>
              <w:ind w:right="121"/>
              <w:spacing w:after="0"/>
              <w:rPr>
                <w:sz w:val="20"/>
                <w:szCs w:val="20"/>
                <w:color w:val="auto"/>
              </w:rPr>
            </w:pPr>
            <w:r>
              <w:rPr>
                <w:rFonts w:ascii="Arial" w:cs="Arial" w:eastAsia="Arial" w:hAnsi="Arial"/>
                <w:sz w:val="20"/>
                <w:szCs w:val="20"/>
                <w:b w:val="1"/>
                <w:bCs w:val="1"/>
                <w:color w:val="auto"/>
                <w:w w:val="83"/>
              </w:rPr>
              <w:t>5.1.</w:t>
            </w:r>
          </w:p>
        </w:tc>
        <w:tc>
          <w:tcPr>
            <w:tcW w:w="9980" w:type="dxa"/>
            <w:vAlign w:val="bottom"/>
          </w:tcPr>
          <w:p>
            <w:pPr>
              <w:ind w:left="1020"/>
              <w:spacing w:after="0"/>
              <w:rPr>
                <w:sz w:val="20"/>
                <w:szCs w:val="20"/>
                <w:color w:val="auto"/>
              </w:rPr>
            </w:pPr>
            <w:r>
              <w:rPr>
                <w:rFonts w:ascii="Arial" w:cs="Arial" w:eastAsia="Arial" w:hAnsi="Arial"/>
                <w:sz w:val="20"/>
                <w:szCs w:val="20"/>
                <w:b w:val="1"/>
                <w:bCs w:val="1"/>
                <w:color w:val="auto"/>
                <w:w w:val="90"/>
              </w:rPr>
              <w:t>Rights Conditioned on Compliance</w:t>
            </w:r>
            <w:r>
              <w:rPr>
                <w:rFonts w:ascii="Arial" w:cs="Arial" w:eastAsia="Arial" w:hAnsi="Arial"/>
                <w:sz w:val="20"/>
                <w:szCs w:val="20"/>
                <w:color w:val="auto"/>
                <w:w w:val="90"/>
              </w:rPr>
              <w:t>. Executive’s rights to receive all severance benefits described in Article 3</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5"/>
              </w:rPr>
              <w:t>and Article 4 shall be conditioned upon and subject to Executive’s compliance with the limitations and conditions on</w:t>
            </w:r>
          </w:p>
        </w:tc>
      </w:tr>
      <w:tr>
        <w:trPr>
          <w:trHeight w:val="250"/>
        </w:trPr>
        <w:tc>
          <w:tcPr>
            <w:tcW w:w="520" w:type="dxa"/>
            <w:vAlign w:val="bottom"/>
          </w:tcPr>
          <w:p>
            <w:pPr>
              <w:spacing w:after="0"/>
              <w:rPr>
                <w:sz w:val="21"/>
                <w:szCs w:val="21"/>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rPr>
              <w:t>benefits as described in this Article 5.</w:t>
            </w:r>
          </w:p>
        </w:tc>
      </w:tr>
      <w:tr>
        <w:trPr>
          <w:trHeight w:val="370"/>
        </w:trPr>
        <w:tc>
          <w:tcPr>
            <w:tcW w:w="520" w:type="dxa"/>
            <w:vAlign w:val="bottom"/>
          </w:tcPr>
          <w:p>
            <w:pPr>
              <w:jc w:val="right"/>
              <w:ind w:right="121"/>
              <w:spacing w:after="0"/>
              <w:rPr>
                <w:sz w:val="20"/>
                <w:szCs w:val="20"/>
                <w:color w:val="auto"/>
              </w:rPr>
            </w:pPr>
            <w:r>
              <w:rPr>
                <w:rFonts w:ascii="Arial" w:cs="Arial" w:eastAsia="Arial" w:hAnsi="Arial"/>
                <w:sz w:val="20"/>
                <w:szCs w:val="20"/>
                <w:b w:val="1"/>
                <w:bCs w:val="1"/>
                <w:color w:val="auto"/>
                <w:w w:val="83"/>
              </w:rPr>
              <w:t>5.2.</w:t>
            </w:r>
          </w:p>
        </w:tc>
        <w:tc>
          <w:tcPr>
            <w:tcW w:w="9980" w:type="dxa"/>
            <w:vAlign w:val="bottom"/>
          </w:tcPr>
          <w:p>
            <w:pPr>
              <w:ind w:left="900"/>
              <w:spacing w:after="0"/>
              <w:rPr>
                <w:sz w:val="20"/>
                <w:szCs w:val="20"/>
                <w:color w:val="auto"/>
              </w:rPr>
            </w:pPr>
            <w:r>
              <w:rPr>
                <w:rFonts w:ascii="Arial" w:cs="Arial" w:eastAsia="Arial" w:hAnsi="Arial"/>
                <w:sz w:val="20"/>
                <w:szCs w:val="20"/>
                <w:b w:val="1"/>
                <w:bCs w:val="1"/>
                <w:color w:val="auto"/>
              </w:rPr>
              <w:t>Continuation of Service Until Date of Termination</w:t>
            </w:r>
            <w:r>
              <w:rPr>
                <w:rFonts w:ascii="Arial" w:cs="Arial" w:eastAsia="Arial" w:hAnsi="Arial"/>
                <w:sz w:val="20"/>
                <w:szCs w:val="20"/>
                <w:color w:val="auto"/>
              </w:rPr>
              <w:t>. Executive shall continue to provide service to</w:t>
            </w:r>
          </w:p>
        </w:tc>
      </w:tr>
      <w:tr>
        <w:trPr>
          <w:trHeight w:val="229"/>
        </w:trPr>
        <w:tc>
          <w:tcPr>
            <w:tcW w:w="520" w:type="dxa"/>
            <w:vAlign w:val="bottom"/>
          </w:tcPr>
          <w:p>
            <w:pPr>
              <w:spacing w:after="0"/>
              <w:rPr>
                <w:sz w:val="19"/>
                <w:szCs w:val="19"/>
                <w:color w:val="auto"/>
              </w:rPr>
            </w:pPr>
          </w:p>
        </w:tc>
        <w:tc>
          <w:tcPr>
            <w:tcW w:w="9980" w:type="dxa"/>
            <w:vAlign w:val="bottom"/>
          </w:tcPr>
          <w:p>
            <w:pPr>
              <w:ind w:left="220"/>
              <w:spacing w:after="0"/>
              <w:rPr>
                <w:sz w:val="20"/>
                <w:szCs w:val="20"/>
                <w:color w:val="auto"/>
              </w:rPr>
            </w:pPr>
            <w:r>
              <w:rPr>
                <w:rFonts w:ascii="Arial" w:cs="Arial" w:eastAsia="Arial" w:hAnsi="Arial"/>
                <w:sz w:val="20"/>
                <w:szCs w:val="20"/>
                <w:color w:val="auto"/>
                <w:w w:val="99"/>
              </w:rPr>
              <w:t>the Company in good faith until the Termination Date, unless such performance is otherwise excused in writing</w:t>
            </w:r>
          </w:p>
        </w:tc>
      </w:tr>
      <w:tr>
        <w:trPr>
          <w:trHeight w:val="250"/>
        </w:trPr>
        <w:tc>
          <w:tcPr>
            <w:tcW w:w="520" w:type="dxa"/>
            <w:vAlign w:val="bottom"/>
          </w:tcPr>
          <w:p>
            <w:pPr>
              <w:spacing w:after="0"/>
              <w:rPr>
                <w:sz w:val="21"/>
                <w:szCs w:val="21"/>
                <w:color w:val="auto"/>
              </w:rPr>
            </w:pPr>
          </w:p>
        </w:tc>
        <w:tc>
          <w:tcPr>
            <w:tcW w:w="9980" w:type="dxa"/>
            <w:vAlign w:val="bottom"/>
          </w:tcPr>
          <w:p>
            <w:pPr>
              <w:ind w:left="220"/>
              <w:spacing w:after="0"/>
              <w:rPr>
                <w:sz w:val="20"/>
                <w:szCs w:val="20"/>
                <w:color w:val="auto"/>
              </w:rPr>
            </w:pPr>
            <w:r>
              <w:rPr>
                <w:rFonts w:ascii="Arial" w:cs="Arial" w:eastAsia="Arial" w:hAnsi="Arial"/>
                <w:sz w:val="20"/>
                <w:szCs w:val="20"/>
                <w:color w:val="auto"/>
              </w:rPr>
              <w:t>by the Company.</w:t>
            </w:r>
          </w:p>
        </w:tc>
      </w:tr>
      <w:tr>
        <w:trPr>
          <w:trHeight w:val="357"/>
        </w:trPr>
        <w:tc>
          <w:tcPr>
            <w:tcW w:w="520" w:type="dxa"/>
            <w:vAlign w:val="bottom"/>
          </w:tcPr>
          <w:p>
            <w:pPr>
              <w:jc w:val="right"/>
              <w:ind w:right="121"/>
              <w:spacing w:after="0"/>
              <w:rPr>
                <w:sz w:val="20"/>
                <w:szCs w:val="20"/>
                <w:color w:val="auto"/>
              </w:rPr>
            </w:pPr>
            <w:r>
              <w:rPr>
                <w:rFonts w:ascii="Arial" w:cs="Arial" w:eastAsia="Arial" w:hAnsi="Arial"/>
                <w:sz w:val="20"/>
                <w:szCs w:val="20"/>
                <w:b w:val="1"/>
                <w:bCs w:val="1"/>
                <w:color w:val="auto"/>
                <w:w w:val="83"/>
              </w:rPr>
              <w:t>5.3.</w:t>
            </w:r>
          </w:p>
        </w:tc>
        <w:tc>
          <w:tcPr>
            <w:tcW w:w="9980" w:type="dxa"/>
            <w:vAlign w:val="bottom"/>
          </w:tcPr>
          <w:p>
            <w:pPr>
              <w:ind w:left="1020"/>
              <w:spacing w:after="0"/>
              <w:rPr>
                <w:sz w:val="20"/>
                <w:szCs w:val="20"/>
                <w:color w:val="auto"/>
              </w:rPr>
            </w:pPr>
            <w:r>
              <w:rPr>
                <w:rFonts w:ascii="Arial" w:cs="Arial" w:eastAsia="Arial" w:hAnsi="Arial"/>
                <w:sz w:val="20"/>
                <w:szCs w:val="20"/>
                <w:b w:val="1"/>
                <w:bCs w:val="1"/>
                <w:color w:val="auto"/>
                <w:w w:val="90"/>
              </w:rPr>
              <w:t>Release Prior to Payment of Benefits</w:t>
            </w:r>
            <w:r>
              <w:rPr>
                <w:rFonts w:ascii="Arial" w:cs="Arial" w:eastAsia="Arial" w:hAnsi="Arial"/>
                <w:sz w:val="20"/>
                <w:szCs w:val="20"/>
                <w:color w:val="auto"/>
                <w:w w:val="90"/>
              </w:rPr>
              <w:t>. Upon the occurrence of a Change in Control Termination or a Covered</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1"/>
              </w:rPr>
              <w:t>Termination, as applicable, and prior to Executive earning any entitlement to any severance or separation benefits under</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0"/>
              </w:rPr>
              <w:t>this Agreement on account of such Change in Control Termination or Covered Termination, as applicable, Executive must</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1"/>
              </w:rPr>
              <w:t>execute the appropriate Release, and such Release must become effective in accordance with its terms, but in no event</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0"/>
              </w:rPr>
              <w:t>later than the Release Deadline Date. No amount shall be paid prior to such date. Instead, on the first regularly-scheduled</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0"/>
              </w:rPr>
              <w:t>payroll date occurring on or after the Release Deadline Date, the Company will pay Executive the severance amount that</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0"/>
              </w:rPr>
              <w:t>Executive would otherwise have received on or prior to such date but for the delay in payment related to the effectiveness</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1"/>
              </w:rPr>
              <w:t>of the Release, with the balance of the severance amount being paid as originally scheduled. The Company may modify</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2"/>
              </w:rPr>
              <w:t>the Release in its discretion to comply with changes in applicable law at any time prior to Executive’s execution of such</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4"/>
              </w:rPr>
              <w:t>Release. Such Release shall specifically relate to all of Executive’s rights and claims in existence at the time of such</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5"/>
              </w:rPr>
              <w:t>execution and shall confirm Executive’s obligations under the Confidentiality Agreement and any similar obligations</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4"/>
              </w:rPr>
              <w:t>under applicable law. It is understood that, as specified in the applicable Release, Executive has a certain number of</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89"/>
              </w:rPr>
              <w:t>calendar days to consider whether to execute such Release. If Executive does not execute and deliver such Release within</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0"/>
              </w:rPr>
              <w:t>the applicable period, no benefits shall be provided or payable under this Agreement, and Executive shall have no further</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89"/>
              </w:rPr>
              <w:t>rights, title or interests in or to any severance benefits or payments pursuant to this Agreement. It is further understood that</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2"/>
              </w:rPr>
              <w:t>if Executive is age 40 or older at the time of a Change in Control Termination or a Covered Termination, as applicable,</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0"/>
              </w:rPr>
              <w:t>Executive may revoke the applicable Release within seven (7) calendar days after its execution by Executive. If Executive</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1"/>
              </w:rPr>
              <w:t>revokes such Release within such subsequent seven (7) day period, no benefits shall be provided or payable under this</w:t>
            </w:r>
          </w:p>
        </w:tc>
      </w:tr>
      <w:tr>
        <w:trPr>
          <w:trHeight w:val="250"/>
        </w:trPr>
        <w:tc>
          <w:tcPr>
            <w:tcW w:w="520" w:type="dxa"/>
            <w:vAlign w:val="bottom"/>
          </w:tcPr>
          <w:p>
            <w:pPr>
              <w:spacing w:after="0"/>
              <w:rPr>
                <w:sz w:val="21"/>
                <w:szCs w:val="21"/>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rPr>
              <w:t>Agreement pursuant to such Change in Control Termination or Covered Termination, as applicable.</w:t>
            </w:r>
          </w:p>
        </w:tc>
      </w:tr>
      <w:tr>
        <w:trPr>
          <w:trHeight w:val="370"/>
        </w:trPr>
        <w:tc>
          <w:tcPr>
            <w:tcW w:w="520" w:type="dxa"/>
            <w:vAlign w:val="bottom"/>
          </w:tcPr>
          <w:p>
            <w:pPr>
              <w:jc w:val="right"/>
              <w:ind w:right="121"/>
              <w:spacing w:after="0"/>
              <w:rPr>
                <w:sz w:val="20"/>
                <w:szCs w:val="20"/>
                <w:color w:val="auto"/>
              </w:rPr>
            </w:pPr>
            <w:r>
              <w:rPr>
                <w:rFonts w:ascii="Arial" w:cs="Arial" w:eastAsia="Arial" w:hAnsi="Arial"/>
                <w:sz w:val="20"/>
                <w:szCs w:val="20"/>
                <w:b w:val="1"/>
                <w:bCs w:val="1"/>
                <w:color w:val="auto"/>
                <w:w w:val="83"/>
              </w:rPr>
              <w:t>5.4.</w:t>
            </w:r>
          </w:p>
        </w:tc>
        <w:tc>
          <w:tcPr>
            <w:tcW w:w="9980" w:type="dxa"/>
            <w:vAlign w:val="bottom"/>
          </w:tcPr>
          <w:p>
            <w:pPr>
              <w:ind w:left="1020"/>
              <w:spacing w:after="0"/>
              <w:rPr>
                <w:sz w:val="20"/>
                <w:szCs w:val="20"/>
                <w:color w:val="auto"/>
              </w:rPr>
            </w:pPr>
            <w:r>
              <w:rPr>
                <w:rFonts w:ascii="Arial" w:cs="Arial" w:eastAsia="Arial" w:hAnsi="Arial"/>
                <w:sz w:val="20"/>
                <w:szCs w:val="20"/>
                <w:b w:val="1"/>
                <w:bCs w:val="1"/>
                <w:color w:val="auto"/>
                <w:w w:val="92"/>
              </w:rPr>
              <w:t>Return of Company Property</w:t>
            </w:r>
            <w:r>
              <w:rPr>
                <w:rFonts w:ascii="Arial" w:cs="Arial" w:eastAsia="Arial" w:hAnsi="Arial"/>
                <w:sz w:val="20"/>
                <w:szCs w:val="20"/>
                <w:color w:val="auto"/>
                <w:w w:val="92"/>
              </w:rPr>
              <w:t>. Not later than the Termination Date, Executive shall return to the Company all</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7"/>
              </w:rPr>
              <w:t>documents (and all copies thereof) and other property belonging to the Company that Executive has in his or her</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89"/>
              </w:rPr>
              <w:t>possession or control. The documents and property to be returned include, but are not limited to, all files, correspondence,</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89"/>
              </w:rPr>
              <w:t>email, memoranda, notes, notebooks, records, plans, forecasts, reports, studies, analyses, compilations of data, proposals,</w:t>
            </w:r>
          </w:p>
        </w:tc>
      </w:tr>
      <w:tr>
        <w:trPr>
          <w:trHeight w:val="229"/>
        </w:trPr>
        <w:tc>
          <w:tcPr>
            <w:tcW w:w="520" w:type="dxa"/>
            <w:vAlign w:val="bottom"/>
          </w:tcPr>
          <w:p>
            <w:pPr>
              <w:spacing w:after="0"/>
              <w:rPr>
                <w:sz w:val="19"/>
                <w:szCs w:val="19"/>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7"/>
              </w:rPr>
              <w:t>agreements, financial information, research and development information, marketing information, operational and</w:t>
            </w:r>
          </w:p>
        </w:tc>
      </w:tr>
      <w:tr>
        <w:trPr>
          <w:trHeight w:val="245"/>
        </w:trPr>
        <w:tc>
          <w:tcPr>
            <w:tcW w:w="520" w:type="dxa"/>
            <w:vAlign w:val="bottom"/>
          </w:tcPr>
          <w:p>
            <w:pPr>
              <w:spacing w:after="0"/>
              <w:rPr>
                <w:sz w:val="21"/>
                <w:szCs w:val="21"/>
                <w:color w:val="auto"/>
              </w:rPr>
            </w:pPr>
          </w:p>
        </w:tc>
        <w:tc>
          <w:tcPr>
            <w:tcW w:w="9980" w:type="dxa"/>
            <w:vAlign w:val="bottom"/>
          </w:tcPr>
          <w:p>
            <w:pPr>
              <w:ind w:left="260"/>
              <w:spacing w:after="0"/>
              <w:rPr>
                <w:sz w:val="20"/>
                <w:szCs w:val="20"/>
                <w:color w:val="auto"/>
              </w:rPr>
            </w:pPr>
            <w:r>
              <w:rPr>
                <w:rFonts w:ascii="Arial" w:cs="Arial" w:eastAsia="Arial" w:hAnsi="Arial"/>
                <w:sz w:val="20"/>
                <w:szCs w:val="20"/>
                <w:color w:val="auto"/>
                <w:w w:val="93"/>
              </w:rPr>
              <w:t>personnel information, databases, computer-recorded information, tangible property and equipment (including, but not</w:t>
            </w:r>
          </w:p>
        </w:tc>
      </w:tr>
    </w:tbl>
    <w:p>
      <w:pPr>
        <w:ind w:left="780" w:right="40"/>
        <w:spacing w:after="0" w:line="254" w:lineRule="auto"/>
        <w:rPr>
          <w:sz w:val="20"/>
          <w:szCs w:val="20"/>
          <w:color w:val="auto"/>
        </w:rPr>
      </w:pPr>
      <w:r>
        <w:rPr>
          <w:rFonts w:ascii="Arial" w:cs="Arial" w:eastAsia="Arial" w:hAnsi="Arial"/>
          <w:sz w:val="19"/>
          <w:szCs w:val="19"/>
          <w:color w:val="auto"/>
        </w:rPr>
        <w:t>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 useable copy of all such information</w:t>
      </w:r>
    </w:p>
    <w:p>
      <w:pPr>
        <w:spacing w:after="0" w:line="18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215900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00"/>
          </w:cols>
          <w:pgMar w:left="380" w:top="278" w:right="1019" w:bottom="1440" w:gutter="0" w:footer="0" w:header="0"/>
        </w:sectPr>
      </w:pPr>
    </w:p>
    <w:bookmarkStart w:id="133" w:name="page134"/>
    <w:bookmarkEnd w:id="133"/>
    <w:p>
      <w:pPr>
        <w:ind w:left="720" w:right="540" w:firstLine="752"/>
        <w:spacing w:after="0" w:line="250" w:lineRule="auto"/>
        <w:rPr>
          <w:sz w:val="20"/>
          <w:szCs w:val="20"/>
          <w:color w:val="auto"/>
        </w:rPr>
      </w:pPr>
      <w:r>
        <w:rPr>
          <w:rFonts w:ascii="Arial" w:cs="Arial" w:eastAsia="Arial" w:hAnsi="Arial"/>
          <w:sz w:val="20"/>
          <w:szCs w:val="20"/>
          <w:color w:val="auto"/>
        </w:rPr>
        <w:t>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126"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154" w:lineRule="exact"/>
        <w:rPr>
          <w:sz w:val="20"/>
          <w:szCs w:val="20"/>
          <w:color w:val="auto"/>
        </w:rPr>
      </w:pPr>
    </w:p>
    <w:p>
      <w:pPr>
        <w:ind w:firstLine="1661"/>
        <w:spacing w:after="0" w:line="254" w:lineRule="auto"/>
        <w:rPr>
          <w:sz w:val="20"/>
          <w:szCs w:val="20"/>
          <w:color w:val="auto"/>
        </w:rPr>
      </w:pPr>
      <w:r>
        <w:rPr>
          <w:rFonts w:ascii="Arial" w:cs="Arial" w:eastAsia="Arial" w:hAnsi="Arial"/>
          <w:sz w:val="19"/>
          <w:szCs w:val="19"/>
          <w:color w:val="auto"/>
        </w:rPr>
        <w:t>a) 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36" w:lineRule="exact"/>
        <w:rPr>
          <w:sz w:val="20"/>
          <w:szCs w:val="20"/>
          <w:color w:val="auto"/>
        </w:rPr>
      </w:pPr>
    </w:p>
    <w:p>
      <w:pPr>
        <w:ind w:right="180" w:firstLine="1639"/>
        <w:spacing w:after="0" w:line="249" w:lineRule="auto"/>
        <w:rPr>
          <w:sz w:val="20"/>
          <w:szCs w:val="20"/>
          <w:color w:val="auto"/>
        </w:rPr>
      </w:pPr>
      <w:r>
        <w:rPr>
          <w:rFonts w:ascii="Arial" w:cs="Arial" w:eastAsia="Arial" w:hAnsi="Arial"/>
          <w:sz w:val="20"/>
          <w:szCs w:val="20"/>
          <w:color w:val="auto"/>
        </w:rPr>
        <w:t>b) From and after the Termination Date, Executive shall continue to abide by all of the terms and provisions of the Confidentiality Agreement (and any other comparable agreement signed by Executive), in accordance with its terms.</w:t>
      </w:r>
    </w:p>
    <w:p>
      <w:pPr>
        <w:spacing w:after="0" w:line="134" w:lineRule="exact"/>
        <w:rPr>
          <w:sz w:val="20"/>
          <w:szCs w:val="20"/>
          <w:color w:val="auto"/>
        </w:rPr>
      </w:pPr>
    </w:p>
    <w:p>
      <w:pPr>
        <w:ind w:right="120" w:firstLine="1639"/>
        <w:spacing w:after="0" w:line="246" w:lineRule="auto"/>
        <w:rPr>
          <w:sz w:val="20"/>
          <w:szCs w:val="20"/>
          <w:color w:val="auto"/>
        </w:rPr>
      </w:pPr>
      <w:r>
        <w:rPr>
          <w:rFonts w:ascii="Arial" w:cs="Arial" w:eastAsia="Arial" w:hAnsi="Arial"/>
          <w:sz w:val="20"/>
          <w:szCs w:val="20"/>
          <w:color w:val="auto"/>
        </w:rPr>
        <w:t>c) Executive agrees that the choice of law and choice of forum provisions in Section 10.10 of the Confidentiality Agreement shall be amended to conform to the choice of law and choice of forum provisions in Section 8.11 of this Agreement. No other terms of the Confidentiality Agreement are amended by this Agreement, and the Confidentiality Agreement remains in full force and effect.</w:t>
      </w:r>
    </w:p>
    <w:p>
      <w:pPr>
        <w:spacing w:after="0" w:line="109" w:lineRule="exact"/>
        <w:rPr>
          <w:sz w:val="20"/>
          <w:szCs w:val="20"/>
          <w:color w:val="auto"/>
        </w:rPr>
      </w:pPr>
    </w:p>
    <w:p>
      <w:pPr>
        <w:ind w:right="80" w:firstLine="1665"/>
        <w:spacing w:after="0" w:line="256" w:lineRule="auto"/>
        <w:rPr>
          <w:sz w:val="20"/>
          <w:szCs w:val="20"/>
          <w:color w:val="auto"/>
        </w:rPr>
      </w:pPr>
      <w:r>
        <w:rPr>
          <w:rFonts w:ascii="Arial" w:cs="Arial" w:eastAsia="Arial" w:hAnsi="Arial"/>
          <w:sz w:val="19"/>
          <w:szCs w:val="19"/>
          <w:color w:val="auto"/>
        </w:rPr>
        <w:t>d) Executive acknowledges and agrees that Executive’s obligations under this Section 5.5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07"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560" w:type="dxa"/>
            <w:vAlign w:val="bottom"/>
          </w:tcPr>
          <w:p>
            <w:pPr>
              <w:jc w:val="right"/>
              <w:ind w:right="161"/>
              <w:spacing w:after="0"/>
              <w:rPr>
                <w:sz w:val="20"/>
                <w:szCs w:val="20"/>
                <w:color w:val="auto"/>
              </w:rPr>
            </w:pPr>
            <w:r>
              <w:rPr>
                <w:rFonts w:ascii="Arial" w:cs="Arial" w:eastAsia="Arial" w:hAnsi="Arial"/>
                <w:sz w:val="20"/>
                <w:szCs w:val="20"/>
                <w:b w:val="1"/>
                <w:bCs w:val="1"/>
                <w:color w:val="auto"/>
                <w:w w:val="83"/>
              </w:rPr>
              <w:t>5.6.</w:t>
            </w:r>
          </w:p>
        </w:tc>
        <w:tc>
          <w:tcPr>
            <w:tcW w:w="2260" w:type="dxa"/>
            <w:vAlign w:val="bottom"/>
          </w:tcPr>
          <w:p>
            <w:pPr>
              <w:ind w:left="300"/>
              <w:spacing w:after="0"/>
              <w:rPr>
                <w:sz w:val="20"/>
                <w:szCs w:val="20"/>
                <w:color w:val="auto"/>
              </w:rPr>
            </w:pPr>
            <w:r>
              <w:rPr>
                <w:rFonts w:ascii="Arial" w:cs="Arial" w:eastAsia="Arial" w:hAnsi="Arial"/>
                <w:sz w:val="20"/>
                <w:szCs w:val="20"/>
                <w:b w:val="1"/>
                <w:bCs w:val="1"/>
                <w:color w:val="auto"/>
                <w:w w:val="95"/>
              </w:rPr>
              <w:t>Parachute Payments</w:t>
            </w:r>
            <w:r>
              <w:rPr>
                <w:rFonts w:ascii="Arial" w:cs="Arial" w:eastAsia="Arial" w:hAnsi="Arial"/>
                <w:sz w:val="20"/>
                <w:szCs w:val="20"/>
                <w:color w:val="auto"/>
                <w:w w:val="95"/>
              </w:rPr>
              <w:t>.</w:t>
            </w:r>
          </w:p>
        </w:tc>
        <w:tc>
          <w:tcPr>
            <w:tcW w:w="6880" w:type="dxa"/>
            <w:vAlign w:val="bottom"/>
          </w:tcPr>
          <w:p>
            <w:pPr>
              <w:spacing w:after="0"/>
              <w:rPr>
                <w:sz w:val="22"/>
                <w:szCs w:val="22"/>
                <w:color w:val="auto"/>
              </w:rPr>
            </w:pPr>
          </w:p>
        </w:tc>
      </w:tr>
      <w:tr>
        <w:trPr>
          <w:trHeight w:val="386"/>
        </w:trPr>
        <w:tc>
          <w:tcPr>
            <w:tcW w:w="560" w:type="dxa"/>
            <w:vAlign w:val="bottom"/>
          </w:tcPr>
          <w:p>
            <w:pPr>
              <w:spacing w:after="0"/>
              <w:rPr>
                <w:sz w:val="24"/>
                <w:szCs w:val="24"/>
                <w:color w:val="auto"/>
              </w:rPr>
            </w:pPr>
          </w:p>
        </w:tc>
        <w:tc>
          <w:tcPr>
            <w:tcW w:w="2260" w:type="dxa"/>
            <w:vAlign w:val="bottom"/>
          </w:tcPr>
          <w:p>
            <w:pPr>
              <w:ind w:left="240"/>
              <w:spacing w:after="0"/>
              <w:rPr>
                <w:sz w:val="20"/>
                <w:szCs w:val="20"/>
                <w:color w:val="auto"/>
              </w:rPr>
            </w:pPr>
            <w:r>
              <w:rPr>
                <w:rFonts w:ascii="Arial" w:cs="Arial" w:eastAsia="Arial" w:hAnsi="Arial"/>
                <w:sz w:val="20"/>
                <w:szCs w:val="20"/>
                <w:color w:val="auto"/>
              </w:rPr>
              <w:t>a)</w:t>
            </w:r>
          </w:p>
        </w:tc>
        <w:tc>
          <w:tcPr>
            <w:tcW w:w="6880" w:type="dxa"/>
            <w:vAlign w:val="bottom"/>
          </w:tcPr>
          <w:p>
            <w:pPr>
              <w:ind w:left="160"/>
              <w:spacing w:after="0"/>
              <w:rPr>
                <w:sz w:val="20"/>
                <w:szCs w:val="20"/>
                <w:color w:val="auto"/>
              </w:rPr>
            </w:pPr>
            <w:r>
              <w:rPr>
                <w:rFonts w:ascii="Arial" w:cs="Arial" w:eastAsia="Arial" w:hAnsi="Arial"/>
                <w:sz w:val="20"/>
                <w:szCs w:val="20"/>
                <w:b w:val="1"/>
                <w:bCs w:val="1"/>
                <w:color w:val="auto"/>
                <w:w w:val="90"/>
              </w:rPr>
              <w:t>Parachute Payment Limitation</w:t>
            </w:r>
            <w:r>
              <w:rPr>
                <w:rFonts w:ascii="Arial" w:cs="Arial" w:eastAsia="Arial" w:hAnsi="Arial"/>
                <w:sz w:val="20"/>
                <w:szCs w:val="20"/>
                <w:color w:val="auto"/>
                <w:w w:val="90"/>
              </w:rPr>
              <w:t>. If any payment or benefit (including payments and</w:t>
            </w:r>
          </w:p>
        </w:tc>
      </w:tr>
    </w:tbl>
    <w:p>
      <w:pPr>
        <w:ind w:right="160"/>
        <w:spacing w:after="0" w:line="241" w:lineRule="auto"/>
        <w:rPr>
          <w:sz w:val="20"/>
          <w:szCs w:val="20"/>
          <w:color w:val="auto"/>
        </w:rPr>
      </w:pPr>
      <w:r>
        <w:rPr>
          <w:rFonts w:ascii="Arial" w:cs="Arial" w:eastAsia="Arial" w:hAnsi="Arial"/>
          <w:sz w:val="20"/>
          <w:szCs w:val="20"/>
          <w:color w:val="auto"/>
        </w:rPr>
        <w:t>benefits pursuant to this Agreement) Executive would receive in connection with a Change in Control from the Company or otherwise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 Section 280G of the Code, and (ii) but for this paragraph, be subject</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440" w:top="122" w:right="679" w:bottom="1440" w:gutter="0" w:footer="0" w:header="0"/>
        </w:sectPr>
      </w:pPr>
    </w:p>
    <w:bookmarkStart w:id="134" w:name="page135"/>
    <w:bookmarkEnd w:id="134"/>
    <w:p>
      <w:pPr>
        <w:spacing w:after="0" w:line="254" w:lineRule="auto"/>
        <w:rPr>
          <w:sz w:val="20"/>
          <w:szCs w:val="20"/>
          <w:color w:val="auto"/>
        </w:rPr>
      </w:pPr>
      <w:r>
        <w:rPr>
          <w:rFonts w:ascii="Arial" w:cs="Arial" w:eastAsia="Arial" w:hAnsi="Arial"/>
          <w:sz w:val="19"/>
          <w:szCs w:val="19"/>
          <w:color w:val="auto"/>
        </w:rPr>
        <w:t>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(B) payment of only a part of the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38" w:lineRule="exact"/>
        <w:rPr>
          <w:sz w:val="20"/>
          <w:szCs w:val="20"/>
          <w:color w:val="auto"/>
        </w:rPr>
      </w:pPr>
    </w:p>
    <w:p>
      <w:pPr>
        <w:ind w:firstLine="1668"/>
        <w:spacing w:after="0" w:line="275" w:lineRule="auto"/>
        <w:rPr>
          <w:sz w:val="20"/>
          <w:szCs w:val="20"/>
          <w:color w:val="auto"/>
        </w:rPr>
      </w:pPr>
      <w:r>
        <w:rPr>
          <w:rFonts w:ascii="Arial" w:cs="Arial" w:eastAsia="Arial" w:hAnsi="Arial"/>
          <w:sz w:val="18"/>
          <w:szCs w:val="18"/>
          <w:color w:val="auto"/>
        </w:rPr>
        <w:t>b) 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14" w:lineRule="exact"/>
        <w:rPr>
          <w:sz w:val="20"/>
          <w:szCs w:val="20"/>
          <w:color w:val="auto"/>
        </w:rPr>
      </w:pPr>
    </w:p>
    <w:p>
      <w:pPr>
        <w:ind w:right="80" w:firstLine="1653"/>
        <w:spacing w:after="0" w:line="260" w:lineRule="auto"/>
        <w:rPr>
          <w:sz w:val="20"/>
          <w:szCs w:val="20"/>
          <w:color w:val="auto"/>
        </w:rPr>
      </w:pPr>
      <w:r>
        <w:rPr>
          <w:rFonts w:ascii="Arial" w:cs="Arial" w:eastAsia="Arial" w:hAnsi="Arial"/>
          <w:sz w:val="19"/>
          <w:szCs w:val="19"/>
          <w:color w:val="auto"/>
        </w:rPr>
        <w:t>c) The independent registered public accounting firm engaged to make the determinations hereunder shall provide its calculations, together with detailed supporting documentation, to the Company and Executive within fifteen</w:t>
      </w:r>
    </w:p>
    <w:p>
      <w:pPr>
        <w:spacing w:after="0" w:line="1" w:lineRule="exact"/>
        <w:rPr>
          <w:sz w:val="20"/>
          <w:szCs w:val="20"/>
          <w:color w:val="auto"/>
        </w:rPr>
      </w:pPr>
    </w:p>
    <w:p>
      <w:pPr>
        <w:ind w:right="160" w:firstLine="8"/>
        <w:spacing w:after="0"/>
        <w:tabs>
          <w:tab w:leader="none" w:pos="379" w:val="left"/>
        </w:tabs>
        <w:numPr>
          <w:ilvl w:val="0"/>
          <w:numId w:val="71"/>
        </w:numPr>
        <w:rPr>
          <w:rFonts w:ascii="Arial" w:cs="Arial" w:eastAsia="Arial" w:hAnsi="Arial"/>
          <w:sz w:val="20"/>
          <w:szCs w:val="20"/>
          <w:color w:val="auto"/>
        </w:rPr>
      </w:pPr>
      <w:r>
        <w:rPr>
          <w:rFonts w:ascii="Arial" w:cs="Arial" w:eastAsia="Arial" w:hAnsi="Arial"/>
          <w:sz w:val="20"/>
          <w:szCs w:val="20"/>
          <w:color w:val="auto"/>
        </w:rPr>
        <w:t>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22" w:lineRule="exact"/>
        <w:rPr>
          <w:sz w:val="20"/>
          <w:szCs w:val="20"/>
          <w:color w:val="auto"/>
        </w:rPr>
      </w:pPr>
    </w:p>
    <w:p>
      <w:pPr>
        <w:ind w:left="720" w:right="660" w:hanging="758"/>
        <w:spacing w:after="0" w:line="257" w:lineRule="auto"/>
        <w:tabs>
          <w:tab w:leader="none" w:pos="70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9"/>
          <w:szCs w:val="19"/>
          <w:b w:val="1"/>
          <w:bCs w:val="1"/>
          <w:color w:val="auto"/>
        </w:rPr>
        <w:t>Certain Reductions and Offsets</w:t>
      </w:r>
      <w:r>
        <w:rPr>
          <w:rFonts w:ascii="Arial" w:cs="Arial" w:eastAsia="Arial" w:hAnsi="Arial"/>
          <w:sz w:val="19"/>
          <w:szCs w:val="19"/>
          <w:color w:val="auto"/>
        </w:rPr>
        <w:t>. To the extent that any federal, state or local laws, including,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the Worker Adjustment and Retraining Notification Act or any other so- 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24" w:lineRule="exact"/>
        <w:rPr>
          <w:sz w:val="20"/>
          <w:szCs w:val="20"/>
          <w:color w:val="auto"/>
        </w:rPr>
      </w:pPr>
    </w:p>
    <w:p>
      <w:pPr>
        <w:ind w:left="720" w:right="660" w:hanging="758"/>
        <w:spacing w:after="0" w:line="246" w:lineRule="auto"/>
        <w:tabs>
          <w:tab w:leader="none" w:pos="70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20"/>
          <w:szCs w:val="20"/>
          <w:b w:val="1"/>
          <w:bCs w:val="1"/>
          <w:color w:val="auto"/>
        </w:rPr>
        <w:t>Mitigation</w:t>
      </w:r>
      <w:r>
        <w:rPr>
          <w:rFonts w:ascii="Arial" w:cs="Arial" w:eastAsia="Arial" w:hAnsi="Arial"/>
          <w:sz w:val="20"/>
          <w:szCs w:val="20"/>
          <w:color w:val="auto"/>
        </w:rPr>
        <w:t>. Except as otherwise specifically provided herein, Executive shall not be required to mitigate</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440" w:top="285" w:right="679" w:bottom="1440" w:gutter="0" w:footer="0" w:header="0"/>
        </w:sectPr>
      </w:pPr>
    </w:p>
    <w:bookmarkStart w:id="135" w:name="page136"/>
    <w:bookmarkEnd w:id="135"/>
    <w:p>
      <w:pPr>
        <w:ind w:left="1440"/>
        <w:spacing w:after="0"/>
        <w:rPr>
          <w:sz w:val="20"/>
          <w:szCs w:val="20"/>
          <w:color w:val="auto"/>
        </w:rPr>
      </w:pPr>
      <w:r>
        <w:rPr>
          <w:rFonts w:ascii="Arial" w:cs="Arial" w:eastAsia="Arial" w:hAnsi="Arial"/>
          <w:sz w:val="19"/>
          <w:szCs w:val="19"/>
          <w:color w:val="auto"/>
        </w:rPr>
        <w:t>Control Termination or Covered Termination (except as expressly provided in Sections 3.3 and 4.3 above).</w:t>
      </w:r>
    </w:p>
    <w:p>
      <w:pPr>
        <w:spacing w:after="0" w:line="276" w:lineRule="exact"/>
        <w:rPr>
          <w:sz w:val="20"/>
          <w:szCs w:val="20"/>
          <w:color w:val="auto"/>
        </w:rPr>
      </w:pPr>
    </w:p>
    <w:p>
      <w:pPr>
        <w:jc w:val="both"/>
        <w:ind w:left="700" w:right="960" w:hanging="746"/>
        <w:spacing w:after="0" w:line="252" w:lineRule="auto"/>
        <w:tabs>
          <w:tab w:leader="none" w:pos="68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20"/>
          <w:szCs w:val="20"/>
          <w:b w:val="1"/>
          <w:bCs w:val="1"/>
          <w:color w:val="auto"/>
        </w:rPr>
        <w:t>Indebtedness of Executive</w:t>
      </w:r>
      <w:r>
        <w:rPr>
          <w:rFonts w:ascii="Arial" w:cs="Arial" w:eastAsia="Arial" w:hAnsi="Arial"/>
          <w:sz w:val="20"/>
          <w:szCs w:val="20"/>
          <w:color w:val="auto"/>
        </w:rPr>
        <w:t>. If Executive is indebted to the Company on the effective date of a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Termination or Covered Termination, the Company reserves the right to offset any severance payments and benefits under this Agreement by the amount of such indebtedness.</w:t>
      </w:r>
    </w:p>
    <w:p>
      <w:pPr>
        <w:spacing w:after="0" w:line="112" w:lineRule="exact"/>
        <w:rPr>
          <w:sz w:val="20"/>
          <w:szCs w:val="20"/>
          <w:color w:val="auto"/>
        </w:rPr>
      </w:pPr>
    </w:p>
    <w:p>
      <w:pPr>
        <w:ind w:left="860"/>
        <w:spacing w:after="0"/>
        <w:tabs>
          <w:tab w:leader="none" w:pos="170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161" w:lineRule="exact"/>
        <w:rPr>
          <w:sz w:val="20"/>
          <w:szCs w:val="20"/>
          <w:color w:val="auto"/>
        </w:rPr>
      </w:pPr>
    </w:p>
    <w:p>
      <w:pPr>
        <w:ind w:firstLine="1665"/>
        <w:spacing w:after="0" w:line="242"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Separation from Service</w:t>
      </w:r>
      <w:r>
        <w:rPr>
          <w:rFonts w:ascii="Arial" w:cs="Arial" w:eastAsia="Arial" w:hAnsi="Arial"/>
          <w:sz w:val="20"/>
          <w:szCs w:val="20"/>
          <w:color w:val="auto"/>
        </w:rPr>
        <w:t>. Notwithstanding any provision to the contrary in this Agreement, no amount deemed 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6"/>
          <w:szCs w:val="16"/>
          <w:color w:val="auto"/>
        </w:rPr>
        <w:t>th</w:t>
      </w:r>
      <w:r>
        <w:rPr>
          <w:rFonts w:ascii="Arial" w:cs="Arial" w:eastAsia="Arial" w:hAnsi="Arial"/>
          <w:sz w:val="20"/>
          <w:szCs w:val="20"/>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6"/>
          <w:szCs w:val="16"/>
          <w:color w:val="auto"/>
        </w:rPr>
        <w:t>th</w:t>
      </w:r>
      <w:r>
        <w:rPr>
          <w:rFonts w:ascii="Arial" w:cs="Arial" w:eastAsia="Arial" w:hAnsi="Arial"/>
          <w:sz w:val="20"/>
          <w:szCs w:val="20"/>
          <w:color w:val="auto"/>
        </w:rPr>
        <w:t>) day after Executive’s separation from service and the remaining payments shall be made as provided in this Agreement.</w:t>
      </w:r>
    </w:p>
    <w:p>
      <w:pPr>
        <w:spacing w:after="0" w:line="135" w:lineRule="exact"/>
        <w:rPr>
          <w:sz w:val="20"/>
          <w:szCs w:val="20"/>
          <w:color w:val="auto"/>
        </w:rPr>
      </w:pPr>
    </w:p>
    <w:p>
      <w:pPr>
        <w:ind w:right="160" w:firstLine="1657"/>
        <w:spacing w:after="0" w:line="27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Specified Executive</w:t>
      </w:r>
      <w:r>
        <w:rPr>
          <w:rFonts w:ascii="Arial" w:cs="Arial" w:eastAsia="Arial" w:hAnsi="Arial"/>
          <w:sz w:val="18"/>
          <w:szCs w:val="18"/>
          <w:color w:val="auto"/>
        </w:rPr>
        <w:t>. Notwithstanding any provision to the contrary in this Agreement, if Executive is deemed at the time of his or her separation from service to be a “specified employee” for purposes of Section 409A(a)(2) (B)(i)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100" w:lineRule="exact"/>
        <w:rPr>
          <w:sz w:val="20"/>
          <w:szCs w:val="20"/>
          <w:color w:val="auto"/>
        </w:rPr>
      </w:pPr>
    </w:p>
    <w:p>
      <w:pPr>
        <w:ind w:right="120" w:firstLine="1657"/>
        <w:spacing w:after="0" w:line="280"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Expense Reimbursements</w:t>
      </w:r>
      <w:r>
        <w:rPr>
          <w:rFonts w:ascii="Arial" w:cs="Arial" w:eastAsia="Arial" w:hAnsi="Arial"/>
          <w:sz w:val="18"/>
          <w:szCs w:val="18"/>
          <w:color w:val="auto"/>
        </w:rPr>
        <w:t>. To the extent that any reimbursement payable pursuant to this Agreement is subject 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01" w:lineRule="exact"/>
        <w:rPr>
          <w:sz w:val="20"/>
          <w:szCs w:val="20"/>
          <w:color w:val="auto"/>
        </w:rPr>
      </w:pPr>
    </w:p>
    <w:p>
      <w:pPr>
        <w:ind w:right="220" w:firstLine="1646"/>
        <w:spacing w:after="0" w:line="248" w:lineRule="auto"/>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b w:val="1"/>
          <w:bCs w:val="1"/>
          <w:color w:val="auto"/>
        </w:rPr>
        <w:t>Installments</w:t>
      </w:r>
      <w:r>
        <w:rPr>
          <w:rFonts w:ascii="Arial" w:cs="Arial" w:eastAsia="Arial" w:hAnsi="Arial"/>
          <w:sz w:val="20"/>
          <w:szCs w:val="20"/>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28" w:lineRule="exact"/>
        <w:rPr>
          <w:sz w:val="20"/>
          <w:szCs w:val="20"/>
          <w:color w:val="auto"/>
        </w:rPr>
      </w:pPr>
    </w:p>
    <w:p>
      <w:pPr>
        <w:ind w:left="680" w:right="1480" w:hanging="733"/>
        <w:spacing w:after="0" w:line="266" w:lineRule="auto"/>
        <w:tabs>
          <w:tab w:leader="none" w:pos="66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20"/>
          <w:szCs w:val="20"/>
          <w:b w:val="1"/>
          <w:bCs w:val="1"/>
          <w:color w:val="auto"/>
        </w:rPr>
        <w:t>Tax Withholding</w:t>
      </w:r>
      <w:r>
        <w:rPr>
          <w:rFonts w:ascii="Arial" w:cs="Arial" w:eastAsia="Arial" w:hAnsi="Arial"/>
          <w:sz w:val="20"/>
          <w:szCs w:val="20"/>
          <w:color w:val="auto"/>
        </w:rPr>
        <w:t>. All payments under this Agreement shall be subject to applicable withholding for</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state and local income and employment taxes.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440" w:top="121" w:right="659" w:bottom="1440" w:gutter="0" w:footer="0" w:header="0"/>
        </w:sectPr>
      </w:pPr>
    </w:p>
    <w:bookmarkStart w:id="136" w:name="page137"/>
    <w:bookmarkEnd w:id="136"/>
    <w:p>
      <w:pPr>
        <w:jc w:val="both"/>
        <w:ind w:left="760" w:right="980" w:hanging="758"/>
        <w:spacing w:after="0" w:line="252" w:lineRule="auto"/>
        <w:tabs>
          <w:tab w:leader="none" w:pos="74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20"/>
          <w:szCs w:val="20"/>
          <w:b w:val="1"/>
          <w:bCs w:val="1"/>
          <w:color w:val="auto"/>
        </w:rPr>
        <w:t xml:space="preserve">No Duplication of Severance Benefits. </w:t>
      </w:r>
      <w:r>
        <w:rPr>
          <w:rFonts w:ascii="Arial" w:cs="Arial" w:eastAsia="Arial" w:hAnsi="Arial"/>
          <w:sz w:val="20"/>
          <w:szCs w:val="20"/>
          <w:color w:val="auto"/>
        </w:rPr>
        <w:t>The severance and other benefits provided in Article 3 and Article 4</w:t>
      </w:r>
      <w:r>
        <w:rPr>
          <w:rFonts w:ascii="Arial" w:cs="Arial" w:eastAsia="Arial" w:hAnsi="Arial"/>
          <w:sz w:val="20"/>
          <w:szCs w:val="20"/>
          <w:b w:val="1"/>
          <w:bCs w:val="1"/>
          <w:color w:val="auto"/>
        </w:rPr>
        <w:t xml:space="preserve"> </w:t>
      </w:r>
      <w:r>
        <w:rPr>
          <w:rFonts w:ascii="Arial" w:cs="Arial" w:eastAsia="Arial" w:hAnsi="Arial"/>
          <w:sz w:val="20"/>
          <w:szCs w:val="20"/>
          <w:color w:val="auto"/>
        </w:rPr>
        <w:t>are mutually exclusive of each other, and in no event shall Executive receive any severance or other benefits pursuant to both Article 3 and Article 4.</w:t>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ARTICLE 6</w:t>
      </w:r>
    </w:p>
    <w:p>
      <w:pPr>
        <w:spacing w:after="0" w:line="148" w:lineRule="exact"/>
        <w:rPr>
          <w:sz w:val="20"/>
          <w:szCs w:val="20"/>
          <w:color w:val="auto"/>
        </w:rPr>
      </w:pPr>
    </w:p>
    <w:p>
      <w:pPr>
        <w:ind w:left="1560"/>
        <w:spacing w:after="0"/>
        <w:rPr>
          <w:sz w:val="20"/>
          <w:szCs w:val="20"/>
          <w:color w:val="auto"/>
        </w:rPr>
      </w:pPr>
      <w:r>
        <w:rPr>
          <w:rFonts w:ascii="Arial" w:cs="Arial" w:eastAsia="Arial" w:hAnsi="Arial"/>
          <w:sz w:val="20"/>
          <w:szCs w:val="20"/>
          <w:b w:val="1"/>
          <w:bCs w:val="1"/>
          <w:color w:val="auto"/>
        </w:rPr>
        <w:t>TERMINATION WITH CAUSE OR BY VOLUNTARY RESIGNATION; OTHER RIGHTS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AND BENEFITS</w:t>
      </w:r>
    </w:p>
    <w:p>
      <w:pPr>
        <w:spacing w:after="0" w:line="112" w:lineRule="exact"/>
        <w:rPr>
          <w:sz w:val="20"/>
          <w:szCs w:val="20"/>
          <w:color w:val="auto"/>
        </w:rPr>
      </w:pPr>
    </w:p>
    <w:p>
      <w:pPr>
        <w:ind w:left="760" w:right="620" w:hanging="771"/>
        <w:spacing w:after="0" w:line="256" w:lineRule="auto"/>
        <w:tabs>
          <w:tab w:leader="none" w:pos="7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b w:val="1"/>
          <w:bCs w:val="1"/>
          <w:color w:val="auto"/>
        </w:rPr>
        <w:t>Termination for Cause by the Company</w:t>
      </w:r>
      <w:r>
        <w:rPr>
          <w:rFonts w:ascii="Arial" w:cs="Arial" w:eastAsia="Arial" w:hAnsi="Arial"/>
          <w:sz w:val="19"/>
          <w:szCs w:val="19"/>
          <w:color w:val="auto"/>
        </w:rPr>
        <w:t>. If the Company shall terminate the Executive’s employment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Cause, then upon such termination, the Company shall have no further obligation to Executive hereunder except for the payment or provision, as applicable, of (i) the portion of the Annual Base Salary for the period prior to the effective date of termination earned but unpaid (if any), (ii) all unreimbursed expenses (if any), subject to Sections 2.4 and 5.10(c), and (iii)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Arial" w:cs="Arial" w:eastAsia="Arial" w:hAnsi="Arial"/>
          <w:sz w:val="19"/>
          <w:szCs w:val="19"/>
          <w:b w:val="1"/>
          <w:bCs w:val="1"/>
          <w:i w:val="1"/>
          <w:iCs w:val="1"/>
          <w:color w:val="auto"/>
        </w:rPr>
        <w:t>Other Benefits</w:t>
      </w:r>
      <w:r>
        <w:rPr>
          <w:rFonts w:ascii="Arial" w:cs="Arial" w:eastAsia="Arial" w:hAnsi="Arial"/>
          <w:sz w:val="19"/>
          <w:szCs w:val="19"/>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137" w:lineRule="exact"/>
        <w:rPr>
          <w:sz w:val="20"/>
          <w:szCs w:val="20"/>
          <w:color w:val="auto"/>
        </w:rPr>
      </w:pPr>
    </w:p>
    <w:p>
      <w:pPr>
        <w:ind w:left="760" w:right="380" w:hanging="771"/>
        <w:spacing w:after="0" w:line="275" w:lineRule="auto"/>
        <w:tabs>
          <w:tab w:leader="none" w:pos="7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Termination by Voluntary Resignation by the Executive (other than Resignation for Good Reason)</w:t>
      </w:r>
      <w:r>
        <w:rPr>
          <w:rFonts w:ascii="Arial" w:cs="Arial" w:eastAsia="Arial" w:hAnsi="Arial"/>
          <w:sz w:val="18"/>
          <w:szCs w:val="18"/>
          <w:color w:val="auto"/>
        </w:rPr>
        <w:t>.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resignation by Executive that is not a Resignation for Good Reason, the Company shall have no further obligation to the Executive hereunder except for the payment of (i) the portion of the Annual Base Salary for the period prior to the effective date of termination earned but unpaid (if any), (ii) all unreimbursed expenses (if any), subject to Section 2.4 and Section 5.10(c), and (iii)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79" w:lineRule="exact"/>
        <w:rPr>
          <w:sz w:val="20"/>
          <w:szCs w:val="20"/>
          <w:color w:val="auto"/>
        </w:rPr>
      </w:pPr>
    </w:p>
    <w:p>
      <w:pPr>
        <w:ind w:left="760" w:right="520" w:hanging="771"/>
        <w:spacing w:after="0" w:line="275" w:lineRule="auto"/>
        <w:tabs>
          <w:tab w:leader="none" w:pos="7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 xml:space="preserve">Other Rights and Benefits. </w:t>
      </w:r>
      <w:r>
        <w:rPr>
          <w:rFonts w:ascii="Arial" w:cs="Arial" w:eastAsia="Arial" w:hAnsi="Arial"/>
          <w:sz w:val="18"/>
          <w:szCs w:val="18"/>
          <w:color w:val="auto"/>
        </w:rPr>
        <w:t>Nothing in this Agreement shall prevent or limit Executive’s continuing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1,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120"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ARTICLE 7</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DEFINITIONS</w:t>
      </w:r>
    </w:p>
    <w:p>
      <w:pPr>
        <w:ind w:left="800"/>
        <w:spacing w:after="0"/>
        <w:rPr>
          <w:sz w:val="20"/>
          <w:szCs w:val="20"/>
          <w:color w:val="auto"/>
        </w:rPr>
      </w:pPr>
      <w:r>
        <w:rPr>
          <w:rFonts w:ascii="Arial" w:cs="Arial" w:eastAsia="Arial" w:hAnsi="Arial"/>
          <w:sz w:val="20"/>
          <w:szCs w:val="20"/>
          <w:color w:val="auto"/>
        </w:rPr>
        <w:t>Unless otherwise provided, for purposes of this Agreement, the following definitions shall apply:</w:t>
      </w:r>
    </w:p>
    <w:p>
      <w:pPr>
        <w:spacing w:after="0" w:line="99"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48" w:lineRule="exact"/>
        <w:rPr>
          <w:sz w:val="20"/>
          <w:szCs w:val="20"/>
          <w:color w:val="auto"/>
        </w:rPr>
      </w:pPr>
    </w:p>
    <w:p>
      <w:pPr>
        <w:ind w:left="40" w:firstLine="867"/>
        <w:spacing w:after="0" w:line="252"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upon a reasonable determination by the Company, Executive’s: (i) dishonest statements or acts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the Company, any subsidiary or any affiliate of the Company, which has the effect of materially injuring (whether financially or otherwise) the business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215900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400" w:top="118" w:right="439" w:bottom="1440" w:gutter="0" w:footer="0" w:header="0"/>
        </w:sectPr>
      </w:pPr>
    </w:p>
    <w:bookmarkStart w:id="137" w:name="page138"/>
    <w:bookmarkEnd w:id="137"/>
    <w:p>
      <w:pPr>
        <w:ind w:left="60" w:right="120"/>
        <w:spacing w:after="0" w:line="271" w:lineRule="auto"/>
        <w:rPr>
          <w:sz w:val="20"/>
          <w:szCs w:val="20"/>
          <w:color w:val="auto"/>
        </w:rPr>
      </w:pPr>
      <w:r>
        <w:rPr>
          <w:rFonts w:ascii="Arial" w:cs="Arial" w:eastAsia="Arial" w:hAnsi="Arial"/>
          <w:sz w:val="18"/>
          <w:szCs w:val="18"/>
          <w:color w:val="auto"/>
        </w:rPr>
        <w:t>reputation of the Company; (ii) conviction of or indictment for (A) a felony or (B)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w:t>
      </w:r>
    </w:p>
    <w:p>
      <w:pPr>
        <w:spacing w:after="0" w:line="3" w:lineRule="exact"/>
        <w:rPr>
          <w:sz w:val="20"/>
          <w:szCs w:val="20"/>
          <w:color w:val="auto"/>
        </w:rPr>
      </w:pPr>
    </w:p>
    <w:p>
      <w:pPr>
        <w:ind w:left="60" w:firstLine="8"/>
        <w:spacing w:after="0" w:line="256" w:lineRule="auto"/>
        <w:tabs>
          <w:tab w:leader="none" w:pos="405" w:val="left"/>
        </w:tabs>
        <w:numPr>
          <w:ilvl w:val="0"/>
          <w:numId w:val="72"/>
        </w:numPr>
        <w:rPr>
          <w:rFonts w:ascii="Arial" w:cs="Arial" w:eastAsia="Arial" w:hAnsi="Arial"/>
          <w:sz w:val="19"/>
          <w:szCs w:val="19"/>
          <w:color w:val="auto"/>
        </w:rPr>
      </w:pPr>
      <w:r>
        <w:rPr>
          <w:rFonts w:ascii="Arial" w:cs="Arial" w:eastAsia="Arial" w:hAnsi="Arial"/>
          <w:sz w:val="19"/>
          <w:szCs w:val="19"/>
          <w:color w:val="auto"/>
        </w:rPr>
        <w:t>gross negligence, willful misconduct or insubordination with respect to the Company or any subsidiary or any affiliate of the Company; or (iv) material breach of any of Executive’s obligations under any agreement to which Executive and the Company or any subsidiary are a party. With respect to clause (iv),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 w:type="dxa"/>
            <w:vAlign w:val="bottom"/>
          </w:tcPr>
          <w:p>
            <w:pPr>
              <w:jc w:val="right"/>
              <w:ind w:right="121"/>
              <w:spacing w:after="0"/>
              <w:rPr>
                <w:sz w:val="20"/>
                <w:szCs w:val="20"/>
                <w:color w:val="auto"/>
              </w:rPr>
            </w:pPr>
            <w:r>
              <w:rPr>
                <w:rFonts w:ascii="Arial" w:cs="Arial" w:eastAsia="Arial" w:hAnsi="Arial"/>
                <w:sz w:val="20"/>
                <w:szCs w:val="20"/>
                <w:b w:val="1"/>
                <w:bCs w:val="1"/>
                <w:color w:val="auto"/>
                <w:w w:val="83"/>
              </w:rPr>
              <w:t>7.3.</w:t>
            </w:r>
          </w:p>
        </w:tc>
        <w:tc>
          <w:tcPr>
            <w:tcW w:w="9980" w:type="dxa"/>
            <w:vAlign w:val="bottom"/>
            <w:gridSpan w:val="2"/>
          </w:tcPr>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w:t>
            </w:r>
          </w:p>
        </w:tc>
      </w:tr>
      <w:tr>
        <w:trPr>
          <w:trHeight w:val="250"/>
        </w:trPr>
        <w:tc>
          <w:tcPr>
            <w:tcW w:w="520" w:type="dxa"/>
            <w:vAlign w:val="bottom"/>
          </w:tcPr>
          <w:p>
            <w:pPr>
              <w:spacing w:after="0"/>
              <w:rPr>
                <w:sz w:val="21"/>
                <w:szCs w:val="21"/>
                <w:color w:val="auto"/>
              </w:rPr>
            </w:pPr>
          </w:p>
        </w:tc>
        <w:tc>
          <w:tcPr>
            <w:tcW w:w="9980" w:type="dxa"/>
            <w:vAlign w:val="bottom"/>
            <w:gridSpan w:val="2"/>
          </w:tcPr>
          <w:p>
            <w:pPr>
              <w:ind w:left="220"/>
              <w:spacing w:after="0"/>
              <w:rPr>
                <w:sz w:val="20"/>
                <w:szCs w:val="20"/>
                <w:color w:val="auto"/>
              </w:rPr>
            </w:pPr>
            <w:r>
              <w:rPr>
                <w:rFonts w:ascii="Arial" w:cs="Arial" w:eastAsia="Arial" w:hAnsi="Arial"/>
                <w:sz w:val="20"/>
                <w:szCs w:val="20"/>
                <w:color w:val="auto"/>
              </w:rPr>
              <w:t>transactions, of any one or more of the following events:</w:t>
            </w:r>
          </w:p>
        </w:tc>
      </w:tr>
      <w:tr>
        <w:trPr>
          <w:trHeight w:val="400"/>
        </w:trPr>
        <w:tc>
          <w:tcPr>
            <w:tcW w:w="520" w:type="dxa"/>
            <w:vAlign w:val="bottom"/>
          </w:tcPr>
          <w:p>
            <w:pPr>
              <w:spacing w:after="0"/>
              <w:rPr>
                <w:sz w:val="24"/>
                <w:szCs w:val="24"/>
                <w:color w:val="auto"/>
              </w:rPr>
            </w:pPr>
          </w:p>
        </w:tc>
        <w:tc>
          <w:tcPr>
            <w:tcW w:w="2240" w:type="dxa"/>
            <w:vAlign w:val="bottom"/>
          </w:tcPr>
          <w:p>
            <w:pPr>
              <w:ind w:left="1220"/>
              <w:spacing w:after="0"/>
              <w:rPr>
                <w:sz w:val="20"/>
                <w:szCs w:val="20"/>
                <w:color w:val="auto"/>
              </w:rPr>
            </w:pPr>
            <w:r>
              <w:rPr>
                <w:rFonts w:ascii="Arial" w:cs="Arial" w:eastAsia="Arial" w:hAnsi="Arial"/>
                <w:sz w:val="20"/>
                <w:szCs w:val="20"/>
                <w:color w:val="auto"/>
              </w:rPr>
              <w:t>a)</w:t>
            </w:r>
          </w:p>
        </w:tc>
        <w:tc>
          <w:tcPr>
            <w:tcW w:w="7740" w:type="dxa"/>
            <w:vAlign w:val="bottom"/>
          </w:tcPr>
          <w:p>
            <w:pPr>
              <w:ind w:left="840"/>
              <w:spacing w:after="0"/>
              <w:rPr>
                <w:sz w:val="20"/>
                <w:szCs w:val="20"/>
                <w:color w:val="auto"/>
              </w:rPr>
            </w:pPr>
            <w:r>
              <w:rPr>
                <w:rFonts w:ascii="Arial" w:cs="Arial" w:eastAsia="Arial" w:hAnsi="Arial"/>
                <w:sz w:val="20"/>
                <w:szCs w:val="20"/>
                <w:color w:val="auto"/>
                <w:w w:val="90"/>
              </w:rPr>
              <w:t>Any natural person, entity or group within the meaning of Section 13(d) or 14(d) of the</w:t>
            </w:r>
          </w:p>
        </w:tc>
      </w:tr>
    </w:tbl>
    <w:p>
      <w:pPr>
        <w:ind w:left="60" w:right="180"/>
        <w:spacing w:after="0" w:line="268" w:lineRule="auto"/>
        <w:rPr>
          <w:sz w:val="20"/>
          <w:szCs w:val="20"/>
          <w:color w:val="auto"/>
        </w:rPr>
      </w:pPr>
      <w:r>
        <w:rPr>
          <w:rFonts w:ascii="Arial" w:cs="Arial" w:eastAsia="Arial" w:hAnsi="Arial"/>
          <w:sz w:val="18"/>
          <w:szCs w:val="18"/>
          <w:color w:val="auto"/>
        </w:rPr>
        <w:t>Securities Exchange Act of 1934, as amended (“</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Arial" w:cs="Arial" w:eastAsia="Arial" w:hAnsi="Arial"/>
          <w:sz w:val="18"/>
          <w:szCs w:val="18"/>
          <w:b w:val="1"/>
          <w:bCs w:val="1"/>
          <w:i w:val="1"/>
          <w:iCs w:val="1"/>
          <w:color w:val="auto"/>
        </w:rPr>
        <w:t>Subject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exceeds the designated percentage threshold of the outstanding voting securities as a result of a repurchase or other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3" w:lineRule="exact"/>
        <w:rPr>
          <w:sz w:val="20"/>
          <w:szCs w:val="20"/>
          <w:color w:val="auto"/>
        </w:rPr>
      </w:pPr>
    </w:p>
    <w:p>
      <w:pPr>
        <w:ind w:left="60" w:right="300" w:firstLine="1657"/>
        <w:spacing w:after="0" w:line="243" w:lineRule="auto"/>
        <w:rPr>
          <w:sz w:val="20"/>
          <w:szCs w:val="20"/>
          <w:color w:val="auto"/>
        </w:rPr>
      </w:pPr>
      <w:r>
        <w:rPr>
          <w:rFonts w:ascii="Arial" w:cs="Arial" w:eastAsia="Arial" w:hAnsi="Arial"/>
          <w:sz w:val="20"/>
          <w:szCs w:val="20"/>
          <w:color w:val="auto"/>
        </w:rPr>
        <w:t>b) 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40" w:lineRule="exact"/>
        <w:rPr>
          <w:sz w:val="20"/>
          <w:szCs w:val="20"/>
          <w:color w:val="auto"/>
        </w:rPr>
      </w:pPr>
    </w:p>
    <w:p>
      <w:pPr>
        <w:ind w:left="60" w:right="900" w:firstLine="1646"/>
        <w:spacing w:after="0" w:line="286" w:lineRule="auto"/>
        <w:rPr>
          <w:sz w:val="20"/>
          <w:szCs w:val="20"/>
          <w:color w:val="auto"/>
        </w:rPr>
      </w:pPr>
      <w:r>
        <w:rPr>
          <w:rFonts w:ascii="Arial" w:cs="Arial" w:eastAsia="Arial" w:hAnsi="Arial"/>
          <w:sz w:val="19"/>
          <w:szCs w:val="19"/>
          <w:color w:val="auto"/>
        </w:rPr>
        <w:t>c) The stockholders of the Company approve or the Board approves a plan of complete dissolution or liquidation of the Company, or a complete dissolution or liquidation of the Company shall otherwise occur; or</w:t>
      </w:r>
    </w:p>
    <w:p>
      <w:pPr>
        <w:spacing w:after="0" w:line="100" w:lineRule="exact"/>
        <w:rPr>
          <w:sz w:val="20"/>
          <w:szCs w:val="20"/>
          <w:color w:val="auto"/>
        </w:rPr>
      </w:pPr>
    </w:p>
    <w:p>
      <w:pPr>
        <w:ind w:left="1720"/>
        <w:spacing w:after="0"/>
        <w:tabs>
          <w:tab w:leader="none" w:pos="35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There is consummated a sale, lease, license or other disposition of all or substantially all of</w:t>
      </w:r>
    </w:p>
    <w:p>
      <w:pPr>
        <w:spacing w:after="0" w:line="38" w:lineRule="exact"/>
        <w:rPr>
          <w:sz w:val="20"/>
          <w:szCs w:val="20"/>
          <w:color w:val="auto"/>
        </w:rPr>
      </w:pPr>
    </w:p>
    <w:p>
      <w:pPr>
        <w:ind w:left="60" w:right="300"/>
        <w:spacing w:after="0"/>
        <w:rPr>
          <w:sz w:val="20"/>
          <w:szCs w:val="20"/>
          <w:color w:val="auto"/>
        </w:rPr>
      </w:pPr>
      <w:r>
        <w:rPr>
          <w:rFonts w:ascii="Arial" w:cs="Arial" w:eastAsia="Arial" w:hAnsi="Arial"/>
          <w:sz w:val="20"/>
          <w:szCs w:val="20"/>
          <w:color w:val="auto"/>
        </w:rPr>
        <w:t>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215900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80" w:top="271" w:right="379" w:bottom="1440" w:gutter="0" w:footer="0" w:header="0"/>
        </w:sectPr>
      </w:pPr>
    </w:p>
    <w:bookmarkStart w:id="138" w:name="page139"/>
    <w:bookmarkEnd w:id="138"/>
    <w:p>
      <w:pPr>
        <w:ind w:left="60" w:firstLine="941"/>
        <w:spacing w:after="0" w:line="243" w:lineRule="auto"/>
        <w:rPr>
          <w:sz w:val="20"/>
          <w:szCs w:val="20"/>
          <w:color w:val="auto"/>
        </w:rPr>
      </w:pPr>
      <w:r>
        <w:rPr>
          <w:rFonts w:ascii="Arial" w:cs="Arial" w:eastAsia="Arial" w:hAnsi="Arial"/>
          <w:sz w:val="20"/>
          <w:szCs w:val="20"/>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7.4.</w:t>
            </w:r>
          </w:p>
        </w:tc>
        <w:tc>
          <w:tcPr>
            <w:tcW w:w="936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Benefits Period</w:t>
            </w:r>
            <w:r>
              <w:rPr>
                <w:rFonts w:ascii="Arial" w:cs="Arial" w:eastAsia="Arial" w:hAnsi="Arial"/>
                <w:sz w:val="20"/>
                <w:szCs w:val="20"/>
                <w:color w:val="auto"/>
              </w:rPr>
              <w:t>” means the period of eighteen (18) months commencing</w:t>
            </w:r>
          </w:p>
        </w:tc>
      </w:tr>
      <w:tr>
        <w:trPr>
          <w:trHeight w:val="250"/>
        </w:trPr>
        <w:tc>
          <w:tcPr>
            <w:tcW w:w="10620" w:type="dxa"/>
            <w:vAlign w:val="bottom"/>
            <w:gridSpan w:val="2"/>
          </w:tcPr>
          <w:p>
            <w:pPr>
              <w:ind w:left="700"/>
              <w:spacing w:after="0"/>
              <w:rPr>
                <w:sz w:val="20"/>
                <w:szCs w:val="20"/>
                <w:color w:val="auto"/>
              </w:rPr>
            </w:pPr>
            <w:r>
              <w:rPr>
                <w:rFonts w:ascii="Arial" w:cs="Arial" w:eastAsia="Arial" w:hAnsi="Arial"/>
                <w:sz w:val="20"/>
                <w:szCs w:val="20"/>
                <w:color w:val="auto"/>
              </w:rPr>
              <w:t>on the Termination Date.</w:t>
            </w:r>
          </w:p>
        </w:tc>
      </w:tr>
      <w:tr>
        <w:trPr>
          <w:trHeight w:val="370"/>
        </w:trPr>
        <w:tc>
          <w:tcPr>
            <w:tcW w:w="1260" w:type="dxa"/>
            <w:vAlign w:val="bottom"/>
          </w:tcPr>
          <w:p>
            <w:pPr>
              <w:spacing w:after="0"/>
              <w:rPr>
                <w:sz w:val="20"/>
                <w:szCs w:val="20"/>
                <w:color w:val="auto"/>
              </w:rPr>
            </w:pPr>
            <w:r>
              <w:rPr>
                <w:rFonts w:ascii="Arial" w:cs="Arial" w:eastAsia="Arial" w:hAnsi="Arial"/>
                <w:sz w:val="20"/>
                <w:szCs w:val="20"/>
                <w:b w:val="1"/>
                <w:bCs w:val="1"/>
                <w:color w:val="auto"/>
              </w:rPr>
              <w:t>7.5.</w:t>
            </w:r>
          </w:p>
        </w:tc>
        <w:tc>
          <w:tcPr>
            <w:tcW w:w="9360" w:type="dxa"/>
            <w:vAlign w:val="bottom"/>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Severance Period</w:t>
            </w:r>
            <w:r>
              <w:rPr>
                <w:rFonts w:ascii="Arial" w:cs="Arial" w:eastAsia="Arial" w:hAnsi="Arial"/>
                <w:sz w:val="20"/>
                <w:szCs w:val="20"/>
                <w:color w:val="auto"/>
              </w:rPr>
              <w:t>” means the period of eighteen (18) months</w:t>
            </w:r>
          </w:p>
        </w:tc>
      </w:tr>
      <w:tr>
        <w:trPr>
          <w:trHeight w:val="250"/>
        </w:trPr>
        <w:tc>
          <w:tcPr>
            <w:tcW w:w="10620" w:type="dxa"/>
            <w:vAlign w:val="bottom"/>
            <w:gridSpan w:val="2"/>
          </w:tcPr>
          <w:p>
            <w:pPr>
              <w:ind w:left="700"/>
              <w:spacing w:after="0"/>
              <w:rPr>
                <w:sz w:val="20"/>
                <w:szCs w:val="20"/>
                <w:color w:val="auto"/>
              </w:rPr>
            </w:pPr>
            <w:r>
              <w:rPr>
                <w:rFonts w:ascii="Arial" w:cs="Arial" w:eastAsia="Arial" w:hAnsi="Arial"/>
                <w:sz w:val="20"/>
                <w:szCs w:val="20"/>
                <w:color w:val="auto"/>
              </w:rPr>
              <w:t>commencing on the Termination Date.</w:t>
            </w:r>
          </w:p>
        </w:tc>
      </w:tr>
      <w:tr>
        <w:trPr>
          <w:trHeight w:val="34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7.6.</w:t>
            </w:r>
          </w:p>
        </w:tc>
        <w:tc>
          <w:tcPr>
            <w:tcW w:w="9360" w:type="dxa"/>
            <w:vAlign w:val="bottom"/>
          </w:tcPr>
          <w:p>
            <w:pPr>
              <w:ind w:left="28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i w:val="1"/>
                <w:iCs w:val="1"/>
                <w:color w:val="auto"/>
                <w:w w:val="92"/>
              </w:rPr>
              <w:t>Change in Control Termination</w:t>
            </w:r>
            <w:r>
              <w:rPr>
                <w:rFonts w:ascii="Arial" w:cs="Arial" w:eastAsia="Arial" w:hAnsi="Arial"/>
                <w:sz w:val="20"/>
                <w:szCs w:val="20"/>
                <w:color w:val="auto"/>
                <w:w w:val="92"/>
              </w:rPr>
              <w:t>” means an “</w:t>
            </w:r>
            <w:r>
              <w:rPr>
                <w:rFonts w:ascii="Arial" w:cs="Arial" w:eastAsia="Arial" w:hAnsi="Arial"/>
                <w:sz w:val="20"/>
                <w:szCs w:val="20"/>
                <w:b w:val="1"/>
                <w:bCs w:val="1"/>
                <w:i w:val="1"/>
                <w:iCs w:val="1"/>
                <w:color w:val="auto"/>
                <w:w w:val="92"/>
              </w:rPr>
              <w:t>Involuntary Termination Without Cause</w:t>
            </w:r>
            <w:r>
              <w:rPr>
                <w:rFonts w:ascii="Arial" w:cs="Arial" w:eastAsia="Arial" w:hAnsi="Arial"/>
                <w:sz w:val="20"/>
                <w:szCs w:val="20"/>
                <w:color w:val="auto"/>
                <w:w w:val="92"/>
              </w:rPr>
              <w:t>” or “</w:t>
            </w:r>
            <w:r>
              <w:rPr>
                <w:rFonts w:ascii="Arial" w:cs="Arial" w:eastAsia="Arial" w:hAnsi="Arial"/>
                <w:sz w:val="20"/>
                <w:szCs w:val="20"/>
                <w:b w:val="1"/>
                <w:bCs w:val="1"/>
                <w:i w:val="1"/>
                <w:iCs w:val="1"/>
                <w:color w:val="auto"/>
                <w:w w:val="92"/>
              </w:rPr>
              <w:t>Resignation for</w:t>
            </w:r>
          </w:p>
        </w:tc>
      </w:tr>
      <w:tr>
        <w:trPr>
          <w:trHeight w:val="229"/>
        </w:trPr>
        <w:tc>
          <w:tcPr>
            <w:tcW w:w="10620" w:type="dxa"/>
            <w:vAlign w:val="bottom"/>
            <w:gridSpan w:val="2"/>
          </w:tcPr>
          <w:p>
            <w:pPr>
              <w:ind w:left="780"/>
              <w:spacing w:after="0"/>
              <w:rPr>
                <w:sz w:val="20"/>
                <w:szCs w:val="20"/>
                <w:color w:val="auto"/>
              </w:rPr>
            </w:pPr>
            <w:r>
              <w:rPr>
                <w:rFonts w:ascii="Arial" w:cs="Arial" w:eastAsia="Arial" w:hAnsi="Arial"/>
                <w:sz w:val="20"/>
                <w:szCs w:val="20"/>
                <w:b w:val="1"/>
                <w:bCs w:val="1"/>
                <w:i w:val="1"/>
                <w:iCs w:val="1"/>
                <w:color w:val="auto"/>
                <w:w w:val="92"/>
              </w:rPr>
              <w:t>Good Reason</w:t>
            </w:r>
            <w:r>
              <w:rPr>
                <w:rFonts w:ascii="Arial" w:cs="Arial" w:eastAsia="Arial" w:hAnsi="Arial"/>
                <w:sz w:val="20"/>
                <w:szCs w:val="20"/>
                <w:i w:val="1"/>
                <w:iCs w:val="1"/>
                <w:color w:val="auto"/>
                <w:w w:val="92"/>
              </w:rPr>
              <w:t>,</w:t>
            </w:r>
            <w:r>
              <w:rPr>
                <w:rFonts w:ascii="Arial" w:cs="Arial" w:eastAsia="Arial" w:hAnsi="Arial"/>
                <w:sz w:val="20"/>
                <w:szCs w:val="20"/>
                <w:color w:val="auto"/>
                <w:w w:val="92"/>
              </w:rPr>
              <w:t>” either of which occurs on, or within three (3) months prior to, or within twelve (12) months following, the</w:t>
            </w:r>
          </w:p>
        </w:tc>
      </w:tr>
      <w:tr>
        <w:trPr>
          <w:trHeight w:val="229"/>
        </w:trPr>
        <w:tc>
          <w:tcPr>
            <w:tcW w:w="10620" w:type="dxa"/>
            <w:vAlign w:val="bottom"/>
            <w:gridSpan w:val="2"/>
          </w:tcPr>
          <w:p>
            <w:pPr>
              <w:ind w:left="780"/>
              <w:spacing w:after="0"/>
              <w:rPr>
                <w:sz w:val="20"/>
                <w:szCs w:val="20"/>
                <w:color w:val="auto"/>
              </w:rPr>
            </w:pPr>
            <w:r>
              <w:rPr>
                <w:rFonts w:ascii="Arial" w:cs="Arial" w:eastAsia="Arial" w:hAnsi="Arial"/>
                <w:sz w:val="20"/>
                <w:szCs w:val="20"/>
                <w:color w:val="auto"/>
                <w:w w:val="91"/>
              </w:rPr>
              <w:t>effective date of a Change in Control, provided that any such termination is a “separation from service” within the meaning</w:t>
            </w:r>
          </w:p>
        </w:tc>
      </w:tr>
      <w:tr>
        <w:trPr>
          <w:trHeight w:val="250"/>
        </w:trPr>
        <w:tc>
          <w:tcPr>
            <w:tcW w:w="10620" w:type="dxa"/>
            <w:vAlign w:val="bottom"/>
            <w:gridSpan w:val="2"/>
          </w:tcPr>
          <w:p>
            <w:pPr>
              <w:ind w:left="780"/>
              <w:spacing w:after="0"/>
              <w:rPr>
                <w:sz w:val="20"/>
                <w:szCs w:val="20"/>
                <w:color w:val="auto"/>
              </w:rPr>
            </w:pPr>
            <w:r>
              <w:rPr>
                <w:rFonts w:ascii="Arial" w:cs="Arial" w:eastAsia="Arial" w:hAnsi="Arial"/>
                <w:sz w:val="20"/>
                <w:szCs w:val="20"/>
                <w:color w:val="auto"/>
                <w:w w:val="92"/>
              </w:rPr>
              <w:t>of Treasury Regulation Section 1.409A- 1(h). Death and disability shall not be deemed Change in Control Terminations.</w:t>
            </w:r>
          </w:p>
        </w:tc>
      </w:tr>
      <w:tr>
        <w:trPr>
          <w:trHeight w:val="405"/>
        </w:trPr>
        <w:tc>
          <w:tcPr>
            <w:tcW w:w="1260" w:type="dxa"/>
            <w:vAlign w:val="bottom"/>
          </w:tcPr>
          <w:p>
            <w:pPr>
              <w:spacing w:after="0"/>
              <w:rPr>
                <w:sz w:val="20"/>
                <w:szCs w:val="20"/>
                <w:color w:val="auto"/>
              </w:rPr>
            </w:pPr>
            <w:r>
              <w:rPr>
                <w:rFonts w:ascii="Arial" w:cs="Arial" w:eastAsia="Arial" w:hAnsi="Arial"/>
                <w:sz w:val="20"/>
                <w:szCs w:val="20"/>
                <w:b w:val="1"/>
                <w:bCs w:val="1"/>
                <w:color w:val="auto"/>
              </w:rPr>
              <w:t>7.7.</w:t>
            </w:r>
          </w:p>
        </w:tc>
        <w:tc>
          <w:tcPr>
            <w:tcW w:w="9360" w:type="dxa"/>
            <w:vAlign w:val="bottom"/>
          </w:tcPr>
          <w:p>
            <w:pPr>
              <w:ind w:left="1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means the Consolidated Omnibus Budget Reconciliation Act of 1985, as amended.</w:t>
            </w:r>
          </w:p>
        </w:tc>
      </w:tr>
      <w:tr>
        <w:trPr>
          <w:trHeight w:val="391"/>
        </w:trPr>
        <w:tc>
          <w:tcPr>
            <w:tcW w:w="1260" w:type="dxa"/>
            <w:vAlign w:val="bottom"/>
          </w:tcPr>
          <w:p>
            <w:pPr>
              <w:ind w:left="920"/>
              <w:spacing w:after="0"/>
              <w:rPr>
                <w:sz w:val="20"/>
                <w:szCs w:val="20"/>
                <w:color w:val="auto"/>
              </w:rPr>
            </w:pPr>
            <w:r>
              <w:rPr>
                <w:rFonts w:ascii="Arial" w:cs="Arial" w:eastAsia="Arial" w:hAnsi="Arial"/>
                <w:sz w:val="20"/>
                <w:szCs w:val="20"/>
                <w:b w:val="1"/>
                <w:bCs w:val="1"/>
                <w:color w:val="auto"/>
                <w:w w:val="95"/>
              </w:rPr>
              <w:t>7.8.</w:t>
            </w:r>
          </w:p>
        </w:tc>
        <w:tc>
          <w:tcPr>
            <w:tcW w:w="9360" w:type="dxa"/>
            <w:vAlign w:val="bottom"/>
          </w:tcPr>
          <w:p>
            <w:pPr>
              <w:ind w:left="5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tc>
      </w:tr>
      <w:tr>
        <w:trPr>
          <w:trHeight w:val="370"/>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7.9.</w:t>
            </w:r>
          </w:p>
        </w:tc>
        <w:tc>
          <w:tcPr>
            <w:tcW w:w="9360" w:type="dxa"/>
            <w:vAlign w:val="bottom"/>
          </w:tcPr>
          <w:p>
            <w:pPr>
              <w:ind w:left="24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i w:val="1"/>
                <w:iCs w:val="1"/>
                <w:color w:val="auto"/>
                <w:w w:val="99"/>
              </w:rPr>
              <w:t>Company</w:t>
            </w:r>
            <w:r>
              <w:rPr>
                <w:rFonts w:ascii="Arial" w:cs="Arial" w:eastAsia="Arial" w:hAnsi="Arial"/>
                <w:sz w:val="20"/>
                <w:szCs w:val="20"/>
                <w:color w:val="auto"/>
                <w:w w:val="99"/>
              </w:rPr>
              <w:t>” means Syndax Pharmaceuticals, Inc. or, following a Change in Control, the surviving entity</w:t>
            </w:r>
          </w:p>
        </w:tc>
      </w:tr>
      <w:tr>
        <w:trPr>
          <w:trHeight w:val="250"/>
        </w:trPr>
        <w:tc>
          <w:tcPr>
            <w:tcW w:w="10620" w:type="dxa"/>
            <w:vAlign w:val="bottom"/>
            <w:gridSpan w:val="2"/>
          </w:tcPr>
          <w:p>
            <w:pPr>
              <w:ind w:left="780"/>
              <w:spacing w:after="0"/>
              <w:rPr>
                <w:sz w:val="20"/>
                <w:szCs w:val="20"/>
                <w:color w:val="auto"/>
              </w:rPr>
            </w:pPr>
            <w:r>
              <w:rPr>
                <w:rFonts w:ascii="Arial" w:cs="Arial" w:eastAsia="Arial" w:hAnsi="Arial"/>
                <w:sz w:val="20"/>
                <w:szCs w:val="20"/>
                <w:color w:val="auto"/>
                <w:w w:val="95"/>
              </w:rPr>
              <w:t>resulting from such transaction, or any subsequent surviving entity resulting from any subsequent Change in Control.</w:t>
            </w:r>
          </w:p>
        </w:tc>
      </w:tr>
      <w:tr>
        <w:trPr>
          <w:trHeight w:val="370"/>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7.10.</w:t>
            </w:r>
          </w:p>
        </w:tc>
        <w:tc>
          <w:tcPr>
            <w:tcW w:w="9360" w:type="dxa"/>
            <w:vAlign w:val="bottom"/>
          </w:tcPr>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means Executive’s Assignment of Developments, Non- Disclosure and</w:t>
            </w:r>
          </w:p>
        </w:tc>
      </w:tr>
      <w:tr>
        <w:trPr>
          <w:trHeight w:val="250"/>
        </w:trPr>
        <w:tc>
          <w:tcPr>
            <w:tcW w:w="10620" w:type="dxa"/>
            <w:vAlign w:val="bottom"/>
            <w:gridSpan w:val="2"/>
          </w:tcPr>
          <w:p>
            <w:pPr>
              <w:ind w:left="760"/>
              <w:spacing w:after="0"/>
              <w:rPr>
                <w:sz w:val="20"/>
                <w:szCs w:val="20"/>
                <w:color w:val="auto"/>
              </w:rPr>
            </w:pPr>
            <w:r>
              <w:rPr>
                <w:rFonts w:ascii="Arial" w:cs="Arial" w:eastAsia="Arial" w:hAnsi="Arial"/>
                <w:sz w:val="20"/>
                <w:szCs w:val="20"/>
                <w:color w:val="auto"/>
              </w:rPr>
              <w:t>Non-Solicitation Agreement with the Company, dated June 22, 2015 (or any successor agreement thereto).</w:t>
            </w:r>
          </w:p>
        </w:tc>
      </w:tr>
      <w:tr>
        <w:trPr>
          <w:trHeight w:val="359"/>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7.11.</w:t>
            </w:r>
          </w:p>
        </w:tc>
        <w:tc>
          <w:tcPr>
            <w:tcW w:w="9360" w:type="dxa"/>
            <w:vAlign w:val="bottom"/>
          </w:tcPr>
          <w:p>
            <w:pPr>
              <w:ind w:left="28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Covered Termination</w:t>
            </w:r>
            <w:r>
              <w:rPr>
                <w:rFonts w:ascii="Arial" w:cs="Arial" w:eastAsia="Arial" w:hAnsi="Arial"/>
                <w:sz w:val="20"/>
                <w:szCs w:val="20"/>
                <w:color w:val="auto"/>
                <w:w w:val="88"/>
              </w:rPr>
              <w:t>” means an “</w:t>
            </w:r>
            <w:r>
              <w:rPr>
                <w:rFonts w:ascii="Arial" w:cs="Arial" w:eastAsia="Arial" w:hAnsi="Arial"/>
                <w:sz w:val="20"/>
                <w:szCs w:val="20"/>
                <w:b w:val="1"/>
                <w:bCs w:val="1"/>
                <w:i w:val="1"/>
                <w:iCs w:val="1"/>
                <w:color w:val="auto"/>
                <w:w w:val="88"/>
              </w:rPr>
              <w:t>Involuntary Termination Without Cause</w:t>
            </w:r>
            <w:r>
              <w:rPr>
                <w:rFonts w:ascii="Arial" w:cs="Arial" w:eastAsia="Arial" w:hAnsi="Arial"/>
                <w:sz w:val="20"/>
                <w:szCs w:val="20"/>
                <w:color w:val="auto"/>
                <w:w w:val="88"/>
              </w:rPr>
              <w:t>” or “</w:t>
            </w:r>
            <w:r>
              <w:rPr>
                <w:rFonts w:ascii="Arial" w:cs="Arial" w:eastAsia="Arial" w:hAnsi="Arial"/>
                <w:sz w:val="20"/>
                <w:szCs w:val="20"/>
                <w:b w:val="1"/>
                <w:bCs w:val="1"/>
                <w:i w:val="1"/>
                <w:iCs w:val="1"/>
                <w:color w:val="auto"/>
                <w:w w:val="88"/>
              </w:rPr>
              <w:t>Resignation for Good Reason</w:t>
            </w:r>
            <w:r>
              <w:rPr>
                <w:rFonts w:ascii="Arial" w:cs="Arial" w:eastAsia="Arial" w:hAnsi="Arial"/>
                <w:sz w:val="20"/>
                <w:szCs w:val="20"/>
                <w:i w:val="1"/>
                <w:iCs w:val="1"/>
                <w:color w:val="auto"/>
                <w:w w:val="88"/>
              </w:rPr>
              <w:t>,</w:t>
            </w:r>
            <w:r>
              <w:rPr>
                <w:rFonts w:ascii="Arial" w:cs="Arial" w:eastAsia="Arial" w:hAnsi="Arial"/>
                <w:sz w:val="20"/>
                <w:szCs w:val="20"/>
                <w:color w:val="auto"/>
                <w:w w:val="88"/>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0" w:type="dxa"/>
            <w:vAlign w:val="bottom"/>
          </w:tcPr>
          <w:p>
            <w:pPr>
              <w:spacing w:after="0"/>
              <w:rPr>
                <w:sz w:val="18"/>
                <w:szCs w:val="18"/>
                <w:color w:val="auto"/>
              </w:rPr>
            </w:pPr>
          </w:p>
        </w:tc>
        <w:tc>
          <w:tcPr>
            <w:tcW w:w="10040" w:type="dxa"/>
            <w:vAlign w:val="bottom"/>
          </w:tcPr>
          <w:p>
            <w:pPr>
              <w:ind w:left="220"/>
              <w:spacing w:after="0" w:line="213" w:lineRule="exact"/>
              <w:rPr>
                <w:sz w:val="20"/>
                <w:szCs w:val="20"/>
                <w:color w:val="auto"/>
              </w:rPr>
            </w:pPr>
            <w:r>
              <w:rPr>
                <w:rFonts w:ascii="Arial" w:cs="Arial" w:eastAsia="Arial" w:hAnsi="Arial"/>
                <w:sz w:val="20"/>
                <w:szCs w:val="20"/>
                <w:color w:val="auto"/>
                <w:w w:val="95"/>
              </w:rPr>
              <w:t>provided that any such termination is a “separation from service” within the meaning of Treasury Regulation Section</w:t>
            </w:r>
          </w:p>
        </w:tc>
      </w:tr>
      <w:tr>
        <w:trPr>
          <w:trHeight w:val="229"/>
        </w:trPr>
        <w:tc>
          <w:tcPr>
            <w:tcW w:w="56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20"/>
                <w:szCs w:val="20"/>
                <w:color w:val="auto"/>
                <w:w w:val="90"/>
              </w:rPr>
              <w:t>1.409A-1(h). Death and disability shall not be deemed Covered Terminations. If an Involuntary Termination Without Cause</w:t>
            </w:r>
          </w:p>
        </w:tc>
      </w:tr>
      <w:tr>
        <w:trPr>
          <w:trHeight w:val="250"/>
        </w:trPr>
        <w:tc>
          <w:tcPr>
            <w:tcW w:w="560" w:type="dxa"/>
            <w:vAlign w:val="bottom"/>
          </w:tcPr>
          <w:p>
            <w:pPr>
              <w:spacing w:after="0"/>
              <w:rPr>
                <w:sz w:val="21"/>
                <w:szCs w:val="21"/>
                <w:color w:val="auto"/>
              </w:rPr>
            </w:pPr>
          </w:p>
        </w:tc>
        <w:tc>
          <w:tcPr>
            <w:tcW w:w="10040" w:type="dxa"/>
            <w:vAlign w:val="bottom"/>
          </w:tcPr>
          <w:p>
            <w:pPr>
              <w:ind w:left="220"/>
              <w:spacing w:after="0"/>
              <w:rPr>
                <w:sz w:val="20"/>
                <w:szCs w:val="20"/>
                <w:color w:val="auto"/>
              </w:rPr>
            </w:pPr>
            <w:r>
              <w:rPr>
                <w:rFonts w:ascii="Arial" w:cs="Arial" w:eastAsia="Arial" w:hAnsi="Arial"/>
                <w:sz w:val="20"/>
                <w:szCs w:val="20"/>
                <w:color w:val="auto"/>
                <w:w w:val="89"/>
              </w:rPr>
              <w:t>or Resignation for Good Reason qualifies as a Change in Control Termination, it shall not constitute a Covered Termination.</w:t>
            </w:r>
          </w:p>
        </w:tc>
      </w:tr>
      <w:tr>
        <w:trPr>
          <w:trHeight w:val="384"/>
        </w:trPr>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w w:val="85"/>
              </w:rPr>
              <w:t>7.12.</w:t>
            </w:r>
          </w:p>
        </w:tc>
        <w:tc>
          <w:tcPr>
            <w:tcW w:w="10040" w:type="dxa"/>
            <w:vAlign w:val="bottom"/>
          </w:tcPr>
          <w:p>
            <w:pPr>
              <w:ind w:left="8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Termination Benefits Period</w:t>
            </w:r>
            <w:r>
              <w:rPr>
                <w:rFonts w:ascii="Arial" w:cs="Arial" w:eastAsia="Arial" w:hAnsi="Arial"/>
                <w:sz w:val="20"/>
                <w:szCs w:val="20"/>
                <w:color w:val="auto"/>
              </w:rPr>
              <w:t>” means the period of eighteen (18) months commencing on</w:t>
            </w:r>
          </w:p>
        </w:tc>
      </w:tr>
      <w:tr>
        <w:trPr>
          <w:trHeight w:val="250"/>
        </w:trPr>
        <w:tc>
          <w:tcPr>
            <w:tcW w:w="56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20"/>
                <w:szCs w:val="20"/>
                <w:color w:val="auto"/>
              </w:rPr>
              <w:t>the Termination Date.</w:t>
            </w:r>
          </w:p>
        </w:tc>
      </w:tr>
      <w:tr>
        <w:trPr>
          <w:trHeight w:val="370"/>
        </w:trPr>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w w:val="85"/>
              </w:rPr>
              <w:t>7.13.</w:t>
            </w:r>
          </w:p>
        </w:tc>
        <w:tc>
          <w:tcPr>
            <w:tcW w:w="10040" w:type="dxa"/>
            <w:vAlign w:val="bottom"/>
          </w:tcPr>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Termination Severance Period</w:t>
            </w:r>
            <w:r>
              <w:rPr>
                <w:rFonts w:ascii="Arial" w:cs="Arial" w:eastAsia="Arial" w:hAnsi="Arial"/>
                <w:sz w:val="20"/>
                <w:szCs w:val="20"/>
                <w:color w:val="auto"/>
              </w:rPr>
              <w:t>” means the period of twelve (12) months commencing on</w:t>
            </w:r>
          </w:p>
        </w:tc>
      </w:tr>
      <w:tr>
        <w:trPr>
          <w:trHeight w:val="250"/>
        </w:trPr>
        <w:tc>
          <w:tcPr>
            <w:tcW w:w="56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20"/>
                <w:szCs w:val="20"/>
                <w:color w:val="auto"/>
              </w:rPr>
              <w:t>the Termination Date.</w:t>
            </w:r>
          </w:p>
        </w:tc>
      </w:tr>
      <w:tr>
        <w:trPr>
          <w:trHeight w:val="370"/>
        </w:trPr>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w w:val="85"/>
              </w:rPr>
              <w:t>7.14.</w:t>
            </w:r>
          </w:p>
        </w:tc>
        <w:tc>
          <w:tcPr>
            <w:tcW w:w="10040" w:type="dxa"/>
            <w:vAlign w:val="bottom"/>
          </w:tcPr>
          <w:p>
            <w:pPr>
              <w:ind w:left="98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Involuntary Termination Without Cause</w:t>
            </w:r>
            <w:r>
              <w:rPr>
                <w:rFonts w:ascii="Arial" w:cs="Arial" w:eastAsia="Arial" w:hAnsi="Arial"/>
                <w:sz w:val="20"/>
                <w:szCs w:val="20"/>
                <w:color w:val="auto"/>
                <w:w w:val="95"/>
              </w:rPr>
              <w:t>” means Executive’s dismissal or discharge by the Company for</w:t>
            </w:r>
          </w:p>
        </w:tc>
      </w:tr>
      <w:tr>
        <w:trPr>
          <w:trHeight w:val="250"/>
        </w:trPr>
        <w:tc>
          <w:tcPr>
            <w:tcW w:w="560" w:type="dxa"/>
            <w:vAlign w:val="bottom"/>
          </w:tcPr>
          <w:p>
            <w:pPr>
              <w:spacing w:after="0"/>
              <w:rPr>
                <w:sz w:val="21"/>
                <w:szCs w:val="21"/>
                <w:color w:val="auto"/>
              </w:rPr>
            </w:pPr>
          </w:p>
        </w:tc>
        <w:tc>
          <w:tcPr>
            <w:tcW w:w="10040" w:type="dxa"/>
            <w:vAlign w:val="bottom"/>
          </w:tcPr>
          <w:p>
            <w:pPr>
              <w:ind w:left="220"/>
              <w:spacing w:after="0"/>
              <w:rPr>
                <w:sz w:val="20"/>
                <w:szCs w:val="20"/>
                <w:color w:val="auto"/>
              </w:rPr>
            </w:pPr>
            <w:r>
              <w:rPr>
                <w:rFonts w:ascii="Arial" w:cs="Arial" w:eastAsia="Arial" w:hAnsi="Arial"/>
                <w:sz w:val="20"/>
                <w:szCs w:val="20"/>
                <w:color w:val="auto"/>
              </w:rPr>
              <w:t>reasons other than Cause and other than as a result of death or disability.</w:t>
            </w:r>
          </w:p>
        </w:tc>
      </w:tr>
      <w:tr>
        <w:trPr>
          <w:trHeight w:val="386"/>
        </w:trPr>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w w:val="85"/>
              </w:rPr>
              <w:t>7.15.</w:t>
            </w:r>
          </w:p>
        </w:tc>
        <w:tc>
          <w:tcPr>
            <w:tcW w:w="10040" w:type="dxa"/>
            <w:vAlign w:val="bottom"/>
          </w:tcPr>
          <w:p>
            <w:pPr>
              <w:ind w:left="94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Monthly Base Salary</w:t>
            </w:r>
            <w:r>
              <w:rPr>
                <w:rFonts w:ascii="Arial" w:cs="Arial" w:eastAsia="Arial" w:hAnsi="Arial"/>
                <w:sz w:val="20"/>
                <w:szCs w:val="20"/>
                <w:color w:val="auto"/>
                <w:w w:val="94"/>
              </w:rPr>
              <w:t>” means 1/12</w:t>
            </w:r>
            <w:r>
              <w:rPr>
                <w:rFonts w:ascii="Arial" w:cs="Arial" w:eastAsia="Arial" w:hAnsi="Arial"/>
                <w:sz w:val="16"/>
                <w:szCs w:val="16"/>
                <w:color w:val="auto"/>
                <w:w w:val="94"/>
              </w:rPr>
              <w:t>th</w:t>
            </w:r>
            <w:r>
              <w:rPr>
                <w:rFonts w:ascii="Arial" w:cs="Arial" w:eastAsia="Arial" w:hAnsi="Arial"/>
                <w:sz w:val="20"/>
                <w:szCs w:val="20"/>
                <w:color w:val="auto"/>
                <w:w w:val="94"/>
              </w:rPr>
              <w:t xml:space="preserve"> of the greater of (i) Executive’s annual base salary (excluding incentive</w:t>
            </w:r>
          </w:p>
        </w:tc>
      </w:tr>
    </w:tbl>
    <w:p>
      <w:pPr>
        <w:ind w:left="780" w:right="620"/>
        <w:spacing w:after="0" w:line="241" w:lineRule="auto"/>
        <w:rPr>
          <w:sz w:val="20"/>
          <w:szCs w:val="20"/>
          <w:color w:val="auto"/>
        </w:rPr>
      </w:pPr>
      <w:r>
        <w:rPr>
          <w:rFonts w:ascii="Arial" w:cs="Arial" w:eastAsia="Arial" w:hAnsi="Arial"/>
          <w:sz w:val="20"/>
          <w:szCs w:val="20"/>
          <w:color w:val="auto"/>
        </w:rPr>
        <w:t>pay, premium pay, commissions, overtime, bonuses and other forms of variable compensation) as in effect on the date of a Change in Control Termination or a Covered Termination, as applicable, or (ii) in the case of a Change in Control Termination, Executive’s</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215900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80" w:top="271" w:right="5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9660" w:type="dxa"/>
            <w:vAlign w:val="bottom"/>
          </w:tcPr>
          <w:p>
            <w:pPr>
              <w:ind w:left="920"/>
              <w:spacing w:after="0"/>
              <w:rPr>
                <w:sz w:val="20"/>
                <w:szCs w:val="20"/>
                <w:color w:val="auto"/>
              </w:rPr>
            </w:pPr>
            <w:r>
              <w:rPr>
                <w:rFonts w:ascii="Arial" w:cs="Arial" w:eastAsia="Arial" w:hAnsi="Arial"/>
                <w:sz w:val="20"/>
                <w:szCs w:val="20"/>
                <w:color w:val="auto"/>
                <w:w w:val="88"/>
              </w:rPr>
              <w:t>annual base salary (excluding incentive pay, premium pay, commissions, overtime, bonuses and other forms of</w:t>
            </w:r>
          </w:p>
        </w:tc>
      </w:tr>
      <w:tr>
        <w:trPr>
          <w:trHeight w:val="250"/>
        </w:trPr>
        <w:tc>
          <w:tcPr>
            <w:tcW w:w="560" w:type="dxa"/>
            <w:vAlign w:val="bottom"/>
          </w:tcPr>
          <w:p>
            <w:pPr>
              <w:spacing w:after="0"/>
              <w:rPr>
                <w:sz w:val="21"/>
                <w:szCs w:val="21"/>
                <w:color w:val="auto"/>
              </w:rPr>
            </w:pPr>
          </w:p>
        </w:tc>
        <w:tc>
          <w:tcPr>
            <w:tcW w:w="9660" w:type="dxa"/>
            <w:vAlign w:val="bottom"/>
          </w:tcPr>
          <w:p>
            <w:pPr>
              <w:ind w:left="200"/>
              <w:spacing w:after="0"/>
              <w:rPr>
                <w:sz w:val="20"/>
                <w:szCs w:val="20"/>
                <w:color w:val="auto"/>
              </w:rPr>
            </w:pPr>
            <w:r>
              <w:rPr>
                <w:rFonts w:ascii="Arial" w:cs="Arial" w:eastAsia="Arial" w:hAnsi="Arial"/>
                <w:sz w:val="20"/>
                <w:szCs w:val="20"/>
                <w:color w:val="auto"/>
              </w:rPr>
              <w:t>variable compensation) as in effect on the date of a Change in Control.</w:t>
            </w:r>
          </w:p>
        </w:tc>
      </w:tr>
      <w:tr>
        <w:trPr>
          <w:trHeight w:val="370"/>
        </w:trPr>
        <w:tc>
          <w:tcPr>
            <w:tcW w:w="560" w:type="dxa"/>
            <w:vAlign w:val="bottom"/>
          </w:tcPr>
          <w:p>
            <w:pPr>
              <w:jc w:val="right"/>
              <w:ind w:right="81"/>
              <w:spacing w:after="0"/>
              <w:rPr>
                <w:sz w:val="20"/>
                <w:szCs w:val="20"/>
                <w:color w:val="auto"/>
              </w:rPr>
            </w:pPr>
            <w:r>
              <w:rPr>
                <w:rFonts w:ascii="Arial" w:cs="Arial" w:eastAsia="Arial" w:hAnsi="Arial"/>
                <w:sz w:val="20"/>
                <w:szCs w:val="20"/>
                <w:b w:val="1"/>
                <w:bCs w:val="1"/>
                <w:color w:val="auto"/>
                <w:w w:val="80"/>
              </w:rPr>
              <w:t>7.16.</w:t>
            </w:r>
          </w:p>
        </w:tc>
        <w:tc>
          <w:tcPr>
            <w:tcW w:w="9660" w:type="dxa"/>
            <w:vAlign w:val="bottom"/>
          </w:tcPr>
          <w:p>
            <w:pPr>
              <w:ind w:left="92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Prior Employment Agreement</w:t>
            </w:r>
            <w:r>
              <w:rPr>
                <w:rFonts w:ascii="Arial" w:cs="Arial" w:eastAsia="Arial" w:hAnsi="Arial"/>
                <w:sz w:val="20"/>
                <w:szCs w:val="20"/>
                <w:color w:val="auto"/>
                <w:w w:val="95"/>
              </w:rPr>
              <w:t>” means that certain offer letter agreement, between the Company and</w:t>
            </w:r>
          </w:p>
        </w:tc>
      </w:tr>
      <w:tr>
        <w:trPr>
          <w:trHeight w:val="250"/>
        </w:trPr>
        <w:tc>
          <w:tcPr>
            <w:tcW w:w="560" w:type="dxa"/>
            <w:vAlign w:val="bottom"/>
          </w:tcPr>
          <w:p>
            <w:pPr>
              <w:spacing w:after="0"/>
              <w:rPr>
                <w:sz w:val="21"/>
                <w:szCs w:val="21"/>
                <w:color w:val="auto"/>
              </w:rPr>
            </w:pPr>
          </w:p>
        </w:tc>
        <w:tc>
          <w:tcPr>
            <w:tcW w:w="9660" w:type="dxa"/>
            <w:vAlign w:val="bottom"/>
          </w:tcPr>
          <w:p>
            <w:pPr>
              <w:ind w:left="200"/>
              <w:spacing w:after="0"/>
              <w:rPr>
                <w:sz w:val="20"/>
                <w:szCs w:val="20"/>
                <w:color w:val="auto"/>
              </w:rPr>
            </w:pPr>
            <w:r>
              <w:rPr>
                <w:rFonts w:ascii="Arial" w:cs="Arial" w:eastAsia="Arial" w:hAnsi="Arial"/>
                <w:sz w:val="20"/>
                <w:szCs w:val="20"/>
                <w:color w:val="auto"/>
              </w:rPr>
              <w:t>Executive, dated September 30, 2015.</w:t>
            </w:r>
          </w:p>
        </w:tc>
      </w:tr>
      <w:tr>
        <w:trPr>
          <w:trHeight w:val="370"/>
        </w:trPr>
        <w:tc>
          <w:tcPr>
            <w:tcW w:w="560" w:type="dxa"/>
            <w:vAlign w:val="bottom"/>
          </w:tcPr>
          <w:p>
            <w:pPr>
              <w:jc w:val="right"/>
              <w:ind w:right="81"/>
              <w:spacing w:after="0"/>
              <w:rPr>
                <w:sz w:val="20"/>
                <w:szCs w:val="20"/>
                <w:color w:val="auto"/>
              </w:rPr>
            </w:pPr>
            <w:r>
              <w:rPr>
                <w:rFonts w:ascii="Arial" w:cs="Arial" w:eastAsia="Arial" w:hAnsi="Arial"/>
                <w:sz w:val="20"/>
                <w:szCs w:val="20"/>
                <w:b w:val="1"/>
                <w:bCs w:val="1"/>
                <w:color w:val="auto"/>
                <w:w w:val="80"/>
              </w:rPr>
              <w:t>7.17.</w:t>
            </w:r>
          </w:p>
        </w:tc>
        <w:tc>
          <w:tcPr>
            <w:tcW w:w="9660" w:type="dxa"/>
            <w:vAlign w:val="bottom"/>
          </w:tcPr>
          <w:p>
            <w:pPr>
              <w:ind w:left="880"/>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i w:val="1"/>
                <w:iCs w:val="1"/>
                <w:color w:val="auto"/>
                <w:w w:val="99"/>
              </w:rPr>
              <w:t>Pro-Rata Bonus</w:t>
            </w:r>
            <w:r>
              <w:rPr>
                <w:rFonts w:ascii="Arial" w:cs="Arial" w:eastAsia="Arial" w:hAnsi="Arial"/>
                <w:sz w:val="20"/>
                <w:szCs w:val="20"/>
                <w:color w:val="auto"/>
                <w:w w:val="99"/>
              </w:rPr>
              <w:t>” means 1/12</w:t>
            </w:r>
            <w:r>
              <w:rPr>
                <w:rFonts w:ascii="Arial" w:cs="Arial" w:eastAsia="Arial" w:hAnsi="Arial"/>
                <w:sz w:val="16"/>
                <w:szCs w:val="16"/>
                <w:color w:val="auto"/>
                <w:w w:val="99"/>
              </w:rPr>
              <w:t>th</w:t>
            </w:r>
            <w:r>
              <w:rPr>
                <w:rFonts w:ascii="Arial" w:cs="Arial" w:eastAsia="Arial" w:hAnsi="Arial"/>
                <w:sz w:val="20"/>
                <w:szCs w:val="20"/>
                <w:color w:val="auto"/>
                <w:w w:val="99"/>
              </w:rPr>
              <w:t xml:space="preserve"> of the greater of (i) the average Target Performance Bonus paid to</w:t>
            </w:r>
          </w:p>
        </w:tc>
      </w:tr>
      <w:tr>
        <w:trPr>
          <w:trHeight w:val="229"/>
        </w:trPr>
        <w:tc>
          <w:tcPr>
            <w:tcW w:w="560" w:type="dxa"/>
            <w:vAlign w:val="bottom"/>
          </w:tcPr>
          <w:p>
            <w:pPr>
              <w:spacing w:after="0"/>
              <w:rPr>
                <w:sz w:val="19"/>
                <w:szCs w:val="19"/>
                <w:color w:val="auto"/>
              </w:rPr>
            </w:pPr>
          </w:p>
        </w:tc>
        <w:tc>
          <w:tcPr>
            <w:tcW w:w="9660" w:type="dxa"/>
            <w:vAlign w:val="bottom"/>
          </w:tcPr>
          <w:p>
            <w:pPr>
              <w:ind w:left="180"/>
              <w:spacing w:after="0"/>
              <w:rPr>
                <w:sz w:val="20"/>
                <w:szCs w:val="20"/>
                <w:color w:val="auto"/>
              </w:rPr>
            </w:pPr>
            <w:r>
              <w:rPr>
                <w:rFonts w:ascii="Arial" w:cs="Arial" w:eastAsia="Arial" w:hAnsi="Arial"/>
                <w:sz w:val="20"/>
                <w:szCs w:val="20"/>
                <w:color w:val="auto"/>
                <w:w w:val="97"/>
              </w:rPr>
              <w:t>Executive for the three years preceding the date of a Change in Control Termination (or such lesser number of</w:t>
            </w:r>
          </w:p>
        </w:tc>
      </w:tr>
      <w:tr>
        <w:trPr>
          <w:trHeight w:val="229"/>
        </w:trPr>
        <w:tc>
          <w:tcPr>
            <w:tcW w:w="560" w:type="dxa"/>
            <w:vAlign w:val="bottom"/>
          </w:tcPr>
          <w:p>
            <w:pPr>
              <w:spacing w:after="0"/>
              <w:rPr>
                <w:sz w:val="19"/>
                <w:szCs w:val="19"/>
                <w:color w:val="auto"/>
              </w:rPr>
            </w:pPr>
          </w:p>
        </w:tc>
        <w:tc>
          <w:tcPr>
            <w:tcW w:w="9660" w:type="dxa"/>
            <w:vAlign w:val="bottom"/>
          </w:tcPr>
          <w:p>
            <w:pPr>
              <w:ind w:left="180"/>
              <w:spacing w:after="0"/>
              <w:rPr>
                <w:sz w:val="20"/>
                <w:szCs w:val="20"/>
                <w:color w:val="auto"/>
              </w:rPr>
            </w:pPr>
            <w:r>
              <w:rPr>
                <w:rFonts w:ascii="Arial" w:cs="Arial" w:eastAsia="Arial" w:hAnsi="Arial"/>
                <w:sz w:val="20"/>
                <w:szCs w:val="20"/>
                <w:color w:val="auto"/>
                <w:w w:val="95"/>
              </w:rPr>
              <w:t>years during which Executive has been employed by the Company), or (ii) the Target Performance Bonus, as in</w:t>
            </w:r>
          </w:p>
        </w:tc>
      </w:tr>
      <w:tr>
        <w:trPr>
          <w:trHeight w:val="250"/>
        </w:trPr>
        <w:tc>
          <w:tcPr>
            <w:tcW w:w="560" w:type="dxa"/>
            <w:vAlign w:val="bottom"/>
          </w:tcPr>
          <w:p>
            <w:pPr>
              <w:spacing w:after="0"/>
              <w:rPr>
                <w:sz w:val="21"/>
                <w:szCs w:val="21"/>
                <w:color w:val="auto"/>
              </w:rPr>
            </w:pPr>
          </w:p>
        </w:tc>
        <w:tc>
          <w:tcPr>
            <w:tcW w:w="9660" w:type="dxa"/>
            <w:vAlign w:val="bottom"/>
          </w:tcPr>
          <w:p>
            <w:pPr>
              <w:ind w:left="180"/>
              <w:spacing w:after="0"/>
              <w:rPr>
                <w:sz w:val="20"/>
                <w:szCs w:val="20"/>
                <w:color w:val="auto"/>
              </w:rPr>
            </w:pPr>
            <w:r>
              <w:rPr>
                <w:rFonts w:ascii="Arial" w:cs="Arial" w:eastAsia="Arial" w:hAnsi="Arial"/>
                <w:sz w:val="20"/>
                <w:szCs w:val="20"/>
                <w:color w:val="auto"/>
              </w:rPr>
              <w:t>effect on the date of a Change in Control Termination.</w:t>
            </w:r>
          </w:p>
        </w:tc>
      </w:tr>
      <w:tr>
        <w:trPr>
          <w:trHeight w:val="373"/>
        </w:trPr>
        <w:tc>
          <w:tcPr>
            <w:tcW w:w="560" w:type="dxa"/>
            <w:vAlign w:val="bottom"/>
          </w:tcPr>
          <w:p>
            <w:pPr>
              <w:jc w:val="right"/>
              <w:ind w:right="81"/>
              <w:spacing w:after="0"/>
              <w:rPr>
                <w:sz w:val="20"/>
                <w:szCs w:val="20"/>
                <w:color w:val="auto"/>
              </w:rPr>
            </w:pPr>
            <w:r>
              <w:rPr>
                <w:rFonts w:ascii="Arial" w:cs="Arial" w:eastAsia="Arial" w:hAnsi="Arial"/>
                <w:sz w:val="20"/>
                <w:szCs w:val="20"/>
                <w:b w:val="1"/>
                <w:bCs w:val="1"/>
                <w:color w:val="auto"/>
                <w:w w:val="80"/>
              </w:rPr>
              <w:t>7.18.</w:t>
            </w:r>
          </w:p>
        </w:tc>
        <w:tc>
          <w:tcPr>
            <w:tcW w:w="9660" w:type="dxa"/>
            <w:vAlign w:val="bottom"/>
          </w:tcPr>
          <w:p>
            <w:pPr>
              <w:ind w:left="9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Resignation for Good Reason</w:t>
            </w:r>
            <w:r>
              <w:rPr>
                <w:rFonts w:ascii="Arial" w:cs="Arial" w:eastAsia="Arial" w:hAnsi="Arial"/>
                <w:sz w:val="20"/>
                <w:szCs w:val="20"/>
                <w:color w:val="auto"/>
                <w:w w:val="91"/>
              </w:rPr>
              <w:t>” means Executive’s resignation from all employee positions Executive then</w:t>
            </w:r>
          </w:p>
        </w:tc>
      </w:tr>
    </w:tbl>
    <w:p>
      <w:pPr>
        <w:jc w:val="both"/>
        <w:ind w:left="760" w:right="480"/>
        <w:spacing w:after="0" w:line="260" w:lineRule="auto"/>
        <w:rPr>
          <w:sz w:val="20"/>
          <w:szCs w:val="20"/>
          <w:color w:val="auto"/>
        </w:rPr>
      </w:pPr>
      <w:r>
        <w:rPr>
          <w:rFonts w:ascii="Arial" w:cs="Arial" w:eastAsia="Arial" w:hAnsi="Arial"/>
          <w:sz w:val="19"/>
          <w:szCs w:val="19"/>
          <w:color w:val="auto"/>
        </w:rPr>
        <w:t>holds 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23" w:lineRule="exact"/>
        <w:rPr>
          <w:sz w:val="20"/>
          <w:szCs w:val="20"/>
          <w:color w:val="auto"/>
        </w:rPr>
      </w:pPr>
    </w:p>
    <w:p>
      <w:pPr>
        <w:jc w:val="both"/>
        <w:ind w:left="40" w:right="220" w:firstLine="1624"/>
        <w:spacing w:after="0" w:line="246" w:lineRule="auto"/>
        <w:rPr>
          <w:sz w:val="20"/>
          <w:szCs w:val="20"/>
          <w:color w:val="auto"/>
        </w:rPr>
      </w:pPr>
      <w:r>
        <w:rPr>
          <w:rFonts w:ascii="Arial" w:cs="Arial" w:eastAsia="Arial" w:hAnsi="Arial"/>
          <w:sz w:val="20"/>
          <w:szCs w:val="20"/>
          <w:color w:val="auto"/>
        </w:rPr>
        <w:t>a) 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ectPr>
          <w:pgSz w:w="11900" w:h="16838" w:orient="portrait"/>
          <w:cols w:equalWidth="0" w:num="1">
            <w:col w:w="10780"/>
          </w:cols>
          <w:pgMar w:left="400" w:top="122" w:right="719" w:bottom="1440" w:gutter="0" w:footer="0" w:header="0"/>
        </w:sectPr>
      </w:pPr>
    </w:p>
    <w:p>
      <w:pPr>
        <w:spacing w:after="0" w:line="13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b)</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title or reporting relationships);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Executive’s duties, authority or responsibilities are materially diminished (not simply a</w:t>
      </w:r>
    </w:p>
    <w:p>
      <w:pPr>
        <w:spacing w:after="0" w:line="413" w:lineRule="exact"/>
        <w:rPr>
          <w:sz w:val="20"/>
          <w:szCs w:val="20"/>
          <w:color w:val="auto"/>
        </w:rPr>
      </w:pPr>
    </w:p>
    <w:p>
      <w:pPr>
        <w:sectPr>
          <w:pgSz w:w="11900" w:h="16838" w:orient="portrait"/>
          <w:cols w:equalWidth="0" w:num="2">
            <w:col w:w="3340" w:space="240"/>
            <w:col w:w="7200"/>
          </w:cols>
          <w:pgMar w:left="400" w:top="122" w:right="719" w:bottom="1440" w:gutter="0" w:footer="0" w:header="0"/>
          <w:type w:val="continuous"/>
        </w:sectPr>
      </w:pPr>
    </w:p>
    <w:p>
      <w:pPr>
        <w:ind w:left="2200" w:hanging="425"/>
        <w:spacing w:after="0"/>
        <w:tabs>
          <w:tab w:leader="none" w:pos="22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A material breach by the Company of the terms of the Agreement;</w:t>
      </w:r>
    </w:p>
    <w:p>
      <w:pPr>
        <w:spacing w:after="0" w:line="148" w:lineRule="exact"/>
        <w:rPr>
          <w:sz w:val="20"/>
          <w:szCs w:val="20"/>
          <w:color w:val="auto"/>
        </w:rPr>
      </w:pPr>
    </w:p>
    <w:p>
      <w:pPr>
        <w:ind w:left="40" w:firstLine="1668"/>
        <w:spacing w:after="0" w:line="260" w:lineRule="auto"/>
        <w:rPr>
          <w:sz w:val="20"/>
          <w:szCs w:val="20"/>
          <w:color w:val="auto"/>
        </w:rPr>
      </w:pPr>
      <w:r>
        <w:rPr>
          <w:rFonts w:ascii="Arial" w:cs="Arial" w:eastAsia="Arial" w:hAnsi="Arial"/>
          <w:sz w:val="19"/>
          <w:szCs w:val="19"/>
          <w:color w:val="auto"/>
        </w:rPr>
        <w:t>d) Either (i) Executive is required to establish residence in a location more than 50 miles from Executive’s current principal personal residence or (ii) there is an increase in Executive’s round-trip driving distance of more than fifty</w:t>
      </w:r>
    </w:p>
    <w:p>
      <w:pPr>
        <w:spacing w:after="0" w:line="1" w:lineRule="exact"/>
        <w:rPr>
          <w:sz w:val="20"/>
          <w:szCs w:val="20"/>
          <w:color w:val="auto"/>
        </w:rPr>
      </w:pPr>
    </w:p>
    <w:p>
      <w:pPr>
        <w:ind w:left="40" w:right="200" w:firstLine="8"/>
        <w:spacing w:after="0" w:line="255" w:lineRule="auto"/>
        <w:tabs>
          <w:tab w:leader="none" w:pos="419" w:val="left"/>
        </w:tabs>
        <w:numPr>
          <w:ilvl w:val="0"/>
          <w:numId w:val="74"/>
        </w:numPr>
        <w:rPr>
          <w:rFonts w:ascii="Arial" w:cs="Arial" w:eastAsia="Arial" w:hAnsi="Arial"/>
          <w:sz w:val="19"/>
          <w:szCs w:val="19"/>
          <w:color w:val="auto"/>
        </w:rPr>
      </w:pPr>
      <w:r>
        <w:rPr>
          <w:rFonts w:ascii="Arial" w:cs="Arial" w:eastAsia="Arial" w:hAnsi="Arial"/>
          <w:sz w:val="19"/>
          <w:szCs w:val="19"/>
          <w:color w:val="auto"/>
        </w:rPr>
        <w:t>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9"/>
          <w:szCs w:val="19"/>
          <w:b w:val="1"/>
          <w:bCs w:val="1"/>
          <w:i w:val="1"/>
          <w:iCs w:val="1"/>
          <w:color w:val="auto"/>
        </w:rPr>
        <w:t>Executive’s Principal Place of Business</w:t>
      </w:r>
      <w:r>
        <w:rPr>
          <w:rFonts w:ascii="Arial" w:cs="Arial" w:eastAsia="Arial" w:hAnsi="Arial"/>
          <w:sz w:val="19"/>
          <w:szCs w:val="19"/>
          <w:color w:val="auto"/>
        </w:rPr>
        <w:t>”) as a result of a change in location by the Company of Executive’s Principal Place of Business; provided however, that the foregoing shall not include the establishment of a secondary residence within fifty (50) miles from the Company’s Waltham headquarters with Executive’s consent or any commute between Executive’s current principal personal residence and the Company’s Waltham headquarters; or</w:t>
      </w:r>
    </w:p>
    <w:p>
      <w:pPr>
        <w:spacing w:after="0" w:line="128" w:lineRule="exact"/>
        <w:rPr>
          <w:sz w:val="20"/>
          <w:szCs w:val="20"/>
          <w:color w:val="auto"/>
        </w:rPr>
      </w:pPr>
    </w:p>
    <w:p>
      <w:pPr>
        <w:ind w:left="40" w:right="560" w:firstLine="1650"/>
        <w:spacing w:after="0" w:line="260" w:lineRule="auto"/>
        <w:rPr>
          <w:sz w:val="20"/>
          <w:szCs w:val="20"/>
          <w:color w:val="auto"/>
        </w:rPr>
      </w:pPr>
      <w:r>
        <w:rPr>
          <w:rFonts w:ascii="Arial" w:cs="Arial" w:eastAsia="Arial" w:hAnsi="Arial"/>
          <w:sz w:val="20"/>
          <w:szCs w:val="20"/>
          <w:color w:val="auto"/>
        </w:rPr>
        <w:t>e) The failure of the Company to obtain a satisfactory agreement from any successor to materially assume and materially agree to perform under the terms of this Agreement.</w:t>
      </w:r>
    </w:p>
    <w:p>
      <w:pPr>
        <w:spacing w:after="0" w:line="116" w:lineRule="exact"/>
        <w:rPr>
          <w:sz w:val="20"/>
          <w:szCs w:val="20"/>
          <w:color w:val="auto"/>
        </w:rPr>
      </w:pPr>
    </w:p>
    <w:p>
      <w:pPr>
        <w:ind w:left="760" w:right="400" w:hanging="758"/>
        <w:spacing w:after="0" w:line="260" w:lineRule="auto"/>
        <w:tabs>
          <w:tab w:leader="none" w:pos="740" w:val="left"/>
        </w:tabs>
        <w:rPr>
          <w:sz w:val="20"/>
          <w:szCs w:val="20"/>
          <w:color w:val="auto"/>
        </w:rPr>
      </w:pPr>
      <w:r>
        <w:rPr>
          <w:rFonts w:ascii="Arial" w:cs="Arial" w:eastAsia="Arial" w:hAnsi="Arial"/>
          <w:sz w:val="20"/>
          <w:szCs w:val="20"/>
          <w:b w:val="1"/>
          <w:bCs w:val="1"/>
          <w:color w:val="auto"/>
        </w:rPr>
        <w:t>7.19.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effective date of the Change in Control Termination, the Covered Termination or a termination for Cause, as applicable.</w:t>
      </w:r>
    </w:p>
    <w:p>
      <w:pPr>
        <w:spacing w:after="0" w:line="122"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ARTICLE 8</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GENERAL PROVISIONS</w:t>
      </w:r>
    </w:p>
    <w:p>
      <w:pPr>
        <w:ind w:left="740" w:right="720" w:hanging="746"/>
        <w:spacing w:after="0"/>
        <w:tabs>
          <w:tab w:leader="none" w:pos="7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20"/>
          <w:szCs w:val="20"/>
          <w:b w:val="1"/>
          <w:bCs w:val="1"/>
          <w:color w:val="auto"/>
        </w:rPr>
        <w:t>Employment Status</w:t>
      </w:r>
      <w:r>
        <w:rPr>
          <w:rFonts w:ascii="Arial" w:cs="Arial" w:eastAsia="Arial" w:hAnsi="Arial"/>
          <w:sz w:val="20"/>
          <w:szCs w:val="20"/>
          <w:color w:val="auto"/>
        </w:rPr>
        <w:t>. This Agreement does not constitute a contract of employment or impose upon</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any 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197"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215900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400" w:top="122" w:right="71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5"/>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8.2.</w:t>
            </w:r>
          </w:p>
        </w:tc>
        <w:tc>
          <w:tcPr>
            <w:tcW w:w="10660" w:type="dxa"/>
            <w:vAlign w:val="bottom"/>
          </w:tcPr>
          <w:p>
            <w:pPr>
              <w:ind w:left="920"/>
              <w:spacing w:after="0"/>
              <w:rPr>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Any notices provided hereunder must be in writing, and such notices or any other written</w:t>
            </w:r>
          </w:p>
        </w:tc>
      </w:tr>
      <w:tr>
        <w:trPr>
          <w:trHeight w:val="229"/>
        </w:trPr>
        <w:tc>
          <w:tcPr>
            <w:tcW w:w="6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20"/>
                <w:szCs w:val="20"/>
                <w:color w:val="auto"/>
              </w:rPr>
              <w:t>communication shall be deemed effective upon the earlier of personal delivery (including personal delivery by</w:t>
            </w:r>
          </w:p>
        </w:tc>
      </w:tr>
      <w:tr>
        <w:trPr>
          <w:trHeight w:val="229"/>
        </w:trPr>
        <w:tc>
          <w:tcPr>
            <w:tcW w:w="6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20"/>
                <w:szCs w:val="20"/>
                <w:color w:val="auto"/>
              </w:rPr>
              <w:t>facsimile) or the third day after mailing by first class mail, to the Company at its primary office location and to</w:t>
            </w:r>
          </w:p>
        </w:tc>
      </w:tr>
      <w:tr>
        <w:trPr>
          <w:trHeight w:val="229"/>
        </w:trPr>
        <w:tc>
          <w:tcPr>
            <w:tcW w:w="6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20"/>
                <w:szCs w:val="20"/>
                <w:color w:val="auto"/>
              </w:rPr>
              <w:t>Executive at Executive’s address as listed in the Company’s payroll records. Any payments made by the Company</w:t>
            </w:r>
          </w:p>
        </w:tc>
      </w:tr>
      <w:tr>
        <w:trPr>
          <w:trHeight w:val="229"/>
        </w:trPr>
        <w:tc>
          <w:tcPr>
            <w:tcW w:w="600" w:type="dxa"/>
            <w:vAlign w:val="bottom"/>
          </w:tcPr>
          <w:p>
            <w:pPr>
              <w:spacing w:after="0"/>
              <w:rPr>
                <w:sz w:val="19"/>
                <w:szCs w:val="19"/>
                <w:color w:val="auto"/>
              </w:rPr>
            </w:pPr>
          </w:p>
        </w:tc>
        <w:tc>
          <w:tcPr>
            <w:tcW w:w="10660" w:type="dxa"/>
            <w:vAlign w:val="bottom"/>
          </w:tcPr>
          <w:p>
            <w:pPr>
              <w:ind w:left="220"/>
              <w:spacing w:after="0"/>
              <w:rPr>
                <w:sz w:val="20"/>
                <w:szCs w:val="20"/>
                <w:color w:val="auto"/>
              </w:rPr>
            </w:pPr>
            <w:r>
              <w:rPr>
                <w:rFonts w:ascii="Arial" w:cs="Arial" w:eastAsia="Arial" w:hAnsi="Arial"/>
                <w:sz w:val="20"/>
                <w:szCs w:val="20"/>
                <w:color w:val="auto"/>
              </w:rPr>
              <w:t>to Executive under the terms of this Agreement shall be delivered to Executive either in person or at the address as</w:t>
            </w:r>
          </w:p>
        </w:tc>
      </w:tr>
      <w:tr>
        <w:trPr>
          <w:trHeight w:val="250"/>
        </w:trPr>
        <w:tc>
          <w:tcPr>
            <w:tcW w:w="600" w:type="dxa"/>
            <w:vAlign w:val="bottom"/>
          </w:tcPr>
          <w:p>
            <w:pPr>
              <w:spacing w:after="0"/>
              <w:rPr>
                <w:sz w:val="21"/>
                <w:szCs w:val="21"/>
                <w:color w:val="auto"/>
              </w:rPr>
            </w:pPr>
          </w:p>
        </w:tc>
        <w:tc>
          <w:tcPr>
            <w:tcW w:w="10660" w:type="dxa"/>
            <w:vAlign w:val="bottom"/>
          </w:tcPr>
          <w:p>
            <w:pPr>
              <w:ind w:left="220"/>
              <w:spacing w:after="0"/>
              <w:rPr>
                <w:sz w:val="20"/>
                <w:szCs w:val="20"/>
                <w:color w:val="auto"/>
              </w:rPr>
            </w:pPr>
            <w:r>
              <w:rPr>
                <w:rFonts w:ascii="Arial" w:cs="Arial" w:eastAsia="Arial" w:hAnsi="Arial"/>
                <w:sz w:val="20"/>
                <w:szCs w:val="20"/>
                <w:color w:val="auto"/>
              </w:rPr>
              <w:t>listed in the Company’s payroll records.</w:t>
            </w:r>
          </w:p>
        </w:tc>
      </w:tr>
      <w:tr>
        <w:trPr>
          <w:trHeight w:val="357"/>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8.3.</w:t>
            </w:r>
          </w:p>
        </w:tc>
        <w:tc>
          <w:tcPr>
            <w:tcW w:w="10660" w:type="dxa"/>
            <w:vAlign w:val="bottom"/>
          </w:tcPr>
          <w:p>
            <w:pPr>
              <w:ind w:left="1000"/>
              <w:spacing w:after="0"/>
              <w:rPr>
                <w:sz w:val="20"/>
                <w:szCs w:val="20"/>
                <w:color w:val="auto"/>
              </w:rPr>
            </w:pPr>
            <w:r>
              <w:rPr>
                <w:rFonts w:ascii="Arial" w:cs="Arial" w:eastAsia="Arial" w:hAnsi="Arial"/>
                <w:sz w:val="20"/>
                <w:szCs w:val="20"/>
                <w:b w:val="1"/>
                <w:bCs w:val="1"/>
                <w:color w:val="auto"/>
                <w:w w:val="98"/>
              </w:rPr>
              <w:t>Severability</w:t>
            </w:r>
            <w:r>
              <w:rPr>
                <w:rFonts w:ascii="Arial" w:cs="Arial" w:eastAsia="Arial" w:hAnsi="Arial"/>
                <w:sz w:val="20"/>
                <w:szCs w:val="20"/>
                <w:color w:val="auto"/>
                <w:w w:val="98"/>
              </w:rPr>
              <w:t>. Whenever possible, each provision of this Agreement will be interpreted in such manner as to be</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effective and valid under applicable law, but if any provision of this Agreement is held to be invalid, illegal or unenforceable</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in any respect under any applicable law or rule in any jurisdiction, such invalidity, illegality or unenforceability will not</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8"/>
              </w:rPr>
              <w:t>affect any other provision or any other jurisdiction, but this Agreement will be reformed, construed and enforced in such</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jurisdiction as if such invalid, illegal or unenforceable provisions had never been contained herein.</w:t>
            </w:r>
          </w:p>
        </w:tc>
      </w:tr>
      <w:tr>
        <w:trPr>
          <w:trHeight w:val="370"/>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8.4.</w:t>
            </w:r>
          </w:p>
        </w:tc>
        <w:tc>
          <w:tcPr>
            <w:tcW w:w="10660" w:type="dxa"/>
            <w:vAlign w:val="bottom"/>
          </w:tcPr>
          <w:p>
            <w:pPr>
              <w:ind w:left="1000"/>
              <w:spacing w:after="0"/>
              <w:rPr>
                <w:sz w:val="20"/>
                <w:szCs w:val="20"/>
                <w:color w:val="auto"/>
              </w:rPr>
            </w:pPr>
            <w:r>
              <w:rPr>
                <w:rFonts w:ascii="Arial" w:cs="Arial" w:eastAsia="Arial" w:hAnsi="Arial"/>
                <w:sz w:val="20"/>
                <w:szCs w:val="20"/>
                <w:b w:val="1"/>
                <w:bCs w:val="1"/>
                <w:color w:val="auto"/>
                <w:w w:val="95"/>
              </w:rPr>
              <w:t>Waiver</w:t>
            </w:r>
            <w:r>
              <w:rPr>
                <w:rFonts w:ascii="Arial" w:cs="Arial" w:eastAsia="Arial" w:hAnsi="Arial"/>
                <w:sz w:val="20"/>
                <w:szCs w:val="20"/>
                <w:color w:val="auto"/>
                <w:w w:val="95"/>
              </w:rPr>
              <w:t>. If either party should waive any breach of any provisions of this Agreement, he, she or it shall not thereby</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9"/>
              </w:rPr>
              <w:t>be deemed to have waived any preceding or succeeding breach of the same or any other provision of this Agreement.</w:t>
            </w:r>
          </w:p>
        </w:tc>
      </w:tr>
      <w:tr>
        <w:trPr>
          <w:trHeight w:val="357"/>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8.5.</w:t>
            </w:r>
          </w:p>
        </w:tc>
        <w:tc>
          <w:tcPr>
            <w:tcW w:w="10660" w:type="dxa"/>
            <w:vAlign w:val="bottom"/>
          </w:tcPr>
          <w:p>
            <w:pPr>
              <w:ind w:left="1000"/>
              <w:spacing w:after="0"/>
              <w:rPr>
                <w:sz w:val="20"/>
                <w:szCs w:val="20"/>
                <w:color w:val="auto"/>
              </w:rPr>
            </w:pPr>
            <w:r>
              <w:rPr>
                <w:rFonts w:ascii="Arial" w:cs="Arial" w:eastAsia="Arial" w:hAnsi="Arial"/>
                <w:sz w:val="20"/>
                <w:szCs w:val="20"/>
                <w:b w:val="1"/>
                <w:bCs w:val="1"/>
                <w:color w:val="auto"/>
                <w:w w:val="99"/>
              </w:rPr>
              <w:t>Complete Agreement</w:t>
            </w:r>
            <w:r>
              <w:rPr>
                <w:rFonts w:ascii="Arial" w:cs="Arial" w:eastAsia="Arial" w:hAnsi="Arial"/>
                <w:sz w:val="20"/>
                <w:szCs w:val="20"/>
                <w:color w:val="auto"/>
                <w:w w:val="99"/>
              </w:rPr>
              <w:t>. This Agreement, including</w:t>
            </w:r>
            <w:r>
              <w:rPr>
                <w:rFonts w:ascii="Arial" w:cs="Arial" w:eastAsia="Arial" w:hAnsi="Arial"/>
                <w:sz w:val="20"/>
                <w:szCs w:val="20"/>
                <w:b w:val="1"/>
                <w:bCs w:val="1"/>
                <w:color w:val="auto"/>
                <w:w w:val="99"/>
              </w:rPr>
              <w:t xml:space="preserve"> Exhibit A</w:t>
            </w:r>
            <w:r>
              <w:rPr>
                <w:rFonts w:ascii="Arial" w:cs="Arial" w:eastAsia="Arial" w:hAnsi="Arial"/>
                <w:sz w:val="20"/>
                <w:szCs w:val="20"/>
                <w:color w:val="auto"/>
                <w:w w:val="99"/>
              </w:rPr>
              <w:t>,</w:t>
            </w:r>
            <w:r>
              <w:rPr>
                <w:rFonts w:ascii="Arial" w:cs="Arial" w:eastAsia="Arial" w:hAnsi="Arial"/>
                <w:sz w:val="20"/>
                <w:szCs w:val="20"/>
                <w:b w:val="1"/>
                <w:bCs w:val="1"/>
                <w:color w:val="auto"/>
                <w:w w:val="99"/>
              </w:rPr>
              <w:t xml:space="preserve"> Exhibit B </w:t>
            </w:r>
            <w:r>
              <w:rPr>
                <w:rFonts w:ascii="Arial" w:cs="Arial" w:eastAsia="Arial" w:hAnsi="Arial"/>
                <w:sz w:val="20"/>
                <w:szCs w:val="20"/>
                <w:color w:val="auto"/>
                <w:w w:val="99"/>
              </w:rPr>
              <w:t>and</w:t>
            </w:r>
            <w:r>
              <w:rPr>
                <w:rFonts w:ascii="Arial" w:cs="Arial" w:eastAsia="Arial" w:hAnsi="Arial"/>
                <w:sz w:val="20"/>
                <w:szCs w:val="20"/>
                <w:b w:val="1"/>
                <w:bCs w:val="1"/>
                <w:color w:val="auto"/>
                <w:w w:val="99"/>
              </w:rPr>
              <w:t xml:space="preserve"> Exhibit C</w:t>
            </w:r>
            <w:r>
              <w:rPr>
                <w:rFonts w:ascii="Arial" w:cs="Arial" w:eastAsia="Arial" w:hAnsi="Arial"/>
                <w:sz w:val="20"/>
                <w:szCs w:val="20"/>
                <w:color w:val="auto"/>
                <w:w w:val="99"/>
              </w:rPr>
              <w:t>, and the Confidentiality</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7"/>
              </w:rPr>
              <w:t>Agreement constitute the entire agreement between Executive and the Company and is the complete, final and exclusive</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embodiment of their agreement with regard to this subject matter, wholly superseding all written and oral agreements with</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5"/>
              </w:rPr>
              <w:t>respect to payments and benefits to Executive in the event of employment termination. It is entered into without reliance on</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any promise or representation other than those expressly contained herein.</w:t>
            </w:r>
          </w:p>
        </w:tc>
      </w:tr>
      <w:tr>
        <w:trPr>
          <w:trHeight w:val="370"/>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8.6.</w:t>
            </w:r>
          </w:p>
        </w:tc>
        <w:tc>
          <w:tcPr>
            <w:tcW w:w="10660" w:type="dxa"/>
            <w:vAlign w:val="bottom"/>
          </w:tcPr>
          <w:p>
            <w:pPr>
              <w:ind w:left="1000"/>
              <w:spacing w:after="0"/>
              <w:rPr>
                <w:sz w:val="20"/>
                <w:szCs w:val="20"/>
                <w:color w:val="auto"/>
              </w:rPr>
            </w:pPr>
            <w:r>
              <w:rPr>
                <w:rFonts w:ascii="Arial" w:cs="Arial" w:eastAsia="Arial" w:hAnsi="Arial"/>
                <w:sz w:val="20"/>
                <w:szCs w:val="20"/>
                <w:b w:val="1"/>
                <w:bCs w:val="1"/>
                <w:color w:val="auto"/>
                <w:w w:val="96"/>
              </w:rPr>
              <w:t>Amendment or Termination of Agreement; Continuation of Agreement</w:t>
            </w:r>
            <w:r>
              <w:rPr>
                <w:rFonts w:ascii="Arial" w:cs="Arial" w:eastAsia="Arial" w:hAnsi="Arial"/>
                <w:sz w:val="20"/>
                <w:szCs w:val="20"/>
                <w:color w:val="auto"/>
                <w:w w:val="96"/>
              </w:rPr>
              <w:t>. This Agreement may be changed or</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terminated only upon the mutual written consent of the Company and Executive. The written consent of the Company to a</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9"/>
              </w:rPr>
              <w:t>change or termination of this Agreement must be signed by an executive officer of the Company (other than Executive)</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after such change or termination has been approved by the Board. Unless so terminated, this Agreement shall continue in</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effect for as long as Executive continues to be employed by the Company or by any surviving entity following any Change</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9"/>
              </w:rPr>
              <w:t>in Control. In other words, if, following a Change in Control, Executive continues to be employed by the surviving entity</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9"/>
              </w:rPr>
              <w:t>without a Change in Control Termination and the surviving entity then undergoes a Change in Control, following which</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Executive is terminated by the subsequent surviving entity in a Change in Control Termination, then Executive shall</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receive the benefits described in Article 3 hereof.</w:t>
            </w:r>
          </w:p>
        </w:tc>
      </w:tr>
      <w:tr>
        <w:trPr>
          <w:trHeight w:val="357"/>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8.7.</w:t>
            </w:r>
          </w:p>
        </w:tc>
        <w:tc>
          <w:tcPr>
            <w:tcW w:w="10660" w:type="dxa"/>
            <w:vAlign w:val="bottom"/>
          </w:tcPr>
          <w:p>
            <w:pPr>
              <w:ind w:left="960"/>
              <w:spacing w:after="0"/>
              <w:rPr>
                <w:sz w:val="20"/>
                <w:szCs w:val="20"/>
                <w:color w:val="auto"/>
              </w:rPr>
            </w:pPr>
            <w:r>
              <w:rPr>
                <w:rFonts w:ascii="Arial" w:cs="Arial" w:eastAsia="Arial" w:hAnsi="Arial"/>
                <w:sz w:val="20"/>
                <w:szCs w:val="20"/>
                <w:b w:val="1"/>
                <w:bCs w:val="1"/>
                <w:color w:val="auto"/>
                <w:w w:val="99"/>
              </w:rPr>
              <w:t>Counterparts</w:t>
            </w:r>
            <w:r>
              <w:rPr>
                <w:rFonts w:ascii="Arial" w:cs="Arial" w:eastAsia="Arial" w:hAnsi="Arial"/>
                <w:sz w:val="20"/>
                <w:szCs w:val="20"/>
                <w:color w:val="auto"/>
                <w:w w:val="99"/>
              </w:rPr>
              <w:t>. This Agreement may be executed in separate counterparts, any one of which need not contain</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signatures of more than one party, but all of which taken together will constitute one and the same Agreement.</w:t>
            </w:r>
          </w:p>
        </w:tc>
      </w:tr>
      <w:tr>
        <w:trPr>
          <w:trHeight w:val="370"/>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8.8.</w:t>
            </w:r>
          </w:p>
        </w:tc>
        <w:tc>
          <w:tcPr>
            <w:tcW w:w="10660" w:type="dxa"/>
            <w:vAlign w:val="bottom"/>
          </w:tcPr>
          <w:p>
            <w:pPr>
              <w:ind w:left="1000"/>
              <w:spacing w:after="0"/>
              <w:rPr>
                <w:sz w:val="20"/>
                <w:szCs w:val="20"/>
                <w:color w:val="auto"/>
              </w:rPr>
            </w:pPr>
            <w:r>
              <w:rPr>
                <w:rFonts w:ascii="Arial" w:cs="Arial" w:eastAsia="Arial" w:hAnsi="Arial"/>
                <w:sz w:val="20"/>
                <w:szCs w:val="20"/>
                <w:b w:val="1"/>
                <w:bCs w:val="1"/>
                <w:color w:val="auto"/>
                <w:w w:val="98"/>
              </w:rPr>
              <w:t>Headings</w:t>
            </w:r>
            <w:r>
              <w:rPr>
                <w:rFonts w:ascii="Arial" w:cs="Arial" w:eastAsia="Arial" w:hAnsi="Arial"/>
                <w:sz w:val="20"/>
                <w:szCs w:val="20"/>
                <w:color w:val="auto"/>
                <w:w w:val="98"/>
              </w:rPr>
              <w:t>. The headings of the Articles and Sections hereof are inserted for convenience only and shall not be</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rPr>
              <w:t>deemed to constitute a part hereof nor to affect the meaning thereof.</w:t>
            </w:r>
          </w:p>
        </w:tc>
      </w:tr>
      <w:tr>
        <w:trPr>
          <w:trHeight w:val="370"/>
        </w:trPr>
        <w:tc>
          <w:tcPr>
            <w:tcW w:w="600" w:type="dxa"/>
            <w:vAlign w:val="bottom"/>
          </w:tcPr>
          <w:p>
            <w:pPr>
              <w:jc w:val="right"/>
              <w:ind w:right="141"/>
              <w:spacing w:after="0"/>
              <w:rPr>
                <w:sz w:val="20"/>
                <w:szCs w:val="20"/>
                <w:color w:val="auto"/>
              </w:rPr>
            </w:pPr>
            <w:r>
              <w:rPr>
                <w:rFonts w:ascii="Arial" w:cs="Arial" w:eastAsia="Arial" w:hAnsi="Arial"/>
                <w:sz w:val="20"/>
                <w:szCs w:val="20"/>
                <w:b w:val="1"/>
                <w:bCs w:val="1"/>
                <w:color w:val="auto"/>
              </w:rPr>
              <w:t>8.9.</w:t>
            </w:r>
          </w:p>
        </w:tc>
        <w:tc>
          <w:tcPr>
            <w:tcW w:w="10660" w:type="dxa"/>
            <w:vAlign w:val="bottom"/>
          </w:tcPr>
          <w:p>
            <w:pPr>
              <w:ind w:left="1000"/>
              <w:spacing w:after="0"/>
              <w:rPr>
                <w:sz w:val="20"/>
                <w:szCs w:val="20"/>
                <w:color w:val="auto"/>
              </w:rPr>
            </w:pPr>
            <w:r>
              <w:rPr>
                <w:rFonts w:ascii="Arial" w:cs="Arial" w:eastAsia="Arial" w:hAnsi="Arial"/>
                <w:sz w:val="20"/>
                <w:szCs w:val="20"/>
                <w:b w:val="1"/>
                <w:bCs w:val="1"/>
                <w:color w:val="auto"/>
                <w:w w:val="97"/>
              </w:rPr>
              <w:t>Successors and Assigns</w:t>
            </w:r>
            <w:r>
              <w:rPr>
                <w:rFonts w:ascii="Arial" w:cs="Arial" w:eastAsia="Arial" w:hAnsi="Arial"/>
                <w:sz w:val="20"/>
                <w:szCs w:val="20"/>
                <w:color w:val="auto"/>
                <w:w w:val="97"/>
              </w:rPr>
              <w:t>. This Agreement is intended to bind and inure to the benefit of and be enforceable by</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Executive, and the Company, and any surviving entity resulting from a Change in Control and upon any other person who</w:t>
            </w:r>
          </w:p>
        </w:tc>
      </w:tr>
      <w:tr>
        <w:trPr>
          <w:trHeight w:val="229"/>
        </w:trPr>
        <w:tc>
          <w:tcPr>
            <w:tcW w:w="600" w:type="dxa"/>
            <w:vAlign w:val="bottom"/>
          </w:tcPr>
          <w:p>
            <w:pPr>
              <w:spacing w:after="0"/>
              <w:rPr>
                <w:sz w:val="19"/>
                <w:szCs w:val="19"/>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6"/>
              </w:rPr>
              <w:t>is a successor by merger, acquisition, consolidation or otherwise to the business formerly carried on by the Company, and</w:t>
            </w:r>
          </w:p>
        </w:tc>
      </w:tr>
      <w:tr>
        <w:trPr>
          <w:trHeight w:val="250"/>
        </w:trPr>
        <w:tc>
          <w:tcPr>
            <w:tcW w:w="600" w:type="dxa"/>
            <w:vAlign w:val="bottom"/>
          </w:tcPr>
          <w:p>
            <w:pPr>
              <w:spacing w:after="0"/>
              <w:rPr>
                <w:sz w:val="21"/>
                <w:szCs w:val="21"/>
                <w:color w:val="auto"/>
              </w:rPr>
            </w:pPr>
          </w:p>
        </w:tc>
        <w:tc>
          <w:tcPr>
            <w:tcW w:w="10660" w:type="dxa"/>
            <w:vAlign w:val="bottom"/>
          </w:tcPr>
          <w:p>
            <w:pPr>
              <w:ind w:left="240"/>
              <w:spacing w:after="0"/>
              <w:rPr>
                <w:sz w:val="20"/>
                <w:szCs w:val="20"/>
                <w:color w:val="auto"/>
              </w:rPr>
            </w:pPr>
            <w:r>
              <w:rPr>
                <w:rFonts w:ascii="Arial" w:cs="Arial" w:eastAsia="Arial" w:hAnsi="Arial"/>
                <w:sz w:val="20"/>
                <w:szCs w:val="20"/>
                <w:color w:val="auto"/>
                <w:w w:val="99"/>
              </w:rPr>
              <w:t>their respective successors, assigns, heirs, executors and administrators, without regard to whether or not such person</w:t>
            </w:r>
          </w:p>
        </w:tc>
      </w:tr>
      <w:tr>
        <w:trPr>
          <w:trHeight w:val="445"/>
        </w:trPr>
        <w:tc>
          <w:tcPr>
            <w:tcW w:w="600" w:type="dxa"/>
            <w:vAlign w:val="bottom"/>
          </w:tcPr>
          <w:p>
            <w:pPr>
              <w:spacing w:after="0"/>
              <w:rPr>
                <w:sz w:val="24"/>
                <w:szCs w:val="24"/>
                <w:color w:val="auto"/>
              </w:rPr>
            </w:pPr>
          </w:p>
        </w:tc>
        <w:tc>
          <w:tcPr>
            <w:tcW w:w="10660" w:type="dxa"/>
            <w:vAlign w:val="bottom"/>
          </w:tcPr>
          <w:p>
            <w:pPr>
              <w:ind w:left="4920"/>
              <w:spacing w:after="0"/>
              <w:rPr>
                <w:sz w:val="20"/>
                <w:szCs w:val="20"/>
                <w:color w:val="auto"/>
              </w:rPr>
            </w:pPr>
            <w:r>
              <w:rPr>
                <w:rFonts w:ascii="Arial" w:cs="Arial" w:eastAsia="Arial" w:hAnsi="Arial"/>
                <w:sz w:val="20"/>
                <w:szCs w:val="20"/>
                <w:color w:val="auto"/>
              </w:rPr>
              <w:t>14</w:t>
            </w:r>
          </w:p>
        </w:tc>
      </w:tr>
      <w:tr>
        <w:trPr>
          <w:trHeight w:val="327"/>
        </w:trPr>
        <w:tc>
          <w:tcPr>
            <w:tcW w:w="600" w:type="dxa"/>
            <w:vAlign w:val="bottom"/>
            <w:tcBorders>
              <w:bottom w:val="single" w:sz="8" w:color="9A9A9A"/>
            </w:tcBorders>
          </w:tcPr>
          <w:p>
            <w:pPr>
              <w:spacing w:after="0"/>
              <w:rPr>
                <w:sz w:val="24"/>
                <w:szCs w:val="24"/>
                <w:color w:val="auto"/>
              </w:rPr>
            </w:pPr>
          </w:p>
        </w:tc>
        <w:tc>
          <w:tcPr>
            <w:tcW w:w="10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86" w:right="319" w:bottom="1440" w:gutter="0" w:footer="0" w:header="0"/>
        </w:sectPr>
      </w:pPr>
    </w:p>
    <w:bookmarkStart w:id="141" w:name="page142"/>
    <w:bookmarkEnd w:id="141"/>
    <w:p>
      <w:pPr>
        <w:ind w:left="720" w:right="300" w:firstLine="749"/>
        <w:spacing w:after="0" w:line="250" w:lineRule="auto"/>
        <w:rPr>
          <w:sz w:val="20"/>
          <w:szCs w:val="20"/>
          <w:color w:val="auto"/>
        </w:rPr>
      </w:pPr>
      <w:r>
        <w:rPr>
          <w:rFonts w:ascii="Arial" w:cs="Arial" w:eastAsia="Arial" w:hAnsi="Arial"/>
          <w:sz w:val="20"/>
          <w:szCs w:val="20"/>
          <w:color w:val="auto"/>
        </w:rPr>
        <w:t>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234" w:lineRule="exact"/>
        <w:rPr>
          <w:sz w:val="20"/>
          <w:szCs w:val="20"/>
          <w:color w:val="auto"/>
        </w:rPr>
      </w:pPr>
    </w:p>
    <w:p>
      <w:pPr>
        <w:ind w:left="720" w:right="280" w:hanging="758"/>
        <w:spacing w:after="0" w:line="275" w:lineRule="auto"/>
        <w:tabs>
          <w:tab w:leader="none" w:pos="700" w:val="left"/>
        </w:tabs>
        <w:rPr>
          <w:sz w:val="20"/>
          <w:szCs w:val="20"/>
          <w:color w:val="auto"/>
        </w:rPr>
      </w:pPr>
      <w:r>
        <w:rPr>
          <w:rFonts w:ascii="Arial" w:cs="Arial" w:eastAsia="Arial" w:hAnsi="Arial"/>
          <w:sz w:val="20"/>
          <w:szCs w:val="20"/>
          <w:b w:val="1"/>
          <w:bCs w:val="1"/>
          <w:color w:val="auto"/>
        </w:rPr>
        <w:t>8.10.</w:t>
      </w:r>
      <w:r>
        <w:rPr>
          <w:sz w:val="20"/>
          <w:szCs w:val="20"/>
          <w:color w:val="auto"/>
        </w:rPr>
        <w:tab/>
      </w:r>
      <w:r>
        <w:rPr>
          <w:rFonts w:ascii="Arial" w:cs="Arial" w:eastAsia="Arial" w:hAnsi="Arial"/>
          <w:sz w:val="18"/>
          <w:szCs w:val="18"/>
          <w:b w:val="1"/>
          <w:bCs w:val="1"/>
          <w:color w:val="auto"/>
        </w:rPr>
        <w:t>Choice of Law</w:t>
      </w:r>
      <w:r>
        <w:rPr>
          <w:rFonts w:ascii="Arial" w:cs="Arial" w:eastAsia="Arial" w:hAnsi="Arial"/>
          <w:sz w:val="18"/>
          <w:szCs w:val="18"/>
          <w:color w:val="auto"/>
        </w:rPr>
        <w:t>. Because of the Company’s and Executive’s interests in ensuring that disputes regarding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228" w:lineRule="exact"/>
        <w:rPr>
          <w:sz w:val="20"/>
          <w:szCs w:val="20"/>
          <w:color w:val="auto"/>
        </w:rPr>
      </w:pPr>
    </w:p>
    <w:p>
      <w:pPr>
        <w:ind w:left="720" w:hanging="771"/>
        <w:spacing w:after="0" w:line="269" w:lineRule="auto"/>
        <w:tabs>
          <w:tab w:leader="none" w:pos="700" w:val="left"/>
        </w:tabs>
        <w:rPr>
          <w:sz w:val="20"/>
          <w:szCs w:val="20"/>
          <w:color w:val="auto"/>
        </w:rPr>
      </w:pPr>
      <w:r>
        <w:rPr>
          <w:rFonts w:ascii="Arial" w:cs="Arial" w:eastAsia="Arial" w:hAnsi="Arial"/>
          <w:sz w:val="20"/>
          <w:szCs w:val="20"/>
          <w:b w:val="1"/>
          <w:bCs w:val="1"/>
          <w:color w:val="auto"/>
        </w:rPr>
        <w:t>8.11.</w:t>
      </w:r>
      <w:r>
        <w:rPr>
          <w:sz w:val="20"/>
          <w:szCs w:val="20"/>
          <w:color w:val="auto"/>
        </w:rPr>
        <w:tab/>
      </w:r>
      <w:r>
        <w:rPr>
          <w:rFonts w:ascii="Arial" w:cs="Arial" w:eastAsia="Arial" w:hAnsi="Arial"/>
          <w:sz w:val="18"/>
          <w:szCs w:val="18"/>
          <w:b w:val="1"/>
          <w:bCs w:val="1"/>
          <w:color w:val="auto"/>
        </w:rPr>
        <w:t xml:space="preserve">Arbitration. </w:t>
      </w:r>
      <w:r>
        <w:rPr>
          <w:rFonts w:ascii="Arial" w:cs="Arial" w:eastAsia="Arial" w:hAnsi="Arial"/>
          <w:sz w:val="18"/>
          <w:szCs w:val="18"/>
          <w:color w:val="auto"/>
        </w:rPr>
        <w:t>To ensure the rapid and economical resolution of any disputes that may arise under or relate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by the Judicial Arbitration</w:t>
      </w:r>
    </w:p>
    <w:p>
      <w:pPr>
        <w:spacing w:after="0" w:line="3" w:lineRule="exact"/>
        <w:rPr>
          <w:sz w:val="20"/>
          <w:szCs w:val="20"/>
          <w:color w:val="auto"/>
        </w:rPr>
      </w:pPr>
    </w:p>
    <w:p>
      <w:pPr>
        <w:ind w:left="720" w:firstLine="4"/>
        <w:spacing w:after="0" w:line="267" w:lineRule="auto"/>
        <w:tabs>
          <w:tab w:leader="none" w:pos="923"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in accordance with its then-current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The JAMS Rules are also available online at </w:t>
      </w:r>
      <w:r>
        <w:rPr>
          <w:rFonts w:ascii="Arial" w:cs="Arial" w:eastAsia="Arial" w:hAnsi="Arial"/>
          <w:sz w:val="18"/>
          <w:szCs w:val="18"/>
          <w:u w:val="single" w:color="auto"/>
          <w:color w:val="0000FF"/>
        </w:rPr>
        <w:t>http://www.jamsadr.com/rules-employment-arbitration/</w:t>
      </w:r>
      <w:r>
        <w:rPr>
          <w:rFonts w:ascii="Arial" w:cs="Arial" w:eastAsia="Arial" w:hAnsi="Arial"/>
          <w:sz w:val="18"/>
          <w:szCs w:val="18"/>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09" w:lineRule="exact"/>
        <w:rPr>
          <w:sz w:val="20"/>
          <w:szCs w:val="20"/>
          <w:color w:val="auto"/>
        </w:rPr>
      </w:pPr>
    </w:p>
    <w:p>
      <w:pPr>
        <w:ind w:left="720" w:right="440" w:hanging="758"/>
        <w:spacing w:after="0" w:line="293" w:lineRule="auto"/>
        <w:tabs>
          <w:tab w:leader="none" w:pos="70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9"/>
          <w:szCs w:val="19"/>
          <w:b w:val="1"/>
          <w:bCs w:val="1"/>
          <w:color w:val="auto"/>
        </w:rPr>
        <w:t>Construction of Agreement</w:t>
      </w:r>
      <w:r>
        <w:rPr>
          <w:rFonts w:ascii="Arial" w:cs="Arial" w:eastAsia="Arial" w:hAnsi="Arial"/>
          <w:sz w:val="19"/>
          <w:szCs w:val="19"/>
          <w:color w:val="auto"/>
        </w:rPr>
        <w:t>. In the event of a conflict between the text of this Agreement and any summary,</w:t>
      </w:r>
      <w:r>
        <w:rPr>
          <w:rFonts w:ascii="Arial" w:cs="Arial" w:eastAsia="Arial" w:hAnsi="Arial"/>
          <w:sz w:val="19"/>
          <w:szCs w:val="19"/>
          <w:b w:val="1"/>
          <w:bCs w:val="1"/>
          <w:color w:val="auto"/>
        </w:rPr>
        <w:t xml:space="preserve"> </w:t>
      </w:r>
      <w:r>
        <w:rPr>
          <w:rFonts w:ascii="Arial" w:cs="Arial" w:eastAsia="Arial" w:hAnsi="Arial"/>
          <w:sz w:val="19"/>
          <w:szCs w:val="19"/>
          <w:color w:val="auto"/>
        </w:rPr>
        <w:t>description or other information regarding this Agreement, the text of this Agreement shall control.</w:t>
      </w:r>
    </w:p>
    <w:p>
      <w:pPr>
        <w:spacing w:after="0" w:line="87" w:lineRule="exact"/>
        <w:rPr>
          <w:sz w:val="20"/>
          <w:szCs w:val="20"/>
          <w:color w:val="auto"/>
        </w:rPr>
      </w:pPr>
    </w:p>
    <w:p>
      <w:pPr>
        <w:ind w:left="820"/>
        <w:spacing w:after="0"/>
        <w:tabs>
          <w:tab w:leader="none" w:pos="2580"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ACCORDANCE WITH THE INTERNAL REVENUE SERVICE’S CIRCULAR 230 (21</w:t>
      </w:r>
    </w:p>
    <w:p>
      <w:pPr>
        <w:spacing w:after="0" w:line="199"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40"/>
          </w:cols>
          <w:pgMar w:left="440" w:top="122" w:right="919" w:bottom="1440" w:gutter="0" w:footer="0" w:header="0"/>
        </w:sectPr>
      </w:pPr>
    </w:p>
    <w:bookmarkStart w:id="142" w:name="page143"/>
    <w:bookmarkEnd w:id="142"/>
    <w:p>
      <w:pPr>
        <w:spacing w:after="0" w:line="244" w:lineRule="auto"/>
        <w:rPr>
          <w:sz w:val="20"/>
          <w:szCs w:val="20"/>
          <w:color w:val="auto"/>
        </w:rPr>
      </w:pPr>
      <w:r>
        <w:rPr>
          <w:rFonts w:ascii="Arial" w:cs="Arial" w:eastAsia="Arial" w:hAnsi="Arial"/>
          <w:sz w:val="20"/>
          <w:szCs w:val="20"/>
          <w:b w:val="1"/>
          <w:bCs w:val="1"/>
          <w:color w:val="auto"/>
        </w:rPr>
        <w:t>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60"/>
          </w:cols>
          <w:pgMar w:left="440" w:top="279" w:right="899" w:bottom="1440" w:gutter="0" w:footer="0" w:header="0"/>
        </w:sectPr>
      </w:pPr>
    </w:p>
    <w:bookmarkStart w:id="143" w:name="page144"/>
    <w:bookmarkEnd w:id="143"/>
    <w:p>
      <w:pPr>
        <w:ind w:left="92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Agreement on the Effective Date written above.</w:t>
      </w:r>
    </w:p>
    <w:p>
      <w:pPr>
        <w:spacing w:after="0" w:line="228" w:lineRule="exact"/>
        <w:rPr>
          <w:sz w:val="20"/>
          <w:szCs w:val="20"/>
          <w:color w:val="auto"/>
        </w:rPr>
      </w:pPr>
    </w:p>
    <w:p>
      <w:pPr>
        <w:ind w:left="120"/>
        <w:spacing w:after="0"/>
        <w:tabs>
          <w:tab w:leader="none" w:pos="8320" w:val="left"/>
        </w:tabs>
        <w:rPr>
          <w:sz w:val="20"/>
          <w:szCs w:val="20"/>
          <w:color w:val="auto"/>
        </w:rPr>
      </w:pPr>
      <w:r>
        <w:rPr>
          <w:rFonts w:ascii="Arial" w:cs="Arial" w:eastAsia="Arial" w:hAnsi="Arial"/>
          <w:sz w:val="20"/>
          <w:szCs w:val="20"/>
          <w:b w:val="1"/>
          <w:bCs w:val="1"/>
          <w:color w:val="auto"/>
        </w:rPr>
        <w:t>SYNDAX PHARMACEUTICALS, INC.</w:t>
      </w:r>
      <w:r>
        <w:rPr>
          <w:sz w:val="20"/>
          <w:szCs w:val="20"/>
          <w:color w:val="auto"/>
        </w:rPr>
        <w:tab/>
      </w:r>
      <w:r>
        <w:rPr>
          <w:rFonts w:ascii="Arial" w:cs="Arial" w:eastAsia="Arial" w:hAnsi="Arial"/>
          <w:sz w:val="20"/>
          <w:szCs w:val="20"/>
          <w:b w:val="1"/>
          <w:bCs w:val="1"/>
          <w:color w:val="auto"/>
        </w:rPr>
        <w:t>EXECUTIVE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2153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ind w:left="120" w:right="840"/>
        <w:spacing w:after="0" w:line="241" w:lineRule="auto"/>
        <w:rPr>
          <w:sz w:val="20"/>
          <w:szCs w:val="20"/>
          <w:color w:val="auto"/>
        </w:rPr>
      </w:pPr>
      <w:r>
        <w:rPr>
          <w:rFonts w:ascii="Arial" w:cs="Arial" w:eastAsia="Arial" w:hAnsi="Arial"/>
          <w:sz w:val="20"/>
          <w:szCs w:val="20"/>
          <w:u w:val="single" w:color="auto"/>
          <w:color w:val="auto"/>
        </w:rPr>
        <w:t>M.D.</w:t>
      </w:r>
      <w:r>
        <w:rPr>
          <w:rFonts w:ascii="Arial" w:cs="Arial" w:eastAsia="Arial" w:hAnsi="Arial"/>
          <w:sz w:val="20"/>
          <w:szCs w:val="20"/>
          <w:color w:val="auto"/>
        </w:rPr>
        <w:t xml:space="preserve"> By: </w:t>
      </w:r>
      <w:r>
        <w:rPr>
          <w:rFonts w:ascii="Arial" w:cs="Arial" w:eastAsia="Arial" w:hAnsi="Arial"/>
          <w:sz w:val="20"/>
          <w:szCs w:val="20"/>
          <w:u w:val="single" w:color="auto"/>
          <w:color w:val="auto"/>
        </w:rPr>
        <w:t>/s/ Michael A.</w:t>
      </w:r>
      <w:r>
        <w:rPr>
          <w:rFonts w:ascii="Arial" w:cs="Arial" w:eastAsia="Arial" w:hAnsi="Arial"/>
          <w:sz w:val="20"/>
          <w:szCs w:val="20"/>
          <w:color w:val="auto"/>
        </w:rPr>
        <w:t xml:space="preserve"> </w:t>
      </w:r>
      <w:r>
        <w:rPr>
          <w:rFonts w:ascii="Arial" w:cs="Arial" w:eastAsia="Arial" w:hAnsi="Arial"/>
          <w:sz w:val="20"/>
          <w:szCs w:val="20"/>
          <w:u w:val="single" w:color="auto"/>
          <w:color w:val="auto"/>
        </w:rPr>
        <w:t>Metzger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Briggs W. Morrison,</w:t>
      </w:r>
    </w:p>
    <w:p>
      <w:pPr>
        <w:spacing w:after="0" w:line="15" w:lineRule="exact"/>
        <w:rPr>
          <w:sz w:val="20"/>
          <w:szCs w:val="20"/>
          <w:color w:val="auto"/>
        </w:rPr>
      </w:pPr>
    </w:p>
    <w:p>
      <w:pPr>
        <w:ind w:left="120"/>
        <w:spacing w:after="0"/>
        <w:tabs>
          <w:tab w:leader="none" w:pos="8940" w:val="left"/>
        </w:tabs>
        <w:rPr>
          <w:sz w:val="20"/>
          <w:szCs w:val="20"/>
          <w:color w:val="auto"/>
        </w:rPr>
      </w:pPr>
      <w:r>
        <w:rPr>
          <w:rFonts w:ascii="Arial" w:cs="Arial" w:eastAsia="Arial" w:hAnsi="Arial"/>
          <w:sz w:val="20"/>
          <w:szCs w:val="20"/>
          <w:u w:val="single" w:color="auto"/>
          <w:color w:val="auto"/>
        </w:rPr>
        <w:t>M.D.</w:t>
      </w:r>
      <w:r>
        <w:rPr>
          <w:sz w:val="20"/>
          <w:szCs w:val="20"/>
          <w:color w:val="auto"/>
        </w:rPr>
        <w:tab/>
      </w:r>
      <w:r>
        <w:rPr>
          <w:rFonts w:ascii="Arial" w:cs="Arial" w:eastAsia="Arial" w:hAnsi="Arial"/>
          <w:sz w:val="20"/>
          <w:szCs w:val="20"/>
          <w:color w:val="auto"/>
        </w:rPr>
        <w:t xml:space="preserve">Name: </w:t>
      </w:r>
      <w:r>
        <w:rPr>
          <w:rFonts w:ascii="Arial" w:cs="Arial" w:eastAsia="Arial" w:hAnsi="Arial"/>
          <w:sz w:val="20"/>
          <w:szCs w:val="20"/>
          <w:u w:val="single" w:color="auto"/>
          <w:color w:val="auto"/>
        </w:rPr>
        <w:t>Michael A.</w:t>
      </w:r>
    </w:p>
    <w:p>
      <w:pPr>
        <w:ind w:left="120"/>
        <w:spacing w:after="0"/>
        <w:rPr>
          <w:sz w:val="20"/>
          <w:szCs w:val="20"/>
          <w:color w:val="auto"/>
        </w:rPr>
      </w:pPr>
      <w:r>
        <w:rPr>
          <w:rFonts w:ascii="Arial" w:cs="Arial" w:eastAsia="Arial" w:hAnsi="Arial"/>
          <w:sz w:val="20"/>
          <w:szCs w:val="20"/>
          <w:u w:val="single" w:color="auto"/>
          <w:color w:val="auto"/>
        </w:rPr>
        <w:t>Metzger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Executive Officer</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ind w:left="120"/>
              <w:spacing w:after="0"/>
              <w:rPr>
                <w:sz w:val="20"/>
                <w:szCs w:val="20"/>
                <w:color w:val="auto"/>
              </w:rPr>
            </w:pPr>
            <w:r>
              <w:rPr>
                <w:rFonts w:ascii="Arial" w:cs="Arial" w:eastAsia="Arial" w:hAnsi="Arial"/>
                <w:sz w:val="20"/>
                <w:szCs w:val="20"/>
                <w:color w:val="auto"/>
              </w:rPr>
              <w:t>Exhibit A:</w:t>
            </w:r>
          </w:p>
        </w:tc>
        <w:tc>
          <w:tcPr>
            <w:tcW w:w="9940" w:type="dxa"/>
            <w:vAlign w:val="bottom"/>
          </w:tcPr>
          <w:p>
            <w:pPr>
              <w:ind w:left="1000"/>
              <w:spacing w:after="0"/>
              <w:rPr>
                <w:sz w:val="20"/>
                <w:szCs w:val="20"/>
                <w:color w:val="auto"/>
              </w:rPr>
            </w:pPr>
            <w:r>
              <w:rPr>
                <w:rFonts w:ascii="Arial" w:cs="Arial" w:eastAsia="Arial" w:hAnsi="Arial"/>
                <w:sz w:val="20"/>
                <w:szCs w:val="20"/>
                <w:color w:val="auto"/>
              </w:rPr>
              <w:t>Release (Individual Termination – Age 40 or Older)</w:t>
            </w:r>
          </w:p>
        </w:tc>
      </w:tr>
      <w:tr>
        <w:trPr>
          <w:trHeight w:val="357"/>
        </w:trPr>
        <w:tc>
          <w:tcPr>
            <w:tcW w:w="1320" w:type="dxa"/>
            <w:vAlign w:val="bottom"/>
          </w:tcPr>
          <w:p>
            <w:pPr>
              <w:ind w:left="120"/>
              <w:spacing w:after="0"/>
              <w:rPr>
                <w:sz w:val="20"/>
                <w:szCs w:val="20"/>
                <w:color w:val="auto"/>
              </w:rPr>
            </w:pPr>
            <w:r>
              <w:rPr>
                <w:rFonts w:ascii="Arial" w:cs="Arial" w:eastAsia="Arial" w:hAnsi="Arial"/>
                <w:sz w:val="20"/>
                <w:szCs w:val="20"/>
                <w:color w:val="auto"/>
              </w:rPr>
              <w:t>Exhibit B:</w:t>
            </w:r>
          </w:p>
        </w:tc>
        <w:tc>
          <w:tcPr>
            <w:tcW w:w="9940" w:type="dxa"/>
            <w:vAlign w:val="bottom"/>
          </w:tcPr>
          <w:p>
            <w:pPr>
              <w:ind w:left="1000"/>
              <w:spacing w:after="0"/>
              <w:rPr>
                <w:sz w:val="20"/>
                <w:szCs w:val="20"/>
                <w:color w:val="auto"/>
              </w:rPr>
            </w:pPr>
            <w:r>
              <w:rPr>
                <w:rFonts w:ascii="Arial" w:cs="Arial" w:eastAsia="Arial" w:hAnsi="Arial"/>
                <w:sz w:val="20"/>
                <w:szCs w:val="20"/>
                <w:color w:val="auto"/>
              </w:rPr>
              <w:t>Release (Individual and Group Termination – Under Age 40) Exhibit</w:t>
            </w:r>
          </w:p>
        </w:tc>
      </w:tr>
      <w:tr>
        <w:trPr>
          <w:trHeight w:val="250"/>
        </w:trPr>
        <w:tc>
          <w:tcPr>
            <w:tcW w:w="1320" w:type="dxa"/>
            <w:vAlign w:val="bottom"/>
          </w:tcPr>
          <w:p>
            <w:pPr>
              <w:ind w:left="120"/>
              <w:spacing w:after="0"/>
              <w:rPr>
                <w:sz w:val="20"/>
                <w:szCs w:val="20"/>
                <w:color w:val="auto"/>
              </w:rPr>
            </w:pPr>
            <w:r>
              <w:rPr>
                <w:rFonts w:ascii="Arial" w:cs="Arial" w:eastAsia="Arial" w:hAnsi="Arial"/>
                <w:sz w:val="20"/>
                <w:szCs w:val="20"/>
                <w:color w:val="auto"/>
              </w:rPr>
              <w:t>C:</w:t>
            </w:r>
          </w:p>
        </w:tc>
        <w:tc>
          <w:tcPr>
            <w:tcW w:w="9940" w:type="dxa"/>
            <w:vAlign w:val="bottom"/>
          </w:tcPr>
          <w:p>
            <w:pPr>
              <w:ind w:left="360"/>
              <w:spacing w:after="0"/>
              <w:rPr>
                <w:sz w:val="20"/>
                <w:szCs w:val="20"/>
                <w:color w:val="auto"/>
              </w:rPr>
            </w:pPr>
            <w:r>
              <w:rPr>
                <w:rFonts w:ascii="Arial" w:cs="Arial" w:eastAsia="Arial" w:hAnsi="Arial"/>
                <w:sz w:val="20"/>
                <w:szCs w:val="20"/>
                <w:color w:val="auto"/>
              </w:rPr>
              <w:t>Release (Group Termination – Age 40 or Older)</w:t>
            </w:r>
          </w:p>
        </w:tc>
      </w:tr>
      <w:tr>
        <w:trPr>
          <w:trHeight w:val="1001"/>
        </w:trPr>
        <w:tc>
          <w:tcPr>
            <w:tcW w:w="1320" w:type="dxa"/>
            <w:vAlign w:val="bottom"/>
            <w:tcBorders>
              <w:bottom w:val="single" w:sz="8" w:color="9A9A9A"/>
            </w:tcBorders>
          </w:tcPr>
          <w:p>
            <w:pPr>
              <w:spacing w:after="0"/>
              <w:rPr>
                <w:sz w:val="24"/>
                <w:szCs w:val="24"/>
                <w:color w:val="auto"/>
              </w:rPr>
            </w:pPr>
          </w:p>
        </w:tc>
        <w:tc>
          <w:tcPr>
            <w:tcW w:w="9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20"/>
          <w:szCs w:val="20"/>
          <w:b w:val="1"/>
          <w:bCs w:val="1"/>
          <w:color w:val="auto"/>
        </w:rPr>
        <w:t>EXHIBIT A RELEASE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(INDIVIDUAL TERMINATION – AGE 40 OR OLDER)</w:t>
      </w:r>
    </w:p>
    <w:p>
      <w:pPr>
        <w:spacing w:after="0" w:line="266" w:lineRule="exact"/>
        <w:rPr>
          <w:sz w:val="20"/>
          <w:szCs w:val="20"/>
          <w:color w:val="auto"/>
        </w:rPr>
      </w:pPr>
    </w:p>
    <w:p>
      <w:pPr>
        <w:ind w:right="180" w:firstLine="830"/>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any).</w:t>
      </w:r>
    </w:p>
    <w:p>
      <w:pPr>
        <w:spacing w:after="0" w:line="145" w:lineRule="exact"/>
        <w:rPr>
          <w:sz w:val="20"/>
          <w:szCs w:val="20"/>
          <w:color w:val="auto"/>
        </w:rPr>
      </w:pPr>
    </w:p>
    <w:p>
      <w:pPr>
        <w:ind w:firstLine="845"/>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ind w:firstLine="843"/>
        <w:spacing w:after="0" w:line="275"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440" w:top="171" w:right="519" w:bottom="1440" w:gutter="0" w:footer="0" w:header="0"/>
        </w:sectPr>
      </w:pPr>
    </w:p>
    <w:bookmarkStart w:id="145" w:name="page146"/>
    <w:bookmarkEnd w:id="145"/>
    <w:p>
      <w:pPr>
        <w:jc w:val="both"/>
        <w:ind w:right="100"/>
        <w:spacing w:after="0" w:line="290" w:lineRule="auto"/>
        <w:rPr>
          <w:sz w:val="20"/>
          <w:szCs w:val="20"/>
          <w:color w:val="auto"/>
        </w:rPr>
      </w:pPr>
      <w:r>
        <w:rPr>
          <w:rFonts w:ascii="Arial" w:cs="Arial" w:eastAsia="Arial" w:hAnsi="Arial"/>
          <w:sz w:val="18"/>
          <w:szCs w:val="18"/>
          <w:color w:val="auto"/>
        </w:rPr>
        <w:t>Release earlier); (D) I have seven (7) days following my execution of this Release to revoke the Release by providing a written notice of revocation to the Company’s Chief Executive Officer; and (E) this Release shall not be effective until the date upon which the revocation period has expired, which shall be the eighth (8th) day after I execute this Release (provided that I do not revoke it).</w:t>
      </w:r>
    </w:p>
    <w:p>
      <w:pPr>
        <w:spacing w:after="0" w:line="86" w:lineRule="exact"/>
        <w:rPr>
          <w:sz w:val="20"/>
          <w:szCs w:val="20"/>
          <w:color w:val="auto"/>
        </w:rPr>
      </w:pPr>
    </w:p>
    <w:p>
      <w:pPr>
        <w:ind w:right="400" w:firstLine="830"/>
        <w:spacing w:after="0" w:line="246" w:lineRule="auto"/>
        <w:rPr>
          <w:sz w:val="20"/>
          <w:szCs w:val="20"/>
          <w:color w:val="auto"/>
        </w:rPr>
      </w:pPr>
      <w:r>
        <w:rPr>
          <w:rFonts w:ascii="Arial" w:cs="Arial" w:eastAsia="Arial" w:hAnsi="Arial"/>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36" w:lineRule="exact"/>
        <w:rPr>
          <w:sz w:val="20"/>
          <w:szCs w:val="20"/>
          <w:color w:val="auto"/>
        </w:rPr>
      </w:pPr>
    </w:p>
    <w:p>
      <w:pPr>
        <w:ind w:firstLine="85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440" w:top="285" w:right="49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20"/>
          <w:szCs w:val="20"/>
          <w:b w:val="1"/>
          <w:bCs w:val="1"/>
          <w:color w:val="auto"/>
        </w:rPr>
        <w:t>EXHIBIT B</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RELEASE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(INDIVIDUAL AND GROUP TERMINATION – UNDER AGE 40)</w:t>
      </w:r>
    </w:p>
    <w:p>
      <w:pPr>
        <w:spacing w:after="0" w:line="315" w:lineRule="exact"/>
        <w:rPr>
          <w:sz w:val="20"/>
          <w:szCs w:val="20"/>
          <w:color w:val="auto"/>
        </w:rPr>
      </w:pPr>
    </w:p>
    <w:p>
      <w:pPr>
        <w:ind w:right="200" w:firstLine="830"/>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9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any).</w:t>
      </w:r>
    </w:p>
    <w:p>
      <w:pPr>
        <w:spacing w:after="0" w:line="145" w:lineRule="exact"/>
        <w:rPr>
          <w:sz w:val="20"/>
          <w:szCs w:val="20"/>
          <w:color w:val="auto"/>
        </w:rPr>
      </w:pPr>
    </w:p>
    <w:p>
      <w:pPr>
        <w:ind w:firstLine="843"/>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 monetary relief if the agency were to pursue any claims relating to my employment with the Company).</w:t>
      </w:r>
    </w:p>
    <w:p>
      <w:pPr>
        <w:spacing w:after="0" w:line="120" w:lineRule="exact"/>
        <w:rPr>
          <w:sz w:val="20"/>
          <w:szCs w:val="20"/>
          <w:color w:val="auto"/>
        </w:rPr>
      </w:pPr>
    </w:p>
    <w:p>
      <w:pPr>
        <w:ind w:firstLine="845"/>
        <w:spacing w:after="0" w:line="244" w:lineRule="auto"/>
        <w:rPr>
          <w:sz w:val="20"/>
          <w:szCs w:val="20"/>
          <w:color w:val="auto"/>
        </w:rPr>
      </w:pPr>
      <w:r>
        <w:rPr>
          <w:rFonts w:ascii="Arial" w:cs="Arial" w:eastAsia="Arial" w:hAnsi="Arial"/>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2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 hereby represent that I have been paid all compensation owed and for all hours worked, I</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440" w:top="171" w:right="499" w:bottom="1440" w:gutter="0" w:footer="0" w:header="0"/>
        </w:sectPr>
      </w:pPr>
    </w:p>
    <w:bookmarkStart w:id="147" w:name="page148"/>
    <w:bookmarkEnd w:id="147"/>
    <w:p>
      <w:pPr>
        <w:jc w:val="both"/>
        <w:ind w:right="220"/>
        <w:spacing w:after="0" w:line="249" w:lineRule="auto"/>
        <w:rPr>
          <w:sz w:val="20"/>
          <w:szCs w:val="20"/>
          <w:color w:val="auto"/>
        </w:rPr>
      </w:pPr>
      <w:r>
        <w:rPr>
          <w:rFonts w:ascii="Arial" w:cs="Arial" w:eastAsia="Arial" w:hAnsi="Arial"/>
          <w:sz w:val="20"/>
          <w:szCs w:val="20"/>
          <w:color w:val="auto"/>
        </w:rPr>
        <w:t>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26" w:lineRule="exact"/>
        <w:rPr>
          <w:sz w:val="20"/>
          <w:szCs w:val="20"/>
          <w:color w:val="auto"/>
        </w:rPr>
      </w:pPr>
    </w:p>
    <w:p>
      <w:pPr>
        <w:ind w:firstLine="85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440" w:top="271" w:right="49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RELEASE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(GROUP TERMINATION – AGE 40 OR OLDER)</w:t>
      </w:r>
    </w:p>
    <w:p>
      <w:pPr>
        <w:spacing w:after="0" w:line="315" w:lineRule="exact"/>
        <w:rPr>
          <w:sz w:val="20"/>
          <w:szCs w:val="20"/>
          <w:color w:val="auto"/>
        </w:rPr>
      </w:pPr>
    </w:p>
    <w:p>
      <w:pPr>
        <w:ind w:right="220" w:firstLine="830"/>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any).</w:t>
      </w:r>
    </w:p>
    <w:p>
      <w:pPr>
        <w:spacing w:after="0" w:line="145" w:lineRule="exact"/>
        <w:rPr>
          <w:sz w:val="20"/>
          <w:szCs w:val="20"/>
          <w:color w:val="auto"/>
        </w:rPr>
      </w:pPr>
    </w:p>
    <w:p>
      <w:pPr>
        <w:ind w:right="40" w:firstLine="845"/>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ind w:firstLine="845"/>
        <w:spacing w:after="0" w:line="275"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215900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440" w:top="279" w:right="479" w:bottom="1440" w:gutter="0" w:footer="0" w:header="0"/>
        </w:sectPr>
      </w:pPr>
    </w:p>
    <w:bookmarkStart w:id="149" w:name="page150"/>
    <w:bookmarkEnd w:id="149"/>
    <w:p>
      <w:pPr>
        <w:spacing w:after="0" w:line="243" w:lineRule="auto"/>
        <w:rPr>
          <w:sz w:val="20"/>
          <w:szCs w:val="20"/>
          <w:color w:val="auto"/>
        </w:rPr>
      </w:pPr>
      <w:r>
        <w:rPr>
          <w:rFonts w:ascii="Arial" w:cs="Arial" w:eastAsia="Arial" w:hAnsi="Arial"/>
          <w:sz w:val="20"/>
          <w:szCs w:val="20"/>
          <w:color w:val="auto"/>
        </w:rPr>
        <w:t>earlier); (D) I have seven (7) days following my execution of this Release to revoke the Release by providing a written notice of revocation to the 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40" w:lineRule="exact"/>
        <w:rPr>
          <w:sz w:val="20"/>
          <w:szCs w:val="20"/>
          <w:color w:val="auto"/>
        </w:rPr>
      </w:pPr>
    </w:p>
    <w:p>
      <w:pPr>
        <w:ind w:right="420" w:firstLine="830"/>
        <w:spacing w:after="0" w:line="246" w:lineRule="auto"/>
        <w:rPr>
          <w:sz w:val="20"/>
          <w:szCs w:val="20"/>
          <w:color w:val="auto"/>
        </w:rPr>
      </w:pPr>
      <w:r>
        <w:rPr>
          <w:rFonts w:ascii="Arial" w:cs="Arial" w:eastAsia="Arial" w:hAnsi="Arial"/>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203" w:lineRule="exact"/>
        <w:rPr>
          <w:sz w:val="20"/>
          <w:szCs w:val="20"/>
          <w:color w:val="auto"/>
        </w:rPr>
      </w:pPr>
    </w:p>
    <w:p>
      <w:pPr>
        <w:ind w:right="80" w:firstLine="845"/>
        <w:spacing w:after="0" w:line="244" w:lineRule="auto"/>
        <w:rPr>
          <w:sz w:val="20"/>
          <w:szCs w:val="20"/>
          <w:color w:val="auto"/>
        </w:rPr>
      </w:pPr>
      <w:r>
        <w:rPr>
          <w:rFonts w:ascii="Arial" w:cs="Arial" w:eastAsia="Arial" w:hAnsi="Arial"/>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ind w:right="340"/>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0980"/>
          </w:cols>
          <w:pgMar w:left="440" w:top="284" w:right="479"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20"/>
          <w:szCs w:val="20"/>
          <w:b w:val="1"/>
          <w:bCs w:val="1"/>
          <w:color w:val="auto"/>
        </w:rPr>
        <w:t>Exhibit 10.6</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AMENDED &amp; RESTATED</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EXECUTIVE EMPLOYMENT AGREEMENT</w:t>
      </w:r>
    </w:p>
    <w:p>
      <w:pPr>
        <w:spacing w:after="0" w:line="148" w:lineRule="exact"/>
        <w:rPr>
          <w:sz w:val="20"/>
          <w:szCs w:val="20"/>
          <w:color w:val="auto"/>
        </w:rPr>
      </w:pPr>
    </w:p>
    <w:p>
      <w:pPr>
        <w:ind w:right="140" w:firstLine="864"/>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AMENDED AND RESTATED EXECUTIVE 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27th day of April, 2020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between Michael L. Meyers, M.D., Ph.D.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xml:space="preserve">”) and </w:t>
      </w:r>
      <w:r>
        <w:rPr>
          <w:rFonts w:ascii="Arial" w:cs="Arial" w:eastAsia="Arial" w:hAnsi="Arial"/>
          <w:sz w:val="20"/>
          <w:szCs w:val="20"/>
          <w:b w:val="1"/>
          <w:bCs w:val="1"/>
          <w:color w:val="auto"/>
        </w:rPr>
        <w:t>SYNDAX</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PHARMACEUTICALS, INC. </w:t>
      </w:r>
      <w:r>
        <w:rPr>
          <w:rFonts w:ascii="Arial" w:cs="Arial" w:eastAsia="Arial" w:hAnsi="Arial"/>
          <w:sz w:val="20"/>
          <w:szCs w:val="20"/>
          <w:color w:val="auto"/>
        </w:rPr>
        <w:t>(the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Certain capitalized terms used in this Agreement are defined in Article 7.</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 w:type="dxa"/>
            <w:vAlign w:val="bottom"/>
          </w:tcPr>
          <w:p>
            <w:pPr>
              <w:spacing w:after="0"/>
              <w:rPr>
                <w:sz w:val="22"/>
                <w:szCs w:val="22"/>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w w:val="99"/>
              </w:rPr>
              <w:t>RECITALS</w:t>
            </w:r>
          </w:p>
        </w:tc>
        <w:tc>
          <w:tcPr>
            <w:tcW w:w="0" w:type="dxa"/>
            <w:vAlign w:val="bottom"/>
          </w:tcPr>
          <w:p>
            <w:pPr>
              <w:spacing w:after="0"/>
              <w:rPr>
                <w:sz w:val="1"/>
                <w:szCs w:val="1"/>
                <w:color w:val="auto"/>
              </w:rPr>
            </w:pPr>
          </w:p>
        </w:tc>
      </w:tr>
      <w:tr>
        <w:trPr>
          <w:trHeight w:val="364"/>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A.</w:t>
            </w:r>
          </w:p>
        </w:tc>
        <w:tc>
          <w:tcPr>
            <w:tcW w:w="10500" w:type="dxa"/>
            <w:vAlign w:val="bottom"/>
          </w:tcPr>
          <w:p>
            <w:pPr>
              <w:ind w:left="900"/>
              <w:spacing w:after="0"/>
              <w:rPr>
                <w:sz w:val="20"/>
                <w:szCs w:val="20"/>
                <w:color w:val="auto"/>
              </w:rPr>
            </w:pPr>
            <w:r>
              <w:rPr>
                <w:rFonts w:ascii="Arial" w:cs="Arial" w:eastAsia="Arial" w:hAnsi="Arial"/>
                <w:sz w:val="20"/>
                <w:szCs w:val="20"/>
                <w:color w:val="auto"/>
              </w:rPr>
              <w:t>The Company is a biopharmaceutical company.</w:t>
            </w:r>
          </w:p>
        </w:tc>
        <w:tc>
          <w:tcPr>
            <w:tcW w:w="0" w:type="dxa"/>
            <w:vAlign w:val="bottom"/>
          </w:tcPr>
          <w:p>
            <w:pPr>
              <w:spacing w:after="0"/>
              <w:rPr>
                <w:sz w:val="1"/>
                <w:szCs w:val="1"/>
                <w:color w:val="auto"/>
              </w:rPr>
            </w:pPr>
          </w:p>
        </w:tc>
      </w:tr>
      <w:tr>
        <w:trPr>
          <w:trHeight w:val="384"/>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B.</w:t>
            </w:r>
          </w:p>
        </w:tc>
        <w:tc>
          <w:tcPr>
            <w:tcW w:w="10500" w:type="dxa"/>
            <w:vAlign w:val="bottom"/>
          </w:tcPr>
          <w:p>
            <w:pPr>
              <w:ind w:left="900"/>
              <w:spacing w:after="0"/>
              <w:rPr>
                <w:sz w:val="20"/>
                <w:szCs w:val="20"/>
                <w:color w:val="auto"/>
              </w:rPr>
            </w:pPr>
            <w:r>
              <w:rPr>
                <w:rFonts w:ascii="Arial" w:cs="Arial" w:eastAsia="Arial" w:hAnsi="Arial"/>
                <w:sz w:val="20"/>
                <w:szCs w:val="20"/>
                <w:color w:val="auto"/>
                <w:w w:val="91"/>
              </w:rPr>
              <w:t>The Company desires to employ Executive, or to continue Executive’s employment, in the position set forth below, and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89"/>
              </w:rPr>
              <w:t>Executive wishes to be employed, or continue to be employed, by the Company in such position, upon the terms and conditions set</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forth in this Agreement.</w:t>
            </w: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10500" w:type="dxa"/>
            <w:vAlign w:val="bottom"/>
          </w:tcPr>
          <w:p>
            <w:pPr>
              <w:jc w:val="center"/>
              <w:ind w:right="661"/>
              <w:spacing w:after="0"/>
              <w:rPr>
                <w:sz w:val="20"/>
                <w:szCs w:val="20"/>
                <w:color w:val="auto"/>
              </w:rPr>
            </w:pPr>
            <w:r>
              <w:rPr>
                <w:rFonts w:ascii="Arial" w:cs="Arial" w:eastAsia="Arial" w:hAnsi="Arial"/>
                <w:sz w:val="20"/>
                <w:szCs w:val="20"/>
                <w:b w:val="1"/>
                <w:bCs w:val="1"/>
                <w:color w:val="auto"/>
              </w:rPr>
              <w:t>AGREEMENT</w:t>
            </w:r>
          </w:p>
        </w:tc>
        <w:tc>
          <w:tcPr>
            <w:tcW w:w="0" w:type="dxa"/>
            <w:vAlign w:val="bottom"/>
          </w:tcPr>
          <w:p>
            <w:pPr>
              <w:spacing w:after="0"/>
              <w:rPr>
                <w:sz w:val="1"/>
                <w:szCs w:val="1"/>
                <w:color w:val="auto"/>
              </w:rPr>
            </w:pPr>
          </w:p>
        </w:tc>
      </w:tr>
      <w:tr>
        <w:trPr>
          <w:trHeight w:val="364"/>
        </w:trPr>
        <w:tc>
          <w:tcPr>
            <w:tcW w:w="760" w:type="dxa"/>
            <w:vAlign w:val="bottom"/>
            <w:vMerge w:val="restart"/>
          </w:tcPr>
          <w:p>
            <w:pPr>
              <w:spacing w:after="0"/>
              <w:rPr>
                <w:sz w:val="20"/>
                <w:szCs w:val="20"/>
                <w:color w:val="auto"/>
              </w:rPr>
            </w:pPr>
            <w:r>
              <w:rPr>
                <w:rFonts w:ascii="Arial" w:cs="Arial" w:eastAsia="Arial" w:hAnsi="Arial"/>
                <w:sz w:val="20"/>
                <w:szCs w:val="20"/>
                <w:color w:val="auto"/>
              </w:rPr>
              <w:t>follows:</w:t>
            </w:r>
          </w:p>
        </w:tc>
        <w:tc>
          <w:tcPr>
            <w:tcW w:w="10500" w:type="dxa"/>
            <w:vAlign w:val="bottom"/>
          </w:tcPr>
          <w:p>
            <w:pPr>
              <w:ind w:left="980"/>
              <w:spacing w:after="0"/>
              <w:rPr>
                <w:sz w:val="20"/>
                <w:szCs w:val="20"/>
                <w:color w:val="auto"/>
              </w:rPr>
            </w:pPr>
            <w:r>
              <w:rPr>
                <w:rFonts w:ascii="Arial" w:cs="Arial" w:eastAsia="Arial" w:hAnsi="Arial"/>
                <w:sz w:val="20"/>
                <w:szCs w:val="20"/>
                <w:b w:val="1"/>
                <w:bCs w:val="1"/>
                <w:color w:val="auto"/>
                <w:w w:val="91"/>
              </w:rPr>
              <w:t>NOW, THEREFORE</w:t>
            </w:r>
            <w:r>
              <w:rPr>
                <w:rFonts w:ascii="Arial" w:cs="Arial" w:eastAsia="Arial" w:hAnsi="Arial"/>
                <w:sz w:val="20"/>
                <w:szCs w:val="20"/>
                <w:color w:val="auto"/>
                <w:w w:val="91"/>
              </w:rPr>
              <w:t>, in consideration of the mutual promises contained herein, the Company and Executive agree as</w:t>
            </w:r>
          </w:p>
        </w:tc>
        <w:tc>
          <w:tcPr>
            <w:tcW w:w="0" w:type="dxa"/>
            <w:vAlign w:val="bottom"/>
          </w:tcPr>
          <w:p>
            <w:pPr>
              <w:spacing w:after="0"/>
              <w:rPr>
                <w:sz w:val="1"/>
                <w:szCs w:val="1"/>
                <w:color w:val="auto"/>
              </w:rPr>
            </w:pPr>
          </w:p>
        </w:tc>
      </w:tr>
      <w:tr>
        <w:trPr>
          <w:trHeight w:val="229"/>
        </w:trPr>
        <w:tc>
          <w:tcPr>
            <w:tcW w:w="760" w:type="dxa"/>
            <w:vAlign w:val="bottom"/>
            <w:vMerge w:val="continue"/>
          </w:tcPr>
          <w:p>
            <w:pPr>
              <w:spacing w:after="0"/>
              <w:rPr>
                <w:sz w:val="19"/>
                <w:szCs w:val="19"/>
                <w:color w:val="auto"/>
              </w:rPr>
            </w:pPr>
          </w:p>
        </w:tc>
        <w:tc>
          <w:tcPr>
            <w:tcW w:w="10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ARTICLE 1</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PRELIMINARY MATTERS</w:t>
            </w:r>
          </w:p>
        </w:tc>
        <w:tc>
          <w:tcPr>
            <w:tcW w:w="0" w:type="dxa"/>
            <w:vAlign w:val="bottom"/>
          </w:tcPr>
          <w:p>
            <w:pPr>
              <w:spacing w:after="0"/>
              <w:rPr>
                <w:sz w:val="1"/>
                <w:szCs w:val="1"/>
                <w:color w:val="auto"/>
              </w:rPr>
            </w:pPr>
          </w:p>
        </w:tc>
      </w:tr>
      <w:tr>
        <w:trPr>
          <w:trHeight w:val="235"/>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1.1.</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5"/>
              </w:rPr>
              <w:t>Prior Agreement</w:t>
            </w:r>
            <w:r>
              <w:rPr>
                <w:rFonts w:ascii="Arial" w:cs="Arial" w:eastAsia="Arial" w:hAnsi="Arial"/>
                <w:sz w:val="20"/>
                <w:szCs w:val="20"/>
                <w:color w:val="auto"/>
                <w:w w:val="95"/>
              </w:rPr>
              <w:t>. This Agreement, on its Effective Date, amends, restates and supersedes the Prior Employment</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Agreement.</w:t>
            </w:r>
          </w:p>
        </w:tc>
        <w:tc>
          <w:tcPr>
            <w:tcW w:w="0" w:type="dxa"/>
            <w:vAlign w:val="bottom"/>
          </w:tcPr>
          <w:p>
            <w:pPr>
              <w:spacing w:after="0"/>
              <w:rPr>
                <w:sz w:val="1"/>
                <w:szCs w:val="1"/>
                <w:color w:val="auto"/>
              </w:rPr>
            </w:pPr>
          </w:p>
        </w:tc>
      </w:tr>
      <w:tr>
        <w:trPr>
          <w:trHeight w:val="357"/>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1.2.</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0"/>
              </w:rPr>
              <w:t>Effectiveness of Agreement</w:t>
            </w:r>
            <w:r>
              <w:rPr>
                <w:rFonts w:ascii="Arial" w:cs="Arial" w:eastAsia="Arial" w:hAnsi="Arial"/>
                <w:sz w:val="20"/>
                <w:szCs w:val="20"/>
                <w:color w:val="auto"/>
                <w:w w:val="90"/>
              </w:rPr>
              <w:t>. This Agreement shall be effective and shall supersede the Prior Employment Agreement</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concurrently with the Effective Date.</w:t>
            </w:r>
          </w:p>
        </w:tc>
        <w:tc>
          <w:tcPr>
            <w:tcW w:w="0" w:type="dxa"/>
            <w:vAlign w:val="bottom"/>
          </w:tcPr>
          <w:p>
            <w:pPr>
              <w:spacing w:after="0"/>
              <w:rPr>
                <w:sz w:val="1"/>
                <w:szCs w:val="1"/>
                <w:color w:val="auto"/>
              </w:rPr>
            </w:pPr>
          </w:p>
        </w:tc>
      </w:tr>
      <w:tr>
        <w:trPr>
          <w:trHeight w:val="364"/>
        </w:trPr>
        <w:tc>
          <w:tcPr>
            <w:tcW w:w="760" w:type="dxa"/>
            <w:vAlign w:val="bottom"/>
          </w:tcPr>
          <w:p>
            <w:pPr>
              <w:spacing w:after="0"/>
              <w:rPr>
                <w:sz w:val="24"/>
                <w:szCs w:val="24"/>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ARTICLE 2</w:t>
            </w: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10500" w:type="dxa"/>
            <w:vAlign w:val="bottom"/>
          </w:tcPr>
          <w:p>
            <w:pPr>
              <w:jc w:val="center"/>
              <w:ind w:right="681"/>
              <w:spacing w:after="0"/>
              <w:rPr>
                <w:sz w:val="20"/>
                <w:szCs w:val="20"/>
                <w:color w:val="auto"/>
              </w:rPr>
            </w:pPr>
            <w:r>
              <w:rPr>
                <w:rFonts w:ascii="Arial" w:cs="Arial" w:eastAsia="Arial" w:hAnsi="Arial"/>
                <w:sz w:val="20"/>
                <w:szCs w:val="20"/>
                <w:b w:val="1"/>
                <w:bCs w:val="1"/>
                <w:color w:val="auto"/>
              </w:rPr>
              <w:t>TERMS OF EMPLOYMENT</w:t>
            </w:r>
          </w:p>
        </w:tc>
        <w:tc>
          <w:tcPr>
            <w:tcW w:w="0" w:type="dxa"/>
            <w:vAlign w:val="bottom"/>
          </w:tcPr>
          <w:p>
            <w:pPr>
              <w:spacing w:after="0"/>
              <w:rPr>
                <w:sz w:val="1"/>
                <w:szCs w:val="1"/>
                <w:color w:val="auto"/>
              </w:rPr>
            </w:pPr>
          </w:p>
        </w:tc>
      </w:tr>
      <w:tr>
        <w:trPr>
          <w:trHeight w:val="262"/>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2.1.</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2"/>
              </w:rPr>
              <w:t>Appointment</w:t>
            </w:r>
            <w:r>
              <w:rPr>
                <w:rFonts w:ascii="Arial" w:cs="Arial" w:eastAsia="Arial" w:hAnsi="Arial"/>
                <w:sz w:val="20"/>
                <w:szCs w:val="20"/>
                <w:color w:val="auto"/>
                <w:w w:val="92"/>
              </w:rPr>
              <w:t>. Executive shall serve as Senior Vice President, Chief Medical Officer, reporting to the Chief Executive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Officer. As Senior Vice President, Chief Medical Officer, Executive will have such duties and responsibilities typically associated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3"/>
              </w:rPr>
              <w:t>with such officer plus other duties as may from time to time be assigned to Executive. During Executive’s employment with the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Company, Executive shall (i) devote substantially all of Executive’s business efforts to the Company, and (ii) faithfully and to the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89"/>
              </w:rPr>
              <w:t>best of Executive’s abilities and experience, and in accordance with the standards and ethics of the business in which the Company</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is engaged, perform all duties that may be required of Executive by this Agreement, the Company’s policies and procedures, and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2"/>
              </w:rPr>
              <w:t>such other duties and responsibilities as may be assigned to Executive from time to time, as well as the directives of the Board.</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During Executive’s employment with the Company, Executive shall not engage in any activity that conflicts with or is detrimental</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to the Company’s best interests, as determined by the Board.</w:t>
            </w:r>
          </w:p>
        </w:tc>
        <w:tc>
          <w:tcPr>
            <w:tcW w:w="0" w:type="dxa"/>
            <w:vAlign w:val="bottom"/>
          </w:tcPr>
          <w:p>
            <w:pPr>
              <w:spacing w:after="0"/>
              <w:rPr>
                <w:sz w:val="1"/>
                <w:szCs w:val="1"/>
                <w:color w:val="auto"/>
              </w:rPr>
            </w:pPr>
          </w:p>
        </w:tc>
      </w:tr>
      <w:tr>
        <w:trPr>
          <w:trHeight w:val="262"/>
        </w:trPr>
        <w:tc>
          <w:tcPr>
            <w:tcW w:w="760" w:type="dxa"/>
            <w:vAlign w:val="bottom"/>
          </w:tcPr>
          <w:p>
            <w:pPr>
              <w:ind w:left="80"/>
              <w:spacing w:after="0"/>
              <w:rPr>
                <w:sz w:val="20"/>
                <w:szCs w:val="20"/>
                <w:color w:val="auto"/>
              </w:rPr>
            </w:pPr>
            <w:r>
              <w:rPr>
                <w:rFonts w:ascii="Arial" w:cs="Arial" w:eastAsia="Arial" w:hAnsi="Arial"/>
                <w:sz w:val="20"/>
                <w:szCs w:val="20"/>
                <w:b w:val="1"/>
                <w:bCs w:val="1"/>
                <w:color w:val="auto"/>
              </w:rPr>
              <w:t>2.2.</w:t>
            </w:r>
          </w:p>
        </w:tc>
        <w:tc>
          <w:tcPr>
            <w:tcW w:w="10500" w:type="dxa"/>
            <w:vAlign w:val="bottom"/>
          </w:tcPr>
          <w:p>
            <w:pPr>
              <w:ind w:left="900"/>
              <w:spacing w:after="0"/>
              <w:rPr>
                <w:sz w:val="20"/>
                <w:szCs w:val="20"/>
                <w:color w:val="auto"/>
              </w:rPr>
            </w:pPr>
            <w:r>
              <w:rPr>
                <w:rFonts w:ascii="Arial" w:cs="Arial" w:eastAsia="Arial" w:hAnsi="Arial"/>
                <w:sz w:val="20"/>
                <w:szCs w:val="20"/>
                <w:b w:val="1"/>
                <w:bCs w:val="1"/>
                <w:color w:val="auto"/>
                <w:w w:val="96"/>
              </w:rPr>
              <w:t>Employment Term</w:t>
            </w:r>
            <w:r>
              <w:rPr>
                <w:rFonts w:ascii="Arial" w:cs="Arial" w:eastAsia="Arial" w:hAnsi="Arial"/>
                <w:sz w:val="20"/>
                <w:szCs w:val="20"/>
                <w:color w:val="auto"/>
                <w:w w:val="96"/>
              </w:rPr>
              <w:t>. Executive will be employed by the Company on an “at-will” basis. This means that either the</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3"/>
              </w:rPr>
              <w:t>Company or Executive may terminate Executive’s employment at any time, for any reason, with or without Cause, and with or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4"/>
              </w:rPr>
              <w:t>without advance notice (provided that Resignation for Good Reason (as defined below) requires certain advanced notice by</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3"/>
              </w:rPr>
              <w:t>Executive of Executive’s termination of employment). It also means that Executive’s job title, duties, responsibilities, reporting</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1"/>
              </w:rPr>
              <w:t>level, compensation and benefits, as well as the Company’s personnel policies and procedures, may be changed with or without</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w w:val="92"/>
              </w:rPr>
              <w:t>notice at any time in the Company’s sole discretion. This at-will employment relationship shall not be modified by any conflicting</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0500" w:type="dxa"/>
            <w:vAlign w:val="bottom"/>
          </w:tcPr>
          <w:p>
            <w:pPr>
              <w:ind w:left="120"/>
              <w:spacing w:after="0"/>
              <w:rPr>
                <w:sz w:val="20"/>
                <w:szCs w:val="20"/>
                <w:color w:val="auto"/>
              </w:rPr>
            </w:pPr>
            <w:r>
              <w:rPr>
                <w:rFonts w:ascii="Arial" w:cs="Arial" w:eastAsia="Arial" w:hAnsi="Arial"/>
                <w:sz w:val="20"/>
                <w:szCs w:val="20"/>
                <w:color w:val="auto"/>
              </w:rPr>
              <w:t>actions or representations of any Company employee</w:t>
            </w: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10500" w:type="dxa"/>
            <w:vAlign w:val="bottom"/>
          </w:tcPr>
          <w:p>
            <w:pPr>
              <w:jc w:val="center"/>
              <w:ind w:right="66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327"/>
        </w:trPr>
        <w:tc>
          <w:tcPr>
            <w:tcW w:w="760" w:type="dxa"/>
            <w:vAlign w:val="bottom"/>
            <w:tcBorders>
              <w:bottom w:val="single" w:sz="8" w:color="9A9A9A"/>
            </w:tcBorders>
          </w:tcPr>
          <w:p>
            <w:pPr>
              <w:spacing w:after="0"/>
              <w:rPr>
                <w:sz w:val="24"/>
                <w:szCs w:val="24"/>
                <w:color w:val="auto"/>
              </w:rPr>
            </w:pPr>
          </w:p>
        </w:tc>
        <w:tc>
          <w:tcPr>
            <w:tcW w:w="10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51" w:name="page152"/>
    <w:bookmarkEnd w:id="151"/>
    <w:p>
      <w:pPr>
        <w:ind w:left="1660"/>
        <w:spacing w:after="0"/>
        <w:rPr>
          <w:sz w:val="20"/>
          <w:szCs w:val="20"/>
          <w:color w:val="auto"/>
        </w:rPr>
      </w:pPr>
      <w:r>
        <w:rPr>
          <w:rFonts w:ascii="Arial" w:cs="Arial" w:eastAsia="Arial" w:hAnsi="Arial"/>
          <w:sz w:val="20"/>
          <w:szCs w:val="20"/>
          <w:color w:val="auto"/>
        </w:rPr>
        <w:t>or other party before or during the term of Executive’s employment.</w:t>
      </w:r>
    </w:p>
    <w:p>
      <w:pPr>
        <w:spacing w:after="0" w:line="156"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148" w:lineRule="exact"/>
        <w:rPr>
          <w:sz w:val="20"/>
          <w:szCs w:val="20"/>
          <w:color w:val="auto"/>
        </w:rPr>
      </w:pPr>
    </w:p>
    <w:p>
      <w:pPr>
        <w:ind w:right="300" w:firstLine="1735"/>
        <w:spacing w:after="0" w:line="248" w:lineRule="auto"/>
        <w:tabs>
          <w:tab w:leader="none" w:pos="2528"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Annual Base Salary</w:t>
      </w:r>
      <w:r>
        <w:rPr>
          <w:rFonts w:ascii="Arial" w:cs="Arial" w:eastAsia="Arial" w:hAnsi="Arial"/>
          <w:sz w:val="20"/>
          <w:szCs w:val="20"/>
          <w:color w:val="auto"/>
        </w:rPr>
        <w:t>. Executive’s annual base salary shall be $437,100 per year (“</w:t>
      </w:r>
      <w:r>
        <w:rPr>
          <w:rFonts w:ascii="Arial" w:cs="Arial" w:eastAsia="Arial" w:hAnsi="Arial"/>
          <w:sz w:val="20"/>
          <w:szCs w:val="20"/>
          <w:b w:val="1"/>
          <w:bCs w:val="1"/>
          <w:i w:val="1"/>
          <w:iCs w:val="1"/>
          <w:color w:val="auto"/>
        </w:rPr>
        <w:t>Annual Base Salary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in equal installments, less applicable deductions and withholdings, in accordance with the Company’s standard payroll practices. Executive’s Annual Base Salary shall be subject to review by the Company’s compensation committee and may be increased, from time to time.</w:t>
      </w:r>
    </w:p>
    <w:p>
      <w:pPr>
        <w:spacing w:after="0" w:line="128" w:lineRule="exact"/>
        <w:rPr>
          <w:rFonts w:ascii="Arial" w:cs="Arial" w:eastAsia="Arial" w:hAnsi="Arial"/>
          <w:sz w:val="20"/>
          <w:szCs w:val="20"/>
          <w:color w:val="auto"/>
        </w:rPr>
      </w:pPr>
    </w:p>
    <w:p>
      <w:pPr>
        <w:ind w:right="80" w:firstLine="1735"/>
        <w:spacing w:after="0" w:line="246" w:lineRule="auto"/>
        <w:tabs>
          <w:tab w:leader="none" w:pos="2539"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Executive will be entitled to participate in all of the employee benefits and benefit plans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 From time and time and as the Board deems appropriate, Executive may be eligible to receive options to purchase the Company’s common stock.</w:t>
      </w:r>
    </w:p>
    <w:p>
      <w:pPr>
        <w:spacing w:after="0" w:line="102" w:lineRule="exact"/>
        <w:rPr>
          <w:rFonts w:ascii="Arial" w:cs="Arial" w:eastAsia="Arial" w:hAnsi="Arial"/>
          <w:sz w:val="20"/>
          <w:szCs w:val="20"/>
          <w:color w:val="auto"/>
        </w:rPr>
      </w:pPr>
    </w:p>
    <w:p>
      <w:pPr>
        <w:ind w:right="40" w:firstLine="1735"/>
        <w:spacing w:after="0" w:line="256" w:lineRule="auto"/>
        <w:tabs>
          <w:tab w:leader="none" w:pos="2528" w:val="left"/>
        </w:tabs>
        <w:numPr>
          <w:ilvl w:val="0"/>
          <w:numId w:val="76"/>
        </w:numPr>
        <w:rPr>
          <w:rFonts w:ascii="Arial" w:cs="Arial" w:eastAsia="Arial" w:hAnsi="Arial"/>
          <w:sz w:val="19"/>
          <w:szCs w:val="19"/>
          <w:color w:val="auto"/>
        </w:rPr>
      </w:pPr>
      <w:r>
        <w:rPr>
          <w:rFonts w:ascii="Arial" w:cs="Arial" w:eastAsia="Arial" w:hAnsi="Arial"/>
          <w:sz w:val="19"/>
          <w:szCs w:val="19"/>
          <w:b w:val="1"/>
          <w:bCs w:val="1"/>
          <w:color w:val="auto"/>
        </w:rPr>
        <w:t>Bonus</w:t>
      </w:r>
      <w:r>
        <w:rPr>
          <w:rFonts w:ascii="Arial" w:cs="Arial" w:eastAsia="Arial" w:hAnsi="Arial"/>
          <w:sz w:val="19"/>
          <w:szCs w:val="19"/>
          <w:color w:val="auto"/>
        </w:rPr>
        <w:t>. In addition to Annual Base Salary, Executive shall be eligible to earn an annual performance bonus of</w:t>
      </w:r>
      <w:r>
        <w:rPr>
          <w:rFonts w:ascii="Arial" w:cs="Arial" w:eastAsia="Arial" w:hAnsi="Arial"/>
          <w:sz w:val="19"/>
          <w:szCs w:val="19"/>
          <w:b w:val="1"/>
          <w:bCs w:val="1"/>
          <w:color w:val="auto"/>
        </w:rPr>
        <w:t xml:space="preserve"> </w:t>
      </w:r>
      <w:r>
        <w:rPr>
          <w:rFonts w:ascii="Arial" w:cs="Arial" w:eastAsia="Arial" w:hAnsi="Arial"/>
          <w:sz w:val="19"/>
          <w:szCs w:val="19"/>
          <w:color w:val="auto"/>
        </w:rPr>
        <w:t>up to forty percent (40%)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9"/>
          <w:szCs w:val="19"/>
          <w:b w:val="1"/>
          <w:bCs w:val="1"/>
          <w:i w:val="1"/>
          <w:iCs w:val="1"/>
          <w:color w:val="auto"/>
        </w:rPr>
        <w:t>Target Performance Bonus</w:t>
      </w:r>
      <w:r>
        <w:rPr>
          <w:rFonts w:ascii="Arial" w:cs="Arial" w:eastAsia="Arial" w:hAnsi="Arial"/>
          <w:sz w:val="19"/>
          <w:szCs w:val="19"/>
          <w:color w:val="auto"/>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w:t>
      </w:r>
      <w:r>
        <w:rPr>
          <w:rFonts w:ascii="Arial" w:cs="Arial" w:eastAsia="Arial" w:hAnsi="Arial"/>
          <w:sz w:val="15"/>
          <w:szCs w:val="15"/>
          <w:color w:val="auto"/>
        </w:rPr>
        <w:t>th</w:t>
      </w:r>
      <w:r>
        <w:rPr>
          <w:rFonts w:ascii="Arial" w:cs="Arial" w:eastAsia="Arial" w:hAnsi="Arial"/>
          <w:sz w:val="19"/>
          <w:szCs w:val="19"/>
          <w:color w:val="auto"/>
        </w:rPr>
        <w:t xml:space="preserve"> following the calendar year during which such bonus was earned. Except as provided in Section 3.2, Executive shall be eligible to earn the Target Performance Bonus only if Executive is actively employed and in good standing with the Company on both the determination and payment dates for the Target Performance Bonus.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2.4.</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4"/>
              </w:rPr>
              <w:t>Reimbursement of Expenses</w:t>
            </w:r>
            <w:r>
              <w:rPr>
                <w:rFonts w:ascii="Arial" w:cs="Arial" w:eastAsia="Arial" w:hAnsi="Arial"/>
                <w:sz w:val="20"/>
                <w:szCs w:val="20"/>
                <w:color w:val="auto"/>
                <w:w w:val="94"/>
              </w:rPr>
              <w:t>. Subject to Section 5.10(c), the Company shall reimburse Executive for Executive’s</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1"/>
              </w:rPr>
              <w:t>necessary and reasonable business expenses incurred in connection with Executive’s duties in accordance with the Company’s</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rPr>
              <w:t>generally applicable policies.</w:t>
            </w:r>
          </w:p>
        </w:tc>
      </w:tr>
      <w:tr>
        <w:trPr>
          <w:trHeight w:val="391"/>
        </w:trPr>
        <w:tc>
          <w:tcPr>
            <w:tcW w:w="620" w:type="dxa"/>
            <w:vAlign w:val="bottom"/>
          </w:tcPr>
          <w:p>
            <w:pPr>
              <w:spacing w:after="0"/>
              <w:rPr>
                <w:sz w:val="24"/>
                <w:szCs w:val="24"/>
                <w:color w:val="auto"/>
              </w:rPr>
            </w:pPr>
          </w:p>
        </w:tc>
        <w:tc>
          <w:tcPr>
            <w:tcW w:w="10640" w:type="dxa"/>
            <w:vAlign w:val="bottom"/>
          </w:tcPr>
          <w:p>
            <w:pPr>
              <w:jc w:val="center"/>
              <w:ind w:right="541"/>
              <w:spacing w:after="0"/>
              <w:rPr>
                <w:sz w:val="20"/>
                <w:szCs w:val="20"/>
                <w:color w:val="auto"/>
              </w:rPr>
            </w:pPr>
            <w:r>
              <w:rPr>
                <w:rFonts w:ascii="Arial" w:cs="Arial" w:eastAsia="Arial" w:hAnsi="Arial"/>
                <w:sz w:val="20"/>
                <w:szCs w:val="20"/>
                <w:b w:val="1"/>
                <w:bCs w:val="1"/>
                <w:color w:val="auto"/>
              </w:rPr>
              <w:t>ARTICLE 3</w:t>
            </w:r>
          </w:p>
        </w:tc>
      </w:tr>
      <w:tr>
        <w:trPr>
          <w:trHeight w:val="391"/>
        </w:trPr>
        <w:tc>
          <w:tcPr>
            <w:tcW w:w="620" w:type="dxa"/>
            <w:vAlign w:val="bottom"/>
          </w:tcPr>
          <w:p>
            <w:pPr>
              <w:spacing w:after="0"/>
              <w:rPr>
                <w:sz w:val="24"/>
                <w:szCs w:val="24"/>
                <w:color w:val="auto"/>
              </w:rPr>
            </w:pPr>
          </w:p>
        </w:tc>
        <w:tc>
          <w:tcPr>
            <w:tcW w:w="10640" w:type="dxa"/>
            <w:vAlign w:val="bottom"/>
          </w:tcPr>
          <w:p>
            <w:pPr>
              <w:jc w:val="center"/>
              <w:ind w:right="541"/>
              <w:spacing w:after="0"/>
              <w:rPr>
                <w:sz w:val="20"/>
                <w:szCs w:val="20"/>
                <w:color w:val="auto"/>
              </w:rPr>
            </w:pPr>
            <w:r>
              <w:rPr>
                <w:rFonts w:ascii="Arial" w:cs="Arial" w:eastAsia="Arial" w:hAnsi="Arial"/>
                <w:sz w:val="20"/>
                <w:szCs w:val="20"/>
                <w:b w:val="1"/>
                <w:bCs w:val="1"/>
                <w:color w:val="auto"/>
                <w:w w:val="99"/>
              </w:rPr>
              <w:t>CHANGE IN CONTROL SEVERANCE BENEFITS</w:t>
            </w:r>
          </w:p>
        </w:tc>
      </w:tr>
      <w:tr>
        <w:trPr>
          <w:trHeight w:val="262"/>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3.1.</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2"/>
              </w:rPr>
              <w:t>Severance Benefits</w:t>
            </w:r>
            <w:r>
              <w:rPr>
                <w:rFonts w:ascii="Arial" w:cs="Arial" w:eastAsia="Arial" w:hAnsi="Arial"/>
                <w:sz w:val="20"/>
                <w:szCs w:val="20"/>
                <w:color w:val="auto"/>
                <w:w w:val="92"/>
              </w:rPr>
              <w:t>. Upon a Change in Control Termination, and subject to the limitations and conditions set forth in</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0"/>
              </w:rPr>
              <w:t>this Agreement, Executive shall be eligible to receive the benefits set forth in this Article 3. The receipt of any severance payments</w:t>
            </w:r>
          </w:p>
        </w:tc>
      </w:tr>
      <w:tr>
        <w:trPr>
          <w:trHeight w:val="223"/>
        </w:trPr>
        <w:tc>
          <w:tcPr>
            <w:tcW w:w="620" w:type="dxa"/>
            <w:vAlign w:val="bottom"/>
          </w:tcPr>
          <w:p>
            <w:pPr>
              <w:spacing w:after="0"/>
              <w:rPr>
                <w:sz w:val="19"/>
                <w:szCs w:val="19"/>
                <w:color w:val="auto"/>
              </w:rPr>
            </w:pPr>
          </w:p>
        </w:tc>
        <w:tc>
          <w:tcPr>
            <w:tcW w:w="10640" w:type="dxa"/>
            <w:vAlign w:val="bottom"/>
          </w:tcPr>
          <w:p>
            <w:pPr>
              <w:ind w:left="260"/>
              <w:spacing w:after="0" w:line="223" w:lineRule="exact"/>
              <w:rPr>
                <w:sz w:val="20"/>
                <w:szCs w:val="20"/>
                <w:color w:val="auto"/>
              </w:rPr>
            </w:pPr>
            <w:r>
              <w:rPr>
                <w:rFonts w:ascii="Arial" w:cs="Arial" w:eastAsia="Arial" w:hAnsi="Arial"/>
                <w:sz w:val="20"/>
                <w:szCs w:val="20"/>
                <w:color w:val="auto"/>
                <w:w w:val="89"/>
              </w:rPr>
              <w:t>or benefits pursuant to this Agreement is subject to Executive signing and not revoking a separation agreement and general release</w:t>
            </w:r>
          </w:p>
        </w:tc>
      </w:tr>
      <w:tr>
        <w:trPr>
          <w:trHeight w:val="235"/>
        </w:trPr>
        <w:tc>
          <w:tcPr>
            <w:tcW w:w="620" w:type="dxa"/>
            <w:vAlign w:val="bottom"/>
          </w:tcPr>
          <w:p>
            <w:pPr>
              <w:spacing w:after="0"/>
              <w:rPr>
                <w:sz w:val="20"/>
                <w:szCs w:val="20"/>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0"/>
              </w:rPr>
              <w:t>of claims (the “</w:t>
            </w:r>
            <w:r>
              <w:rPr>
                <w:rFonts w:ascii="Arial" w:cs="Arial" w:eastAsia="Arial" w:hAnsi="Arial"/>
                <w:sz w:val="20"/>
                <w:szCs w:val="20"/>
                <w:b w:val="1"/>
                <w:bCs w:val="1"/>
                <w:i w:val="1"/>
                <w:iCs w:val="1"/>
                <w:color w:val="auto"/>
                <w:w w:val="90"/>
              </w:rPr>
              <w:t>Release</w:t>
            </w:r>
            <w:r>
              <w:rPr>
                <w:rFonts w:ascii="Arial" w:cs="Arial" w:eastAsia="Arial" w:hAnsi="Arial"/>
                <w:sz w:val="20"/>
                <w:szCs w:val="20"/>
                <w:color w:val="auto"/>
                <w:w w:val="90"/>
              </w:rPr>
              <w:t xml:space="preserve">”), in substantially the form attached hereto and incorporated herein as </w:t>
            </w:r>
            <w:r>
              <w:rPr>
                <w:rFonts w:ascii="Arial" w:cs="Arial" w:eastAsia="Arial" w:hAnsi="Arial"/>
                <w:sz w:val="20"/>
                <w:szCs w:val="20"/>
                <w:b w:val="1"/>
                <w:bCs w:val="1"/>
                <w:color w:val="auto"/>
                <w:w w:val="90"/>
              </w:rPr>
              <w:t>Exhibit A</w:t>
            </w:r>
            <w:r>
              <w:rPr>
                <w:rFonts w:ascii="Arial" w:cs="Arial" w:eastAsia="Arial" w:hAnsi="Arial"/>
                <w:sz w:val="20"/>
                <w:szCs w:val="20"/>
                <w:color w:val="auto"/>
                <w:w w:val="90"/>
              </w:rPr>
              <w:t xml:space="preserve">, </w:t>
            </w:r>
            <w:r>
              <w:rPr>
                <w:rFonts w:ascii="Arial" w:cs="Arial" w:eastAsia="Arial" w:hAnsi="Arial"/>
                <w:sz w:val="20"/>
                <w:szCs w:val="20"/>
                <w:b w:val="1"/>
                <w:bCs w:val="1"/>
                <w:color w:val="auto"/>
                <w:w w:val="90"/>
              </w:rPr>
              <w:t>Exhibit B</w:t>
            </w:r>
            <w:r>
              <w:rPr>
                <w:rFonts w:ascii="Arial" w:cs="Arial" w:eastAsia="Arial" w:hAnsi="Arial"/>
                <w:sz w:val="20"/>
                <w:szCs w:val="20"/>
                <w:color w:val="auto"/>
                <w:w w:val="90"/>
              </w:rPr>
              <w:t xml:space="preserve"> or </w:t>
            </w:r>
            <w:r>
              <w:rPr>
                <w:rFonts w:ascii="Arial" w:cs="Arial" w:eastAsia="Arial" w:hAnsi="Arial"/>
                <w:sz w:val="20"/>
                <w:szCs w:val="20"/>
                <w:b w:val="1"/>
                <w:bCs w:val="1"/>
                <w:color w:val="auto"/>
                <w:w w:val="90"/>
              </w:rPr>
              <w:t>Exhibit C</w:t>
            </w:r>
            <w:r>
              <w:rPr>
                <w:rFonts w:ascii="Arial" w:cs="Arial" w:eastAsia="Arial" w:hAnsi="Arial"/>
                <w:sz w:val="20"/>
                <w:szCs w:val="20"/>
                <w:color w:val="auto"/>
                <w:w w:val="90"/>
              </w:rPr>
              <w:t>,</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2"/>
              </w:rPr>
              <w:t>as appropriate, which Release must become effective and irrevocable no later than the sixtieth (60</w:t>
            </w:r>
            <w:r>
              <w:rPr>
                <w:rFonts w:ascii="Arial" w:cs="Arial" w:eastAsia="Arial" w:hAnsi="Arial"/>
                <w:sz w:val="16"/>
                <w:szCs w:val="16"/>
                <w:color w:val="auto"/>
                <w:w w:val="92"/>
              </w:rPr>
              <w:t>th</w:t>
            </w:r>
            <w:r>
              <w:rPr>
                <w:rFonts w:ascii="Arial" w:cs="Arial" w:eastAsia="Arial" w:hAnsi="Arial"/>
                <w:sz w:val="20"/>
                <w:szCs w:val="20"/>
                <w:color w:val="auto"/>
                <w:w w:val="92"/>
              </w:rPr>
              <w:t>) day following Executive’s</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5"/>
              </w:rPr>
              <w:t>termination of employment (the “</w:t>
            </w:r>
            <w:r>
              <w:rPr>
                <w:rFonts w:ascii="Arial" w:cs="Arial" w:eastAsia="Arial" w:hAnsi="Arial"/>
                <w:sz w:val="20"/>
                <w:szCs w:val="20"/>
                <w:b w:val="1"/>
                <w:bCs w:val="1"/>
                <w:i w:val="1"/>
                <w:iCs w:val="1"/>
                <w:color w:val="auto"/>
                <w:w w:val="95"/>
              </w:rPr>
              <w:t>Release Deadline Date</w:t>
            </w:r>
            <w:r>
              <w:rPr>
                <w:rFonts w:ascii="Arial" w:cs="Arial" w:eastAsia="Arial" w:hAnsi="Arial"/>
                <w:sz w:val="20"/>
                <w:szCs w:val="20"/>
                <w:color w:val="auto"/>
                <w:w w:val="95"/>
              </w:rPr>
              <w:t>”). If the Release does not become effective and irrevocable by the</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1"/>
              </w:rPr>
              <w:t>Release Deadline Date, Executive will forfeit any right to any severance payments or benefits under this Agreement. In no event</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9"/>
              </w:rPr>
              <w:t>will severance payments or benefits be paid or provided until the Release actually becomes effective and irrevocable.</w:t>
            </w:r>
          </w:p>
        </w:tc>
      </w:tr>
      <w:tr>
        <w:trPr>
          <w:trHeight w:val="357"/>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3.2.</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0"/>
              </w:rPr>
              <w:t>Salary and Pro-Rata Bonus Payment</w:t>
            </w:r>
            <w:r>
              <w:rPr>
                <w:rFonts w:ascii="Arial" w:cs="Arial" w:eastAsia="Arial" w:hAnsi="Arial"/>
                <w:sz w:val="20"/>
                <w:szCs w:val="20"/>
                <w:color w:val="auto"/>
                <w:w w:val="90"/>
              </w:rPr>
              <w:t>. In consideration of Executive’s execution and non-revocation of the Release by</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7"/>
              </w:rPr>
              <w:t>the Release Deadline Date, in a form provided by the Company and in accordance with Article 5, the Company shall pay</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0"/>
              </w:rPr>
              <w:t>Executive a severance payment equal to (i) the sum of Executive’s Monthly Base Salary and Pro-Rata Bonus multiplied by (ii) the</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3"/>
              </w:rPr>
              <w:t>number of months in the Change in Control Severance Period, less applicable withholdings. The severance payment shall be</w:t>
            </w:r>
          </w:p>
        </w:tc>
      </w:tr>
      <w:tr>
        <w:trPr>
          <w:trHeight w:val="445"/>
        </w:trPr>
        <w:tc>
          <w:tcPr>
            <w:tcW w:w="620" w:type="dxa"/>
            <w:vAlign w:val="bottom"/>
          </w:tcPr>
          <w:p>
            <w:pPr>
              <w:spacing w:after="0"/>
              <w:rPr>
                <w:sz w:val="24"/>
                <w:szCs w:val="24"/>
                <w:color w:val="auto"/>
              </w:rPr>
            </w:pPr>
          </w:p>
        </w:tc>
        <w:tc>
          <w:tcPr>
            <w:tcW w:w="10640" w:type="dxa"/>
            <w:vAlign w:val="bottom"/>
          </w:tcPr>
          <w:p>
            <w:pPr>
              <w:jc w:val="center"/>
              <w:ind w:right="521"/>
              <w:spacing w:after="0"/>
              <w:rPr>
                <w:sz w:val="20"/>
                <w:szCs w:val="20"/>
                <w:color w:val="auto"/>
              </w:rPr>
            </w:pPr>
            <w:r>
              <w:rPr>
                <w:rFonts w:ascii="Arial" w:cs="Arial" w:eastAsia="Arial" w:hAnsi="Arial"/>
                <w:sz w:val="20"/>
                <w:szCs w:val="20"/>
                <w:color w:val="auto"/>
                <w:w w:val="89"/>
              </w:rPr>
              <w:t>2</w:t>
            </w:r>
          </w:p>
        </w:tc>
      </w:tr>
      <w:tr>
        <w:trPr>
          <w:trHeight w:val="327"/>
        </w:trPr>
        <w:tc>
          <w:tcPr>
            <w:tcW w:w="62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2" w:name="page153"/>
    <w:bookmarkEnd w:id="152"/>
    <w:p>
      <w:pPr>
        <w:ind w:left="860" w:firstLine="797"/>
        <w:spacing w:after="0" w:line="261" w:lineRule="auto"/>
        <w:rPr>
          <w:sz w:val="20"/>
          <w:szCs w:val="20"/>
          <w:color w:val="auto"/>
        </w:rPr>
      </w:pPr>
      <w:r>
        <w:rPr>
          <w:rFonts w:ascii="Arial" w:cs="Arial" w:eastAsia="Arial" w:hAnsi="Arial"/>
          <w:sz w:val="20"/>
          <w:szCs w:val="20"/>
          <w:color w:val="auto"/>
        </w:rPr>
        <w:t>payable (except as set forth in Article 5) in a lump sum on the first regularly-scheduled payroll date occurring on or after the Release Deadline Date.</w:t>
      </w:r>
    </w:p>
    <w:p>
      <w:pPr>
        <w:spacing w:after="0" w:line="115"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color w:val="auto"/>
        </w:rPr>
        <w:t>Health Continuation Coverage</w:t>
      </w:r>
      <w:r>
        <w:rPr>
          <w:rFonts w:ascii="Arial" w:cs="Arial" w:eastAsia="Arial" w:hAnsi="Arial"/>
          <w:sz w:val="18"/>
          <w:szCs w:val="18"/>
          <w:color w:val="auto"/>
        </w:rPr>
        <w:t>.</w:t>
      </w:r>
    </w:p>
    <w:p>
      <w:pPr>
        <w:spacing w:after="0" w:line="154" w:lineRule="exact"/>
        <w:rPr>
          <w:sz w:val="20"/>
          <w:szCs w:val="20"/>
          <w:color w:val="auto"/>
        </w:rPr>
      </w:pPr>
    </w:p>
    <w:p>
      <w:pPr>
        <w:ind w:left="-20" w:firstLine="1735"/>
        <w:spacing w:after="0" w:line="268" w:lineRule="auto"/>
        <w:tabs>
          <w:tab w:leader="none" w:pos="25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27" w:lineRule="exact"/>
        <w:rPr>
          <w:rFonts w:ascii="Arial" w:cs="Arial" w:eastAsia="Arial" w:hAnsi="Arial"/>
          <w:sz w:val="18"/>
          <w:szCs w:val="18"/>
          <w:color w:val="auto"/>
        </w:rPr>
      </w:pPr>
    </w:p>
    <w:p>
      <w:pPr>
        <w:ind w:left="-20" w:right="240" w:firstLine="1735"/>
        <w:spacing w:after="0" w:line="284" w:lineRule="auto"/>
        <w:tabs>
          <w:tab w:leader="none" w:pos="25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3.4.</w:t>
            </w:r>
          </w:p>
        </w:tc>
        <w:tc>
          <w:tcPr>
            <w:tcW w:w="10320" w:type="dxa"/>
            <w:vAlign w:val="bottom"/>
          </w:tcPr>
          <w:p>
            <w:pPr>
              <w:ind w:left="1040"/>
              <w:spacing w:after="0"/>
              <w:rPr>
                <w:sz w:val="20"/>
                <w:szCs w:val="20"/>
                <w:color w:val="auto"/>
              </w:rPr>
            </w:pPr>
            <w:r>
              <w:rPr>
                <w:rFonts w:ascii="Arial" w:cs="Arial" w:eastAsia="Arial" w:hAnsi="Arial"/>
                <w:sz w:val="20"/>
                <w:szCs w:val="20"/>
                <w:b w:val="1"/>
                <w:bCs w:val="1"/>
                <w:color w:val="auto"/>
                <w:w w:val="90"/>
              </w:rPr>
              <w:t>Stock Awards</w:t>
            </w:r>
            <w:r>
              <w:rPr>
                <w:rFonts w:ascii="Arial" w:cs="Arial" w:eastAsia="Arial" w:hAnsi="Arial"/>
                <w:sz w:val="20"/>
                <w:szCs w:val="20"/>
                <w:color w:val="auto"/>
                <w:w w:val="90"/>
              </w:rPr>
              <w:t>. Upon a Change in Control Termination, (i) the vesting and exercisability of all outstanding options to</w:t>
            </w:r>
          </w:p>
        </w:tc>
      </w:tr>
      <w:tr>
        <w:trPr>
          <w:trHeight w:val="229"/>
        </w:trPr>
        <w:tc>
          <w:tcPr>
            <w:tcW w:w="54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20"/>
                <w:szCs w:val="20"/>
                <w:color w:val="auto"/>
                <w:w w:val="91"/>
              </w:rPr>
              <w:t>purchase the Company’s common stock (or stock appreciation rights or other rights with respect to the stock of the Company</w:t>
            </w:r>
          </w:p>
        </w:tc>
      </w:tr>
      <w:tr>
        <w:trPr>
          <w:trHeight w:val="229"/>
        </w:trPr>
        <w:tc>
          <w:tcPr>
            <w:tcW w:w="54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20"/>
                <w:szCs w:val="20"/>
                <w:color w:val="auto"/>
                <w:w w:val="93"/>
              </w:rPr>
              <w:t>issued pursuant to any equity incentive plan of the Company) that are held by Executive on the Termination Date shall be</w:t>
            </w:r>
          </w:p>
        </w:tc>
      </w:tr>
      <w:tr>
        <w:trPr>
          <w:trHeight w:val="229"/>
        </w:trPr>
        <w:tc>
          <w:tcPr>
            <w:tcW w:w="54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20"/>
                <w:szCs w:val="20"/>
                <w:color w:val="auto"/>
                <w:w w:val="89"/>
              </w:rPr>
              <w:t>accelerated in full, and (ii) any reacquisition or repurchase rights held by the Company with respect to common stock issued or</w:t>
            </w:r>
          </w:p>
        </w:tc>
      </w:tr>
      <w:tr>
        <w:trPr>
          <w:trHeight w:val="229"/>
        </w:trPr>
        <w:tc>
          <w:tcPr>
            <w:tcW w:w="540" w:type="dxa"/>
            <w:vAlign w:val="bottom"/>
          </w:tcPr>
          <w:p>
            <w:pPr>
              <w:spacing w:after="0"/>
              <w:rPr>
                <w:sz w:val="19"/>
                <w:szCs w:val="19"/>
                <w:color w:val="auto"/>
              </w:rPr>
            </w:pPr>
          </w:p>
        </w:tc>
        <w:tc>
          <w:tcPr>
            <w:tcW w:w="10320" w:type="dxa"/>
            <w:vAlign w:val="bottom"/>
          </w:tcPr>
          <w:p>
            <w:pPr>
              <w:ind w:left="260"/>
              <w:spacing w:after="0"/>
              <w:rPr>
                <w:sz w:val="20"/>
                <w:szCs w:val="20"/>
                <w:color w:val="auto"/>
              </w:rPr>
            </w:pPr>
            <w:r>
              <w:rPr>
                <w:rFonts w:ascii="Arial" w:cs="Arial" w:eastAsia="Arial" w:hAnsi="Arial"/>
                <w:sz w:val="20"/>
                <w:szCs w:val="20"/>
                <w:color w:val="auto"/>
                <w:w w:val="88"/>
              </w:rPr>
              <w:t>issuable (or with respect to other rights with respect to the stock of the Company issued or issuable) pursuant to any other stock</w:t>
            </w:r>
          </w:p>
        </w:tc>
      </w:tr>
      <w:tr>
        <w:trPr>
          <w:trHeight w:val="250"/>
        </w:trPr>
        <w:tc>
          <w:tcPr>
            <w:tcW w:w="540" w:type="dxa"/>
            <w:vAlign w:val="bottom"/>
          </w:tcPr>
          <w:p>
            <w:pPr>
              <w:spacing w:after="0"/>
              <w:rPr>
                <w:sz w:val="21"/>
                <w:szCs w:val="21"/>
                <w:color w:val="auto"/>
              </w:rPr>
            </w:pPr>
          </w:p>
        </w:tc>
        <w:tc>
          <w:tcPr>
            <w:tcW w:w="10320" w:type="dxa"/>
            <w:vAlign w:val="bottom"/>
          </w:tcPr>
          <w:p>
            <w:pPr>
              <w:ind w:left="260"/>
              <w:spacing w:after="0"/>
              <w:rPr>
                <w:sz w:val="20"/>
                <w:szCs w:val="20"/>
                <w:color w:val="auto"/>
              </w:rPr>
            </w:pPr>
            <w:r>
              <w:rPr>
                <w:rFonts w:ascii="Arial" w:cs="Arial" w:eastAsia="Arial" w:hAnsi="Arial"/>
                <w:sz w:val="20"/>
                <w:szCs w:val="20"/>
                <w:color w:val="auto"/>
              </w:rPr>
              <w:t>award granted to Executive pursuant to any equity incentive plan of the Company shall lapse.</w:t>
            </w:r>
          </w:p>
        </w:tc>
      </w:tr>
      <w:tr>
        <w:trPr>
          <w:trHeight w:val="391"/>
        </w:trPr>
        <w:tc>
          <w:tcPr>
            <w:tcW w:w="540" w:type="dxa"/>
            <w:vAlign w:val="bottom"/>
          </w:tcPr>
          <w:p>
            <w:pPr>
              <w:spacing w:after="0"/>
              <w:rPr>
                <w:sz w:val="24"/>
                <w:szCs w:val="24"/>
                <w:color w:val="auto"/>
              </w:rPr>
            </w:pPr>
          </w:p>
        </w:tc>
        <w:tc>
          <w:tcPr>
            <w:tcW w:w="10320" w:type="dxa"/>
            <w:vAlign w:val="bottom"/>
          </w:tcPr>
          <w:p>
            <w:pPr>
              <w:ind w:left="4480"/>
              <w:spacing w:after="0"/>
              <w:rPr>
                <w:sz w:val="20"/>
                <w:szCs w:val="20"/>
                <w:color w:val="auto"/>
              </w:rPr>
            </w:pPr>
            <w:r>
              <w:rPr>
                <w:rFonts w:ascii="Arial" w:cs="Arial" w:eastAsia="Arial" w:hAnsi="Arial"/>
                <w:sz w:val="20"/>
                <w:szCs w:val="20"/>
                <w:b w:val="1"/>
                <w:bCs w:val="1"/>
                <w:color w:val="auto"/>
              </w:rPr>
              <w:t>ARTICLE 4</w:t>
            </w:r>
          </w:p>
        </w:tc>
      </w:tr>
      <w:tr>
        <w:trPr>
          <w:trHeight w:val="364"/>
        </w:trPr>
        <w:tc>
          <w:tcPr>
            <w:tcW w:w="540" w:type="dxa"/>
            <w:vAlign w:val="bottom"/>
          </w:tcPr>
          <w:p>
            <w:pPr>
              <w:spacing w:after="0"/>
              <w:rPr>
                <w:sz w:val="24"/>
                <w:szCs w:val="24"/>
                <w:color w:val="auto"/>
              </w:rPr>
            </w:pPr>
          </w:p>
        </w:tc>
        <w:tc>
          <w:tcPr>
            <w:tcW w:w="10320" w:type="dxa"/>
            <w:vAlign w:val="bottom"/>
          </w:tcPr>
          <w:p>
            <w:pPr>
              <w:ind w:left="2620"/>
              <w:spacing w:after="0"/>
              <w:rPr>
                <w:sz w:val="20"/>
                <w:szCs w:val="20"/>
                <w:color w:val="auto"/>
              </w:rPr>
            </w:pPr>
            <w:r>
              <w:rPr>
                <w:rFonts w:ascii="Arial" w:cs="Arial" w:eastAsia="Arial" w:hAnsi="Arial"/>
                <w:sz w:val="20"/>
                <w:szCs w:val="20"/>
                <w:b w:val="1"/>
                <w:bCs w:val="1"/>
                <w:color w:val="auto"/>
              </w:rPr>
              <w:t>COVERED TERMINATION SEVERANCE BENEFITS</w:t>
            </w:r>
          </w:p>
        </w:tc>
      </w:tr>
      <w:tr>
        <w:trPr>
          <w:trHeight w:val="373"/>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4.1.</w:t>
            </w:r>
          </w:p>
        </w:tc>
        <w:tc>
          <w:tcPr>
            <w:tcW w:w="10320" w:type="dxa"/>
            <w:vAlign w:val="bottom"/>
          </w:tcPr>
          <w:p>
            <w:pPr>
              <w:ind w:left="1040"/>
              <w:spacing w:after="0"/>
              <w:rPr>
                <w:sz w:val="20"/>
                <w:szCs w:val="20"/>
                <w:color w:val="auto"/>
              </w:rPr>
            </w:pPr>
            <w:r>
              <w:rPr>
                <w:rFonts w:ascii="Arial" w:cs="Arial" w:eastAsia="Arial" w:hAnsi="Arial"/>
                <w:sz w:val="20"/>
                <w:szCs w:val="20"/>
                <w:b w:val="1"/>
                <w:bCs w:val="1"/>
                <w:color w:val="auto"/>
                <w:w w:val="93"/>
              </w:rPr>
              <w:t>Severance Benefits</w:t>
            </w:r>
            <w:r>
              <w:rPr>
                <w:rFonts w:ascii="Arial" w:cs="Arial" w:eastAsia="Arial" w:hAnsi="Arial"/>
                <w:sz w:val="20"/>
                <w:szCs w:val="20"/>
                <w:color w:val="auto"/>
                <w:w w:val="93"/>
              </w:rPr>
              <w:t>. Upon a Covered Termination, and subject to the limitations and conditions set forth in this</w:t>
            </w:r>
          </w:p>
        </w:tc>
      </w:tr>
    </w:tbl>
    <w:p>
      <w:pPr>
        <w:jc w:val="both"/>
        <w:ind w:left="860" w:right="100"/>
        <w:spacing w:after="0" w:line="281" w:lineRule="auto"/>
        <w:rPr>
          <w:sz w:val="20"/>
          <w:szCs w:val="20"/>
          <w:color w:val="auto"/>
        </w:rPr>
      </w:pPr>
      <w:r>
        <w:rPr>
          <w:rFonts w:ascii="Arial" w:cs="Arial" w:eastAsia="Arial" w:hAnsi="Arial"/>
          <w:sz w:val="18"/>
          <w:szCs w:val="18"/>
          <w:color w:val="auto"/>
        </w:rPr>
        <w:t>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122" w:right="359" w:bottom="1440" w:gutter="0" w:footer="0" w:header="0"/>
        </w:sectPr>
      </w:pPr>
    </w:p>
    <w:bookmarkStart w:id="153" w:name="page154"/>
    <w:bookmarkEnd w:id="153"/>
    <w:p>
      <w:pPr>
        <w:jc w:val="both"/>
        <w:ind w:left="880" w:right="200" w:firstLine="797"/>
        <w:spacing w:after="0" w:line="250" w:lineRule="auto"/>
        <w:rPr>
          <w:sz w:val="20"/>
          <w:szCs w:val="20"/>
          <w:color w:val="auto"/>
        </w:rPr>
      </w:pPr>
      <w:r>
        <w:rPr>
          <w:rFonts w:ascii="Arial" w:cs="Arial" w:eastAsia="Arial" w:hAnsi="Arial"/>
          <w:sz w:val="20"/>
          <w:szCs w:val="20"/>
          <w:color w:val="auto"/>
        </w:rPr>
        <w:t>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26" w:lineRule="exact"/>
        <w:rPr>
          <w:sz w:val="20"/>
          <w:szCs w:val="20"/>
          <w:color w:val="auto"/>
        </w:rPr>
      </w:pPr>
    </w:p>
    <w:p>
      <w:pPr>
        <w:ind w:left="880" w:right="140" w:hanging="796"/>
        <w:spacing w:after="0" w:line="262" w:lineRule="auto"/>
        <w:tabs>
          <w:tab w:leader="none" w:pos="86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Salary Payment</w:t>
      </w:r>
      <w:r>
        <w:rPr>
          <w:rFonts w:ascii="Arial" w:cs="Arial" w:eastAsia="Arial" w:hAnsi="Arial"/>
          <w:sz w:val="19"/>
          <w:szCs w:val="19"/>
          <w:color w:val="auto"/>
        </w:rPr>
        <w:t>. In consideration of Executive’s timely execution and non-revocation of a full release of all claims, in</w:t>
      </w:r>
      <w:r>
        <w:rPr>
          <w:rFonts w:ascii="Arial" w:cs="Arial" w:eastAsia="Arial" w:hAnsi="Arial"/>
          <w:sz w:val="19"/>
          <w:szCs w:val="19"/>
          <w:b w:val="1"/>
          <w:bCs w:val="1"/>
          <w:color w:val="auto"/>
        </w:rPr>
        <w:t xml:space="preserve"> </w:t>
      </w:r>
      <w:r>
        <w:rPr>
          <w:rFonts w:ascii="Arial" w:cs="Arial" w:eastAsia="Arial" w:hAnsi="Arial"/>
          <w:sz w:val="19"/>
          <w:szCs w:val="19"/>
          <w:color w:val="auto"/>
        </w:rPr>
        <w:t>a form provided by the Company and in accordance with Article 5, the Company shall pay Executive a severance payment equal to Executive’s Monthly Base Salary multiplied by the number of months in the Covered Termination Severance Period, less applicable withholdings. The severance payment shall be payable (except as set forth in Article 5) in a lump sum on the first regularly- scheduled payroll date occurring on or after the Release Deadline Date.</w:t>
      </w:r>
    </w:p>
    <w:p>
      <w:pPr>
        <w:spacing w:after="0" w:line="102"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Health Continuation Coverage</w:t>
      </w:r>
      <w:r>
        <w:rPr>
          <w:rFonts w:ascii="Arial" w:cs="Arial" w:eastAsia="Arial" w:hAnsi="Arial"/>
          <w:sz w:val="18"/>
          <w:szCs w:val="18"/>
          <w:color w:val="auto"/>
        </w:rPr>
        <w:t>.</w:t>
      </w:r>
    </w:p>
    <w:p>
      <w:pPr>
        <w:spacing w:after="0" w:line="167" w:lineRule="exact"/>
        <w:rPr>
          <w:sz w:val="20"/>
          <w:szCs w:val="20"/>
          <w:color w:val="auto"/>
        </w:rPr>
      </w:pPr>
    </w:p>
    <w:p>
      <w:pPr>
        <w:ind w:right="40" w:firstLine="1735"/>
        <w:spacing w:after="0" w:line="268" w:lineRule="auto"/>
        <w:tabs>
          <w:tab w:leader="none" w:pos="25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9" w:lineRule="exact"/>
        <w:rPr>
          <w:rFonts w:ascii="Arial" w:cs="Arial" w:eastAsia="Arial" w:hAnsi="Arial"/>
          <w:sz w:val="18"/>
          <w:szCs w:val="18"/>
          <w:color w:val="auto"/>
        </w:rPr>
      </w:pPr>
    </w:p>
    <w:p>
      <w:pPr>
        <w:ind w:right="280" w:firstLine="1735"/>
        <w:spacing w:after="0" w:line="290" w:lineRule="auto"/>
        <w:tabs>
          <w:tab w:leader="none" w:pos="2539"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10640" w:type="dxa"/>
            <w:vAlign w:val="bottom"/>
          </w:tcPr>
          <w:p>
            <w:pPr>
              <w:jc w:val="center"/>
              <w:ind w:right="541"/>
              <w:spacing w:after="0"/>
              <w:rPr>
                <w:sz w:val="20"/>
                <w:szCs w:val="20"/>
                <w:color w:val="auto"/>
              </w:rPr>
            </w:pPr>
            <w:r>
              <w:rPr>
                <w:rFonts w:ascii="Arial" w:cs="Arial" w:eastAsia="Arial" w:hAnsi="Arial"/>
                <w:sz w:val="20"/>
                <w:szCs w:val="20"/>
                <w:b w:val="1"/>
                <w:bCs w:val="1"/>
                <w:color w:val="auto"/>
              </w:rPr>
              <w:t>ARTICLE 5</w:t>
            </w:r>
          </w:p>
        </w:tc>
      </w:tr>
      <w:tr>
        <w:trPr>
          <w:trHeight w:val="364"/>
        </w:trPr>
        <w:tc>
          <w:tcPr>
            <w:tcW w:w="620" w:type="dxa"/>
            <w:vAlign w:val="bottom"/>
          </w:tcPr>
          <w:p>
            <w:pPr>
              <w:spacing w:after="0"/>
              <w:rPr>
                <w:sz w:val="24"/>
                <w:szCs w:val="24"/>
                <w:color w:val="auto"/>
              </w:rPr>
            </w:pPr>
          </w:p>
        </w:tc>
        <w:tc>
          <w:tcPr>
            <w:tcW w:w="10640" w:type="dxa"/>
            <w:vAlign w:val="bottom"/>
          </w:tcPr>
          <w:p>
            <w:pPr>
              <w:jc w:val="center"/>
              <w:ind w:right="521"/>
              <w:spacing w:after="0"/>
              <w:rPr>
                <w:sz w:val="20"/>
                <w:szCs w:val="20"/>
                <w:color w:val="auto"/>
              </w:rPr>
            </w:pPr>
            <w:r>
              <w:rPr>
                <w:rFonts w:ascii="Arial" w:cs="Arial" w:eastAsia="Arial" w:hAnsi="Arial"/>
                <w:sz w:val="20"/>
                <w:szCs w:val="20"/>
                <w:b w:val="1"/>
                <w:bCs w:val="1"/>
                <w:color w:val="auto"/>
              </w:rPr>
              <w:t>LIMITATIONS AND CONDITIONS ON BENEFITS</w:t>
            </w:r>
          </w:p>
        </w:tc>
      </w:tr>
      <w:tr>
        <w:trPr>
          <w:trHeight w:val="357"/>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5.1.</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3"/>
              </w:rPr>
              <w:t>Rights Conditioned on Compliance</w:t>
            </w:r>
            <w:r>
              <w:rPr>
                <w:rFonts w:ascii="Arial" w:cs="Arial" w:eastAsia="Arial" w:hAnsi="Arial"/>
                <w:sz w:val="20"/>
                <w:szCs w:val="20"/>
                <w:color w:val="auto"/>
                <w:w w:val="93"/>
              </w:rPr>
              <w:t>. Executive’s rights to receive all severance benefits described in Article 3 and</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5"/>
              </w:rPr>
              <w:t>Article 4 shall be conditioned upon and subject to Executive’s compliance with the limitations and conditions on benefits as</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rPr>
              <w:t>described in this Article 5.</w:t>
            </w:r>
          </w:p>
        </w:tc>
      </w:tr>
      <w:tr>
        <w:trPr>
          <w:trHeight w:val="370"/>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5.2.</w:t>
            </w:r>
          </w:p>
        </w:tc>
        <w:tc>
          <w:tcPr>
            <w:tcW w:w="10640" w:type="dxa"/>
            <w:vAlign w:val="bottom"/>
          </w:tcPr>
          <w:p>
            <w:pPr>
              <w:ind w:left="1040"/>
              <w:spacing w:after="0"/>
              <w:rPr>
                <w:sz w:val="20"/>
                <w:szCs w:val="20"/>
                <w:color w:val="auto"/>
              </w:rPr>
            </w:pPr>
            <w:r>
              <w:rPr>
                <w:rFonts w:ascii="Arial" w:cs="Arial" w:eastAsia="Arial" w:hAnsi="Arial"/>
                <w:sz w:val="20"/>
                <w:szCs w:val="20"/>
                <w:b w:val="1"/>
                <w:bCs w:val="1"/>
                <w:color w:val="auto"/>
                <w:w w:val="93"/>
              </w:rPr>
              <w:t>Continuation of Service Until Date of Termination</w:t>
            </w:r>
            <w:r>
              <w:rPr>
                <w:rFonts w:ascii="Arial" w:cs="Arial" w:eastAsia="Arial" w:hAnsi="Arial"/>
                <w:sz w:val="20"/>
                <w:szCs w:val="20"/>
                <w:color w:val="auto"/>
                <w:w w:val="93"/>
              </w:rPr>
              <w:t>. Executive shall continue to provide service to the Company in</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rPr>
              <w:t>good faith until the Termination Date, unless such performance is</w:t>
            </w:r>
          </w:p>
        </w:tc>
      </w:tr>
      <w:tr>
        <w:trPr>
          <w:trHeight w:val="445"/>
        </w:trPr>
        <w:tc>
          <w:tcPr>
            <w:tcW w:w="620" w:type="dxa"/>
            <w:vAlign w:val="bottom"/>
          </w:tcPr>
          <w:p>
            <w:pPr>
              <w:spacing w:after="0"/>
              <w:rPr>
                <w:sz w:val="24"/>
                <w:szCs w:val="24"/>
                <w:color w:val="auto"/>
              </w:rPr>
            </w:pPr>
          </w:p>
        </w:tc>
        <w:tc>
          <w:tcPr>
            <w:tcW w:w="10640" w:type="dxa"/>
            <w:vAlign w:val="bottom"/>
          </w:tcPr>
          <w:p>
            <w:pPr>
              <w:jc w:val="center"/>
              <w:ind w:right="521"/>
              <w:spacing w:after="0"/>
              <w:rPr>
                <w:sz w:val="20"/>
                <w:szCs w:val="20"/>
                <w:color w:val="auto"/>
              </w:rPr>
            </w:pPr>
            <w:r>
              <w:rPr>
                <w:rFonts w:ascii="Arial" w:cs="Arial" w:eastAsia="Arial" w:hAnsi="Arial"/>
                <w:sz w:val="20"/>
                <w:szCs w:val="20"/>
                <w:color w:val="auto"/>
                <w:w w:val="89"/>
              </w:rPr>
              <w:t>4</w:t>
            </w:r>
          </w:p>
        </w:tc>
      </w:tr>
      <w:tr>
        <w:trPr>
          <w:trHeight w:val="327"/>
        </w:trPr>
        <w:tc>
          <w:tcPr>
            <w:tcW w:w="62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4" w:name="page155"/>
    <w:bookmarkEnd w:id="154"/>
    <w:p>
      <w:pPr>
        <w:ind w:left="1620"/>
        <w:spacing w:after="0"/>
        <w:rPr>
          <w:sz w:val="20"/>
          <w:szCs w:val="20"/>
          <w:color w:val="auto"/>
        </w:rPr>
      </w:pPr>
      <w:r>
        <w:rPr>
          <w:rFonts w:ascii="Arial" w:cs="Arial" w:eastAsia="Arial" w:hAnsi="Arial"/>
          <w:sz w:val="20"/>
          <w:szCs w:val="20"/>
          <w:color w:val="auto"/>
        </w:rPr>
        <w:t>otherwise excused in writing by the Company.</w:t>
      </w:r>
    </w:p>
    <w:p>
      <w:pPr>
        <w:spacing w:after="0" w:line="143" w:lineRule="exact"/>
        <w:rPr>
          <w:sz w:val="20"/>
          <w:szCs w:val="20"/>
          <w:color w:val="auto"/>
        </w:rPr>
      </w:pPr>
    </w:p>
    <w:p>
      <w:pPr>
        <w:ind w:left="840" w:right="40" w:hanging="796"/>
        <w:spacing w:after="0" w:line="305" w:lineRule="auto"/>
        <w:tabs>
          <w:tab w:leader="none" w:pos="8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6"/>
          <w:szCs w:val="16"/>
          <w:b w:val="1"/>
          <w:bCs w:val="1"/>
          <w:color w:val="auto"/>
        </w:rPr>
        <w:t>Release Prior to Payment of Benefits</w:t>
      </w:r>
      <w:r>
        <w:rPr>
          <w:rFonts w:ascii="Arial" w:cs="Arial" w:eastAsia="Arial" w:hAnsi="Arial"/>
          <w:sz w:val="16"/>
          <w:szCs w:val="16"/>
          <w:color w:val="auto"/>
        </w:rPr>
        <w:t>. Upon the occurrence of a Change in Control Termination or a Covered</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200" w:lineRule="exact"/>
        <w:rPr>
          <w:sz w:val="20"/>
          <w:szCs w:val="20"/>
          <w:color w:val="auto"/>
        </w:rPr>
      </w:pPr>
    </w:p>
    <w:p>
      <w:pPr>
        <w:spacing w:after="0" w:line="333" w:lineRule="exact"/>
        <w:rPr>
          <w:sz w:val="20"/>
          <w:szCs w:val="20"/>
          <w:color w:val="auto"/>
        </w:rPr>
      </w:pPr>
    </w:p>
    <w:p>
      <w:pPr>
        <w:ind w:left="840" w:hanging="796"/>
        <w:spacing w:after="0" w:line="270" w:lineRule="auto"/>
        <w:tabs>
          <w:tab w:leader="none" w:pos="82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Return of Company Property</w:t>
      </w:r>
      <w:r>
        <w:rPr>
          <w:rFonts w:ascii="Arial" w:cs="Arial" w:eastAsia="Arial" w:hAnsi="Arial"/>
          <w:sz w:val="18"/>
          <w:szCs w:val="18"/>
          <w:color w:val="auto"/>
        </w:rPr>
        <w:t>. Not later than the Termination Date, Executive shall return to the Company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 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111" w:lineRule="exact"/>
        <w:rPr>
          <w:sz w:val="20"/>
          <w:szCs w:val="20"/>
          <w:color w:val="auto"/>
        </w:rPr>
      </w:pPr>
    </w:p>
    <w:p>
      <w:pPr>
        <w:ind w:left="840"/>
        <w:spacing w:after="0"/>
        <w:tabs>
          <w:tab w:leader="none" w:pos="176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154" w:lineRule="exact"/>
        <w:rPr>
          <w:sz w:val="20"/>
          <w:szCs w:val="20"/>
          <w:color w:val="auto"/>
        </w:rPr>
      </w:pPr>
    </w:p>
    <w:p>
      <w:pPr>
        <w:ind w:left="-40" w:right="60" w:firstLine="1735"/>
        <w:spacing w:after="0" w:line="244" w:lineRule="auto"/>
        <w:tabs>
          <w:tab w:leader="none" w:pos="2488" w:val="left"/>
        </w:tabs>
        <w:numPr>
          <w:ilvl w:val="0"/>
          <w:numId w:val="79"/>
        </w:numPr>
        <w:rPr>
          <w:rFonts w:ascii="Arial" w:cs="Arial" w:eastAsia="Arial" w:hAnsi="Arial"/>
          <w:sz w:val="20"/>
          <w:szCs w:val="20"/>
          <w:color w:val="auto"/>
        </w:rPr>
      </w:pPr>
      <w:r>
        <w:rPr>
          <w:rFonts w:ascii="Arial" w:cs="Arial" w:eastAsia="Arial" w:hAnsi="Arial"/>
          <w:sz w:val="20"/>
          <w:szCs w:val="20"/>
          <w:color w:val="auto"/>
        </w:rPr>
        <w:t>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122" w:right="359" w:bottom="1440" w:gutter="0" w:footer="0" w:header="0"/>
        </w:sectPr>
      </w:pPr>
    </w:p>
    <w:bookmarkStart w:id="155" w:name="page156"/>
    <w:bookmarkEnd w:id="155"/>
    <w:p>
      <w:pPr>
        <w:ind w:right="40"/>
        <w:spacing w:after="0" w:line="256" w:lineRule="auto"/>
        <w:rPr>
          <w:sz w:val="20"/>
          <w:szCs w:val="20"/>
          <w:color w:val="auto"/>
        </w:rPr>
      </w:pPr>
      <w:r>
        <w:rPr>
          <w:rFonts w:ascii="Arial" w:cs="Arial" w:eastAsia="Arial" w:hAnsi="Arial"/>
          <w:sz w:val="19"/>
          <w:szCs w:val="19"/>
          <w:color w:val="auto"/>
        </w:rPr>
        <w:t>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31" w:lineRule="exact"/>
        <w:rPr>
          <w:sz w:val="20"/>
          <w:szCs w:val="20"/>
          <w:color w:val="auto"/>
        </w:rPr>
      </w:pPr>
    </w:p>
    <w:p>
      <w:pPr>
        <w:ind w:right="180" w:firstLine="1735"/>
        <w:spacing w:after="0" w:line="315" w:lineRule="auto"/>
        <w:tabs>
          <w:tab w:leader="none" w:pos="25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From and after the Termination Date, Executive shall continue to abide by all of the terms and provisions of the Confidentiality Agreement (and any other comparable agreement signed by Executive), in accordance with its terms.</w:t>
      </w:r>
    </w:p>
    <w:p>
      <w:pPr>
        <w:spacing w:after="0" w:line="49" w:lineRule="exact"/>
        <w:rPr>
          <w:rFonts w:ascii="Arial" w:cs="Arial" w:eastAsia="Arial" w:hAnsi="Arial"/>
          <w:sz w:val="18"/>
          <w:szCs w:val="18"/>
          <w:color w:val="auto"/>
        </w:rPr>
      </w:pPr>
    </w:p>
    <w:p>
      <w:pPr>
        <w:ind w:left="2540" w:hanging="805"/>
        <w:spacing w:after="0"/>
        <w:tabs>
          <w:tab w:leader="none" w:pos="25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Executive agrees that the choice of law and choice of forum provisions in Section</w:t>
      </w:r>
    </w:p>
    <w:p>
      <w:pPr>
        <w:spacing w:after="0" w:line="2"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10.10 of the Confidentiality Agreement shall be amended to conform to the choice of law and choice of forum provisions in Section 8.11 of this Agreement. No other terms of the Confidentiality Agreement are amended by this Agreement, and the Confidentiality Agreement remains in full force and effect.</w:t>
      </w:r>
    </w:p>
    <w:p>
      <w:pPr>
        <w:spacing w:after="0" w:line="208" w:lineRule="exact"/>
        <w:rPr>
          <w:sz w:val="20"/>
          <w:szCs w:val="20"/>
          <w:color w:val="auto"/>
        </w:rPr>
      </w:pPr>
    </w:p>
    <w:p>
      <w:pPr>
        <w:ind w:firstLine="1735"/>
        <w:spacing w:after="0" w:line="256" w:lineRule="auto"/>
        <w:tabs>
          <w:tab w:leader="none" w:pos="2539" w:val="left"/>
        </w:tabs>
        <w:numPr>
          <w:ilvl w:val="0"/>
          <w:numId w:val="81"/>
        </w:numPr>
        <w:rPr>
          <w:rFonts w:ascii="Arial" w:cs="Arial" w:eastAsia="Arial" w:hAnsi="Arial"/>
          <w:sz w:val="19"/>
          <w:szCs w:val="19"/>
          <w:color w:val="auto"/>
        </w:rPr>
      </w:pPr>
      <w:r>
        <w:rPr>
          <w:rFonts w:ascii="Arial" w:cs="Arial" w:eastAsia="Arial" w:hAnsi="Arial"/>
          <w:sz w:val="19"/>
          <w:szCs w:val="19"/>
          <w:color w:val="auto"/>
        </w:rPr>
        <w:t>Executive acknowledges and agrees that Executive’s obligations under this Section 5.5 are an 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08"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Parachute Payments</w:t>
      </w:r>
      <w:r>
        <w:rPr>
          <w:rFonts w:ascii="Arial" w:cs="Arial" w:eastAsia="Arial" w:hAnsi="Arial"/>
          <w:sz w:val="16"/>
          <w:szCs w:val="16"/>
          <w:color w:val="auto"/>
        </w:rPr>
        <w:t>.</w:t>
      </w:r>
    </w:p>
    <w:p>
      <w:pPr>
        <w:spacing w:after="0" w:line="53" w:lineRule="exact"/>
        <w:rPr>
          <w:sz w:val="20"/>
          <w:szCs w:val="20"/>
          <w:color w:val="auto"/>
        </w:rPr>
      </w:pPr>
    </w:p>
    <w:p>
      <w:pPr>
        <w:ind w:right="20" w:firstLine="1735"/>
        <w:spacing w:after="0" w:line="253" w:lineRule="auto"/>
        <w:tabs>
          <w:tab w:leader="none" w:pos="2528" w:val="left"/>
        </w:tabs>
        <w:numPr>
          <w:ilvl w:val="1"/>
          <w:numId w:val="82"/>
        </w:numPr>
        <w:rPr>
          <w:rFonts w:ascii="Arial" w:cs="Arial" w:eastAsia="Arial" w:hAnsi="Arial"/>
          <w:sz w:val="19"/>
          <w:szCs w:val="19"/>
          <w:color w:val="auto"/>
        </w:rPr>
      </w:pPr>
      <w:r>
        <w:rPr>
          <w:rFonts w:ascii="Arial" w:cs="Arial" w:eastAsia="Arial" w:hAnsi="Arial"/>
          <w:sz w:val="19"/>
          <w:szCs w:val="19"/>
          <w:b w:val="1"/>
          <w:bCs w:val="1"/>
          <w:color w:val="auto"/>
        </w:rPr>
        <w:t>Parachute Payment Limitation</w:t>
      </w:r>
      <w:r>
        <w:rPr>
          <w:rFonts w:ascii="Arial" w:cs="Arial" w:eastAsia="Arial" w:hAnsi="Arial"/>
          <w:sz w:val="19"/>
          <w:szCs w:val="19"/>
          <w:color w:val="auto"/>
        </w:rPr>
        <w:t>. If any payment or benefit (including payments and benefits pursuant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Executive would receive in connection with a Change in Control from the Company or otherwise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paragraph,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9"/>
          <w:szCs w:val="19"/>
          <w:b w:val="1"/>
          <w:bCs w:val="1"/>
          <w:i w:val="1"/>
          <w:iCs w:val="1"/>
          <w:color w:val="auto"/>
        </w:rPr>
        <w:t>Full Payment</w:t>
      </w:r>
      <w:r>
        <w:rPr>
          <w:rFonts w:ascii="Arial" w:cs="Arial" w:eastAsia="Arial" w:hAnsi="Arial"/>
          <w:sz w:val="19"/>
          <w:szCs w:val="19"/>
          <w:color w:val="auto"/>
        </w:rPr>
        <w:t>”), or (B) payment of only a part of the Payment so that Executive receives the largest payment possible without the imposition of the Excise Tax (a “</w:t>
      </w:r>
      <w:r>
        <w:rPr>
          <w:rFonts w:ascii="Arial" w:cs="Arial" w:eastAsia="Arial" w:hAnsi="Arial"/>
          <w:sz w:val="19"/>
          <w:szCs w:val="19"/>
          <w:b w:val="1"/>
          <w:bCs w:val="1"/>
          <w:i w:val="1"/>
          <w:iCs w:val="1"/>
          <w:color w:val="auto"/>
        </w:rPr>
        <w:t>Reduced Payment</w:t>
      </w:r>
      <w:r>
        <w:rPr>
          <w:rFonts w:ascii="Arial" w:cs="Arial" w:eastAsia="Arial" w:hAnsi="Arial"/>
          <w:sz w:val="19"/>
          <w:szCs w:val="19"/>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w:t>
      </w:r>
    </w:p>
    <w:p>
      <w:pPr>
        <w:spacing w:after="0" w:line="7" w:lineRule="exact"/>
        <w:rPr>
          <w:rFonts w:ascii="Arial" w:cs="Arial" w:eastAsia="Arial" w:hAnsi="Arial"/>
          <w:sz w:val="19"/>
          <w:szCs w:val="19"/>
          <w:color w:val="auto"/>
        </w:rPr>
      </w:pPr>
    </w:p>
    <w:p>
      <w:pPr>
        <w:ind w:right="460" w:firstLine="8"/>
        <w:spacing w:after="0" w:line="243" w:lineRule="auto"/>
        <w:tabs>
          <w:tab w:leader="none" w:pos="324" w:val="left"/>
        </w:tabs>
        <w:numPr>
          <w:ilvl w:val="0"/>
          <w:numId w:val="83"/>
        </w:numPr>
        <w:rPr>
          <w:rFonts w:ascii="Arial" w:cs="Arial" w:eastAsia="Arial" w:hAnsi="Arial"/>
          <w:sz w:val="20"/>
          <w:szCs w:val="20"/>
          <w:color w:val="auto"/>
        </w:rPr>
      </w:pPr>
      <w:r>
        <w:rPr>
          <w:rFonts w:ascii="Arial" w:cs="Arial" w:eastAsia="Arial" w:hAnsi="Arial"/>
          <w:sz w:val="20"/>
          <w:szCs w:val="20"/>
          <w:color w:val="auto"/>
        </w:rPr>
        <w:t>reduction of other benefits paid to Executive. In the event that acceleration of compensation from Executive’s equity awards is to be reduced, such acceleration of vesting shall be canceled in the reverse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color w:val="auto"/>
        </w:rPr>
        <w:t>order of the date of grant.</w:t>
      </w:r>
    </w:p>
    <w:p>
      <w:pPr>
        <w:spacing w:after="0" w:line="149" w:lineRule="exact"/>
        <w:rPr>
          <w:sz w:val="20"/>
          <w:szCs w:val="20"/>
          <w:color w:val="auto"/>
        </w:rPr>
      </w:pPr>
    </w:p>
    <w:p>
      <w:pPr>
        <w:ind w:right="60" w:firstLine="1735"/>
        <w:spacing w:after="0" w:line="258" w:lineRule="auto"/>
        <w:tabs>
          <w:tab w:leader="none" w:pos="2539"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27" w:lineRule="exact"/>
        <w:rPr>
          <w:rFonts w:ascii="Arial" w:cs="Arial" w:eastAsia="Arial" w:hAnsi="Arial"/>
          <w:sz w:val="19"/>
          <w:szCs w:val="19"/>
          <w:color w:val="auto"/>
        </w:rPr>
      </w:pPr>
    </w:p>
    <w:p>
      <w:pPr>
        <w:ind w:right="40" w:firstLine="1735"/>
        <w:spacing w:after="0" w:line="274" w:lineRule="auto"/>
        <w:tabs>
          <w:tab w:leader="none" w:pos="252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independent registered public accounting firm engaged to make the determinations hereunder shall provide its calculations, together with detailed supporting documentation, to the Company and Executive within fifteen (15) 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5.7.</w:t>
            </w:r>
          </w:p>
        </w:tc>
        <w:tc>
          <w:tcPr>
            <w:tcW w:w="10580" w:type="dxa"/>
            <w:vAlign w:val="bottom"/>
          </w:tcPr>
          <w:p>
            <w:pPr>
              <w:ind w:left="1040"/>
              <w:spacing w:after="0"/>
              <w:rPr>
                <w:sz w:val="20"/>
                <w:szCs w:val="20"/>
                <w:color w:val="auto"/>
              </w:rPr>
            </w:pPr>
            <w:r>
              <w:rPr>
                <w:rFonts w:ascii="Arial" w:cs="Arial" w:eastAsia="Arial" w:hAnsi="Arial"/>
                <w:sz w:val="20"/>
                <w:szCs w:val="20"/>
                <w:b w:val="1"/>
                <w:bCs w:val="1"/>
                <w:color w:val="auto"/>
                <w:w w:val="92"/>
              </w:rPr>
              <w:t>Certain Reductions and Offsets</w:t>
            </w:r>
            <w:r>
              <w:rPr>
                <w:rFonts w:ascii="Arial" w:cs="Arial" w:eastAsia="Arial" w:hAnsi="Arial"/>
                <w:sz w:val="20"/>
                <w:szCs w:val="20"/>
                <w:color w:val="auto"/>
                <w:w w:val="92"/>
              </w:rPr>
              <w:t>. To the extent that any federal, state or local laws, including, without limitation, the</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4"/>
              </w:rPr>
              <w:t>Worker Adjustment and Retraining Notification Act or any other so- called “plant closing” laws, require the Company to give</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5"/>
              </w:rPr>
              <w:t>advance notice or make a payment of any kind to Executive because of Executive’s involuntary termination due to a layoff,</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2"/>
              </w:rPr>
              <w:t>reduction in force, plant or facility closing, sale of business, change in control or any other similar event or reason, the benefits</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3"/>
              </w:rPr>
              <w:t>payable under this Agreement shall be correspondingly reduced. The benefits provided under this Agreement are intended to</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1"/>
              </w:rPr>
              <w:t>satisfy any and all statutory obligations that may arise out of Executive’s involuntary termination of employment for the foregoing</w:t>
            </w:r>
          </w:p>
        </w:tc>
      </w:tr>
      <w:tr>
        <w:trPr>
          <w:trHeight w:val="250"/>
        </w:trPr>
        <w:tc>
          <w:tcPr>
            <w:tcW w:w="54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rPr>
              <w:t>reasons, and the parties shall construe and enforce the terms of this Agreement accordingly.</w:t>
            </w:r>
          </w:p>
        </w:tc>
      </w:tr>
      <w:tr>
        <w:trPr>
          <w:trHeight w:val="357"/>
        </w:trPr>
        <w:tc>
          <w:tcPr>
            <w:tcW w:w="540" w:type="dxa"/>
            <w:vAlign w:val="bottom"/>
          </w:tcPr>
          <w:p>
            <w:pPr>
              <w:jc w:val="right"/>
              <w:ind w:right="141"/>
              <w:spacing w:after="0"/>
              <w:rPr>
                <w:sz w:val="20"/>
                <w:szCs w:val="20"/>
                <w:color w:val="auto"/>
              </w:rPr>
            </w:pPr>
            <w:r>
              <w:rPr>
                <w:rFonts w:ascii="Arial" w:cs="Arial" w:eastAsia="Arial" w:hAnsi="Arial"/>
                <w:sz w:val="20"/>
                <w:szCs w:val="20"/>
                <w:b w:val="1"/>
                <w:bCs w:val="1"/>
                <w:color w:val="auto"/>
                <w:w w:val="83"/>
              </w:rPr>
              <w:t>5.8.</w:t>
            </w:r>
          </w:p>
        </w:tc>
        <w:tc>
          <w:tcPr>
            <w:tcW w:w="10580" w:type="dxa"/>
            <w:vAlign w:val="bottom"/>
          </w:tcPr>
          <w:p>
            <w:pPr>
              <w:ind w:left="1040"/>
              <w:spacing w:after="0"/>
              <w:rPr>
                <w:sz w:val="20"/>
                <w:szCs w:val="20"/>
                <w:color w:val="auto"/>
              </w:rPr>
            </w:pPr>
            <w:r>
              <w:rPr>
                <w:rFonts w:ascii="Arial" w:cs="Arial" w:eastAsia="Arial" w:hAnsi="Arial"/>
                <w:sz w:val="20"/>
                <w:szCs w:val="20"/>
                <w:b w:val="1"/>
                <w:bCs w:val="1"/>
                <w:color w:val="auto"/>
                <w:w w:val="90"/>
              </w:rPr>
              <w:t>Mitigation</w:t>
            </w:r>
            <w:r>
              <w:rPr>
                <w:rFonts w:ascii="Arial" w:cs="Arial" w:eastAsia="Arial" w:hAnsi="Arial"/>
                <w:sz w:val="20"/>
                <w:szCs w:val="20"/>
                <w:color w:val="auto"/>
                <w:w w:val="90"/>
              </w:rPr>
              <w:t>. Except as otherwise specifically provided herein, Executive shall not be required to mitigate damages or the</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1"/>
              </w:rPr>
              <w:t>amount of any payment provided under this Agreement by seeking other employment or otherwise, nor shall the amount of any</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0"/>
              </w:rPr>
              <w:t>payment provided for under this Agreement be reduced by any compensation earned by Executive as a result of employment by</w:t>
            </w:r>
          </w:p>
        </w:tc>
      </w:tr>
      <w:tr>
        <w:trPr>
          <w:trHeight w:val="229"/>
        </w:trPr>
        <w:tc>
          <w:tcPr>
            <w:tcW w:w="540" w:type="dxa"/>
            <w:vAlign w:val="bottom"/>
          </w:tcPr>
          <w:p>
            <w:pPr>
              <w:spacing w:after="0"/>
              <w:rPr>
                <w:sz w:val="19"/>
                <w:szCs w:val="19"/>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w w:val="95"/>
              </w:rPr>
              <w:t>another employer or by any retirement benefits received by Executive after the date of a Change in Control Termination or</w:t>
            </w:r>
          </w:p>
        </w:tc>
      </w:tr>
      <w:tr>
        <w:trPr>
          <w:trHeight w:val="250"/>
        </w:trPr>
        <w:tc>
          <w:tcPr>
            <w:tcW w:w="540" w:type="dxa"/>
            <w:vAlign w:val="bottom"/>
          </w:tcPr>
          <w:p>
            <w:pPr>
              <w:spacing w:after="0"/>
              <w:rPr>
                <w:sz w:val="21"/>
                <w:szCs w:val="21"/>
                <w:color w:val="auto"/>
              </w:rPr>
            </w:pPr>
          </w:p>
        </w:tc>
        <w:tc>
          <w:tcPr>
            <w:tcW w:w="10580" w:type="dxa"/>
            <w:vAlign w:val="bottom"/>
          </w:tcPr>
          <w:p>
            <w:pPr>
              <w:ind w:left="260"/>
              <w:spacing w:after="0"/>
              <w:rPr>
                <w:sz w:val="20"/>
                <w:szCs w:val="20"/>
                <w:color w:val="auto"/>
              </w:rPr>
            </w:pPr>
            <w:r>
              <w:rPr>
                <w:rFonts w:ascii="Arial" w:cs="Arial" w:eastAsia="Arial" w:hAnsi="Arial"/>
                <w:sz w:val="20"/>
                <w:szCs w:val="20"/>
                <w:color w:val="auto"/>
              </w:rPr>
              <w:t>Covered Termination (except as expressly provided in Sections 3.3 and 4.3 above).</w:t>
            </w:r>
          </w:p>
        </w:tc>
      </w:tr>
    </w:tbl>
    <w:p>
      <w:pPr>
        <w:spacing w:after="0" w:line="256" w:lineRule="exact"/>
        <w:rPr>
          <w:sz w:val="20"/>
          <w:szCs w:val="20"/>
          <w:color w:val="auto"/>
        </w:rPr>
      </w:pPr>
    </w:p>
    <w:p>
      <w:pPr>
        <w:ind w:left="880" w:right="340" w:hanging="796"/>
        <w:spacing w:after="0" w:line="252" w:lineRule="auto"/>
        <w:tabs>
          <w:tab w:leader="none" w:pos="86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20"/>
          <w:szCs w:val="20"/>
          <w:b w:val="1"/>
          <w:bCs w:val="1"/>
          <w:color w:val="auto"/>
        </w:rPr>
        <w:t>Indebtedness of Executive</w:t>
      </w:r>
      <w:r>
        <w:rPr>
          <w:rFonts w:ascii="Arial" w:cs="Arial" w:eastAsia="Arial" w:hAnsi="Arial"/>
          <w:sz w:val="20"/>
          <w:szCs w:val="20"/>
          <w:color w:val="auto"/>
        </w:rPr>
        <w:t>. If Executive is indebted to the Company on the effective date of a 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Covered Termination, the Company reserves the right to offset any severance payments and benefits under this Agreement by the amount of such indebtedness.</w:t>
      </w:r>
    </w:p>
    <w:p>
      <w:pPr>
        <w:spacing w:after="0" w:line="9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161" w:lineRule="exact"/>
        <w:rPr>
          <w:sz w:val="20"/>
          <w:szCs w:val="20"/>
          <w:color w:val="auto"/>
        </w:rPr>
      </w:pPr>
    </w:p>
    <w:p>
      <w:pPr>
        <w:ind w:right="180" w:firstLine="1735"/>
        <w:spacing w:after="0" w:line="244" w:lineRule="auto"/>
        <w:tabs>
          <w:tab w:leader="none" w:pos="2528"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Separation from Service</w:t>
      </w:r>
      <w:r>
        <w:rPr>
          <w:rFonts w:ascii="Arial" w:cs="Arial" w:eastAsia="Arial" w:hAnsi="Arial"/>
          <w:sz w:val="20"/>
          <w:szCs w:val="20"/>
          <w:color w:val="auto"/>
        </w:rPr>
        <w:t>. Notwithstanding any provision to the contrary in this Agreement, no amount</w:t>
      </w:r>
      <w:r>
        <w:rPr>
          <w:rFonts w:ascii="Arial" w:cs="Arial" w:eastAsia="Arial" w:hAnsi="Arial"/>
          <w:sz w:val="20"/>
          <w:szCs w:val="20"/>
          <w:b w:val="1"/>
          <w:bCs w:val="1"/>
          <w:color w:val="auto"/>
        </w:rPr>
        <w:t xml:space="preserve"> </w:t>
      </w:r>
      <w:r>
        <w:rPr>
          <w:rFonts w:ascii="Arial" w:cs="Arial" w:eastAsia="Arial" w:hAnsi="Arial"/>
          <w:sz w:val="20"/>
          <w:szCs w:val="20"/>
          <w:color w:val="auto"/>
        </w:rPr>
        <w:t>deemed 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6"/>
          <w:szCs w:val="16"/>
          <w:color w:val="auto"/>
        </w:rPr>
        <w:t>th</w:t>
      </w:r>
      <w:r>
        <w:rPr>
          <w:rFonts w:ascii="Arial" w:cs="Arial" w:eastAsia="Arial" w:hAnsi="Arial"/>
          <w:sz w:val="20"/>
          <w:szCs w:val="20"/>
          <w:color w:val="auto"/>
        </w:rPr>
        <w:t>) day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7" w:name="page158"/>
    <w:bookmarkEnd w:id="157"/>
    <w:p>
      <w:pPr>
        <w:ind w:right="160"/>
        <w:spacing w:after="0" w:line="246" w:lineRule="auto"/>
        <w:rPr>
          <w:sz w:val="20"/>
          <w:szCs w:val="20"/>
          <w:color w:val="auto"/>
        </w:rPr>
      </w:pPr>
      <w:r>
        <w:rPr>
          <w:rFonts w:ascii="Arial" w:cs="Arial" w:eastAsia="Arial" w:hAnsi="Arial"/>
          <w:sz w:val="20"/>
          <w:szCs w:val="20"/>
          <w:color w:val="auto"/>
        </w:rPr>
        <w:t>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6"/>
          <w:szCs w:val="16"/>
          <w:color w:val="auto"/>
        </w:rPr>
        <w:t>th</w:t>
      </w:r>
      <w:r>
        <w:rPr>
          <w:rFonts w:ascii="Arial" w:cs="Arial" w:eastAsia="Arial" w:hAnsi="Arial"/>
          <w:sz w:val="20"/>
          <w:szCs w:val="20"/>
          <w:color w:val="auto"/>
        </w:rPr>
        <w:t>) day after Executive’s separation from service and the remaining payments shall be made as provided in this Agreement.</w:t>
      </w:r>
    </w:p>
    <w:p>
      <w:pPr>
        <w:spacing w:after="0" w:line="130" w:lineRule="exact"/>
        <w:rPr>
          <w:sz w:val="20"/>
          <w:szCs w:val="20"/>
          <w:color w:val="auto"/>
        </w:rPr>
      </w:pPr>
    </w:p>
    <w:p>
      <w:pPr>
        <w:ind w:firstLine="1735"/>
        <w:spacing w:after="0" w:line="256" w:lineRule="auto"/>
        <w:tabs>
          <w:tab w:leader="none" w:pos="2539"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Specified Executive</w:t>
      </w:r>
      <w:r>
        <w:rPr>
          <w:rFonts w:ascii="Arial" w:cs="Arial" w:eastAsia="Arial" w:hAnsi="Arial"/>
          <w:sz w:val="19"/>
          <w:szCs w:val="19"/>
          <w:color w:val="auto"/>
        </w:rPr>
        <w:t>. Notwithstanding any provision to the contrary in this Agreement, if Executive is</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113" w:lineRule="exact"/>
        <w:rPr>
          <w:rFonts w:ascii="Arial" w:cs="Arial" w:eastAsia="Arial" w:hAnsi="Arial"/>
          <w:sz w:val="19"/>
          <w:szCs w:val="19"/>
          <w:color w:val="auto"/>
        </w:rPr>
      </w:pPr>
    </w:p>
    <w:p>
      <w:pPr>
        <w:ind w:firstLine="1735"/>
        <w:spacing w:after="0" w:line="262" w:lineRule="auto"/>
        <w:tabs>
          <w:tab w:leader="none" w:pos="2528" w:val="left"/>
        </w:tabs>
        <w:numPr>
          <w:ilvl w:val="0"/>
          <w:numId w:val="86"/>
        </w:numPr>
        <w:rPr>
          <w:rFonts w:ascii="Arial" w:cs="Arial" w:eastAsia="Arial" w:hAnsi="Arial"/>
          <w:sz w:val="19"/>
          <w:szCs w:val="19"/>
          <w:color w:val="auto"/>
        </w:rPr>
      </w:pPr>
      <w:r>
        <w:rPr>
          <w:rFonts w:ascii="Arial" w:cs="Arial" w:eastAsia="Arial" w:hAnsi="Arial"/>
          <w:sz w:val="19"/>
          <w:szCs w:val="19"/>
          <w:b w:val="1"/>
          <w:bCs w:val="1"/>
          <w:color w:val="auto"/>
        </w:rPr>
        <w:t>Expense Reimbursements</w:t>
      </w:r>
      <w:r>
        <w:rPr>
          <w:rFonts w:ascii="Arial" w:cs="Arial" w:eastAsia="Arial" w:hAnsi="Arial"/>
          <w:sz w:val="19"/>
          <w:szCs w:val="19"/>
          <w:color w:val="auto"/>
        </w:rPr>
        <w:t>. To the extent that any reimbursement payable pursuant to this Agreement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15" w:lineRule="exact"/>
        <w:rPr>
          <w:rFonts w:ascii="Arial" w:cs="Arial" w:eastAsia="Arial" w:hAnsi="Arial"/>
          <w:sz w:val="19"/>
          <w:szCs w:val="19"/>
          <w:color w:val="auto"/>
        </w:rPr>
      </w:pPr>
    </w:p>
    <w:p>
      <w:pPr>
        <w:ind w:right="20" w:firstLine="1735"/>
        <w:spacing w:after="0" w:line="248" w:lineRule="auto"/>
        <w:tabs>
          <w:tab w:leader="none" w:pos="2539"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Installments</w:t>
      </w:r>
      <w:r>
        <w:rPr>
          <w:rFonts w:ascii="Arial" w:cs="Arial" w:eastAsia="Arial" w:hAnsi="Arial"/>
          <w:sz w:val="20"/>
          <w:szCs w:val="20"/>
          <w:color w:val="auto"/>
        </w:rPr>
        <w:t>. For purposes of Section 409A of the Code (including, without limitation, for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r>
              <w:rPr>
                <w:rFonts w:ascii="Arial" w:cs="Arial" w:eastAsia="Arial" w:hAnsi="Arial"/>
                <w:sz w:val="20"/>
                <w:szCs w:val="20"/>
                <w:b w:val="1"/>
                <w:bCs w:val="1"/>
                <w:color w:val="auto"/>
              </w:rPr>
              <w:t>5.11.</w:t>
            </w:r>
          </w:p>
        </w:tc>
        <w:tc>
          <w:tcPr>
            <w:tcW w:w="10520" w:type="dxa"/>
            <w:vAlign w:val="bottom"/>
          </w:tcPr>
          <w:p>
            <w:pPr>
              <w:ind w:left="980"/>
              <w:spacing w:after="0"/>
              <w:rPr>
                <w:sz w:val="20"/>
                <w:szCs w:val="20"/>
                <w:color w:val="auto"/>
              </w:rPr>
            </w:pPr>
            <w:r>
              <w:rPr>
                <w:rFonts w:ascii="Arial" w:cs="Arial" w:eastAsia="Arial" w:hAnsi="Arial"/>
                <w:sz w:val="20"/>
                <w:szCs w:val="20"/>
                <w:b w:val="1"/>
                <w:bCs w:val="1"/>
                <w:color w:val="auto"/>
                <w:w w:val="92"/>
              </w:rPr>
              <w:t>Tax Withholding</w:t>
            </w:r>
            <w:r>
              <w:rPr>
                <w:rFonts w:ascii="Arial" w:cs="Arial" w:eastAsia="Arial" w:hAnsi="Arial"/>
                <w:sz w:val="20"/>
                <w:szCs w:val="20"/>
                <w:color w:val="auto"/>
                <w:w w:val="92"/>
              </w:rPr>
              <w:t>. All payments under this Agreement shall be subject to applicable withholding for federal, state and</w:t>
            </w:r>
          </w:p>
        </w:tc>
      </w:tr>
      <w:tr>
        <w:trPr>
          <w:trHeight w:val="250"/>
        </w:trPr>
        <w:tc>
          <w:tcPr>
            <w:tcW w:w="600" w:type="dxa"/>
            <w:vAlign w:val="bottom"/>
          </w:tcPr>
          <w:p>
            <w:pPr>
              <w:spacing w:after="0"/>
              <w:rPr>
                <w:sz w:val="21"/>
                <w:szCs w:val="21"/>
                <w:color w:val="auto"/>
              </w:rPr>
            </w:pPr>
          </w:p>
        </w:tc>
        <w:tc>
          <w:tcPr>
            <w:tcW w:w="10520" w:type="dxa"/>
            <w:vAlign w:val="bottom"/>
          </w:tcPr>
          <w:p>
            <w:pPr>
              <w:ind w:left="200"/>
              <w:spacing w:after="0"/>
              <w:rPr>
                <w:sz w:val="20"/>
                <w:szCs w:val="20"/>
                <w:color w:val="auto"/>
              </w:rPr>
            </w:pPr>
            <w:r>
              <w:rPr>
                <w:rFonts w:ascii="Arial" w:cs="Arial" w:eastAsia="Arial" w:hAnsi="Arial"/>
                <w:sz w:val="20"/>
                <w:szCs w:val="20"/>
                <w:color w:val="auto"/>
              </w:rPr>
              <w:t>local income and employment taxes.</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5.12.</w:t>
            </w:r>
          </w:p>
        </w:tc>
        <w:tc>
          <w:tcPr>
            <w:tcW w:w="10520" w:type="dxa"/>
            <w:vAlign w:val="bottom"/>
          </w:tcPr>
          <w:p>
            <w:pPr>
              <w:ind w:left="980"/>
              <w:spacing w:after="0"/>
              <w:rPr>
                <w:sz w:val="20"/>
                <w:szCs w:val="20"/>
                <w:color w:val="auto"/>
              </w:rPr>
            </w:pPr>
            <w:r>
              <w:rPr>
                <w:rFonts w:ascii="Arial" w:cs="Arial" w:eastAsia="Arial" w:hAnsi="Arial"/>
                <w:sz w:val="20"/>
                <w:szCs w:val="20"/>
                <w:b w:val="1"/>
                <w:bCs w:val="1"/>
                <w:color w:val="auto"/>
                <w:w w:val="95"/>
              </w:rPr>
              <w:t xml:space="preserve">No Duplication of Severance Benefits. </w:t>
            </w:r>
            <w:r>
              <w:rPr>
                <w:rFonts w:ascii="Arial" w:cs="Arial" w:eastAsia="Arial" w:hAnsi="Arial"/>
                <w:sz w:val="20"/>
                <w:szCs w:val="20"/>
                <w:color w:val="auto"/>
                <w:w w:val="95"/>
              </w:rPr>
              <w:t>The severance and other benefits provided in Article 3 and Article 4 are</w:t>
            </w:r>
          </w:p>
        </w:tc>
      </w:tr>
      <w:tr>
        <w:trPr>
          <w:trHeight w:val="229"/>
        </w:trPr>
        <w:tc>
          <w:tcPr>
            <w:tcW w:w="600" w:type="dxa"/>
            <w:vAlign w:val="bottom"/>
          </w:tcPr>
          <w:p>
            <w:pPr>
              <w:spacing w:after="0"/>
              <w:rPr>
                <w:sz w:val="19"/>
                <w:szCs w:val="19"/>
                <w:color w:val="auto"/>
              </w:rPr>
            </w:pPr>
          </w:p>
        </w:tc>
        <w:tc>
          <w:tcPr>
            <w:tcW w:w="10520" w:type="dxa"/>
            <w:vAlign w:val="bottom"/>
          </w:tcPr>
          <w:p>
            <w:pPr>
              <w:ind w:left="200"/>
              <w:spacing w:after="0"/>
              <w:rPr>
                <w:sz w:val="20"/>
                <w:szCs w:val="20"/>
                <w:color w:val="auto"/>
              </w:rPr>
            </w:pPr>
            <w:r>
              <w:rPr>
                <w:rFonts w:ascii="Arial" w:cs="Arial" w:eastAsia="Arial" w:hAnsi="Arial"/>
                <w:sz w:val="20"/>
                <w:szCs w:val="20"/>
                <w:color w:val="auto"/>
                <w:w w:val="89"/>
              </w:rPr>
              <w:t>mutually exclusive of each other, and in no event shall Executive receive any severance or other benefits pursuant to both Article 3</w:t>
            </w:r>
          </w:p>
        </w:tc>
      </w:tr>
      <w:tr>
        <w:trPr>
          <w:trHeight w:val="250"/>
        </w:trPr>
        <w:tc>
          <w:tcPr>
            <w:tcW w:w="600" w:type="dxa"/>
            <w:vAlign w:val="bottom"/>
          </w:tcPr>
          <w:p>
            <w:pPr>
              <w:spacing w:after="0"/>
              <w:rPr>
                <w:sz w:val="21"/>
                <w:szCs w:val="21"/>
                <w:color w:val="auto"/>
              </w:rPr>
            </w:pPr>
          </w:p>
        </w:tc>
        <w:tc>
          <w:tcPr>
            <w:tcW w:w="10520" w:type="dxa"/>
            <w:vAlign w:val="bottom"/>
          </w:tcPr>
          <w:p>
            <w:pPr>
              <w:ind w:left="200"/>
              <w:spacing w:after="0"/>
              <w:rPr>
                <w:sz w:val="20"/>
                <w:szCs w:val="20"/>
                <w:color w:val="auto"/>
              </w:rPr>
            </w:pPr>
            <w:r>
              <w:rPr>
                <w:rFonts w:ascii="Arial" w:cs="Arial" w:eastAsia="Arial" w:hAnsi="Arial"/>
                <w:sz w:val="20"/>
                <w:szCs w:val="20"/>
                <w:color w:val="auto"/>
              </w:rPr>
              <w:t>and Article 4.</w:t>
            </w:r>
          </w:p>
        </w:tc>
      </w:tr>
      <w:tr>
        <w:trPr>
          <w:trHeight w:val="499"/>
        </w:trPr>
        <w:tc>
          <w:tcPr>
            <w:tcW w:w="600" w:type="dxa"/>
            <w:vAlign w:val="bottom"/>
          </w:tcPr>
          <w:p>
            <w:pPr>
              <w:spacing w:after="0"/>
              <w:rPr>
                <w:sz w:val="24"/>
                <w:szCs w:val="24"/>
                <w:color w:val="auto"/>
              </w:rPr>
            </w:pPr>
          </w:p>
        </w:tc>
        <w:tc>
          <w:tcPr>
            <w:tcW w:w="10520" w:type="dxa"/>
            <w:vAlign w:val="bottom"/>
          </w:tcPr>
          <w:p>
            <w:pPr>
              <w:ind w:left="4420"/>
              <w:spacing w:after="0"/>
              <w:rPr>
                <w:sz w:val="20"/>
                <w:szCs w:val="20"/>
                <w:color w:val="auto"/>
              </w:rPr>
            </w:pPr>
            <w:r>
              <w:rPr>
                <w:rFonts w:ascii="Arial" w:cs="Arial" w:eastAsia="Arial" w:hAnsi="Arial"/>
                <w:sz w:val="20"/>
                <w:szCs w:val="20"/>
                <w:b w:val="1"/>
                <w:bCs w:val="1"/>
                <w:color w:val="auto"/>
              </w:rPr>
              <w:t>ARTICLE 6</w:t>
            </w:r>
          </w:p>
        </w:tc>
      </w:tr>
      <w:tr>
        <w:trPr>
          <w:trHeight w:val="364"/>
        </w:trPr>
        <w:tc>
          <w:tcPr>
            <w:tcW w:w="600" w:type="dxa"/>
            <w:vAlign w:val="bottom"/>
          </w:tcPr>
          <w:p>
            <w:pPr>
              <w:spacing w:after="0"/>
              <w:rPr>
                <w:sz w:val="24"/>
                <w:szCs w:val="24"/>
                <w:color w:val="auto"/>
              </w:rPr>
            </w:pPr>
          </w:p>
        </w:tc>
        <w:tc>
          <w:tcPr>
            <w:tcW w:w="10520" w:type="dxa"/>
            <w:vAlign w:val="bottom"/>
          </w:tcPr>
          <w:p>
            <w:pPr>
              <w:ind w:left="280"/>
              <w:spacing w:after="0"/>
              <w:rPr>
                <w:sz w:val="20"/>
                <w:szCs w:val="20"/>
                <w:color w:val="auto"/>
              </w:rPr>
            </w:pPr>
            <w:r>
              <w:rPr>
                <w:rFonts w:ascii="Arial" w:cs="Arial" w:eastAsia="Arial" w:hAnsi="Arial"/>
                <w:sz w:val="20"/>
                <w:szCs w:val="20"/>
                <w:b w:val="1"/>
                <w:bCs w:val="1"/>
                <w:color w:val="auto"/>
              </w:rPr>
              <w:t>TERMINATION WITH CAUSE OR BY VOLUNTARY RESIGNATION; OTHER RIGHTS AND BENEFITS</w:t>
            </w:r>
          </w:p>
        </w:tc>
      </w:tr>
      <w:tr>
        <w:trPr>
          <w:trHeight w:val="373"/>
        </w:trPr>
        <w:tc>
          <w:tcPr>
            <w:tcW w:w="600" w:type="dxa"/>
            <w:vAlign w:val="bottom"/>
          </w:tcPr>
          <w:p>
            <w:pPr>
              <w:spacing w:after="0"/>
              <w:rPr>
                <w:sz w:val="20"/>
                <w:szCs w:val="20"/>
                <w:color w:val="auto"/>
              </w:rPr>
            </w:pPr>
            <w:r>
              <w:rPr>
                <w:rFonts w:ascii="Arial" w:cs="Arial" w:eastAsia="Arial" w:hAnsi="Arial"/>
                <w:sz w:val="20"/>
                <w:szCs w:val="20"/>
                <w:b w:val="1"/>
                <w:bCs w:val="1"/>
                <w:color w:val="auto"/>
              </w:rPr>
              <w:t>6.1.</w:t>
            </w:r>
          </w:p>
        </w:tc>
        <w:tc>
          <w:tcPr>
            <w:tcW w:w="10520" w:type="dxa"/>
            <w:vAlign w:val="bottom"/>
          </w:tcPr>
          <w:p>
            <w:pPr>
              <w:ind w:left="980"/>
              <w:spacing w:after="0"/>
              <w:rPr>
                <w:sz w:val="20"/>
                <w:szCs w:val="20"/>
                <w:color w:val="auto"/>
              </w:rPr>
            </w:pPr>
            <w:r>
              <w:rPr>
                <w:rFonts w:ascii="Arial" w:cs="Arial" w:eastAsia="Arial" w:hAnsi="Arial"/>
                <w:sz w:val="20"/>
                <w:szCs w:val="20"/>
                <w:b w:val="1"/>
                <w:bCs w:val="1"/>
                <w:color w:val="auto"/>
                <w:w w:val="96"/>
              </w:rPr>
              <w:t>Termination for Cause by the Company</w:t>
            </w:r>
            <w:r>
              <w:rPr>
                <w:rFonts w:ascii="Arial" w:cs="Arial" w:eastAsia="Arial" w:hAnsi="Arial"/>
                <w:sz w:val="20"/>
                <w:szCs w:val="20"/>
                <w:color w:val="auto"/>
                <w:w w:val="96"/>
              </w:rPr>
              <w:t>. If the Company shall terminate the Executive’s employment with the</w:t>
            </w:r>
          </w:p>
        </w:tc>
      </w:tr>
    </w:tbl>
    <w:p>
      <w:pPr>
        <w:ind w:left="880" w:right="120"/>
        <w:spacing w:after="0" w:line="255" w:lineRule="auto"/>
        <w:rPr>
          <w:sz w:val="20"/>
          <w:szCs w:val="20"/>
          <w:color w:val="auto"/>
        </w:rPr>
      </w:pPr>
      <w:r>
        <w:rPr>
          <w:rFonts w:ascii="Arial" w:cs="Arial" w:eastAsia="Arial" w:hAnsi="Arial"/>
          <w:sz w:val="19"/>
          <w:szCs w:val="19"/>
          <w:color w:val="auto"/>
        </w:rPr>
        <w:t>Company for Cause, then upon such termination, the Company shall have no further obligation to Executive hereunder except for the payment or provision, as applicable, of (i) the portion of the Annual Base Salary for the period prior to the effective date of termination earned but unpaid (if any), (ii) all unreimbursed expenses (if any), subject to Sections 2.4 and 5.10(c), and (iii)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10620" w:type="dxa"/>
            <w:vAlign w:val="bottom"/>
          </w:tcPr>
          <w:p>
            <w:pPr>
              <w:ind w:left="1040"/>
              <w:spacing w:after="0"/>
              <w:rPr>
                <w:sz w:val="20"/>
                <w:szCs w:val="20"/>
                <w:color w:val="auto"/>
              </w:rPr>
            </w:pPr>
            <w:r>
              <w:rPr>
                <w:rFonts w:ascii="Arial" w:cs="Arial" w:eastAsia="Arial" w:hAnsi="Arial"/>
                <w:sz w:val="20"/>
                <w:szCs w:val="20"/>
                <w:color w:val="auto"/>
                <w:w w:val="90"/>
              </w:rPr>
              <w:t>beneficiary or otherwise on the date of termination (“</w:t>
            </w:r>
            <w:r>
              <w:rPr>
                <w:rFonts w:ascii="Arial" w:cs="Arial" w:eastAsia="Arial" w:hAnsi="Arial"/>
                <w:sz w:val="20"/>
                <w:szCs w:val="20"/>
                <w:b w:val="1"/>
                <w:bCs w:val="1"/>
                <w:i w:val="1"/>
                <w:iCs w:val="1"/>
                <w:color w:val="auto"/>
                <w:w w:val="90"/>
              </w:rPr>
              <w:t>Other Benefits</w:t>
            </w:r>
            <w:r>
              <w:rPr>
                <w:rFonts w:ascii="Arial" w:cs="Arial" w:eastAsia="Arial" w:hAnsi="Arial"/>
                <w:sz w:val="20"/>
                <w:szCs w:val="20"/>
                <w:color w:val="auto"/>
                <w:w w:val="90"/>
              </w:rPr>
              <w:t>”). For the avoidance of doubt, Executive shall have</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89"/>
              </w:rPr>
              <w:t>no right to receive (and Other Benefits shall not include) any amounts under any Company severance plan or policy or pursuant to</w:t>
            </w:r>
          </w:p>
        </w:tc>
      </w:tr>
      <w:tr>
        <w:trPr>
          <w:trHeight w:val="250"/>
        </w:trPr>
        <w:tc>
          <w:tcPr>
            <w:tcW w:w="620" w:type="dxa"/>
            <w:vAlign w:val="bottom"/>
          </w:tcPr>
          <w:p>
            <w:pPr>
              <w:spacing w:after="0"/>
              <w:rPr>
                <w:sz w:val="21"/>
                <w:szCs w:val="21"/>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rPr>
              <w:t>Article 3 or Article 4 upon Executive’s termination for Cause.</w:t>
            </w:r>
          </w:p>
        </w:tc>
      </w:tr>
      <w:tr>
        <w:trPr>
          <w:trHeight w:val="370"/>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6.2.</w:t>
            </w:r>
          </w:p>
        </w:tc>
        <w:tc>
          <w:tcPr>
            <w:tcW w:w="10620" w:type="dxa"/>
            <w:vAlign w:val="bottom"/>
          </w:tcPr>
          <w:p>
            <w:pPr>
              <w:ind w:left="1040"/>
              <w:spacing w:after="0"/>
              <w:rPr>
                <w:sz w:val="20"/>
                <w:szCs w:val="20"/>
                <w:color w:val="auto"/>
              </w:rPr>
            </w:pPr>
            <w:r>
              <w:rPr>
                <w:rFonts w:ascii="Arial" w:cs="Arial" w:eastAsia="Arial" w:hAnsi="Arial"/>
                <w:sz w:val="20"/>
                <w:szCs w:val="20"/>
                <w:b w:val="1"/>
                <w:bCs w:val="1"/>
                <w:color w:val="auto"/>
                <w:w w:val="93"/>
              </w:rPr>
              <w:t>Termination by Voluntary Resignation by the Executive (other than Resignation for Good Reason)</w:t>
            </w:r>
            <w:r>
              <w:rPr>
                <w:rFonts w:ascii="Arial" w:cs="Arial" w:eastAsia="Arial" w:hAnsi="Arial"/>
                <w:sz w:val="20"/>
                <w:szCs w:val="20"/>
                <w:color w:val="auto"/>
                <w:w w:val="93"/>
              </w:rPr>
              <w:t>. Upon any</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0"/>
              </w:rPr>
              <w:t>voluntary resignation by Executive that is not a Resignation for Good Reason, the Company shall have no further obligation to the</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0"/>
              </w:rPr>
              <w:t>Executive hereunder except for the payment of (i) the portion of the Annual Base Salary for the period prior to the effective date of</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1"/>
              </w:rPr>
              <w:t>termination earned but unpaid (if any), (ii) all unreimbursed expenses (if any), subject to Section 2.4 and Section 5.10(c), and (iii)</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2"/>
              </w:rPr>
              <w:t>the payment or provision of any Other Benefits. For the avoidance of doubt, Executive shall have no right to receive (and Other</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2"/>
              </w:rPr>
              <w:t>Benefits shall not include) any amounts under any Company severance plan or policy or pursuant to Article 3 or Article 4 upon</w:t>
            </w:r>
          </w:p>
        </w:tc>
      </w:tr>
      <w:tr>
        <w:trPr>
          <w:trHeight w:val="250"/>
        </w:trPr>
        <w:tc>
          <w:tcPr>
            <w:tcW w:w="620" w:type="dxa"/>
            <w:vAlign w:val="bottom"/>
          </w:tcPr>
          <w:p>
            <w:pPr>
              <w:spacing w:after="0"/>
              <w:rPr>
                <w:sz w:val="21"/>
                <w:szCs w:val="21"/>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rPr>
              <w:t>any voluntary resignation by Executive that is not a Resignation for Good Reason.</w:t>
            </w:r>
          </w:p>
        </w:tc>
      </w:tr>
      <w:tr>
        <w:trPr>
          <w:trHeight w:val="357"/>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6.3.</w:t>
            </w:r>
          </w:p>
        </w:tc>
        <w:tc>
          <w:tcPr>
            <w:tcW w:w="10620" w:type="dxa"/>
            <w:vAlign w:val="bottom"/>
          </w:tcPr>
          <w:p>
            <w:pPr>
              <w:ind w:left="1040"/>
              <w:spacing w:after="0"/>
              <w:rPr>
                <w:sz w:val="20"/>
                <w:szCs w:val="20"/>
                <w:color w:val="auto"/>
              </w:rPr>
            </w:pPr>
            <w:r>
              <w:rPr>
                <w:rFonts w:ascii="Arial" w:cs="Arial" w:eastAsia="Arial" w:hAnsi="Arial"/>
                <w:sz w:val="20"/>
                <w:szCs w:val="20"/>
                <w:b w:val="1"/>
                <w:bCs w:val="1"/>
                <w:color w:val="auto"/>
              </w:rPr>
              <w:t xml:space="preserve">Other Rights and Benefits. </w:t>
            </w:r>
            <w:r>
              <w:rPr>
                <w:rFonts w:ascii="Arial" w:cs="Arial" w:eastAsia="Arial" w:hAnsi="Arial"/>
                <w:sz w:val="20"/>
                <w:szCs w:val="20"/>
                <w:color w:val="auto"/>
              </w:rPr>
              <w:t>Nothing in this Agreement shall prevent or limit Executive’s continuing or future</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4"/>
              </w:rPr>
              <w:t>participation in any benefit, bonus, incentive or other plans, programs, policies or practices provided by the Company and for</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4"/>
              </w:rPr>
              <w:t>which Executive may otherwise qualify, nor shall anything herein limit or otherwise affect such rights as Executive may have</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89"/>
              </w:rPr>
              <w:t>under other agreements with the Company except as provided in Article 1, Article 5, Section 6.1 and Section 6.2 above. Except as</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0"/>
              </w:rPr>
              <w:t>otherwise expressly provided herein, amounts that are vested benefits or that Executive is otherwise entitled to receive under any</w:t>
            </w:r>
          </w:p>
        </w:tc>
      </w:tr>
      <w:tr>
        <w:trPr>
          <w:trHeight w:val="229"/>
        </w:trPr>
        <w:tc>
          <w:tcPr>
            <w:tcW w:w="620" w:type="dxa"/>
            <w:vAlign w:val="bottom"/>
          </w:tcPr>
          <w:p>
            <w:pPr>
              <w:spacing w:after="0"/>
              <w:rPr>
                <w:sz w:val="19"/>
                <w:szCs w:val="19"/>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w w:val="97"/>
              </w:rPr>
              <w:t>plan, policy, practice or program of the Company at or subsequent to the date of a Change in Control shall be payable in</w:t>
            </w:r>
          </w:p>
        </w:tc>
      </w:tr>
      <w:tr>
        <w:trPr>
          <w:trHeight w:val="250"/>
        </w:trPr>
        <w:tc>
          <w:tcPr>
            <w:tcW w:w="620" w:type="dxa"/>
            <w:vAlign w:val="bottom"/>
          </w:tcPr>
          <w:p>
            <w:pPr>
              <w:spacing w:after="0"/>
              <w:rPr>
                <w:sz w:val="21"/>
                <w:szCs w:val="21"/>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rPr>
              <w:t>accordance with such plan, policy, practice or program.</w:t>
            </w:r>
          </w:p>
        </w:tc>
      </w:tr>
      <w:tr>
        <w:trPr>
          <w:trHeight w:val="370"/>
        </w:trPr>
        <w:tc>
          <w:tcPr>
            <w:tcW w:w="620" w:type="dxa"/>
            <w:vAlign w:val="bottom"/>
          </w:tcPr>
          <w:p>
            <w:pPr>
              <w:spacing w:after="0"/>
              <w:rPr>
                <w:sz w:val="24"/>
                <w:szCs w:val="24"/>
                <w:color w:val="auto"/>
              </w:rPr>
            </w:pPr>
          </w:p>
        </w:tc>
        <w:tc>
          <w:tcPr>
            <w:tcW w:w="10620" w:type="dxa"/>
            <w:vAlign w:val="bottom"/>
          </w:tcPr>
          <w:p>
            <w:pPr>
              <w:ind w:left="3800"/>
              <w:spacing w:after="0"/>
              <w:rPr>
                <w:sz w:val="20"/>
                <w:szCs w:val="20"/>
                <w:color w:val="auto"/>
              </w:rPr>
            </w:pPr>
            <w:r>
              <w:rPr>
                <w:rFonts w:ascii="Arial" w:cs="Arial" w:eastAsia="Arial" w:hAnsi="Arial"/>
                <w:sz w:val="20"/>
                <w:szCs w:val="20"/>
                <w:b w:val="1"/>
                <w:bCs w:val="1"/>
                <w:color w:val="auto"/>
              </w:rPr>
              <w:t>ARTICLE 7 DEFINITIONS</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Unless otherwise provided, for purposes of this Agreement, the following definitions shall apply:</w:t>
            </w:r>
          </w:p>
        </w:tc>
      </w:tr>
      <w:tr>
        <w:trPr>
          <w:trHeight w:val="364"/>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7.1.</w:t>
            </w:r>
          </w:p>
        </w:tc>
        <w:tc>
          <w:tcPr>
            <w:tcW w:w="10620" w:type="dxa"/>
            <w:vAlign w:val="bottom"/>
          </w:tcPr>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tc>
      </w:tr>
      <w:tr>
        <w:trPr>
          <w:trHeight w:val="357"/>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7.2.</w:t>
            </w:r>
          </w:p>
        </w:tc>
        <w:tc>
          <w:tcPr>
            <w:tcW w:w="10620" w:type="dxa"/>
            <w:vAlign w:val="bottom"/>
          </w:tcPr>
          <w:p>
            <w:pPr>
              <w:ind w:left="104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i w:val="1"/>
                <w:iCs w:val="1"/>
                <w:color w:val="auto"/>
                <w:w w:val="92"/>
              </w:rPr>
              <w:t>Cause</w:t>
            </w:r>
            <w:r>
              <w:rPr>
                <w:rFonts w:ascii="Arial" w:cs="Arial" w:eastAsia="Arial" w:hAnsi="Arial"/>
                <w:sz w:val="20"/>
                <w:szCs w:val="20"/>
                <w:color w:val="auto"/>
                <w:w w:val="92"/>
              </w:rPr>
              <w:t>” means, upon a reasonable determination by the Company, Executive’s: (i) dishonest statements or acts with</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90"/>
              </w:rPr>
              <w:t>respect to the Company, any subsidiary or any affiliate of the Company or any subsidiary; (ii) commission by or indictment for (A)</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97"/>
              </w:rPr>
              <w:t>a felony or (B) any misdemeanor (excluding minor traffic violations) involving moral turpitude, deceit, dishonesty or fraud</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92"/>
              </w:rPr>
              <w:t>(“indictment,” for these purposes, meaning an indictment, probable cause hearing or any other procedure pursuant to which an</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98"/>
              </w:rPr>
              <w:t>initial determination of probable or reasonable cause with respect to such offense is made); (iii) gross negligence, willful</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91"/>
              </w:rPr>
              <w:t>misconduct or insubordination with respect to the Company, any subsidiary or any affiliate of the Company or any subsidiary; (iv)</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89"/>
              </w:rPr>
              <w:t>material breach of any of Executive’s obligations under any agreement to which Executive and the Company or any subsidiary are</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92"/>
              </w:rPr>
              <w:t>a party; or (v) death or disability. With respect to clause (iv), Executive will be given notice and a 30-day period in which to cure</w:t>
            </w:r>
          </w:p>
        </w:tc>
      </w:tr>
      <w:tr>
        <w:trPr>
          <w:trHeight w:val="216"/>
        </w:trPr>
        <w:tc>
          <w:tcPr>
            <w:tcW w:w="620" w:type="dxa"/>
            <w:vAlign w:val="bottom"/>
          </w:tcPr>
          <w:p>
            <w:pPr>
              <w:spacing w:after="0"/>
              <w:rPr>
                <w:sz w:val="18"/>
                <w:szCs w:val="18"/>
                <w:color w:val="auto"/>
              </w:rPr>
            </w:pPr>
          </w:p>
        </w:tc>
        <w:tc>
          <w:tcPr>
            <w:tcW w:w="10620" w:type="dxa"/>
            <w:vAlign w:val="bottom"/>
          </w:tcPr>
          <w:p>
            <w:pPr>
              <w:ind w:left="260"/>
              <w:spacing w:after="0" w:line="216" w:lineRule="exact"/>
              <w:rPr>
                <w:sz w:val="20"/>
                <w:szCs w:val="20"/>
                <w:color w:val="auto"/>
              </w:rPr>
            </w:pPr>
            <w:r>
              <w:rPr>
                <w:rFonts w:ascii="Arial" w:cs="Arial" w:eastAsia="Arial" w:hAnsi="Arial"/>
                <w:sz w:val="20"/>
                <w:szCs w:val="20"/>
                <w:color w:val="auto"/>
                <w:w w:val="88"/>
              </w:rPr>
              <w:t>such breach, only to the extent such breach can be reasonably expected to be able to be cured within such period. Executive agrees</w:t>
            </w:r>
          </w:p>
        </w:tc>
      </w:tr>
      <w:tr>
        <w:trPr>
          <w:trHeight w:val="250"/>
        </w:trPr>
        <w:tc>
          <w:tcPr>
            <w:tcW w:w="620" w:type="dxa"/>
            <w:vAlign w:val="bottom"/>
          </w:tcPr>
          <w:p>
            <w:pPr>
              <w:spacing w:after="0"/>
              <w:rPr>
                <w:sz w:val="21"/>
                <w:szCs w:val="21"/>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rPr>
              <w:t>that the breach of any confidentiality obligation to the Company or any subsidiary shall not be curable to any extent.</w:t>
            </w:r>
          </w:p>
        </w:tc>
      </w:tr>
      <w:tr>
        <w:trPr>
          <w:trHeight w:val="343"/>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7.3.</w:t>
            </w:r>
          </w:p>
        </w:tc>
        <w:tc>
          <w:tcPr>
            <w:tcW w:w="10620" w:type="dxa"/>
            <w:vAlign w:val="bottom"/>
          </w:tcPr>
          <w:p>
            <w:pPr>
              <w:ind w:left="104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Change in Control</w:t>
            </w:r>
            <w:r>
              <w:rPr>
                <w:rFonts w:ascii="Arial" w:cs="Arial" w:eastAsia="Arial" w:hAnsi="Arial"/>
                <w:sz w:val="20"/>
                <w:szCs w:val="20"/>
                <w:color w:val="auto"/>
                <w:w w:val="91"/>
              </w:rPr>
              <w:t>” means the occurrence, in a single transaction or in a series of related transactions, of any one or</w:t>
            </w:r>
          </w:p>
        </w:tc>
      </w:tr>
      <w:tr>
        <w:trPr>
          <w:trHeight w:val="250"/>
        </w:trPr>
        <w:tc>
          <w:tcPr>
            <w:tcW w:w="620" w:type="dxa"/>
            <w:vAlign w:val="bottom"/>
          </w:tcPr>
          <w:p>
            <w:pPr>
              <w:spacing w:after="0"/>
              <w:rPr>
                <w:sz w:val="21"/>
                <w:szCs w:val="21"/>
                <w:color w:val="auto"/>
              </w:rPr>
            </w:pPr>
          </w:p>
        </w:tc>
        <w:tc>
          <w:tcPr>
            <w:tcW w:w="10620" w:type="dxa"/>
            <w:vAlign w:val="bottom"/>
          </w:tcPr>
          <w:p>
            <w:pPr>
              <w:ind w:left="260"/>
              <w:spacing w:after="0"/>
              <w:rPr>
                <w:sz w:val="20"/>
                <w:szCs w:val="20"/>
                <w:color w:val="auto"/>
              </w:rPr>
            </w:pPr>
            <w:r>
              <w:rPr>
                <w:rFonts w:ascii="Arial" w:cs="Arial" w:eastAsia="Arial" w:hAnsi="Arial"/>
                <w:sz w:val="20"/>
                <w:szCs w:val="20"/>
                <w:color w:val="auto"/>
              </w:rPr>
              <w:t>more of the following events:</w:t>
            </w:r>
          </w:p>
        </w:tc>
      </w:tr>
    </w:tbl>
    <w:p>
      <w:pPr>
        <w:spacing w:after="0" w:line="141" w:lineRule="exact"/>
        <w:rPr>
          <w:sz w:val="20"/>
          <w:szCs w:val="20"/>
          <w:color w:val="auto"/>
        </w:rPr>
      </w:pPr>
    </w:p>
    <w:p>
      <w:pPr>
        <w:ind w:right="160" w:firstLine="1735"/>
        <w:spacing w:after="0" w:line="244" w:lineRule="auto"/>
        <w:tabs>
          <w:tab w:leader="none" w:pos="2528"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natural person, entity or group within the meaning of Section 13(d) or 14(d) of the Securities Exchange Act of 1934, as amended (“</w:t>
      </w:r>
      <w:r>
        <w:rPr>
          <w:rFonts w:ascii="Arial" w:cs="Arial" w:eastAsia="Arial" w:hAnsi="Arial"/>
          <w:sz w:val="20"/>
          <w:szCs w:val="20"/>
          <w:b w:val="1"/>
          <w:bCs w:val="1"/>
          <w:i w:val="1"/>
          <w:iCs w:val="1"/>
          <w:color w:val="auto"/>
        </w:rPr>
        <w:t>Exchange Act Person</w:t>
      </w:r>
      <w:r>
        <w:rPr>
          <w:rFonts w:ascii="Arial" w:cs="Arial" w:eastAsia="Arial" w:hAnsi="Arial"/>
          <w:sz w:val="20"/>
          <w:szCs w:val="20"/>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ind w:right="60"/>
        <w:spacing w:after="0" w:line="272" w:lineRule="auto"/>
        <w:rPr>
          <w:sz w:val="20"/>
          <w:szCs w:val="20"/>
          <w:color w:val="auto"/>
        </w:rPr>
      </w:pPr>
      <w:r>
        <w:rPr>
          <w:rFonts w:ascii="Arial" w:cs="Arial" w:eastAsia="Arial" w:hAnsi="Arial"/>
          <w:sz w:val="18"/>
          <w:szCs w:val="18"/>
          <w:color w:val="auto"/>
        </w:rPr>
        <w:t>investor, any affiliate thereof or any other Exchange Act Person that acquires the Company’s securities in a transaction or series of related transactions that are primarily a private financing transaction for the Company or (ii) solely because the level of ownership held by any Exchange Act Person (the “</w:t>
      </w:r>
      <w:r>
        <w:rPr>
          <w:rFonts w:ascii="Arial" w:cs="Arial" w:eastAsia="Arial" w:hAnsi="Arial"/>
          <w:sz w:val="18"/>
          <w:szCs w:val="18"/>
          <w:b w:val="1"/>
          <w:bCs w:val="1"/>
          <w:i w:val="1"/>
          <w:iCs w:val="1"/>
          <w:color w:val="auto"/>
        </w:rPr>
        <w:t>Subject Person</w:t>
      </w:r>
      <w:r>
        <w:rPr>
          <w:rFonts w:ascii="Arial" w:cs="Arial" w:eastAsia="Arial" w:hAnsi="Arial"/>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6" w:lineRule="exact"/>
        <w:rPr>
          <w:sz w:val="20"/>
          <w:szCs w:val="20"/>
          <w:color w:val="auto"/>
        </w:rPr>
      </w:pPr>
    </w:p>
    <w:p>
      <w:pPr>
        <w:ind w:right="40" w:firstLine="1735"/>
        <w:spacing w:after="0" w:line="243" w:lineRule="auto"/>
        <w:tabs>
          <w:tab w:leader="none" w:pos="2539"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40" w:lineRule="exact"/>
        <w:rPr>
          <w:rFonts w:ascii="Arial" w:cs="Arial" w:eastAsia="Arial" w:hAnsi="Arial"/>
          <w:sz w:val="20"/>
          <w:szCs w:val="20"/>
          <w:color w:val="auto"/>
        </w:rPr>
      </w:pPr>
    </w:p>
    <w:p>
      <w:pPr>
        <w:ind w:right="40" w:firstLine="1735"/>
        <w:spacing w:after="0" w:line="260" w:lineRule="auto"/>
        <w:tabs>
          <w:tab w:leader="none" w:pos="2528"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stockholders of the Company approve or the Board approves a plan of complete dissolution or liquidation of the Company, or a complete dissolution or liquidation of the Company shall otherwise occur; or</w:t>
      </w:r>
    </w:p>
    <w:p>
      <w:pPr>
        <w:spacing w:after="0" w:line="95" w:lineRule="exact"/>
        <w:rPr>
          <w:rFonts w:ascii="Arial" w:cs="Arial" w:eastAsia="Arial" w:hAnsi="Arial"/>
          <w:sz w:val="20"/>
          <w:szCs w:val="20"/>
          <w:color w:val="auto"/>
        </w:rPr>
      </w:pPr>
    </w:p>
    <w:p>
      <w:pPr>
        <w:ind w:right="40" w:firstLine="1735"/>
        <w:spacing w:after="0" w:line="244" w:lineRule="auto"/>
        <w:tabs>
          <w:tab w:leader="none" w:pos="2539"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39" w:lineRule="exact"/>
        <w:rPr>
          <w:sz w:val="20"/>
          <w:szCs w:val="20"/>
          <w:color w:val="auto"/>
        </w:rPr>
      </w:pPr>
    </w:p>
    <w:p>
      <w:pPr>
        <w:jc w:val="both"/>
        <w:ind w:right="80" w:firstLine="864"/>
        <w:spacing w:after="0" w:line="278"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7.4.</w:t>
            </w:r>
          </w:p>
        </w:tc>
        <w:tc>
          <w:tcPr>
            <w:tcW w:w="10640" w:type="dxa"/>
            <w:vAlign w:val="bottom"/>
          </w:tcPr>
          <w:p>
            <w:pPr>
              <w:ind w:left="104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i w:val="1"/>
                <w:iCs w:val="1"/>
                <w:color w:val="auto"/>
                <w:w w:val="92"/>
              </w:rPr>
              <w:t>Change in Control Benefits Period</w:t>
            </w:r>
            <w:r>
              <w:rPr>
                <w:rFonts w:ascii="Arial" w:cs="Arial" w:eastAsia="Arial" w:hAnsi="Arial"/>
                <w:sz w:val="20"/>
                <w:szCs w:val="20"/>
                <w:color w:val="auto"/>
                <w:w w:val="92"/>
              </w:rPr>
              <w:t>” means the period of twelve (12) months commencing on the Termination Date.</w:t>
            </w:r>
          </w:p>
        </w:tc>
      </w:tr>
      <w:tr>
        <w:trPr>
          <w:trHeight w:val="391"/>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7.5.</w:t>
            </w:r>
          </w:p>
        </w:tc>
        <w:tc>
          <w:tcPr>
            <w:tcW w:w="10640" w:type="dxa"/>
            <w:vAlign w:val="bottom"/>
          </w:tcPr>
          <w:p>
            <w:pPr>
              <w:ind w:left="104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Change in Control Severance Period</w:t>
            </w:r>
            <w:r>
              <w:rPr>
                <w:rFonts w:ascii="Arial" w:cs="Arial" w:eastAsia="Arial" w:hAnsi="Arial"/>
                <w:sz w:val="20"/>
                <w:szCs w:val="20"/>
                <w:color w:val="auto"/>
                <w:w w:val="90"/>
              </w:rPr>
              <w:t>” means the period of twelve (12) months commencing on the Termination Date.</w:t>
            </w:r>
          </w:p>
        </w:tc>
      </w:tr>
      <w:tr>
        <w:trPr>
          <w:trHeight w:val="370"/>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7.6.</w:t>
            </w:r>
          </w:p>
        </w:tc>
        <w:tc>
          <w:tcPr>
            <w:tcW w:w="10640" w:type="dxa"/>
            <w:vAlign w:val="bottom"/>
          </w:tcPr>
          <w:p>
            <w:pPr>
              <w:ind w:left="104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i w:val="1"/>
                <w:iCs w:val="1"/>
                <w:color w:val="auto"/>
                <w:w w:val="92"/>
              </w:rPr>
              <w:t>Change in Control Termination</w:t>
            </w:r>
            <w:r>
              <w:rPr>
                <w:rFonts w:ascii="Arial" w:cs="Arial" w:eastAsia="Arial" w:hAnsi="Arial"/>
                <w:sz w:val="20"/>
                <w:szCs w:val="20"/>
                <w:color w:val="auto"/>
                <w:w w:val="92"/>
              </w:rPr>
              <w:t>” means an “</w:t>
            </w:r>
            <w:r>
              <w:rPr>
                <w:rFonts w:ascii="Arial" w:cs="Arial" w:eastAsia="Arial" w:hAnsi="Arial"/>
                <w:sz w:val="20"/>
                <w:szCs w:val="20"/>
                <w:b w:val="1"/>
                <w:bCs w:val="1"/>
                <w:i w:val="1"/>
                <w:iCs w:val="1"/>
                <w:color w:val="auto"/>
                <w:w w:val="92"/>
              </w:rPr>
              <w:t>Involuntary Termination Without Cause</w:t>
            </w:r>
            <w:r>
              <w:rPr>
                <w:rFonts w:ascii="Arial" w:cs="Arial" w:eastAsia="Arial" w:hAnsi="Arial"/>
                <w:sz w:val="20"/>
                <w:szCs w:val="20"/>
                <w:color w:val="auto"/>
                <w:w w:val="92"/>
              </w:rPr>
              <w:t>” or “</w:t>
            </w:r>
            <w:r>
              <w:rPr>
                <w:rFonts w:ascii="Arial" w:cs="Arial" w:eastAsia="Arial" w:hAnsi="Arial"/>
                <w:sz w:val="20"/>
                <w:szCs w:val="20"/>
                <w:b w:val="1"/>
                <w:bCs w:val="1"/>
                <w:i w:val="1"/>
                <w:iCs w:val="1"/>
                <w:color w:val="auto"/>
                <w:w w:val="92"/>
              </w:rPr>
              <w:t>Resignation for Good</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b w:val="1"/>
                <w:bCs w:val="1"/>
                <w:i w:val="1"/>
                <w:iCs w:val="1"/>
                <w:color w:val="auto"/>
                <w:w w:val="92"/>
              </w:rPr>
              <w:t>Reason</w:t>
            </w:r>
            <w:r>
              <w:rPr>
                <w:rFonts w:ascii="Arial" w:cs="Arial" w:eastAsia="Arial" w:hAnsi="Arial"/>
                <w:sz w:val="20"/>
                <w:szCs w:val="20"/>
                <w:i w:val="1"/>
                <w:iCs w:val="1"/>
                <w:color w:val="auto"/>
                <w:w w:val="92"/>
              </w:rPr>
              <w:t>,</w:t>
            </w:r>
            <w:r>
              <w:rPr>
                <w:rFonts w:ascii="Arial" w:cs="Arial" w:eastAsia="Arial" w:hAnsi="Arial"/>
                <w:sz w:val="20"/>
                <w:szCs w:val="20"/>
                <w:color w:val="auto"/>
                <w:w w:val="92"/>
              </w:rPr>
              <w:t>” either of which occurs on, or within three (3) months prior to, or within twelve (12) months following, the effective date</w:t>
            </w:r>
          </w:p>
        </w:tc>
      </w:tr>
      <w:tr>
        <w:trPr>
          <w:trHeight w:val="229"/>
        </w:trPr>
        <w:tc>
          <w:tcPr>
            <w:tcW w:w="620" w:type="dxa"/>
            <w:vAlign w:val="bottom"/>
          </w:tcPr>
          <w:p>
            <w:pPr>
              <w:spacing w:after="0"/>
              <w:rPr>
                <w:sz w:val="19"/>
                <w:szCs w:val="19"/>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w w:val="97"/>
              </w:rPr>
              <w:t>of a Change in Control, provided that any such termination is a “separation from service” within the meaning of Treasury</w:t>
            </w:r>
          </w:p>
        </w:tc>
      </w:tr>
      <w:tr>
        <w:trPr>
          <w:trHeight w:val="250"/>
        </w:trPr>
        <w:tc>
          <w:tcPr>
            <w:tcW w:w="620" w:type="dxa"/>
            <w:vAlign w:val="bottom"/>
          </w:tcPr>
          <w:p>
            <w:pPr>
              <w:spacing w:after="0"/>
              <w:rPr>
                <w:sz w:val="21"/>
                <w:szCs w:val="21"/>
                <w:color w:val="auto"/>
              </w:rPr>
            </w:pPr>
          </w:p>
        </w:tc>
        <w:tc>
          <w:tcPr>
            <w:tcW w:w="10640" w:type="dxa"/>
            <w:vAlign w:val="bottom"/>
          </w:tcPr>
          <w:p>
            <w:pPr>
              <w:ind w:left="260"/>
              <w:spacing w:after="0"/>
              <w:rPr>
                <w:sz w:val="20"/>
                <w:szCs w:val="20"/>
                <w:color w:val="auto"/>
              </w:rPr>
            </w:pPr>
            <w:r>
              <w:rPr>
                <w:rFonts w:ascii="Arial" w:cs="Arial" w:eastAsia="Arial" w:hAnsi="Arial"/>
                <w:sz w:val="20"/>
                <w:szCs w:val="20"/>
                <w:color w:val="auto"/>
              </w:rPr>
              <w:t>Regulation Section 1.409A- 1(h). Death and disability shall not be deemed Change in Control Terminations.</w:t>
            </w:r>
          </w:p>
        </w:tc>
      </w:tr>
      <w:tr>
        <w:trPr>
          <w:trHeight w:val="391"/>
        </w:trPr>
        <w:tc>
          <w:tcPr>
            <w:tcW w:w="620" w:type="dxa"/>
            <w:vAlign w:val="bottom"/>
          </w:tcPr>
          <w:p>
            <w:pPr>
              <w:jc w:val="right"/>
              <w:ind w:right="141"/>
              <w:spacing w:after="0"/>
              <w:rPr>
                <w:sz w:val="20"/>
                <w:szCs w:val="20"/>
                <w:color w:val="auto"/>
              </w:rPr>
            </w:pPr>
            <w:r>
              <w:rPr>
                <w:rFonts w:ascii="Arial" w:cs="Arial" w:eastAsia="Arial" w:hAnsi="Arial"/>
                <w:sz w:val="20"/>
                <w:szCs w:val="20"/>
                <w:b w:val="1"/>
                <w:bCs w:val="1"/>
                <w:color w:val="auto"/>
              </w:rPr>
              <w:t>7.7.</w:t>
            </w:r>
          </w:p>
        </w:tc>
        <w:tc>
          <w:tcPr>
            <w:tcW w:w="10640" w:type="dxa"/>
            <w:vAlign w:val="bottom"/>
          </w:tcPr>
          <w:p>
            <w:pPr>
              <w:ind w:left="10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means the Consolidated Omnibus Budget Reconciliation Act of 1985, as amended.</w:t>
            </w:r>
          </w:p>
        </w:tc>
      </w:tr>
      <w:tr>
        <w:trPr>
          <w:trHeight w:val="445"/>
        </w:trPr>
        <w:tc>
          <w:tcPr>
            <w:tcW w:w="620" w:type="dxa"/>
            <w:vAlign w:val="bottom"/>
          </w:tcPr>
          <w:p>
            <w:pPr>
              <w:spacing w:after="0"/>
              <w:rPr>
                <w:sz w:val="24"/>
                <w:szCs w:val="24"/>
                <w:color w:val="auto"/>
              </w:rPr>
            </w:pPr>
          </w:p>
        </w:tc>
        <w:tc>
          <w:tcPr>
            <w:tcW w:w="10640" w:type="dxa"/>
            <w:vAlign w:val="bottom"/>
          </w:tcPr>
          <w:p>
            <w:pPr>
              <w:ind w:left="4900"/>
              <w:spacing w:after="0"/>
              <w:rPr>
                <w:sz w:val="20"/>
                <w:szCs w:val="20"/>
                <w:color w:val="auto"/>
              </w:rPr>
            </w:pPr>
            <w:r>
              <w:rPr>
                <w:rFonts w:ascii="Arial" w:cs="Arial" w:eastAsia="Arial" w:hAnsi="Arial"/>
                <w:sz w:val="20"/>
                <w:szCs w:val="20"/>
                <w:color w:val="auto"/>
              </w:rPr>
              <w:t>10</w:t>
            </w:r>
          </w:p>
        </w:tc>
      </w:tr>
      <w:tr>
        <w:trPr>
          <w:trHeight w:val="327"/>
        </w:trPr>
        <w:tc>
          <w:tcPr>
            <w:tcW w:w="620" w:type="dxa"/>
            <w:vAlign w:val="bottom"/>
            <w:tcBorders>
              <w:bottom w:val="single" w:sz="8" w:color="9A9A9A"/>
            </w:tcBorders>
          </w:tcPr>
          <w:p>
            <w:pPr>
              <w:spacing w:after="0"/>
              <w:rPr>
                <w:sz w:val="24"/>
                <w:szCs w:val="24"/>
                <w:color w:val="auto"/>
              </w:rPr>
            </w:pPr>
          </w:p>
        </w:tc>
        <w:tc>
          <w:tcPr>
            <w:tcW w:w="10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285" w:right="319" w:bottom="1440" w:gutter="0" w:footer="0" w:header="0"/>
        </w:sectPr>
      </w:pPr>
    </w:p>
    <w:bookmarkStart w:id="160" w:name="page161"/>
    <w:bookmarkEnd w:id="160"/>
    <w:tbl>
      <w:tblPr>
        <w:tblLayout w:type="fixed"/>
        <w:tblInd w:w="20" w:type="dxa"/>
        <w:tblCellMar>
          <w:top w:w="0" w:type="dxa"/>
          <w:left w:w="0" w:type="dxa"/>
          <w:bottom w:w="0" w:type="dxa"/>
          <w:right w:w="0" w:type="dxa"/>
        </w:tblCellMar>
      </w:tblPr>
      <w:tr>
        <w:trPr>
          <w:trHeight w:val="255"/>
        </w:trPr>
        <w:tc>
          <w:tcPr>
            <w:tcW w:w="600" w:type="dxa"/>
            <w:vAlign w:val="bottom"/>
          </w:tcPr>
          <w:p>
            <w:pPr>
              <w:spacing w:after="0"/>
              <w:rPr>
                <w:sz w:val="20"/>
                <w:szCs w:val="20"/>
                <w:color w:val="auto"/>
              </w:rPr>
            </w:pPr>
            <w:r>
              <w:rPr>
                <w:rFonts w:ascii="Arial" w:cs="Arial" w:eastAsia="Arial" w:hAnsi="Arial"/>
                <w:sz w:val="20"/>
                <w:szCs w:val="20"/>
                <w:b w:val="1"/>
                <w:bCs w:val="1"/>
                <w:color w:val="auto"/>
              </w:rPr>
              <w:t>7.8.</w:t>
            </w:r>
          </w:p>
        </w:tc>
        <w:tc>
          <w:tcPr>
            <w:tcW w:w="10500" w:type="dxa"/>
            <w:vAlign w:val="bottom"/>
          </w:tcPr>
          <w:p>
            <w:pPr>
              <w:ind w:left="9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7.9.</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Company</w:t>
            </w:r>
            <w:r>
              <w:rPr>
                <w:rFonts w:ascii="Arial" w:cs="Arial" w:eastAsia="Arial" w:hAnsi="Arial"/>
                <w:sz w:val="20"/>
                <w:szCs w:val="20"/>
                <w:color w:val="auto"/>
                <w:w w:val="91"/>
              </w:rPr>
              <w:t>” means Syndax Pharmaceuticals, Inc. or, following a Change in Control, the surviving entity resulting from</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such transaction, or any subsequent surviving entity resulting from any subsequent Change in Control.</w:t>
            </w:r>
          </w:p>
        </w:tc>
      </w:tr>
      <w:tr>
        <w:trPr>
          <w:trHeight w:val="357"/>
        </w:trPr>
        <w:tc>
          <w:tcPr>
            <w:tcW w:w="600" w:type="dxa"/>
            <w:vAlign w:val="bottom"/>
          </w:tcPr>
          <w:p>
            <w:pPr>
              <w:spacing w:after="0"/>
              <w:rPr>
                <w:sz w:val="20"/>
                <w:szCs w:val="20"/>
                <w:color w:val="auto"/>
              </w:rPr>
            </w:pPr>
            <w:r>
              <w:rPr>
                <w:rFonts w:ascii="Arial" w:cs="Arial" w:eastAsia="Arial" w:hAnsi="Arial"/>
                <w:sz w:val="20"/>
                <w:szCs w:val="20"/>
                <w:b w:val="1"/>
                <w:bCs w:val="1"/>
                <w:color w:val="auto"/>
              </w:rPr>
              <w:t>7.10.</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Confidentiality Agreement</w:t>
            </w:r>
            <w:r>
              <w:rPr>
                <w:rFonts w:ascii="Arial" w:cs="Arial" w:eastAsia="Arial" w:hAnsi="Arial"/>
                <w:sz w:val="20"/>
                <w:szCs w:val="20"/>
                <w:color w:val="auto"/>
                <w:w w:val="91"/>
              </w:rPr>
              <w:t>” means Executive’s Assignment of Developments, Non- Disclosure, and Non-Solicitation</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Agreement with the Company, dated August 17, 2015 (or any successor agreement thereto).</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7.11.</w:t>
            </w:r>
          </w:p>
        </w:tc>
        <w:tc>
          <w:tcPr>
            <w:tcW w:w="10500" w:type="dxa"/>
            <w:vAlign w:val="bottom"/>
          </w:tcPr>
          <w:p>
            <w:pPr>
              <w:ind w:left="98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i w:val="1"/>
                <w:iCs w:val="1"/>
                <w:color w:val="auto"/>
                <w:w w:val="92"/>
              </w:rPr>
              <w:t>Covered Termination</w:t>
            </w:r>
            <w:r>
              <w:rPr>
                <w:rFonts w:ascii="Arial" w:cs="Arial" w:eastAsia="Arial" w:hAnsi="Arial"/>
                <w:sz w:val="20"/>
                <w:szCs w:val="20"/>
                <w:color w:val="auto"/>
                <w:w w:val="92"/>
              </w:rPr>
              <w:t>” means an “</w:t>
            </w:r>
            <w:r>
              <w:rPr>
                <w:rFonts w:ascii="Arial" w:cs="Arial" w:eastAsia="Arial" w:hAnsi="Arial"/>
                <w:sz w:val="20"/>
                <w:szCs w:val="20"/>
                <w:b w:val="1"/>
                <w:bCs w:val="1"/>
                <w:i w:val="1"/>
                <w:iCs w:val="1"/>
                <w:color w:val="auto"/>
                <w:w w:val="92"/>
              </w:rPr>
              <w:t>Involuntary Termination Without Cause</w:t>
            </w:r>
            <w:r>
              <w:rPr>
                <w:rFonts w:ascii="Arial" w:cs="Arial" w:eastAsia="Arial" w:hAnsi="Arial"/>
                <w:sz w:val="20"/>
                <w:szCs w:val="20"/>
                <w:color w:val="auto"/>
                <w:w w:val="92"/>
              </w:rPr>
              <w:t>” or “</w:t>
            </w:r>
            <w:r>
              <w:rPr>
                <w:rFonts w:ascii="Arial" w:cs="Arial" w:eastAsia="Arial" w:hAnsi="Arial"/>
                <w:sz w:val="20"/>
                <w:szCs w:val="20"/>
                <w:b w:val="1"/>
                <w:bCs w:val="1"/>
                <w:i w:val="1"/>
                <w:iCs w:val="1"/>
                <w:color w:val="auto"/>
                <w:w w:val="92"/>
              </w:rPr>
              <w:t>Resignation for Good Reason</w:t>
            </w:r>
            <w:r>
              <w:rPr>
                <w:rFonts w:ascii="Arial" w:cs="Arial" w:eastAsia="Arial" w:hAnsi="Arial"/>
                <w:sz w:val="20"/>
                <w:szCs w:val="20"/>
                <w:i w:val="1"/>
                <w:iCs w:val="1"/>
                <w:color w:val="auto"/>
                <w:w w:val="92"/>
              </w:rPr>
              <w:t>,</w:t>
            </w:r>
            <w:r>
              <w:rPr>
                <w:rFonts w:ascii="Arial" w:cs="Arial" w:eastAsia="Arial" w:hAnsi="Arial"/>
                <w:sz w:val="20"/>
                <w:szCs w:val="20"/>
                <w:color w:val="auto"/>
                <w:w w:val="92"/>
              </w:rPr>
              <w:t>”</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0"/>
              </w:rPr>
              <w:t>provided that any such termination is a “separation from service” within the meaning of Treasury Regulation Section 1.409A-1(h).</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Death and disability shall not be deemed Covered Terminations. If an Involuntary Termination Without Cause or Resignation for</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Good Reason qualifies as a Change in Control Termination, it shall not constitute a Covered Termination.</w:t>
            </w:r>
          </w:p>
        </w:tc>
      </w:tr>
      <w:tr>
        <w:trPr>
          <w:trHeight w:val="391"/>
        </w:trPr>
        <w:tc>
          <w:tcPr>
            <w:tcW w:w="600" w:type="dxa"/>
            <w:vAlign w:val="bottom"/>
          </w:tcPr>
          <w:p>
            <w:pPr>
              <w:spacing w:after="0"/>
              <w:rPr>
                <w:sz w:val="20"/>
                <w:szCs w:val="20"/>
                <w:color w:val="auto"/>
              </w:rPr>
            </w:pPr>
            <w:r>
              <w:rPr>
                <w:rFonts w:ascii="Arial" w:cs="Arial" w:eastAsia="Arial" w:hAnsi="Arial"/>
                <w:sz w:val="20"/>
                <w:szCs w:val="20"/>
                <w:b w:val="1"/>
                <w:bCs w:val="1"/>
                <w:color w:val="auto"/>
              </w:rPr>
              <w:t>7.12.</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Covered Termination Benefits Period</w:t>
            </w:r>
            <w:r>
              <w:rPr>
                <w:rFonts w:ascii="Arial" w:cs="Arial" w:eastAsia="Arial" w:hAnsi="Arial"/>
                <w:sz w:val="20"/>
                <w:szCs w:val="20"/>
                <w:color w:val="auto"/>
                <w:w w:val="91"/>
              </w:rPr>
              <w:t>” means the period of nine (9) months commencing on the Termination Date.</w:t>
            </w:r>
          </w:p>
        </w:tc>
      </w:tr>
      <w:tr>
        <w:trPr>
          <w:trHeight w:val="391"/>
        </w:trPr>
        <w:tc>
          <w:tcPr>
            <w:tcW w:w="600" w:type="dxa"/>
            <w:vAlign w:val="bottom"/>
          </w:tcPr>
          <w:p>
            <w:pPr>
              <w:spacing w:after="0"/>
              <w:rPr>
                <w:sz w:val="20"/>
                <w:szCs w:val="20"/>
                <w:color w:val="auto"/>
              </w:rPr>
            </w:pPr>
            <w:r>
              <w:rPr>
                <w:rFonts w:ascii="Arial" w:cs="Arial" w:eastAsia="Arial" w:hAnsi="Arial"/>
                <w:sz w:val="20"/>
                <w:szCs w:val="20"/>
                <w:b w:val="1"/>
                <w:bCs w:val="1"/>
                <w:color w:val="auto"/>
              </w:rPr>
              <w:t>7.13.</w:t>
            </w:r>
          </w:p>
        </w:tc>
        <w:tc>
          <w:tcPr>
            <w:tcW w:w="10500" w:type="dxa"/>
            <w:vAlign w:val="bottom"/>
          </w:tcPr>
          <w:p>
            <w:pPr>
              <w:ind w:left="98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Covered Termination Severance Period</w:t>
            </w:r>
            <w:r>
              <w:rPr>
                <w:rFonts w:ascii="Arial" w:cs="Arial" w:eastAsia="Arial" w:hAnsi="Arial"/>
                <w:sz w:val="20"/>
                <w:szCs w:val="20"/>
                <w:color w:val="auto"/>
                <w:w w:val="89"/>
              </w:rPr>
              <w:t>” means the period of nine (9) months commencing on the Termination Date.</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7.14.</w:t>
            </w:r>
          </w:p>
        </w:tc>
        <w:tc>
          <w:tcPr>
            <w:tcW w:w="10500" w:type="dxa"/>
            <w:vAlign w:val="bottom"/>
          </w:tcPr>
          <w:p>
            <w:pPr>
              <w:ind w:left="980"/>
              <w:spacing w:after="0"/>
              <w:rPr>
                <w:sz w:val="20"/>
                <w:szCs w:val="20"/>
                <w:color w:val="auto"/>
              </w:rPr>
            </w:pPr>
            <w:r>
              <w:rPr>
                <w:rFonts w:ascii="Arial" w:cs="Arial" w:eastAsia="Arial" w:hAnsi="Arial"/>
                <w:sz w:val="20"/>
                <w:szCs w:val="20"/>
                <w:color w:val="auto"/>
                <w:w w:val="88"/>
              </w:rPr>
              <w:t>“</w:t>
            </w:r>
            <w:r>
              <w:rPr>
                <w:rFonts w:ascii="Arial" w:cs="Arial" w:eastAsia="Arial" w:hAnsi="Arial"/>
                <w:sz w:val="20"/>
                <w:szCs w:val="20"/>
                <w:b w:val="1"/>
                <w:bCs w:val="1"/>
                <w:i w:val="1"/>
                <w:iCs w:val="1"/>
                <w:color w:val="auto"/>
                <w:w w:val="88"/>
              </w:rPr>
              <w:t>Involuntary Termination Without Cause</w:t>
            </w:r>
            <w:r>
              <w:rPr>
                <w:rFonts w:ascii="Arial" w:cs="Arial" w:eastAsia="Arial" w:hAnsi="Arial"/>
                <w:sz w:val="20"/>
                <w:szCs w:val="20"/>
                <w:color w:val="auto"/>
                <w:w w:val="88"/>
              </w:rPr>
              <w:t>” means Executive’s dismissal or discharge by the Company for reasons other</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than Cause and other than as a result of death or disability.</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7.15.</w:t>
            </w:r>
          </w:p>
        </w:tc>
        <w:tc>
          <w:tcPr>
            <w:tcW w:w="10500" w:type="dxa"/>
            <w:vAlign w:val="bottom"/>
          </w:tcPr>
          <w:p>
            <w:pPr>
              <w:ind w:left="98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Monthly Base Salary</w:t>
            </w:r>
            <w:r>
              <w:rPr>
                <w:rFonts w:ascii="Arial" w:cs="Arial" w:eastAsia="Arial" w:hAnsi="Arial"/>
                <w:sz w:val="20"/>
                <w:szCs w:val="20"/>
                <w:color w:val="auto"/>
                <w:w w:val="94"/>
              </w:rPr>
              <w:t>” means 1/12</w:t>
            </w:r>
            <w:r>
              <w:rPr>
                <w:rFonts w:ascii="Arial" w:cs="Arial" w:eastAsia="Arial" w:hAnsi="Arial"/>
                <w:sz w:val="16"/>
                <w:szCs w:val="16"/>
                <w:color w:val="auto"/>
                <w:w w:val="94"/>
              </w:rPr>
              <w:t>th</w:t>
            </w:r>
            <w:r>
              <w:rPr>
                <w:rFonts w:ascii="Arial" w:cs="Arial" w:eastAsia="Arial" w:hAnsi="Arial"/>
                <w:sz w:val="20"/>
                <w:szCs w:val="20"/>
                <w:color w:val="auto"/>
                <w:w w:val="94"/>
              </w:rPr>
              <w:t xml:space="preserve"> of the greater of (i) Executive’s annual base salary (excluding incentive pay,</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0"/>
              </w:rPr>
              <w:t>premium pay, commissions, overtime, bonuses and other forms of variable compensation) as in effect on the date of a Change in</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Control Termination or a Covered Termination, as applicable, or (ii) in the case of a Change in Control Termination, Executive’s</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7"/>
              </w:rPr>
              <w:t>annual base salary (excluding incentive pay, premium pay, commissions, overtime, bonuses and other forms of variable</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compensation) as in effect on the date of a Change in Control.</w:t>
            </w:r>
          </w:p>
        </w:tc>
      </w:tr>
      <w:tr>
        <w:trPr>
          <w:trHeight w:val="357"/>
        </w:trPr>
        <w:tc>
          <w:tcPr>
            <w:tcW w:w="600" w:type="dxa"/>
            <w:vAlign w:val="bottom"/>
          </w:tcPr>
          <w:p>
            <w:pPr>
              <w:spacing w:after="0"/>
              <w:rPr>
                <w:sz w:val="20"/>
                <w:szCs w:val="20"/>
                <w:color w:val="auto"/>
              </w:rPr>
            </w:pPr>
            <w:r>
              <w:rPr>
                <w:rFonts w:ascii="Arial" w:cs="Arial" w:eastAsia="Arial" w:hAnsi="Arial"/>
                <w:sz w:val="20"/>
                <w:szCs w:val="20"/>
                <w:b w:val="1"/>
                <w:bCs w:val="1"/>
                <w:color w:val="auto"/>
              </w:rPr>
              <w:t>7.16.</w:t>
            </w:r>
          </w:p>
        </w:tc>
        <w:tc>
          <w:tcPr>
            <w:tcW w:w="10500" w:type="dxa"/>
            <w:vAlign w:val="bottom"/>
          </w:tcPr>
          <w:p>
            <w:pPr>
              <w:ind w:left="98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Prior Employment Agreement</w:t>
            </w:r>
            <w:r>
              <w:rPr>
                <w:rFonts w:ascii="Arial" w:cs="Arial" w:eastAsia="Arial" w:hAnsi="Arial"/>
                <w:sz w:val="20"/>
                <w:szCs w:val="20"/>
                <w:color w:val="auto"/>
                <w:w w:val="89"/>
              </w:rPr>
              <w:t>” means that certain offer letter agreement, between the Company and Executive, dated</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October 1, 2015.</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7.17.</w:t>
            </w:r>
          </w:p>
        </w:tc>
        <w:tc>
          <w:tcPr>
            <w:tcW w:w="10500" w:type="dxa"/>
            <w:vAlign w:val="bottom"/>
          </w:tcPr>
          <w:p>
            <w:pPr>
              <w:ind w:left="98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Pro-Rata Bonus</w:t>
            </w:r>
            <w:r>
              <w:rPr>
                <w:rFonts w:ascii="Arial" w:cs="Arial" w:eastAsia="Arial" w:hAnsi="Arial"/>
                <w:sz w:val="20"/>
                <w:szCs w:val="20"/>
                <w:color w:val="auto"/>
                <w:w w:val="91"/>
              </w:rPr>
              <w:t>” means 1/12</w:t>
            </w:r>
            <w:r>
              <w:rPr>
                <w:rFonts w:ascii="Arial" w:cs="Arial" w:eastAsia="Arial" w:hAnsi="Arial"/>
                <w:sz w:val="16"/>
                <w:szCs w:val="16"/>
                <w:color w:val="auto"/>
                <w:w w:val="91"/>
              </w:rPr>
              <w:t>th</w:t>
            </w:r>
            <w:r>
              <w:rPr>
                <w:rFonts w:ascii="Arial" w:cs="Arial" w:eastAsia="Arial" w:hAnsi="Arial"/>
                <w:sz w:val="20"/>
                <w:szCs w:val="20"/>
                <w:color w:val="auto"/>
                <w:w w:val="91"/>
              </w:rPr>
              <w:t xml:space="preserve"> of the greater of (i) the average Target Performance Bonus paid to Executive for the</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three years preceding the date of a Change in Control Termination (or such lesser number of years during which Executive has</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7"/>
              </w:rPr>
              <w:t>been employed by the Company), or (ii) the Target Performance Bonus, as in effect on the date of a Change in Control</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Termination.</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7.18.</w:t>
            </w:r>
          </w:p>
        </w:tc>
        <w:tc>
          <w:tcPr>
            <w:tcW w:w="10500" w:type="dxa"/>
            <w:vAlign w:val="bottom"/>
          </w:tcPr>
          <w:p>
            <w:pPr>
              <w:ind w:left="98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Resignation for Good Reason</w:t>
            </w:r>
            <w:r>
              <w:rPr>
                <w:rFonts w:ascii="Arial" w:cs="Arial" w:eastAsia="Arial" w:hAnsi="Arial"/>
                <w:sz w:val="20"/>
                <w:szCs w:val="20"/>
                <w:color w:val="auto"/>
                <w:w w:val="90"/>
              </w:rPr>
              <w:t>” means Executive’s resignation from all employee positions Executive then holds with</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1"/>
              </w:rPr>
              <w:t>the Company within sixty (60) days following any of the following events taken without Executive’s consent, provided Executive</w:t>
            </w:r>
          </w:p>
        </w:tc>
      </w:tr>
      <w:tr>
        <w:trPr>
          <w:trHeight w:val="229"/>
        </w:trPr>
        <w:tc>
          <w:tcPr>
            <w:tcW w:w="600" w:type="dxa"/>
            <w:vAlign w:val="bottom"/>
          </w:tcPr>
          <w:p>
            <w:pPr>
              <w:spacing w:after="0"/>
              <w:rPr>
                <w:sz w:val="19"/>
                <w:szCs w:val="19"/>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w w:val="96"/>
              </w:rPr>
              <w:t>has given the Company written notice of such event within thirty (30) days after the first occurrence of such event and the</w:t>
            </w:r>
          </w:p>
        </w:tc>
      </w:tr>
      <w:tr>
        <w:trPr>
          <w:trHeight w:val="250"/>
        </w:trPr>
        <w:tc>
          <w:tcPr>
            <w:tcW w:w="600" w:type="dxa"/>
            <w:vAlign w:val="bottom"/>
          </w:tcPr>
          <w:p>
            <w:pPr>
              <w:spacing w:after="0"/>
              <w:rPr>
                <w:sz w:val="21"/>
                <w:szCs w:val="21"/>
                <w:color w:val="auto"/>
              </w:rPr>
            </w:pPr>
          </w:p>
        </w:tc>
        <w:tc>
          <w:tcPr>
            <w:tcW w:w="10500" w:type="dxa"/>
            <w:vAlign w:val="bottom"/>
          </w:tcPr>
          <w:p>
            <w:pPr>
              <w:ind w:left="200"/>
              <w:spacing w:after="0"/>
              <w:rPr>
                <w:sz w:val="20"/>
                <w:szCs w:val="20"/>
                <w:color w:val="auto"/>
              </w:rPr>
            </w:pPr>
            <w:r>
              <w:rPr>
                <w:rFonts w:ascii="Arial" w:cs="Arial" w:eastAsia="Arial" w:hAnsi="Arial"/>
                <w:sz w:val="20"/>
                <w:szCs w:val="20"/>
                <w:color w:val="auto"/>
              </w:rPr>
              <w:t>Company has not cured such event within thirty (30) days thereafter:</w:t>
            </w:r>
          </w:p>
        </w:tc>
      </w:tr>
    </w:tbl>
    <w:p>
      <w:pPr>
        <w:spacing w:after="0" w:line="141" w:lineRule="exact"/>
        <w:rPr>
          <w:sz w:val="20"/>
          <w:szCs w:val="20"/>
          <w:color w:val="auto"/>
        </w:rPr>
      </w:pPr>
    </w:p>
    <w:p>
      <w:pPr>
        <w:ind w:left="-60" w:right="80" w:firstLine="1735"/>
        <w:spacing w:after="0" w:line="290" w:lineRule="auto"/>
        <w:tabs>
          <w:tab w:leader="none" w:pos="24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85" w:lineRule="exact"/>
        <w:rPr>
          <w:rFonts w:ascii="Arial" w:cs="Arial" w:eastAsia="Arial" w:hAnsi="Arial"/>
          <w:sz w:val="18"/>
          <w:szCs w:val="18"/>
          <w:color w:val="auto"/>
        </w:rPr>
      </w:pPr>
    </w:p>
    <w:p>
      <w:pPr>
        <w:ind w:left="-60" w:firstLine="1735"/>
        <w:spacing w:after="0" w:line="249" w:lineRule="auto"/>
        <w:tabs>
          <w:tab w:leader="none" w:pos="2479" w:val="left"/>
        </w:tabs>
        <w:numPr>
          <w:ilvl w:val="0"/>
          <w:numId w:val="89"/>
        </w:numPr>
        <w:rPr>
          <w:rFonts w:ascii="Arial" w:cs="Arial" w:eastAsia="Arial" w:hAnsi="Arial"/>
          <w:sz w:val="20"/>
          <w:szCs w:val="20"/>
          <w:color w:val="auto"/>
        </w:rPr>
      </w:pPr>
      <w:r>
        <w:rPr>
          <w:rFonts w:ascii="Arial" w:cs="Arial" w:eastAsia="Arial" w:hAnsi="Arial"/>
          <w:sz w:val="20"/>
          <w:szCs w:val="20"/>
          <w:color w:val="auto"/>
        </w:rPr>
        <w:t>Executive’s duties or responsibilities are materially diminished (not simply a change in title or reporting relationships); provided, that Executive shall not be deemed to have a “</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if the Company survives as a separate legal entity or business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215900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161" w:name="page162"/>
    <w:bookmarkEnd w:id="161"/>
    <w:p>
      <w:pPr>
        <w:ind w:right="460"/>
        <w:spacing w:after="0" w:line="260" w:lineRule="auto"/>
        <w:rPr>
          <w:sz w:val="20"/>
          <w:szCs w:val="20"/>
          <w:color w:val="auto"/>
        </w:rPr>
      </w:pPr>
      <w:r>
        <w:rPr>
          <w:rFonts w:ascii="Arial" w:cs="Arial" w:eastAsia="Arial" w:hAnsi="Arial"/>
          <w:sz w:val="20"/>
          <w:szCs w:val="20"/>
          <w:color w:val="auto"/>
        </w:rPr>
        <w:t>following the Change in Control and Executive holds materially the same position in such legal entity or business unit as Executive held before the Change in Control;</w:t>
      </w:r>
    </w:p>
    <w:p>
      <w:pPr>
        <w:spacing w:after="0" w:line="122" w:lineRule="exact"/>
        <w:rPr>
          <w:sz w:val="20"/>
          <w:szCs w:val="20"/>
          <w:color w:val="auto"/>
        </w:rPr>
      </w:pPr>
    </w:p>
    <w:p>
      <w:pPr>
        <w:ind w:right="40" w:firstLine="1735"/>
        <w:spacing w:after="0" w:line="313" w:lineRule="auto"/>
        <w:tabs>
          <w:tab w:leader="none" w:pos="2528" w:val="left"/>
        </w:tabs>
        <w:numPr>
          <w:ilvl w:val="0"/>
          <w:numId w:val="90"/>
        </w:numPr>
        <w:rPr>
          <w:rFonts w:ascii="Arial" w:cs="Arial" w:eastAsia="Arial" w:hAnsi="Arial"/>
          <w:sz w:val="16"/>
          <w:szCs w:val="16"/>
          <w:color w:val="auto"/>
        </w:rPr>
      </w:pPr>
      <w:r>
        <w:rPr>
          <w:rFonts w:ascii="Arial" w:cs="Arial" w:eastAsia="Arial" w:hAnsi="Arial"/>
          <w:sz w:val="16"/>
          <w:szCs w:val="16"/>
          <w:color w:val="auto"/>
        </w:rPr>
        <w:t>Either (i) Executive is required to establish residence in a location more than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6"/>
          <w:szCs w:val="16"/>
          <w:b w:val="1"/>
          <w:bCs w:val="1"/>
          <w:i w:val="1"/>
          <w:iCs w:val="1"/>
          <w:color w:val="auto"/>
        </w:rPr>
        <w:t>Executive’s Principal Place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 Business</w:t>
      </w:r>
      <w:r>
        <w:rPr>
          <w:rFonts w:ascii="Arial" w:cs="Arial" w:eastAsia="Arial" w:hAnsi="Arial"/>
          <w:sz w:val="16"/>
          <w:szCs w:val="16"/>
          <w:color w:val="auto"/>
        </w:rPr>
        <w:t>”) as a result of a change in location by the Company of Executive’s Principal Place of Business; provided however,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foregoing shall not include the establishment of a secondary residence within fifty (50) miles from the Company’s Waltham headquarters with Executive’s consent or any commute between Executive’s current principal personal residence and the Company’s Waltham headquarters; or</w:t>
      </w:r>
    </w:p>
    <w:p>
      <w:pPr>
        <w:spacing w:after="0" w:line="59" w:lineRule="exact"/>
        <w:rPr>
          <w:rFonts w:ascii="Arial" w:cs="Arial" w:eastAsia="Arial" w:hAnsi="Arial"/>
          <w:sz w:val="16"/>
          <w:szCs w:val="16"/>
          <w:color w:val="auto"/>
        </w:rPr>
      </w:pPr>
    </w:p>
    <w:p>
      <w:pPr>
        <w:ind w:right="240" w:firstLine="1735"/>
        <w:spacing w:after="0" w:line="260" w:lineRule="auto"/>
        <w:tabs>
          <w:tab w:leader="none" w:pos="2539" w:val="left"/>
        </w:tabs>
        <w:numPr>
          <w:ilvl w:val="0"/>
          <w:numId w:val="90"/>
        </w:numPr>
        <w:rPr>
          <w:rFonts w:ascii="Arial" w:cs="Arial" w:eastAsia="Arial" w:hAnsi="Arial"/>
          <w:sz w:val="20"/>
          <w:szCs w:val="20"/>
          <w:color w:val="auto"/>
        </w:rPr>
      </w:pPr>
      <w:r>
        <w:rPr>
          <w:rFonts w:ascii="Arial" w:cs="Arial" w:eastAsia="Arial" w:hAnsi="Arial"/>
          <w:sz w:val="20"/>
          <w:szCs w:val="20"/>
          <w:color w:val="auto"/>
        </w:rPr>
        <w:t>The failure of the Company to obtain a satisfactory agreement from any successor to materially assume and materially agree to perform under the terms of this Agreement.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7.19.</w:t>
            </w:r>
          </w:p>
        </w:tc>
        <w:tc>
          <w:tcPr>
            <w:tcW w:w="10580" w:type="dxa"/>
            <w:vAlign w:val="bottom"/>
          </w:tcPr>
          <w:p>
            <w:pPr>
              <w:ind w:left="980"/>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Termination Date</w:t>
            </w:r>
            <w:r>
              <w:rPr>
                <w:rFonts w:ascii="Arial" w:cs="Arial" w:eastAsia="Arial" w:hAnsi="Arial"/>
                <w:sz w:val="20"/>
                <w:szCs w:val="20"/>
                <w:color w:val="auto"/>
                <w:w w:val="95"/>
              </w:rPr>
              <w:t>” means the effective date of the Change in Control Termination, the Covered Termination or a</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termination for Cause, as applicable.</w:t>
            </w:r>
          </w:p>
        </w:tc>
      </w:tr>
      <w:tr>
        <w:trPr>
          <w:trHeight w:val="364"/>
        </w:trPr>
        <w:tc>
          <w:tcPr>
            <w:tcW w:w="680" w:type="dxa"/>
            <w:vAlign w:val="bottom"/>
          </w:tcPr>
          <w:p>
            <w:pPr>
              <w:spacing w:after="0"/>
              <w:rPr>
                <w:sz w:val="24"/>
                <w:szCs w:val="24"/>
                <w:color w:val="auto"/>
              </w:rPr>
            </w:pPr>
          </w:p>
        </w:tc>
        <w:tc>
          <w:tcPr>
            <w:tcW w:w="10580" w:type="dxa"/>
            <w:vAlign w:val="bottom"/>
          </w:tcPr>
          <w:p>
            <w:pPr>
              <w:jc w:val="center"/>
              <w:ind w:right="601"/>
              <w:spacing w:after="0"/>
              <w:rPr>
                <w:sz w:val="20"/>
                <w:szCs w:val="20"/>
                <w:color w:val="auto"/>
              </w:rPr>
            </w:pPr>
            <w:r>
              <w:rPr>
                <w:rFonts w:ascii="Arial" w:cs="Arial" w:eastAsia="Arial" w:hAnsi="Arial"/>
                <w:sz w:val="20"/>
                <w:szCs w:val="20"/>
                <w:b w:val="1"/>
                <w:bCs w:val="1"/>
                <w:color w:val="auto"/>
              </w:rPr>
              <w:t>ARTICLE 8</w:t>
            </w:r>
          </w:p>
        </w:tc>
      </w:tr>
      <w:tr>
        <w:trPr>
          <w:trHeight w:val="229"/>
        </w:trPr>
        <w:tc>
          <w:tcPr>
            <w:tcW w:w="680" w:type="dxa"/>
            <w:vAlign w:val="bottom"/>
          </w:tcPr>
          <w:p>
            <w:pPr>
              <w:spacing w:after="0"/>
              <w:rPr>
                <w:sz w:val="19"/>
                <w:szCs w:val="19"/>
                <w:color w:val="auto"/>
              </w:rPr>
            </w:pPr>
          </w:p>
        </w:tc>
        <w:tc>
          <w:tcPr>
            <w:tcW w:w="10580" w:type="dxa"/>
            <w:vAlign w:val="bottom"/>
          </w:tcPr>
          <w:p>
            <w:pPr>
              <w:jc w:val="center"/>
              <w:ind w:right="581"/>
              <w:spacing w:after="0"/>
              <w:rPr>
                <w:sz w:val="20"/>
                <w:szCs w:val="20"/>
                <w:color w:val="auto"/>
              </w:rPr>
            </w:pPr>
            <w:r>
              <w:rPr>
                <w:rFonts w:ascii="Arial" w:cs="Arial" w:eastAsia="Arial" w:hAnsi="Arial"/>
                <w:sz w:val="20"/>
                <w:szCs w:val="20"/>
                <w:b w:val="1"/>
                <w:bCs w:val="1"/>
                <w:color w:val="auto"/>
                <w:w w:val="99"/>
              </w:rPr>
              <w:t>GENERAL PROVISIONS</w:t>
            </w:r>
          </w:p>
        </w:tc>
      </w:tr>
      <w:tr>
        <w:trPr>
          <w:trHeight w:val="235"/>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8.1.</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4"/>
              </w:rPr>
              <w:t>Employment Status</w:t>
            </w:r>
            <w:r>
              <w:rPr>
                <w:rFonts w:ascii="Arial" w:cs="Arial" w:eastAsia="Arial" w:hAnsi="Arial"/>
                <w:sz w:val="20"/>
                <w:szCs w:val="20"/>
                <w:color w:val="auto"/>
                <w:w w:val="94"/>
              </w:rPr>
              <w:t>. This Agreement does not constitute a contract of employment or impose upon Executive any</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4"/>
              </w:rPr>
              <w:t>obligation to remain as an employee, or impose on the Company any obligation (i) to retain Executive as an employee, (ii) to</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8"/>
              </w:rPr>
              <w:t>change the status of Executive as an at-will employee or (iii) to change the Company’s policies regarding termination of</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employment.</w:t>
            </w:r>
          </w:p>
        </w:tc>
      </w:tr>
      <w:tr>
        <w:trPr>
          <w:trHeight w:val="357"/>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8.2.</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1"/>
              </w:rPr>
              <w:t>Notices</w:t>
            </w:r>
            <w:r>
              <w:rPr>
                <w:rFonts w:ascii="Arial" w:cs="Arial" w:eastAsia="Arial" w:hAnsi="Arial"/>
                <w:sz w:val="20"/>
                <w:szCs w:val="20"/>
                <w:color w:val="auto"/>
                <w:w w:val="91"/>
              </w:rPr>
              <w:t>. Any notices provided hereunder must be in writing, and such notices or any other written communication shall</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2"/>
              </w:rPr>
              <w:t>be deemed effective upon the earlier of personal delivery (including personal delivery by facsimile) or the third day after mailing</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9"/>
              </w:rPr>
              <w:t>by first class mail, to the Company at its primary office location and to Executive at Executive’s address as listed in the</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6"/>
              </w:rPr>
              <w:t>Company’s payroll records. Any payments made by the Company to Executive under the terms of this Agreement shall be</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delivered to Executive either in person or at the address as listed in the Company’s payroll records.</w:t>
            </w:r>
          </w:p>
        </w:tc>
      </w:tr>
      <w:tr>
        <w:trPr>
          <w:trHeight w:val="424"/>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8.3.</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0"/>
              </w:rPr>
              <w:t>Severability</w:t>
            </w:r>
            <w:r>
              <w:rPr>
                <w:rFonts w:ascii="Arial" w:cs="Arial" w:eastAsia="Arial" w:hAnsi="Arial"/>
                <w:sz w:val="20"/>
                <w:szCs w:val="20"/>
                <w:color w:val="auto"/>
                <w:w w:val="90"/>
              </w:rPr>
              <w:t>. Whenever possible, each provision of this Agreement will be interpreted in such manner as to be effective</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1"/>
              </w:rPr>
              <w:t>and valid under applicable law, but if any provision of this Agreement is held to be invalid, illegal or unenforceable in any respect</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9"/>
              </w:rPr>
              <w:t>under any applicable law or rule in any jurisdiction, such invalidity, illegality or unenforceability will not affect any other</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4"/>
              </w:rPr>
              <w:t>provision or any other jurisdiction, but this Agreement will be reformed, construed and enforced in such jurisdiction as if such</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invalid, illegal or unenforceable provisions had never been contained herein.</w:t>
            </w:r>
          </w:p>
        </w:tc>
      </w:tr>
      <w:tr>
        <w:trPr>
          <w:trHeight w:val="357"/>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8.4.</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2"/>
              </w:rPr>
              <w:t>Waiver</w:t>
            </w:r>
            <w:r>
              <w:rPr>
                <w:rFonts w:ascii="Arial" w:cs="Arial" w:eastAsia="Arial" w:hAnsi="Arial"/>
                <w:sz w:val="20"/>
                <w:szCs w:val="20"/>
                <w:color w:val="auto"/>
                <w:w w:val="92"/>
              </w:rPr>
              <w:t>. If either party should waive any breach of any provisions of this Agreement, he, she or it shall not thereby be</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deemed to have waived any preceding or succeeding breach of the same or any other provision of this Agreement.</w:t>
            </w:r>
          </w:p>
        </w:tc>
      </w:tr>
      <w:tr>
        <w:trPr>
          <w:trHeight w:val="370"/>
        </w:trPr>
        <w:tc>
          <w:tcPr>
            <w:tcW w:w="680" w:type="dxa"/>
            <w:vAlign w:val="bottom"/>
          </w:tcPr>
          <w:p>
            <w:pPr>
              <w:ind w:left="80"/>
              <w:spacing w:after="0"/>
              <w:rPr>
                <w:sz w:val="20"/>
                <w:szCs w:val="20"/>
                <w:color w:val="auto"/>
              </w:rPr>
            </w:pPr>
            <w:r>
              <w:rPr>
                <w:rFonts w:ascii="Arial" w:cs="Arial" w:eastAsia="Arial" w:hAnsi="Arial"/>
                <w:sz w:val="20"/>
                <w:szCs w:val="20"/>
                <w:b w:val="1"/>
                <w:bCs w:val="1"/>
                <w:color w:val="auto"/>
              </w:rPr>
              <w:t>8.5.</w:t>
            </w:r>
          </w:p>
        </w:tc>
        <w:tc>
          <w:tcPr>
            <w:tcW w:w="10580" w:type="dxa"/>
            <w:vAlign w:val="bottom"/>
          </w:tcPr>
          <w:p>
            <w:pPr>
              <w:ind w:left="980"/>
              <w:spacing w:after="0"/>
              <w:rPr>
                <w:sz w:val="20"/>
                <w:szCs w:val="20"/>
                <w:color w:val="auto"/>
              </w:rPr>
            </w:pPr>
            <w:r>
              <w:rPr>
                <w:rFonts w:ascii="Arial" w:cs="Arial" w:eastAsia="Arial" w:hAnsi="Arial"/>
                <w:sz w:val="20"/>
                <w:szCs w:val="20"/>
                <w:b w:val="1"/>
                <w:bCs w:val="1"/>
                <w:color w:val="auto"/>
                <w:w w:val="98"/>
              </w:rPr>
              <w:t>Complete Agreement</w:t>
            </w:r>
            <w:r>
              <w:rPr>
                <w:rFonts w:ascii="Arial" w:cs="Arial" w:eastAsia="Arial" w:hAnsi="Arial"/>
                <w:sz w:val="20"/>
                <w:szCs w:val="20"/>
                <w:color w:val="auto"/>
                <w:w w:val="98"/>
              </w:rPr>
              <w:t>. This Agreement, including</w:t>
            </w:r>
            <w:r>
              <w:rPr>
                <w:rFonts w:ascii="Arial" w:cs="Arial" w:eastAsia="Arial" w:hAnsi="Arial"/>
                <w:sz w:val="20"/>
                <w:szCs w:val="20"/>
                <w:b w:val="1"/>
                <w:bCs w:val="1"/>
                <w:color w:val="auto"/>
                <w:w w:val="98"/>
              </w:rPr>
              <w:t xml:space="preserve"> Exhibit A</w:t>
            </w:r>
            <w:r>
              <w:rPr>
                <w:rFonts w:ascii="Arial" w:cs="Arial" w:eastAsia="Arial" w:hAnsi="Arial"/>
                <w:sz w:val="20"/>
                <w:szCs w:val="20"/>
                <w:color w:val="auto"/>
                <w:w w:val="98"/>
              </w:rPr>
              <w:t>,</w:t>
            </w:r>
            <w:r>
              <w:rPr>
                <w:rFonts w:ascii="Arial" w:cs="Arial" w:eastAsia="Arial" w:hAnsi="Arial"/>
                <w:sz w:val="20"/>
                <w:szCs w:val="20"/>
                <w:b w:val="1"/>
                <w:bCs w:val="1"/>
                <w:color w:val="auto"/>
                <w:w w:val="98"/>
              </w:rPr>
              <w:t xml:space="preserve"> Exhibit B </w:t>
            </w:r>
            <w:r>
              <w:rPr>
                <w:rFonts w:ascii="Arial" w:cs="Arial" w:eastAsia="Arial" w:hAnsi="Arial"/>
                <w:sz w:val="20"/>
                <w:szCs w:val="20"/>
                <w:color w:val="auto"/>
                <w:w w:val="98"/>
              </w:rPr>
              <w:t>and</w:t>
            </w:r>
            <w:r>
              <w:rPr>
                <w:rFonts w:ascii="Arial" w:cs="Arial" w:eastAsia="Arial" w:hAnsi="Arial"/>
                <w:sz w:val="20"/>
                <w:szCs w:val="20"/>
                <w:b w:val="1"/>
                <w:bCs w:val="1"/>
                <w:color w:val="auto"/>
                <w:w w:val="98"/>
              </w:rPr>
              <w:t xml:space="preserve"> Exhibit C</w:t>
            </w:r>
            <w:r>
              <w:rPr>
                <w:rFonts w:ascii="Arial" w:cs="Arial" w:eastAsia="Arial" w:hAnsi="Arial"/>
                <w:sz w:val="20"/>
                <w:szCs w:val="20"/>
                <w:color w:val="auto"/>
                <w:w w:val="98"/>
              </w:rPr>
              <w:t>, and the Confidentiality</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6"/>
              </w:rPr>
              <w:t>Agreement constitute the entire agreement between Executive and the Company and is the complete, final and exclusive</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0"/>
              </w:rPr>
              <w:t>embodiment of their agreement with regard to this subject matter, wholly superseding all written and oral agreements with respect</w:t>
            </w:r>
          </w:p>
        </w:tc>
      </w:tr>
      <w:tr>
        <w:trPr>
          <w:trHeight w:val="229"/>
        </w:trPr>
        <w:tc>
          <w:tcPr>
            <w:tcW w:w="680" w:type="dxa"/>
            <w:vAlign w:val="bottom"/>
          </w:tcPr>
          <w:p>
            <w:pPr>
              <w:spacing w:after="0"/>
              <w:rPr>
                <w:sz w:val="19"/>
                <w:szCs w:val="19"/>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w w:val="91"/>
              </w:rPr>
              <w:t>to payments and benefits to Executive in the event of employment termination. It is entered into without reliance on any promise</w:t>
            </w:r>
          </w:p>
        </w:tc>
      </w:tr>
      <w:tr>
        <w:trPr>
          <w:trHeight w:val="250"/>
        </w:trPr>
        <w:tc>
          <w:tcPr>
            <w:tcW w:w="680" w:type="dxa"/>
            <w:vAlign w:val="bottom"/>
          </w:tcPr>
          <w:p>
            <w:pPr>
              <w:spacing w:after="0"/>
              <w:rPr>
                <w:sz w:val="21"/>
                <w:szCs w:val="21"/>
                <w:color w:val="auto"/>
              </w:rPr>
            </w:pPr>
          </w:p>
        </w:tc>
        <w:tc>
          <w:tcPr>
            <w:tcW w:w="10580" w:type="dxa"/>
            <w:vAlign w:val="bottom"/>
          </w:tcPr>
          <w:p>
            <w:pPr>
              <w:ind w:left="200"/>
              <w:spacing w:after="0"/>
              <w:rPr>
                <w:sz w:val="20"/>
                <w:szCs w:val="20"/>
                <w:color w:val="auto"/>
              </w:rPr>
            </w:pPr>
            <w:r>
              <w:rPr>
                <w:rFonts w:ascii="Arial" w:cs="Arial" w:eastAsia="Arial" w:hAnsi="Arial"/>
                <w:sz w:val="20"/>
                <w:szCs w:val="20"/>
                <w:color w:val="auto"/>
              </w:rPr>
              <w:t>or representation other than those expressly contained herein.</w:t>
            </w:r>
          </w:p>
        </w:tc>
      </w:tr>
      <w:tr>
        <w:trPr>
          <w:trHeight w:val="445"/>
        </w:trPr>
        <w:tc>
          <w:tcPr>
            <w:tcW w:w="680" w:type="dxa"/>
            <w:vAlign w:val="bottom"/>
          </w:tcPr>
          <w:p>
            <w:pPr>
              <w:spacing w:after="0"/>
              <w:rPr>
                <w:sz w:val="24"/>
                <w:szCs w:val="24"/>
                <w:color w:val="auto"/>
              </w:rPr>
            </w:pPr>
          </w:p>
        </w:tc>
        <w:tc>
          <w:tcPr>
            <w:tcW w:w="10580" w:type="dxa"/>
            <w:vAlign w:val="bottom"/>
          </w:tcPr>
          <w:p>
            <w:pPr>
              <w:jc w:val="center"/>
              <w:ind w:right="601"/>
              <w:spacing w:after="0"/>
              <w:rPr>
                <w:sz w:val="20"/>
                <w:szCs w:val="20"/>
                <w:color w:val="auto"/>
              </w:rPr>
            </w:pPr>
            <w:r>
              <w:rPr>
                <w:rFonts w:ascii="Arial" w:cs="Arial" w:eastAsia="Arial" w:hAnsi="Arial"/>
                <w:sz w:val="20"/>
                <w:szCs w:val="20"/>
                <w:color w:val="auto"/>
                <w:w w:val="89"/>
              </w:rPr>
              <w:t>12</w:t>
            </w:r>
          </w:p>
        </w:tc>
      </w:tr>
      <w:tr>
        <w:trPr>
          <w:trHeight w:val="327"/>
        </w:trPr>
        <w:tc>
          <w:tcPr>
            <w:tcW w:w="680" w:type="dxa"/>
            <w:vAlign w:val="bottom"/>
            <w:tcBorders>
              <w:bottom w:val="single" w:sz="8" w:color="9A9A9A"/>
            </w:tcBorders>
          </w:tcPr>
          <w:p>
            <w:pPr>
              <w:spacing w:after="0"/>
              <w:rPr>
                <w:sz w:val="24"/>
                <w:szCs w:val="24"/>
                <w:color w:val="auto"/>
              </w:rPr>
            </w:pPr>
          </w:p>
        </w:tc>
        <w:tc>
          <w:tcPr>
            <w:tcW w:w="10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20"/>
                <w:szCs w:val="20"/>
                <w:b w:val="1"/>
                <w:bCs w:val="1"/>
                <w:color w:val="auto"/>
              </w:rPr>
              <w:t>8.6.</w:t>
            </w:r>
          </w:p>
        </w:tc>
        <w:tc>
          <w:tcPr>
            <w:tcW w:w="10560" w:type="dxa"/>
            <w:vAlign w:val="bottom"/>
          </w:tcPr>
          <w:p>
            <w:pPr>
              <w:ind w:left="980"/>
              <w:spacing w:after="0"/>
              <w:rPr>
                <w:sz w:val="20"/>
                <w:szCs w:val="20"/>
                <w:color w:val="auto"/>
              </w:rPr>
            </w:pPr>
            <w:r>
              <w:rPr>
                <w:rFonts w:ascii="Arial" w:cs="Arial" w:eastAsia="Arial" w:hAnsi="Arial"/>
                <w:sz w:val="20"/>
                <w:szCs w:val="20"/>
                <w:b w:val="1"/>
                <w:bCs w:val="1"/>
                <w:color w:val="auto"/>
                <w:w w:val="96"/>
              </w:rPr>
              <w:t>Amendment or Termination of Agreement; Continuation of Agreement</w:t>
            </w:r>
            <w:r>
              <w:rPr>
                <w:rFonts w:ascii="Arial" w:cs="Arial" w:eastAsia="Arial" w:hAnsi="Arial"/>
                <w:sz w:val="20"/>
                <w:szCs w:val="20"/>
                <w:color w:val="auto"/>
                <w:w w:val="96"/>
              </w:rPr>
              <w:t>. This Agreement may be changed or</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0"/>
              </w:rPr>
              <w:t>terminated only upon the mutual written consent of the Company and Executive. The written consent of the Company to a change</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0"/>
              </w:rPr>
              <w:t>or termination of this Agreement must be signed by an executive officer of the Company (other than Executive) after such change</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4"/>
              </w:rPr>
              <w:t>or termination has been approved by the Board. Unless so terminated, this Agreement shall continue in effect for as long as</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1"/>
              </w:rPr>
              <w:t>Executive continues to be employed by the Company or by any surviving entity following any Change in Control. In other words,</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7"/>
              </w:rPr>
              <w:t>if, following a Change in Control, Executive continues to be employed by the surviving entity without a Change in Control</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7"/>
              </w:rPr>
              <w:t>Termination and the surviving entity then undergoes a Change in Control, following which Executive is terminated by the</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2"/>
              </w:rPr>
              <w:t>subsequent surviving entity in a Change in Control Termination, then Executive shall receive the benefits described in Article 3</w:t>
            </w:r>
          </w:p>
        </w:tc>
      </w:tr>
      <w:tr>
        <w:trPr>
          <w:trHeight w:val="250"/>
        </w:trPr>
        <w:tc>
          <w:tcPr>
            <w:tcW w:w="600" w:type="dxa"/>
            <w:vAlign w:val="bottom"/>
          </w:tcPr>
          <w:p>
            <w:pPr>
              <w:spacing w:after="0"/>
              <w:rPr>
                <w:sz w:val="21"/>
                <w:szCs w:val="21"/>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rPr>
              <w:t>hereof.</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8.7.</w:t>
            </w:r>
          </w:p>
        </w:tc>
        <w:tc>
          <w:tcPr>
            <w:tcW w:w="10560" w:type="dxa"/>
            <w:vAlign w:val="bottom"/>
          </w:tcPr>
          <w:p>
            <w:pPr>
              <w:ind w:left="980"/>
              <w:spacing w:after="0"/>
              <w:rPr>
                <w:sz w:val="20"/>
                <w:szCs w:val="20"/>
                <w:color w:val="auto"/>
              </w:rPr>
            </w:pPr>
            <w:r>
              <w:rPr>
                <w:rFonts w:ascii="Arial" w:cs="Arial" w:eastAsia="Arial" w:hAnsi="Arial"/>
                <w:sz w:val="20"/>
                <w:szCs w:val="20"/>
                <w:b w:val="1"/>
                <w:bCs w:val="1"/>
                <w:color w:val="auto"/>
                <w:w w:val="89"/>
              </w:rPr>
              <w:t>Counterparts</w:t>
            </w:r>
            <w:r>
              <w:rPr>
                <w:rFonts w:ascii="Arial" w:cs="Arial" w:eastAsia="Arial" w:hAnsi="Arial"/>
                <w:sz w:val="20"/>
                <w:szCs w:val="20"/>
                <w:color w:val="auto"/>
                <w:w w:val="89"/>
              </w:rPr>
              <w:t>. This Agreement may be executed in separate counterparts, any one of which need not contain signatures</w:t>
            </w:r>
          </w:p>
        </w:tc>
      </w:tr>
      <w:tr>
        <w:trPr>
          <w:trHeight w:val="250"/>
        </w:trPr>
        <w:tc>
          <w:tcPr>
            <w:tcW w:w="600" w:type="dxa"/>
            <w:vAlign w:val="bottom"/>
          </w:tcPr>
          <w:p>
            <w:pPr>
              <w:spacing w:after="0"/>
              <w:rPr>
                <w:sz w:val="21"/>
                <w:szCs w:val="21"/>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rPr>
              <w:t>of more than one party, but all of which taken together will constitute one and the same Agreement.</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8.8.</w:t>
            </w:r>
          </w:p>
        </w:tc>
        <w:tc>
          <w:tcPr>
            <w:tcW w:w="10560" w:type="dxa"/>
            <w:vAlign w:val="bottom"/>
          </w:tcPr>
          <w:p>
            <w:pPr>
              <w:ind w:left="980"/>
              <w:spacing w:after="0"/>
              <w:rPr>
                <w:sz w:val="20"/>
                <w:szCs w:val="20"/>
                <w:color w:val="auto"/>
              </w:rPr>
            </w:pPr>
            <w:r>
              <w:rPr>
                <w:rFonts w:ascii="Arial" w:cs="Arial" w:eastAsia="Arial" w:hAnsi="Arial"/>
                <w:sz w:val="20"/>
                <w:szCs w:val="20"/>
                <w:b w:val="1"/>
                <w:bCs w:val="1"/>
                <w:color w:val="auto"/>
                <w:w w:val="90"/>
              </w:rPr>
              <w:t>Headings</w:t>
            </w:r>
            <w:r>
              <w:rPr>
                <w:rFonts w:ascii="Arial" w:cs="Arial" w:eastAsia="Arial" w:hAnsi="Arial"/>
                <w:sz w:val="20"/>
                <w:szCs w:val="20"/>
                <w:color w:val="auto"/>
                <w:w w:val="90"/>
              </w:rPr>
              <w:t>. The headings of the Articles and Sections hereof are inserted for convenience only and shall not be deemed</w:t>
            </w:r>
          </w:p>
        </w:tc>
      </w:tr>
      <w:tr>
        <w:trPr>
          <w:trHeight w:val="250"/>
        </w:trPr>
        <w:tc>
          <w:tcPr>
            <w:tcW w:w="600" w:type="dxa"/>
            <w:vAlign w:val="bottom"/>
          </w:tcPr>
          <w:p>
            <w:pPr>
              <w:spacing w:after="0"/>
              <w:rPr>
                <w:sz w:val="21"/>
                <w:szCs w:val="21"/>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rPr>
              <w:t>to constitute a part hereof nor to affect the meaning thereof.</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8.9.</w:t>
            </w:r>
          </w:p>
        </w:tc>
        <w:tc>
          <w:tcPr>
            <w:tcW w:w="10560" w:type="dxa"/>
            <w:vAlign w:val="bottom"/>
          </w:tcPr>
          <w:p>
            <w:pPr>
              <w:ind w:left="980"/>
              <w:spacing w:after="0"/>
              <w:rPr>
                <w:sz w:val="20"/>
                <w:szCs w:val="20"/>
                <w:color w:val="auto"/>
              </w:rPr>
            </w:pPr>
            <w:r>
              <w:rPr>
                <w:rFonts w:ascii="Arial" w:cs="Arial" w:eastAsia="Arial" w:hAnsi="Arial"/>
                <w:sz w:val="20"/>
                <w:szCs w:val="20"/>
                <w:b w:val="1"/>
                <w:bCs w:val="1"/>
                <w:color w:val="auto"/>
                <w:w w:val="96"/>
              </w:rPr>
              <w:t>Successors and Assigns</w:t>
            </w:r>
            <w:r>
              <w:rPr>
                <w:rFonts w:ascii="Arial" w:cs="Arial" w:eastAsia="Arial" w:hAnsi="Arial"/>
                <w:sz w:val="20"/>
                <w:szCs w:val="20"/>
                <w:color w:val="auto"/>
                <w:w w:val="96"/>
              </w:rPr>
              <w:t>. This Agreement is intended to bind and inure to the benefit of and be enforceable by</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3"/>
              </w:rPr>
              <w:t>Executive, and the Company, and any surviving entity resulting from a Change in Control and upon any other person who is a</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5"/>
              </w:rPr>
              <w:t>successor by merger, acquisition, consolidation or otherwise to the business formerly carried on by the Company, and their</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88"/>
              </w:rPr>
              <w:t>respective successors, assigns, heirs, executors and administrators, without regard to whether or not such person actively assumes</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1"/>
              </w:rPr>
              <w:t>any rights or duties hereunder; provided, however, that Executive may not assign any duties hereunder and may not assign any</w:t>
            </w:r>
          </w:p>
        </w:tc>
      </w:tr>
      <w:tr>
        <w:trPr>
          <w:trHeight w:val="250"/>
        </w:trPr>
        <w:tc>
          <w:tcPr>
            <w:tcW w:w="600" w:type="dxa"/>
            <w:vAlign w:val="bottom"/>
          </w:tcPr>
          <w:p>
            <w:pPr>
              <w:spacing w:after="0"/>
              <w:rPr>
                <w:sz w:val="21"/>
                <w:szCs w:val="21"/>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rPr>
              <w:t>rights hereunder without the written consent of the Company, which consent shall not be withheld unreasonably.</w:t>
            </w:r>
          </w:p>
        </w:tc>
      </w:tr>
      <w:tr>
        <w:trPr>
          <w:trHeight w:val="357"/>
        </w:trPr>
        <w:tc>
          <w:tcPr>
            <w:tcW w:w="600" w:type="dxa"/>
            <w:vAlign w:val="bottom"/>
          </w:tcPr>
          <w:p>
            <w:pPr>
              <w:spacing w:after="0"/>
              <w:rPr>
                <w:sz w:val="20"/>
                <w:szCs w:val="20"/>
                <w:color w:val="auto"/>
              </w:rPr>
            </w:pPr>
            <w:r>
              <w:rPr>
                <w:rFonts w:ascii="Arial" w:cs="Arial" w:eastAsia="Arial" w:hAnsi="Arial"/>
                <w:sz w:val="20"/>
                <w:szCs w:val="20"/>
                <w:b w:val="1"/>
                <w:bCs w:val="1"/>
                <w:color w:val="auto"/>
              </w:rPr>
              <w:t>8.10.</w:t>
            </w:r>
          </w:p>
        </w:tc>
        <w:tc>
          <w:tcPr>
            <w:tcW w:w="10560" w:type="dxa"/>
            <w:vAlign w:val="bottom"/>
          </w:tcPr>
          <w:p>
            <w:pPr>
              <w:ind w:left="980"/>
              <w:spacing w:after="0"/>
              <w:rPr>
                <w:sz w:val="20"/>
                <w:szCs w:val="20"/>
                <w:color w:val="auto"/>
              </w:rPr>
            </w:pPr>
            <w:r>
              <w:rPr>
                <w:rFonts w:ascii="Arial" w:cs="Arial" w:eastAsia="Arial" w:hAnsi="Arial"/>
                <w:sz w:val="20"/>
                <w:szCs w:val="20"/>
                <w:b w:val="1"/>
                <w:bCs w:val="1"/>
                <w:color w:val="auto"/>
                <w:w w:val="89"/>
              </w:rPr>
              <w:t>Choice of Law</w:t>
            </w:r>
            <w:r>
              <w:rPr>
                <w:rFonts w:ascii="Arial" w:cs="Arial" w:eastAsia="Arial" w:hAnsi="Arial"/>
                <w:sz w:val="20"/>
                <w:szCs w:val="20"/>
                <w:color w:val="auto"/>
                <w:w w:val="89"/>
              </w:rPr>
              <w:t>. Because of the Company’s and Executive’s interests in ensuring that disputes regarding this Agreement</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0"/>
              </w:rPr>
              <w:t>are resolved on a uniform basis, the parties agree that all questions concerning the construction, validity and interpretation of this</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3"/>
              </w:rPr>
              <w:t>Agreement will be governed by the law of the State of New York, without regard for any conflict of law principles. Further, the</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1"/>
              </w:rPr>
              <w:t>parties consent to the jurisdiction of the state and federal courts of the State of New York for all purposes in connection with this</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0"/>
              </w:rPr>
              <w:t>Agreement. The parties hereby irrevocably waive, to the fullest extent permitted by applicable law, any objection which Executive</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3"/>
              </w:rPr>
              <w:t>or the Company may now or hereafter have to the laying of venue of any such dispute brought in such court or any defense of</w:t>
            </w:r>
          </w:p>
        </w:tc>
      </w:tr>
      <w:tr>
        <w:trPr>
          <w:trHeight w:val="250"/>
        </w:trPr>
        <w:tc>
          <w:tcPr>
            <w:tcW w:w="600" w:type="dxa"/>
            <w:vAlign w:val="bottom"/>
          </w:tcPr>
          <w:p>
            <w:pPr>
              <w:spacing w:after="0"/>
              <w:rPr>
                <w:sz w:val="21"/>
                <w:szCs w:val="21"/>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rPr>
              <w:t>inconvenient forum for the maintenance of such dispute.</w:t>
            </w:r>
          </w:p>
        </w:tc>
      </w:tr>
      <w:tr>
        <w:trPr>
          <w:trHeight w:val="370"/>
        </w:trPr>
        <w:tc>
          <w:tcPr>
            <w:tcW w:w="600" w:type="dxa"/>
            <w:vAlign w:val="bottom"/>
          </w:tcPr>
          <w:p>
            <w:pPr>
              <w:spacing w:after="0"/>
              <w:rPr>
                <w:sz w:val="20"/>
                <w:szCs w:val="20"/>
                <w:color w:val="auto"/>
              </w:rPr>
            </w:pPr>
            <w:r>
              <w:rPr>
                <w:rFonts w:ascii="Arial" w:cs="Arial" w:eastAsia="Arial" w:hAnsi="Arial"/>
                <w:sz w:val="20"/>
                <w:szCs w:val="20"/>
                <w:b w:val="1"/>
                <w:bCs w:val="1"/>
                <w:color w:val="auto"/>
              </w:rPr>
              <w:t>8.11.</w:t>
            </w:r>
          </w:p>
        </w:tc>
        <w:tc>
          <w:tcPr>
            <w:tcW w:w="10560" w:type="dxa"/>
            <w:vAlign w:val="bottom"/>
          </w:tcPr>
          <w:p>
            <w:pPr>
              <w:ind w:left="980"/>
              <w:spacing w:after="0"/>
              <w:rPr>
                <w:sz w:val="20"/>
                <w:szCs w:val="20"/>
                <w:color w:val="auto"/>
              </w:rPr>
            </w:pPr>
            <w:r>
              <w:rPr>
                <w:rFonts w:ascii="Arial" w:cs="Arial" w:eastAsia="Arial" w:hAnsi="Arial"/>
                <w:sz w:val="20"/>
                <w:szCs w:val="20"/>
                <w:b w:val="1"/>
                <w:bCs w:val="1"/>
                <w:color w:val="auto"/>
                <w:w w:val="96"/>
              </w:rPr>
              <w:t xml:space="preserve">Arbitration. </w:t>
            </w:r>
            <w:r>
              <w:rPr>
                <w:rFonts w:ascii="Arial" w:cs="Arial" w:eastAsia="Arial" w:hAnsi="Arial"/>
                <w:sz w:val="20"/>
                <w:szCs w:val="20"/>
                <w:color w:val="auto"/>
                <w:w w:val="96"/>
              </w:rPr>
              <w:t>To ensure the rapid and economical resolution of any disputes that may arise under or relate to this</w:t>
            </w:r>
          </w:p>
        </w:tc>
      </w:tr>
      <w:tr>
        <w:trPr>
          <w:trHeight w:val="229"/>
        </w:trPr>
        <w:tc>
          <w:tcPr>
            <w:tcW w:w="60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89"/>
              </w:rPr>
              <w:t>Agreement or Executive’s employment relationship, Executive and the Company agree that any and all disputes, claims, or causes</w:t>
            </w:r>
          </w:p>
        </w:tc>
      </w:tr>
      <w:tr>
        <w:trPr>
          <w:trHeight w:val="245"/>
        </w:trPr>
        <w:tc>
          <w:tcPr>
            <w:tcW w:w="600" w:type="dxa"/>
            <w:vAlign w:val="bottom"/>
          </w:tcPr>
          <w:p>
            <w:pPr>
              <w:spacing w:after="0"/>
              <w:rPr>
                <w:sz w:val="21"/>
                <w:szCs w:val="21"/>
                <w:color w:val="auto"/>
              </w:rPr>
            </w:pPr>
          </w:p>
        </w:tc>
        <w:tc>
          <w:tcPr>
            <w:tcW w:w="10560" w:type="dxa"/>
            <w:vAlign w:val="bottom"/>
          </w:tcPr>
          <w:p>
            <w:pPr>
              <w:ind w:left="200"/>
              <w:spacing w:after="0"/>
              <w:rPr>
                <w:sz w:val="20"/>
                <w:szCs w:val="20"/>
                <w:color w:val="auto"/>
              </w:rPr>
            </w:pPr>
            <w:r>
              <w:rPr>
                <w:rFonts w:ascii="Arial" w:cs="Arial" w:eastAsia="Arial" w:hAnsi="Arial"/>
                <w:sz w:val="20"/>
                <w:szCs w:val="20"/>
                <w:color w:val="auto"/>
                <w:w w:val="90"/>
              </w:rPr>
              <w:t>of action, in law or equity, arising from or relating to the performance, enforcement, execution, or interpretation of this Agreement,</w:t>
            </w:r>
          </w:p>
        </w:tc>
      </w:tr>
    </w:tbl>
    <w:p>
      <w:pPr>
        <w:ind w:left="800" w:right="100"/>
        <w:spacing w:after="0" w:line="253" w:lineRule="auto"/>
        <w:rPr>
          <w:sz w:val="20"/>
          <w:szCs w:val="20"/>
          <w:color w:val="auto"/>
        </w:rPr>
      </w:pPr>
      <w:r>
        <w:rPr>
          <w:rFonts w:ascii="Arial" w:cs="Arial" w:eastAsia="Arial" w:hAnsi="Arial"/>
          <w:sz w:val="19"/>
          <w:szCs w:val="19"/>
          <w:color w:val="auto"/>
        </w:rPr>
        <w:t>Executive’s employment with the Company, or the termination of Executive’s employment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9"/>
          <w:szCs w:val="19"/>
          <w:i w:val="1"/>
          <w:iCs w:val="1"/>
          <w:color w:val="auto"/>
        </w:rPr>
        <w:t>et seq.</w:t>
      </w:r>
      <w:r>
        <w:rPr>
          <w:rFonts w:ascii="Arial" w:cs="Arial" w:eastAsia="Arial" w:hAnsi="Arial"/>
          <w:sz w:val="19"/>
          <w:szCs w:val="19"/>
          <w:color w:val="auto"/>
        </w:rPr>
        <w:t>, as amended, and shall be administered by the Judicial Arbitration &amp; Mediation Services,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in accordance with its then-current Employment Arbitration Rules &amp; Procedures (the “</w:t>
      </w:r>
      <w:r>
        <w:rPr>
          <w:rFonts w:ascii="Arial" w:cs="Arial" w:eastAsia="Arial" w:hAnsi="Arial"/>
          <w:sz w:val="19"/>
          <w:szCs w:val="19"/>
          <w:b w:val="1"/>
          <w:bCs w:val="1"/>
          <w:i w:val="1"/>
          <w:iCs w:val="1"/>
          <w:color w:val="auto"/>
        </w:rPr>
        <w:t>JAMS Rules</w:t>
      </w:r>
      <w:r>
        <w:rPr>
          <w:rFonts w:ascii="Arial" w:cs="Arial" w:eastAsia="Arial" w:hAnsi="Arial"/>
          <w:sz w:val="19"/>
          <w:szCs w:val="19"/>
          <w:color w:val="auto"/>
        </w:rPr>
        <w:t xml:space="preserve">”). The JAMS Rules are also available online at </w:t>
      </w:r>
      <w:r>
        <w:rPr>
          <w:rFonts w:ascii="Arial" w:cs="Arial" w:eastAsia="Arial" w:hAnsi="Arial"/>
          <w:sz w:val="19"/>
          <w:szCs w:val="19"/>
          <w:u w:val="single" w:color="auto"/>
          <w:color w:val="0000FF"/>
        </w:rPr>
        <w:t>http://www.jamsadr.com/rules-employment-arbitration/</w:t>
      </w:r>
      <w:r>
        <w:rPr>
          <w:rFonts w:ascii="Arial" w:cs="Arial" w:eastAsia="Arial" w:hAnsi="Arial"/>
          <w:sz w:val="19"/>
          <w:szCs w:val="19"/>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215900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18" w:right="339" w:bottom="1440" w:gutter="0" w:footer="0" w:header="0"/>
        </w:sectPr>
      </w:pPr>
    </w:p>
    <w:bookmarkStart w:id="163" w:name="page164"/>
    <w:bookmarkEnd w:id="163"/>
    <w:p>
      <w:pPr>
        <w:ind w:left="880" w:firstLine="797"/>
        <w:spacing w:after="0" w:line="270" w:lineRule="auto"/>
        <w:rPr>
          <w:sz w:val="20"/>
          <w:szCs w:val="20"/>
          <w:color w:val="auto"/>
        </w:rPr>
      </w:pPr>
      <w:r>
        <w:rPr>
          <w:rFonts w:ascii="Arial" w:cs="Arial" w:eastAsia="Arial" w:hAnsi="Arial"/>
          <w:sz w:val="18"/>
          <w:szCs w:val="18"/>
          <w:color w:val="auto"/>
        </w:rPr>
        <w:t>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17" w:lineRule="exact"/>
        <w:rPr>
          <w:sz w:val="20"/>
          <w:szCs w:val="20"/>
          <w:color w:val="auto"/>
        </w:rPr>
      </w:pPr>
    </w:p>
    <w:p>
      <w:pPr>
        <w:ind w:left="880" w:right="900" w:hanging="796"/>
        <w:spacing w:after="0" w:line="293" w:lineRule="auto"/>
        <w:tabs>
          <w:tab w:leader="none" w:pos="86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9"/>
          <w:szCs w:val="19"/>
          <w:b w:val="1"/>
          <w:bCs w:val="1"/>
          <w:color w:val="auto"/>
        </w:rPr>
        <w:t>Construction of Agreement</w:t>
      </w:r>
      <w:r>
        <w:rPr>
          <w:rFonts w:ascii="Arial" w:cs="Arial" w:eastAsia="Arial" w:hAnsi="Arial"/>
          <w:sz w:val="19"/>
          <w:szCs w:val="19"/>
          <w:color w:val="auto"/>
        </w:rPr>
        <w:t>. In the event of a conflict between the text of this Agreement and any summary,</w:t>
      </w:r>
      <w:r>
        <w:rPr>
          <w:rFonts w:ascii="Arial" w:cs="Arial" w:eastAsia="Arial" w:hAnsi="Arial"/>
          <w:sz w:val="19"/>
          <w:szCs w:val="19"/>
          <w:b w:val="1"/>
          <w:bCs w:val="1"/>
          <w:color w:val="auto"/>
        </w:rPr>
        <w:t xml:space="preserve"> </w:t>
      </w:r>
      <w:r>
        <w:rPr>
          <w:rFonts w:ascii="Arial" w:cs="Arial" w:eastAsia="Arial" w:hAnsi="Arial"/>
          <w:sz w:val="19"/>
          <w:szCs w:val="19"/>
          <w:color w:val="auto"/>
        </w:rPr>
        <w:t>description or other information regarding this Agreement, the text of this Agreement shall control.</w:t>
      </w:r>
    </w:p>
    <w:p>
      <w:pPr>
        <w:spacing w:after="0" w:line="87"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 ACCORDANCE WITH</w:t>
      </w:r>
    </w:p>
    <w:p>
      <w:pPr>
        <w:spacing w:after="0" w:line="21" w:lineRule="exact"/>
        <w:rPr>
          <w:sz w:val="20"/>
          <w:szCs w:val="20"/>
          <w:color w:val="auto"/>
        </w:rPr>
      </w:pPr>
    </w:p>
    <w:p>
      <w:pPr>
        <w:ind w:right="140"/>
        <w:spacing w:after="0"/>
        <w:rPr>
          <w:sz w:val="20"/>
          <w:szCs w:val="20"/>
          <w:color w:val="auto"/>
        </w:rPr>
      </w:pPr>
      <w:r>
        <w:rPr>
          <w:rFonts w:ascii="Arial" w:cs="Arial" w:eastAsia="Arial" w:hAnsi="Arial"/>
          <w:sz w:val="20"/>
          <w:szCs w:val="20"/>
          <w:b w:val="1"/>
          <w:bCs w:val="1"/>
          <w:color w:val="auto"/>
        </w:rPr>
        <w:t>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4" w:name="page165"/>
    <w:bookmarkEnd w:id="164"/>
    <w:p>
      <w:pPr>
        <w:ind w:left="880"/>
        <w:spacing w:after="0"/>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have executed this Agreement on the Effective Date written above.</w:t>
      </w:r>
    </w:p>
    <w:p>
      <w:pPr>
        <w:spacing w:after="0" w:line="228" w:lineRule="exact"/>
        <w:rPr>
          <w:sz w:val="20"/>
          <w:szCs w:val="20"/>
          <w:color w:val="auto"/>
        </w:rPr>
      </w:pPr>
    </w:p>
    <w:p>
      <w:pPr>
        <w:spacing w:after="0"/>
        <w:tabs>
          <w:tab w:leader="none" w:pos="8200" w:val="left"/>
        </w:tabs>
        <w:rPr>
          <w:sz w:val="20"/>
          <w:szCs w:val="20"/>
          <w:color w:val="auto"/>
        </w:rPr>
      </w:pPr>
      <w:r>
        <w:rPr>
          <w:rFonts w:ascii="Arial" w:cs="Arial" w:eastAsia="Arial" w:hAnsi="Arial"/>
          <w:sz w:val="20"/>
          <w:szCs w:val="20"/>
          <w:b w:val="1"/>
          <w:bCs w:val="1"/>
          <w:color w:val="auto"/>
        </w:rPr>
        <w:t>SYNDAX PHARMACEUTICALS, INC.</w:t>
      </w:r>
      <w:r>
        <w:rPr>
          <w:sz w:val="20"/>
          <w:szCs w:val="20"/>
          <w:color w:val="auto"/>
        </w:rPr>
        <w:tab/>
      </w:r>
      <w:r>
        <w:rPr>
          <w:rFonts w:ascii="Arial" w:cs="Arial" w:eastAsia="Arial" w:hAnsi="Arial"/>
          <w:sz w:val="20"/>
          <w:szCs w:val="20"/>
          <w:b w:val="1"/>
          <w:bCs w:val="1"/>
          <w:color w:val="auto"/>
        </w:rPr>
        <w:t>EXECUTIVE</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-14605</wp:posOffset>
            </wp:positionV>
            <wp:extent cx="12153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ind w:right="160"/>
        <w:spacing w:after="0" w:line="241" w:lineRule="auto"/>
        <w:rPr>
          <w:sz w:val="20"/>
          <w:szCs w:val="20"/>
          <w:color w:val="auto"/>
        </w:rPr>
      </w:pPr>
      <w:r>
        <w:rPr>
          <w:rFonts w:ascii="Arial" w:cs="Arial" w:eastAsia="Arial" w:hAnsi="Arial"/>
          <w:sz w:val="20"/>
          <w:szCs w:val="20"/>
          <w:u w:val="single" w:color="auto"/>
          <w:color w:val="auto"/>
        </w:rPr>
        <w:t>M.D.</w:t>
      </w:r>
      <w:r>
        <w:rPr>
          <w:rFonts w:ascii="Arial" w:cs="Arial" w:eastAsia="Arial" w:hAnsi="Arial"/>
          <w:sz w:val="20"/>
          <w:szCs w:val="20"/>
          <w:color w:val="auto"/>
        </w:rPr>
        <w:t xml:space="preserve"> By: </w:t>
      </w:r>
      <w:r>
        <w:rPr>
          <w:rFonts w:ascii="Arial" w:cs="Arial" w:eastAsia="Arial" w:hAnsi="Arial"/>
          <w:sz w:val="20"/>
          <w:szCs w:val="20"/>
          <w:u w:val="single" w:color="auto"/>
          <w:color w:val="auto"/>
        </w:rPr>
        <w:t>/s/ Michael L. Meyers,</w:t>
      </w:r>
      <w:r>
        <w:rPr>
          <w:rFonts w:ascii="Arial" w:cs="Arial" w:eastAsia="Arial" w:hAnsi="Arial"/>
          <w:sz w:val="20"/>
          <w:szCs w:val="20"/>
          <w:color w:val="auto"/>
        </w:rPr>
        <w:t xml:space="preserve"> </w:t>
      </w:r>
      <w:r>
        <w:rPr>
          <w:rFonts w:ascii="Arial" w:cs="Arial" w:eastAsia="Arial" w:hAnsi="Arial"/>
          <w:sz w:val="20"/>
          <w:szCs w:val="20"/>
          <w:u w:val="single" w:color="auto"/>
          <w:color w:val="auto"/>
        </w:rPr>
        <w:t>M.D., Ph.D.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Briggs W. Morrison,</w:t>
      </w:r>
    </w:p>
    <w:p>
      <w:pPr>
        <w:spacing w:after="0" w:line="15" w:lineRule="exact"/>
        <w:rPr>
          <w:sz w:val="20"/>
          <w:szCs w:val="20"/>
          <w:color w:val="auto"/>
        </w:rPr>
      </w:pPr>
    </w:p>
    <w:p>
      <w:pPr>
        <w:spacing w:after="0"/>
        <w:tabs>
          <w:tab w:leader="none" w:pos="8980" w:val="left"/>
        </w:tabs>
        <w:rPr>
          <w:sz w:val="20"/>
          <w:szCs w:val="20"/>
          <w:color w:val="auto"/>
        </w:rPr>
      </w:pPr>
      <w:r>
        <w:rPr>
          <w:rFonts w:ascii="Arial" w:cs="Arial" w:eastAsia="Arial" w:hAnsi="Arial"/>
          <w:sz w:val="19"/>
          <w:szCs w:val="19"/>
          <w:u w:val="single" w:color="auto"/>
          <w:color w:val="auto"/>
        </w:rPr>
        <w:t>M.D.</w:t>
      </w:r>
      <w:r>
        <w:rPr>
          <w:sz w:val="20"/>
          <w:szCs w:val="20"/>
          <w:color w:val="auto"/>
        </w:rPr>
        <w:tab/>
      </w:r>
      <w:r>
        <w:rPr>
          <w:rFonts w:ascii="Arial" w:cs="Arial" w:eastAsia="Arial" w:hAnsi="Arial"/>
          <w:sz w:val="19"/>
          <w:szCs w:val="19"/>
          <w:color w:val="auto"/>
        </w:rPr>
        <w:t xml:space="preserve">Name: </w:t>
      </w:r>
      <w:r>
        <w:rPr>
          <w:rFonts w:ascii="Arial" w:cs="Arial" w:eastAsia="Arial" w:hAnsi="Arial"/>
          <w:sz w:val="19"/>
          <w:szCs w:val="19"/>
          <w:u w:val="single" w:color="auto"/>
          <w:color w:val="auto"/>
        </w:rPr>
        <w:t>Michael L. Meyers,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M.D., Ph.D.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Chief Executive Officer</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20" w:type="dxa"/>
            <w:vAlign w:val="bottom"/>
          </w:tcPr>
          <w:p>
            <w:pPr>
              <w:spacing w:after="0"/>
              <w:rPr>
                <w:sz w:val="20"/>
                <w:szCs w:val="20"/>
                <w:color w:val="auto"/>
              </w:rPr>
            </w:pPr>
            <w:r>
              <w:rPr>
                <w:rFonts w:ascii="Arial" w:cs="Arial" w:eastAsia="Arial" w:hAnsi="Arial"/>
                <w:sz w:val="20"/>
                <w:szCs w:val="20"/>
                <w:color w:val="auto"/>
              </w:rPr>
              <w:t>Exhibit A:</w:t>
            </w:r>
          </w:p>
        </w:tc>
        <w:tc>
          <w:tcPr>
            <w:tcW w:w="9740" w:type="dxa"/>
            <w:vAlign w:val="bottom"/>
          </w:tcPr>
          <w:p>
            <w:pPr>
              <w:ind w:left="680"/>
              <w:spacing w:after="0"/>
              <w:rPr>
                <w:sz w:val="20"/>
                <w:szCs w:val="20"/>
                <w:color w:val="auto"/>
              </w:rPr>
            </w:pPr>
            <w:r>
              <w:rPr>
                <w:rFonts w:ascii="Arial" w:cs="Arial" w:eastAsia="Arial" w:hAnsi="Arial"/>
                <w:sz w:val="20"/>
                <w:szCs w:val="20"/>
                <w:color w:val="auto"/>
              </w:rPr>
              <w:t>Release (Individual Termination – Age 40 or Older)</w:t>
            </w:r>
          </w:p>
        </w:tc>
      </w:tr>
      <w:tr>
        <w:trPr>
          <w:trHeight w:val="378"/>
        </w:trPr>
        <w:tc>
          <w:tcPr>
            <w:tcW w:w="1520" w:type="dxa"/>
            <w:vAlign w:val="bottom"/>
          </w:tcPr>
          <w:p>
            <w:pPr>
              <w:spacing w:after="0"/>
              <w:rPr>
                <w:sz w:val="20"/>
                <w:szCs w:val="20"/>
                <w:color w:val="auto"/>
              </w:rPr>
            </w:pPr>
            <w:r>
              <w:rPr>
                <w:rFonts w:ascii="Arial" w:cs="Arial" w:eastAsia="Arial" w:hAnsi="Arial"/>
                <w:sz w:val="20"/>
                <w:szCs w:val="20"/>
                <w:color w:val="auto"/>
              </w:rPr>
              <w:t>Exhibit B:</w:t>
            </w:r>
          </w:p>
        </w:tc>
        <w:tc>
          <w:tcPr>
            <w:tcW w:w="9740" w:type="dxa"/>
            <w:vAlign w:val="bottom"/>
          </w:tcPr>
          <w:p>
            <w:pPr>
              <w:ind w:left="680"/>
              <w:spacing w:after="0"/>
              <w:rPr>
                <w:sz w:val="20"/>
                <w:szCs w:val="20"/>
                <w:color w:val="auto"/>
              </w:rPr>
            </w:pPr>
            <w:r>
              <w:rPr>
                <w:rFonts w:ascii="Arial" w:cs="Arial" w:eastAsia="Arial" w:hAnsi="Arial"/>
                <w:sz w:val="20"/>
                <w:szCs w:val="20"/>
                <w:color w:val="auto"/>
              </w:rPr>
              <w:t>Release (Individual and Group Termination – Under Age 40)</w:t>
            </w:r>
          </w:p>
        </w:tc>
      </w:tr>
      <w:tr>
        <w:trPr>
          <w:trHeight w:val="364"/>
        </w:trPr>
        <w:tc>
          <w:tcPr>
            <w:tcW w:w="1520" w:type="dxa"/>
            <w:vAlign w:val="bottom"/>
          </w:tcPr>
          <w:p>
            <w:pPr>
              <w:spacing w:after="0"/>
              <w:rPr>
                <w:sz w:val="20"/>
                <w:szCs w:val="20"/>
                <w:color w:val="auto"/>
              </w:rPr>
            </w:pPr>
            <w:r>
              <w:rPr>
                <w:rFonts w:ascii="Arial" w:cs="Arial" w:eastAsia="Arial" w:hAnsi="Arial"/>
                <w:sz w:val="20"/>
                <w:szCs w:val="20"/>
                <w:color w:val="auto"/>
              </w:rPr>
              <w:t>Exhibit C:</w:t>
            </w:r>
          </w:p>
        </w:tc>
        <w:tc>
          <w:tcPr>
            <w:tcW w:w="9740" w:type="dxa"/>
            <w:vAlign w:val="bottom"/>
          </w:tcPr>
          <w:p>
            <w:pPr>
              <w:ind w:left="680"/>
              <w:spacing w:after="0"/>
              <w:rPr>
                <w:sz w:val="20"/>
                <w:szCs w:val="20"/>
                <w:color w:val="auto"/>
              </w:rPr>
            </w:pPr>
            <w:r>
              <w:rPr>
                <w:rFonts w:ascii="Arial" w:cs="Arial" w:eastAsia="Arial" w:hAnsi="Arial"/>
                <w:sz w:val="20"/>
                <w:szCs w:val="20"/>
                <w:color w:val="auto"/>
              </w:rPr>
              <w:t>Release (Group Termination – Age 40 or Older)</w:t>
            </w:r>
          </w:p>
        </w:tc>
      </w:tr>
      <w:tr>
        <w:trPr>
          <w:trHeight w:val="987"/>
        </w:trPr>
        <w:tc>
          <w:tcPr>
            <w:tcW w:w="152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171" w:right="31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20"/>
          <w:szCs w:val="20"/>
          <w:b w:val="1"/>
          <w:bCs w:val="1"/>
          <w:color w:val="auto"/>
        </w:rPr>
        <w:t>EXHIBIT A RELEASE</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(INDIVIDUAL TERMINATION – AGE 40 OR OLDER)</w:t>
      </w:r>
    </w:p>
    <w:p>
      <w:pPr>
        <w:spacing w:after="0" w:line="266" w:lineRule="exact"/>
        <w:rPr>
          <w:sz w:val="20"/>
          <w:szCs w:val="20"/>
          <w:color w:val="auto"/>
        </w:rPr>
      </w:pPr>
    </w:p>
    <w:p>
      <w:pPr>
        <w:ind w:right="340"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ind w:right="40"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ind w:firstLine="864"/>
        <w:spacing w:after="0" w:line="256" w:lineRule="auto"/>
        <w:rPr>
          <w:sz w:val="20"/>
          <w:szCs w:val="20"/>
          <w:color w:val="auto"/>
        </w:rPr>
      </w:pPr>
      <w:r>
        <w:rPr>
          <w:rFonts w:ascii="Arial" w:cs="Arial" w:eastAsia="Arial" w:hAnsi="Arial"/>
          <w:sz w:val="19"/>
          <w:szCs w:val="19"/>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 Company’s Chief Executive Officer; and (E) this Release shall not be effective until the date upon which the revocation period has expired, which shall be the eighth (8th) day after I execute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color w:val="auto"/>
        </w:rPr>
        <w:t>this Release (provided that I do not revoke it).</w:t>
      </w:r>
    </w:p>
    <w:p>
      <w:pPr>
        <w:spacing w:after="0" w:line="148" w:lineRule="exact"/>
        <w:rPr>
          <w:sz w:val="20"/>
          <w:szCs w:val="20"/>
          <w:color w:val="auto"/>
        </w:rPr>
      </w:pPr>
    </w:p>
    <w:p>
      <w:pPr>
        <w:jc w:val="both"/>
        <w:ind w:right="20"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99"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285" w:right="59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20"/>
          <w:szCs w:val="20"/>
          <w:b w:val="1"/>
          <w:bCs w:val="1"/>
          <w:color w:val="auto"/>
        </w:rPr>
        <w:t>EXHIBIT B</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RELEASE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(INDIVIDUAL AND GROUP TERMINATION – UNDER AGE 40)</w:t>
      </w:r>
    </w:p>
    <w:p>
      <w:pPr>
        <w:spacing w:after="0" w:line="315" w:lineRule="exact"/>
        <w:rPr>
          <w:sz w:val="20"/>
          <w:szCs w:val="20"/>
          <w:color w:val="auto"/>
        </w:rPr>
      </w:pPr>
    </w:p>
    <w:p>
      <w:pPr>
        <w:ind w:right="300"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 monetary relief if the agency were to pursue any claims relating to my employment with the Company).</w:t>
      </w:r>
    </w:p>
    <w:p>
      <w:pPr>
        <w:spacing w:after="0" w:line="122" w:lineRule="exact"/>
        <w:rPr>
          <w:sz w:val="20"/>
          <w:szCs w:val="20"/>
          <w:color w:val="auto"/>
        </w:rPr>
      </w:pPr>
    </w:p>
    <w:p>
      <w:pPr>
        <w:ind w:right="20" w:firstLine="864"/>
        <w:spacing w:after="0" w:line="244" w:lineRule="auto"/>
        <w:rPr>
          <w:sz w:val="20"/>
          <w:szCs w:val="20"/>
          <w:color w:val="auto"/>
        </w:rPr>
      </w:pPr>
      <w:r>
        <w:rPr>
          <w:rFonts w:ascii="Arial" w:cs="Arial" w:eastAsia="Arial" w:hAnsi="Arial"/>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25" w:lineRule="exact"/>
        <w:rPr>
          <w:sz w:val="20"/>
          <w:szCs w:val="20"/>
          <w:color w:val="auto"/>
        </w:rPr>
      </w:pPr>
    </w:p>
    <w:p>
      <w:pPr>
        <w:jc w:val="both"/>
        <w:ind w:right="240" w:firstLine="864"/>
        <w:spacing w:after="0" w:line="249" w:lineRule="auto"/>
        <w:rPr>
          <w:sz w:val="20"/>
          <w:szCs w:val="20"/>
          <w:color w:val="auto"/>
        </w:rPr>
      </w:pPr>
      <w:r>
        <w:rPr>
          <w:rFonts w:ascii="Arial" w:cs="Arial" w:eastAsia="Arial" w:hAnsi="Arial"/>
          <w:sz w:val="20"/>
          <w:szCs w:val="20"/>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color w:val="auto"/>
        </w:rPr>
        <w:t>the-job injury or illness for which I have not already filed a workers’ compensation claim.</w:t>
      </w:r>
    </w:p>
    <w:p>
      <w:pPr>
        <w:spacing w:after="0" w:line="53" w:lineRule="exact"/>
        <w:rPr>
          <w:sz w:val="20"/>
          <w:szCs w:val="20"/>
          <w:color w:val="auto"/>
        </w:rPr>
      </w:pPr>
    </w:p>
    <w:p>
      <w:pPr>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375"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271" w:right="59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0"/>
          <w:szCs w:val="20"/>
          <w:b w:val="1"/>
          <w:bCs w:val="1"/>
          <w:color w:val="auto"/>
        </w:rPr>
        <w:t>EXHIBIT 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RELEASE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(GROUP TERMINATION – AGE 40 OR OLDER)</w:t>
      </w:r>
    </w:p>
    <w:p>
      <w:pPr>
        <w:spacing w:after="0" w:line="315" w:lineRule="exact"/>
        <w:rPr>
          <w:sz w:val="20"/>
          <w:szCs w:val="20"/>
          <w:color w:val="auto"/>
        </w:rPr>
      </w:pPr>
    </w:p>
    <w:p>
      <w:pPr>
        <w:ind w:right="340"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ind w:right="40"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ind w:firstLine="864"/>
        <w:spacing w:after="0" w:line="257" w:lineRule="auto"/>
        <w:rPr>
          <w:sz w:val="20"/>
          <w:szCs w:val="20"/>
          <w:color w:val="auto"/>
        </w:rPr>
      </w:pPr>
      <w:r>
        <w:rPr>
          <w:rFonts w:ascii="Arial" w:cs="Arial" w:eastAsia="Arial" w:hAnsi="Arial"/>
          <w:sz w:val="19"/>
          <w:szCs w:val="19"/>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0" w:name="page171"/>
    <w:bookmarkEnd w:id="170"/>
    <w:p>
      <w:pPr>
        <w:spacing w:after="0" w:line="244" w:lineRule="auto"/>
        <w:rPr>
          <w:sz w:val="20"/>
          <w:szCs w:val="20"/>
          <w:color w:val="auto"/>
        </w:rPr>
      </w:pPr>
      <w:r>
        <w:rPr>
          <w:rFonts w:ascii="Arial" w:cs="Arial" w:eastAsia="Arial" w:hAnsi="Arial"/>
          <w:sz w:val="20"/>
          <w:szCs w:val="20"/>
          <w:color w:val="auto"/>
        </w:rPr>
        <w:t>of revocation to the Company’s Chief 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39" w:lineRule="exact"/>
        <w:rPr>
          <w:sz w:val="20"/>
          <w:szCs w:val="20"/>
          <w:color w:val="auto"/>
        </w:rPr>
      </w:pPr>
    </w:p>
    <w:p>
      <w:pPr>
        <w:jc w:val="both"/>
        <w:ind w:right="80"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 the-job injury or illness for which I have not already filed a workers’ compensation claim.</w:t>
      </w:r>
    </w:p>
    <w:p>
      <w:pPr>
        <w:spacing w:after="0" w:line="167" w:lineRule="exact"/>
        <w:rPr>
          <w:sz w:val="20"/>
          <w:szCs w:val="20"/>
          <w:color w:val="auto"/>
        </w:rPr>
      </w:pPr>
    </w:p>
    <w:p>
      <w:pPr>
        <w:ind w:right="140" w:firstLine="864"/>
        <w:spacing w:after="0" w:line="244" w:lineRule="auto"/>
        <w:rPr>
          <w:sz w:val="20"/>
          <w:szCs w:val="20"/>
          <w:color w:val="auto"/>
        </w:rPr>
      </w:pPr>
      <w:r>
        <w:rPr>
          <w:rFonts w:ascii="Arial" w:cs="Arial" w:eastAsia="Arial" w:hAnsi="Arial"/>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14"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EXECUTIVE:</w:t>
      </w:r>
    </w:p>
    <w:p>
      <w:pPr>
        <w:spacing w:after="0" w:line="208"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Signature</w:t>
      </w:r>
    </w:p>
    <w:p>
      <w:pPr>
        <w:spacing w:after="0" w:line="175"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0"/>
          <w:szCs w:val="20"/>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040"/>
          </w:cols>
          <w:pgMar w:left="320" w:top="284" w:right="5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0"/>
          <w:szCs w:val="20"/>
          <w:b w:val="1"/>
          <w:bCs w:val="1"/>
          <w:color w:val="auto"/>
        </w:rPr>
        <w:t>Exhibit 10.7</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AMENDED &amp; RESTATED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21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AMENDED AND RESTATED EXECUTIVE 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27</w:t>
      </w:r>
      <w:r>
        <w:rPr>
          <w:rFonts w:ascii="Arial" w:cs="Arial" w:eastAsia="Arial" w:hAnsi="Arial"/>
          <w:sz w:val="16"/>
          <w:szCs w:val="16"/>
          <w:color w:val="auto"/>
        </w:rPr>
        <w:t>th</w:t>
      </w:r>
      <w:r>
        <w:rPr>
          <w:rFonts w:ascii="Arial" w:cs="Arial" w:eastAsia="Arial" w:hAnsi="Arial"/>
          <w:sz w:val="20"/>
          <w:szCs w:val="20"/>
          <w:color w:val="auto"/>
        </w:rPr>
        <w:t xml:space="preserve"> day of April, 2020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between </w:t>
      </w:r>
      <w:r>
        <w:rPr>
          <w:rFonts w:ascii="Arial" w:cs="Arial" w:eastAsia="Arial" w:hAnsi="Arial"/>
          <w:sz w:val="20"/>
          <w:szCs w:val="20"/>
          <w:b w:val="1"/>
          <w:bCs w:val="1"/>
          <w:color w:val="auto"/>
        </w:rPr>
        <w:t>RICHARD P. SHEA</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xml:space="preserve">”) and </w:t>
      </w:r>
      <w:r>
        <w:rPr>
          <w:rFonts w:ascii="Arial" w:cs="Arial" w:eastAsia="Arial" w:hAnsi="Arial"/>
          <w:sz w:val="20"/>
          <w:szCs w:val="20"/>
          <w:b w:val="1"/>
          <w:bCs w:val="1"/>
          <w:color w:val="auto"/>
        </w:rPr>
        <w:t>SYNDAX PHARMACEUTICALS,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INC. </w:t>
      </w:r>
      <w:r>
        <w:rPr>
          <w:rFonts w:ascii="Arial" w:cs="Arial" w:eastAsia="Arial" w:hAnsi="Arial"/>
          <w:sz w:val="20"/>
          <w:szCs w:val="20"/>
          <w:color w:val="auto"/>
        </w:rPr>
        <w:t>(the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Certain capitalized terms used in this Agreement are defined in Article 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1" w:lineRule="exact"/>
        <w:rPr>
          <w:sz w:val="20"/>
          <w:szCs w:val="20"/>
          <w:color w:val="auto"/>
        </w:rPr>
      </w:pPr>
    </w:p>
    <w:p>
      <w:pPr>
        <w:ind w:left="2360" w:hanging="1489"/>
        <w:spacing w:after="0"/>
        <w:tabs>
          <w:tab w:leader="none" w:pos="236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The Company is a biopharmaceutical company.</w:t>
      </w:r>
    </w:p>
    <w:p>
      <w:pPr>
        <w:spacing w:after="0" w:line="214" w:lineRule="exact"/>
        <w:rPr>
          <w:rFonts w:ascii="Arial" w:cs="Arial" w:eastAsia="Arial" w:hAnsi="Arial"/>
          <w:sz w:val="20"/>
          <w:szCs w:val="20"/>
          <w:b w:val="1"/>
          <w:bCs w:val="1"/>
          <w:color w:val="auto"/>
        </w:rPr>
      </w:pPr>
    </w:p>
    <w:p>
      <w:pPr>
        <w:ind w:firstLine="871"/>
        <w:spacing w:after="0" w:line="286" w:lineRule="auto"/>
        <w:tabs>
          <w:tab w:leader="none" w:pos="2339" w:val="left"/>
        </w:tabs>
        <w:numPr>
          <w:ilvl w:val="0"/>
          <w:numId w:val="91"/>
        </w:numPr>
        <w:rPr>
          <w:rFonts w:ascii="Arial" w:cs="Arial" w:eastAsia="Arial" w:hAnsi="Arial"/>
          <w:sz w:val="19"/>
          <w:szCs w:val="19"/>
          <w:b w:val="1"/>
          <w:bCs w:val="1"/>
          <w:color w:val="auto"/>
        </w:rPr>
      </w:pPr>
      <w:r>
        <w:rPr>
          <w:rFonts w:ascii="Arial" w:cs="Arial" w:eastAsia="Arial" w:hAnsi="Arial"/>
          <w:sz w:val="19"/>
          <w:szCs w:val="19"/>
          <w:color w:val="auto"/>
        </w:rPr>
        <w:t>The Company desires to continue to employ Executive in the position set forth below, and Executive wishes to continue to be employed by the Company in such position, upon the terms and conditions set forth in this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20" w:type="dxa"/>
            <w:vAlign w:val="bottom"/>
          </w:tcPr>
          <w:p>
            <w:pPr>
              <w:spacing w:after="0"/>
              <w:rPr>
                <w:sz w:val="22"/>
                <w:szCs w:val="22"/>
                <w:color w:val="auto"/>
              </w:rPr>
            </w:pPr>
          </w:p>
        </w:tc>
        <w:tc>
          <w:tcPr>
            <w:tcW w:w="9820" w:type="dxa"/>
            <w:vAlign w:val="bottom"/>
          </w:tcPr>
          <w:p>
            <w:pPr>
              <w:jc w:val="center"/>
              <w:ind w:right="1301"/>
              <w:spacing w:after="0"/>
              <w:rPr>
                <w:sz w:val="20"/>
                <w:szCs w:val="20"/>
                <w:color w:val="auto"/>
              </w:rPr>
            </w:pPr>
            <w:r>
              <w:rPr>
                <w:rFonts w:ascii="Arial" w:cs="Arial" w:eastAsia="Arial" w:hAnsi="Arial"/>
                <w:sz w:val="20"/>
                <w:szCs w:val="20"/>
                <w:b w:val="1"/>
                <w:bCs w:val="1"/>
                <w:color w:val="auto"/>
              </w:rPr>
              <w:t>AGREEMENT</w:t>
            </w:r>
          </w:p>
        </w:tc>
        <w:tc>
          <w:tcPr>
            <w:tcW w:w="0" w:type="dxa"/>
            <w:vAlign w:val="bottom"/>
          </w:tcPr>
          <w:p>
            <w:pPr>
              <w:spacing w:after="0"/>
              <w:rPr>
                <w:sz w:val="1"/>
                <w:szCs w:val="1"/>
                <w:color w:val="auto"/>
              </w:rPr>
            </w:pPr>
          </w:p>
        </w:tc>
      </w:tr>
      <w:tr>
        <w:trPr>
          <w:trHeight w:val="445"/>
        </w:trPr>
        <w:tc>
          <w:tcPr>
            <w:tcW w:w="1420" w:type="dxa"/>
            <w:vAlign w:val="bottom"/>
            <w:vMerge w:val="restart"/>
          </w:tcPr>
          <w:p>
            <w:pPr>
              <w:jc w:val="right"/>
              <w:ind w:right="661"/>
              <w:spacing w:after="0"/>
              <w:rPr>
                <w:sz w:val="20"/>
                <w:szCs w:val="20"/>
                <w:color w:val="auto"/>
              </w:rPr>
            </w:pPr>
            <w:r>
              <w:rPr>
                <w:rFonts w:ascii="Arial" w:cs="Arial" w:eastAsia="Arial" w:hAnsi="Arial"/>
                <w:sz w:val="20"/>
                <w:szCs w:val="20"/>
                <w:color w:val="auto"/>
                <w:w w:val="95"/>
              </w:rPr>
              <w:t>follows:</w:t>
            </w:r>
          </w:p>
        </w:tc>
        <w:tc>
          <w:tcPr>
            <w:tcW w:w="9820" w:type="dxa"/>
            <w:vAlign w:val="bottom"/>
          </w:tcPr>
          <w:p>
            <w:pPr>
              <w:jc w:val="right"/>
              <w:spacing w:after="0"/>
              <w:rPr>
                <w:sz w:val="20"/>
                <w:szCs w:val="20"/>
                <w:color w:val="auto"/>
              </w:rPr>
            </w:pPr>
            <w:r>
              <w:rPr>
                <w:rFonts w:ascii="Arial" w:cs="Arial" w:eastAsia="Arial" w:hAnsi="Arial"/>
                <w:sz w:val="20"/>
                <w:szCs w:val="20"/>
                <w:b w:val="1"/>
                <w:bCs w:val="1"/>
                <w:color w:val="auto"/>
                <w:w w:val="94"/>
              </w:rPr>
              <w:t>NOW, THEREFORE</w:t>
            </w:r>
            <w:r>
              <w:rPr>
                <w:rFonts w:ascii="Arial" w:cs="Arial" w:eastAsia="Arial" w:hAnsi="Arial"/>
                <w:sz w:val="20"/>
                <w:szCs w:val="20"/>
                <w:color w:val="auto"/>
                <w:w w:val="94"/>
              </w:rPr>
              <w:t>, in consideration of the mutual promises contained herein, the Company and Executive agree as</w:t>
            </w:r>
          </w:p>
        </w:tc>
        <w:tc>
          <w:tcPr>
            <w:tcW w:w="0" w:type="dxa"/>
            <w:vAlign w:val="bottom"/>
          </w:tcPr>
          <w:p>
            <w:pPr>
              <w:spacing w:after="0"/>
              <w:rPr>
                <w:sz w:val="1"/>
                <w:szCs w:val="1"/>
                <w:color w:val="auto"/>
              </w:rPr>
            </w:pPr>
          </w:p>
        </w:tc>
      </w:tr>
      <w:tr>
        <w:trPr>
          <w:trHeight w:val="229"/>
        </w:trPr>
        <w:tc>
          <w:tcPr>
            <w:tcW w:w="1420" w:type="dxa"/>
            <w:vAlign w:val="bottom"/>
            <w:vMerge w:val="continue"/>
          </w:tcPr>
          <w:p>
            <w:pPr>
              <w:spacing w:after="0"/>
              <w:rPr>
                <w:sz w:val="19"/>
                <w:szCs w:val="19"/>
                <w:color w:val="auto"/>
              </w:rPr>
            </w:pPr>
          </w:p>
        </w:tc>
        <w:tc>
          <w:tcPr>
            <w:tcW w:w="9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4"/>
                <w:szCs w:val="24"/>
                <w:color w:val="auto"/>
              </w:rPr>
            </w:pPr>
          </w:p>
        </w:tc>
        <w:tc>
          <w:tcPr>
            <w:tcW w:w="9820" w:type="dxa"/>
            <w:vAlign w:val="bottom"/>
          </w:tcPr>
          <w:p>
            <w:pPr>
              <w:jc w:val="center"/>
              <w:ind w:right="1321"/>
              <w:spacing w:after="0"/>
              <w:rPr>
                <w:sz w:val="20"/>
                <w:szCs w:val="20"/>
                <w:color w:val="auto"/>
              </w:rPr>
            </w:pPr>
            <w:r>
              <w:rPr>
                <w:rFonts w:ascii="Arial" w:cs="Arial" w:eastAsia="Arial" w:hAnsi="Arial"/>
                <w:sz w:val="20"/>
                <w:szCs w:val="20"/>
                <w:b w:val="1"/>
                <w:bCs w:val="1"/>
                <w:color w:val="auto"/>
              </w:rPr>
              <w:t>ARTICLE 1</w:t>
            </w:r>
          </w:p>
        </w:tc>
        <w:tc>
          <w:tcPr>
            <w:tcW w:w="0" w:type="dxa"/>
            <w:vAlign w:val="bottom"/>
          </w:tcPr>
          <w:p>
            <w:pPr>
              <w:spacing w:after="0"/>
              <w:rPr>
                <w:sz w:val="1"/>
                <w:szCs w:val="1"/>
                <w:color w:val="auto"/>
              </w:rPr>
            </w:pPr>
          </w:p>
        </w:tc>
      </w:tr>
      <w:tr>
        <w:trPr>
          <w:trHeight w:val="458"/>
        </w:trPr>
        <w:tc>
          <w:tcPr>
            <w:tcW w:w="1420" w:type="dxa"/>
            <w:vAlign w:val="bottom"/>
          </w:tcPr>
          <w:p>
            <w:pPr>
              <w:spacing w:after="0"/>
              <w:rPr>
                <w:sz w:val="24"/>
                <w:szCs w:val="24"/>
                <w:color w:val="auto"/>
              </w:rPr>
            </w:pPr>
          </w:p>
        </w:tc>
        <w:tc>
          <w:tcPr>
            <w:tcW w:w="9820" w:type="dxa"/>
            <w:vAlign w:val="bottom"/>
          </w:tcPr>
          <w:p>
            <w:pPr>
              <w:jc w:val="center"/>
              <w:ind w:right="1321"/>
              <w:spacing w:after="0"/>
              <w:rPr>
                <w:sz w:val="20"/>
                <w:szCs w:val="20"/>
                <w:color w:val="auto"/>
              </w:rPr>
            </w:pPr>
            <w:r>
              <w:rPr>
                <w:rFonts w:ascii="Arial" w:cs="Arial" w:eastAsia="Arial" w:hAnsi="Arial"/>
                <w:sz w:val="20"/>
                <w:szCs w:val="20"/>
                <w:b w:val="1"/>
                <w:bCs w:val="1"/>
                <w:color w:val="auto"/>
              </w:rPr>
              <w:t>PRELIMINARY MATTERS</w:t>
            </w:r>
          </w:p>
        </w:tc>
        <w:tc>
          <w:tcPr>
            <w:tcW w:w="0" w:type="dxa"/>
            <w:vAlign w:val="bottom"/>
          </w:tcPr>
          <w:p>
            <w:pPr>
              <w:spacing w:after="0"/>
              <w:rPr>
                <w:sz w:val="1"/>
                <w:szCs w:val="1"/>
                <w:color w:val="auto"/>
              </w:rPr>
            </w:pPr>
          </w:p>
        </w:tc>
      </w:tr>
      <w:tr>
        <w:trPr>
          <w:trHeight w:val="445"/>
        </w:trPr>
        <w:tc>
          <w:tcPr>
            <w:tcW w:w="1420" w:type="dxa"/>
            <w:vAlign w:val="bottom"/>
          </w:tcPr>
          <w:p>
            <w:pPr>
              <w:jc w:val="right"/>
              <w:ind w:right="201"/>
              <w:spacing w:after="0"/>
              <w:rPr>
                <w:sz w:val="20"/>
                <w:szCs w:val="20"/>
                <w:color w:val="auto"/>
              </w:rPr>
            </w:pPr>
            <w:r>
              <w:rPr>
                <w:rFonts w:ascii="Arial" w:cs="Arial" w:eastAsia="Arial" w:hAnsi="Arial"/>
                <w:sz w:val="20"/>
                <w:szCs w:val="20"/>
                <w:b w:val="1"/>
                <w:bCs w:val="1"/>
                <w:color w:val="auto"/>
              </w:rPr>
              <w:t>1.1</w:t>
            </w:r>
          </w:p>
        </w:tc>
        <w:tc>
          <w:tcPr>
            <w:tcW w:w="9820" w:type="dxa"/>
            <w:vAlign w:val="bottom"/>
          </w:tcPr>
          <w:p>
            <w:pPr>
              <w:jc w:val="right"/>
              <w:ind w:right="1881"/>
              <w:spacing w:after="0"/>
              <w:rPr>
                <w:sz w:val="20"/>
                <w:szCs w:val="20"/>
                <w:color w:val="auto"/>
              </w:rPr>
            </w:pPr>
            <w:r>
              <w:rPr>
                <w:rFonts w:ascii="Arial" w:cs="Arial" w:eastAsia="Arial" w:hAnsi="Arial"/>
                <w:sz w:val="20"/>
                <w:szCs w:val="20"/>
                <w:b w:val="1"/>
                <w:bCs w:val="1"/>
                <w:color w:val="auto"/>
              </w:rPr>
              <w:t>Effectiveness of Agreement</w:t>
            </w:r>
            <w:r>
              <w:rPr>
                <w:rFonts w:ascii="Arial" w:cs="Arial" w:eastAsia="Arial" w:hAnsi="Arial"/>
                <w:sz w:val="20"/>
                <w:szCs w:val="20"/>
                <w:color w:val="auto"/>
              </w:rPr>
              <w:t>. This Agreement shall be effective on the Effective Date.</w:t>
            </w: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4"/>
                <w:szCs w:val="24"/>
                <w:color w:val="auto"/>
              </w:rPr>
            </w:pPr>
          </w:p>
        </w:tc>
        <w:tc>
          <w:tcPr>
            <w:tcW w:w="9820" w:type="dxa"/>
            <w:vAlign w:val="bottom"/>
          </w:tcPr>
          <w:p>
            <w:pPr>
              <w:jc w:val="center"/>
              <w:ind w:right="1321"/>
              <w:spacing w:after="0"/>
              <w:rPr>
                <w:sz w:val="20"/>
                <w:szCs w:val="20"/>
                <w:color w:val="auto"/>
              </w:rPr>
            </w:pPr>
            <w:r>
              <w:rPr>
                <w:rFonts w:ascii="Arial" w:cs="Arial" w:eastAsia="Arial" w:hAnsi="Arial"/>
                <w:sz w:val="20"/>
                <w:szCs w:val="20"/>
                <w:b w:val="1"/>
                <w:bCs w:val="1"/>
                <w:color w:val="auto"/>
              </w:rPr>
              <w:t>ARTICLE 2</w:t>
            </w:r>
          </w:p>
        </w:tc>
        <w:tc>
          <w:tcPr>
            <w:tcW w:w="0" w:type="dxa"/>
            <w:vAlign w:val="bottom"/>
          </w:tcPr>
          <w:p>
            <w:pPr>
              <w:spacing w:after="0"/>
              <w:rPr>
                <w:sz w:val="1"/>
                <w:szCs w:val="1"/>
                <w:color w:val="auto"/>
              </w:rPr>
            </w:pPr>
          </w:p>
        </w:tc>
      </w:tr>
      <w:tr>
        <w:trPr>
          <w:trHeight w:val="458"/>
        </w:trPr>
        <w:tc>
          <w:tcPr>
            <w:tcW w:w="1420" w:type="dxa"/>
            <w:vAlign w:val="bottom"/>
          </w:tcPr>
          <w:p>
            <w:pPr>
              <w:spacing w:after="0"/>
              <w:rPr>
                <w:sz w:val="24"/>
                <w:szCs w:val="24"/>
                <w:color w:val="auto"/>
              </w:rPr>
            </w:pPr>
          </w:p>
        </w:tc>
        <w:tc>
          <w:tcPr>
            <w:tcW w:w="9820" w:type="dxa"/>
            <w:vAlign w:val="bottom"/>
          </w:tcPr>
          <w:p>
            <w:pPr>
              <w:jc w:val="center"/>
              <w:ind w:right="1301"/>
              <w:spacing w:after="0"/>
              <w:rPr>
                <w:sz w:val="20"/>
                <w:szCs w:val="20"/>
                <w:color w:val="auto"/>
              </w:rPr>
            </w:pPr>
            <w:r>
              <w:rPr>
                <w:rFonts w:ascii="Arial" w:cs="Arial" w:eastAsia="Arial" w:hAnsi="Arial"/>
                <w:sz w:val="20"/>
                <w:szCs w:val="20"/>
                <w:b w:val="1"/>
                <w:bCs w:val="1"/>
                <w:color w:val="auto"/>
              </w:rPr>
              <w:t>TERMS OF EMPLOYMENT</w:t>
            </w:r>
          </w:p>
        </w:tc>
        <w:tc>
          <w:tcPr>
            <w:tcW w:w="0" w:type="dxa"/>
            <w:vAlign w:val="bottom"/>
          </w:tcPr>
          <w:p>
            <w:pPr>
              <w:spacing w:after="0"/>
              <w:rPr>
                <w:sz w:val="1"/>
                <w:szCs w:val="1"/>
                <w:color w:val="auto"/>
              </w:rPr>
            </w:pPr>
          </w:p>
        </w:tc>
      </w:tr>
      <w:tr>
        <w:trPr>
          <w:trHeight w:val="440"/>
        </w:trPr>
        <w:tc>
          <w:tcPr>
            <w:tcW w:w="1420" w:type="dxa"/>
            <w:vAlign w:val="bottom"/>
          </w:tcPr>
          <w:p>
            <w:pPr>
              <w:jc w:val="right"/>
              <w:ind w:right="201"/>
              <w:spacing w:after="0"/>
              <w:rPr>
                <w:sz w:val="20"/>
                <w:szCs w:val="20"/>
                <w:color w:val="auto"/>
              </w:rPr>
            </w:pPr>
            <w:r>
              <w:rPr>
                <w:rFonts w:ascii="Arial" w:cs="Arial" w:eastAsia="Arial" w:hAnsi="Arial"/>
                <w:sz w:val="20"/>
                <w:szCs w:val="20"/>
                <w:b w:val="1"/>
                <w:bCs w:val="1"/>
                <w:color w:val="auto"/>
              </w:rPr>
              <w:t>2.1</w:t>
            </w:r>
          </w:p>
        </w:tc>
        <w:tc>
          <w:tcPr>
            <w:tcW w:w="9820" w:type="dxa"/>
            <w:vAlign w:val="bottom"/>
          </w:tcPr>
          <w:p>
            <w:pPr>
              <w:jc w:val="right"/>
              <w:spacing w:after="0"/>
              <w:rPr>
                <w:sz w:val="20"/>
                <w:szCs w:val="20"/>
                <w:color w:val="auto"/>
              </w:rPr>
            </w:pPr>
            <w:r>
              <w:rPr>
                <w:rFonts w:ascii="Arial" w:cs="Arial" w:eastAsia="Arial" w:hAnsi="Arial"/>
                <w:sz w:val="20"/>
                <w:szCs w:val="20"/>
                <w:b w:val="1"/>
                <w:bCs w:val="1"/>
                <w:color w:val="auto"/>
              </w:rPr>
              <w:t>Appointment</w:t>
            </w:r>
            <w:r>
              <w:rPr>
                <w:rFonts w:ascii="Arial" w:cs="Arial" w:eastAsia="Arial" w:hAnsi="Arial"/>
                <w:sz w:val="20"/>
                <w:szCs w:val="20"/>
                <w:color w:val="auto"/>
              </w:rPr>
              <w:t>. Executive shall serve as Chief Financial Officer, reporting to the President and Chief Operating</w:t>
            </w:r>
          </w:p>
        </w:tc>
        <w:tc>
          <w:tcPr>
            <w:tcW w:w="0" w:type="dxa"/>
            <w:vAlign w:val="bottom"/>
          </w:tcPr>
          <w:p>
            <w:pPr>
              <w:spacing w:after="0"/>
              <w:rPr>
                <w:sz w:val="1"/>
                <w:szCs w:val="1"/>
                <w:color w:val="auto"/>
              </w:rPr>
            </w:pPr>
          </w:p>
        </w:tc>
      </w:tr>
    </w:tbl>
    <w:p>
      <w:pPr>
        <w:jc w:val="both"/>
        <w:spacing w:after="0" w:line="265" w:lineRule="auto"/>
        <w:rPr>
          <w:sz w:val="20"/>
          <w:szCs w:val="20"/>
          <w:color w:val="auto"/>
        </w:rPr>
      </w:pPr>
      <w:r>
        <w:rPr>
          <w:rFonts w:ascii="Arial" w:cs="Arial" w:eastAsia="Arial" w:hAnsi="Arial"/>
          <w:sz w:val="18"/>
          <w:szCs w:val="18"/>
          <w:color w:val="auto"/>
        </w:rPr>
        <w:t>Officer. As Chief Financial Officer, Executive will have such duties and responsibilities typically associated with such officer plus other reasonable duties as may from time to time be assigned to Executive. During Executive’s employment with the Company, Executive shall</w:t>
      </w:r>
    </w:p>
    <w:p>
      <w:pPr>
        <w:spacing w:after="0" w:line="1" w:lineRule="exact"/>
        <w:rPr>
          <w:sz w:val="20"/>
          <w:szCs w:val="20"/>
          <w:color w:val="auto"/>
        </w:rPr>
      </w:pPr>
    </w:p>
    <w:p>
      <w:pPr>
        <w:ind w:left="280" w:hanging="272"/>
        <w:spacing w:after="0"/>
        <w:tabs>
          <w:tab w:leader="none" w:pos="2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devote approximately eighty percent (80%) of Executive’s business efforts to the Company, provided, however, that Executive may</w:t>
      </w:r>
    </w:p>
    <w:p>
      <w:pPr>
        <w:spacing w:after="0" w:line="22" w:lineRule="exact"/>
        <w:rPr>
          <w:rFonts w:ascii="Arial" w:cs="Arial" w:eastAsia="Arial" w:hAnsi="Arial"/>
          <w:sz w:val="18"/>
          <w:szCs w:val="18"/>
          <w:color w:val="auto"/>
        </w:rPr>
      </w:pPr>
    </w:p>
    <w:p>
      <w:pPr>
        <w:jc w:val="both"/>
        <w:ind w:firstLine="8"/>
        <w:spacing w:after="0" w:line="253" w:lineRule="auto"/>
        <w:tabs>
          <w:tab w:leader="none" w:pos="319" w:val="left"/>
        </w:tabs>
        <w:numPr>
          <w:ilvl w:val="0"/>
          <w:numId w:val="93"/>
        </w:numPr>
        <w:rPr>
          <w:rFonts w:ascii="Arial" w:cs="Arial" w:eastAsia="Arial" w:hAnsi="Arial"/>
          <w:sz w:val="19"/>
          <w:szCs w:val="19"/>
          <w:color w:val="auto"/>
        </w:rPr>
      </w:pPr>
      <w:r>
        <w:rPr>
          <w:rFonts w:ascii="Arial" w:cs="Arial" w:eastAsia="Arial" w:hAnsi="Arial"/>
          <w:sz w:val="19"/>
          <w:szCs w:val="19"/>
          <w:color w:val="auto"/>
        </w:rPr>
        <w:t>participate in charitable, civic, educational, professional, community or industry affairs, (b) manage Executive’s passive personal investments, and (c)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 Executive and the Company acknowledge that Executive’s primary office will be located at the Company’s Waltham, MA headquarters, but that Executive may be required to spend a certain amount of time each month at the Company’s New York, NY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ind w:left="880"/>
        <w:spacing w:after="0"/>
        <w:tabs>
          <w:tab w:leader="none" w:pos="24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Employment Term</w:t>
      </w:r>
      <w:r>
        <w:rPr>
          <w:rFonts w:ascii="Arial" w:cs="Arial" w:eastAsia="Arial" w:hAnsi="Arial"/>
          <w:sz w:val="19"/>
          <w:szCs w:val="19"/>
          <w:color w:val="auto"/>
        </w:rPr>
        <w:t>.  Executive will be employed by the Company on an “at-will” basis.  This means that</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20"/>
          <w:szCs w:val="20"/>
          <w:color w:val="auto"/>
        </w:rPr>
        <w:t>either the Company or Executive may terminate Executive’s employment at any time, for any reason, with or without Cause, and with or without advance notice (provided that Resignation for Good Reason (as defined below) requires certain advanced notice by Executive.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ectPr>
          <w:pgSz w:w="11900" w:h="16838" w:orient="portrait"/>
          <w:cols w:equalWidth="0" w:num="1">
            <w:col w:w="11240"/>
          </w:cols>
          <w:pgMar w:left="320" w:top="118" w:right="339" w:bottom="1440" w:gutter="0" w:footer="0" w:header="0"/>
        </w:sectPr>
      </w:pP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700" w:space="720"/>
            <w:col w:w="8820"/>
          </w:cols>
          <w:pgMar w:left="320" w:top="118" w:right="339" w:bottom="1440" w:gutter="0" w:footer="0" w:header="0"/>
          <w:type w:val="continuous"/>
        </w:sectPr>
      </w:pPr>
    </w:p>
    <w:p>
      <w:pPr>
        <w:spacing w:after="0" w:line="61" w:lineRule="exact"/>
        <w:rPr>
          <w:sz w:val="20"/>
          <w:szCs w:val="20"/>
          <w:color w:val="auto"/>
        </w:rPr>
      </w:pPr>
    </w:p>
    <w:p>
      <w:pPr>
        <w:ind w:left="174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Annual Base Salary</w:t>
      </w:r>
      <w:r>
        <w:rPr>
          <w:rFonts w:ascii="Arial" w:cs="Arial" w:eastAsia="Arial" w:hAnsi="Arial"/>
          <w:sz w:val="18"/>
          <w:szCs w:val="18"/>
          <w:color w:val="auto"/>
        </w:rPr>
        <w:t>.  Executive’s annual base salary shall be $353,500 per year (“</w:t>
      </w:r>
      <w:r>
        <w:rPr>
          <w:rFonts w:ascii="Arial" w:cs="Arial" w:eastAsia="Arial" w:hAnsi="Arial"/>
          <w:sz w:val="18"/>
          <w:szCs w:val="18"/>
          <w:b w:val="1"/>
          <w:bCs w:val="1"/>
          <w:i w:val="1"/>
          <w:iCs w:val="1"/>
          <w:color w:val="auto"/>
        </w:rPr>
        <w:t>Annual</w:t>
      </w:r>
    </w:p>
    <w:p>
      <w:pPr>
        <w:sectPr>
          <w:pgSz w:w="11900" w:h="16838" w:orient="portrait"/>
          <w:cols w:equalWidth="0" w:num="1">
            <w:col w:w="11240"/>
          </w:cols>
          <w:pgMar w:left="320" w:top="118" w:right="339" w:bottom="1440" w:gutter="0" w:footer="0" w:header="0"/>
          <w:type w:val="continuous"/>
        </w:sectPr>
      </w:pPr>
    </w:p>
    <w:p>
      <w:pPr>
        <w:spacing w:after="0" w:line="4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payable in equal installments, less applicable deductions and withholdings, in accordance with the Company’s standard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payroll practices. Executive’s Annual Base Salary shall be subject to review by the Company’s compensation committee and may be increased or decreased from time to time, but shall not be reduced unless, and only to the extent that, the base salaries of all other similarly situated executives of the Company are proportionately reduced.</w:t>
      </w:r>
    </w:p>
    <w:p>
      <w:pPr>
        <w:spacing w:after="0" w:line="190" w:lineRule="exact"/>
        <w:rPr>
          <w:sz w:val="20"/>
          <w:szCs w:val="20"/>
          <w:color w:val="auto"/>
        </w:rPr>
      </w:pPr>
    </w:p>
    <w:p>
      <w:pPr>
        <w:jc w:val="both"/>
        <w:ind w:firstLine="1728"/>
        <w:spacing w:after="0" w:line="248"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b w:val="1"/>
          <w:bCs w:val="1"/>
          <w:color w:val="auto"/>
        </w:rPr>
        <w:t>Benefits</w:t>
      </w:r>
      <w:r>
        <w:rPr>
          <w:rFonts w:ascii="Arial" w:cs="Arial" w:eastAsia="Arial" w:hAnsi="Arial"/>
          <w:sz w:val="20"/>
          <w:szCs w:val="20"/>
          <w:color w:val="auto"/>
        </w:rPr>
        <w:t>. Executive will be entitled to participate in all of the employee benefits and benefit plans that the 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w:t>
      </w:r>
    </w:p>
    <w:p>
      <w:pPr>
        <w:spacing w:after="0" w:line="182" w:lineRule="exact"/>
        <w:rPr>
          <w:sz w:val="20"/>
          <w:szCs w:val="20"/>
          <w:color w:val="auto"/>
        </w:rPr>
      </w:pPr>
    </w:p>
    <w:p>
      <w:pPr>
        <w:jc w:val="both"/>
        <w:ind w:firstLine="1728"/>
        <w:spacing w:after="0" w:line="256"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Bonus</w:t>
      </w:r>
      <w:r>
        <w:rPr>
          <w:rFonts w:ascii="Arial" w:cs="Arial" w:eastAsia="Arial" w:hAnsi="Arial"/>
          <w:sz w:val="19"/>
          <w:szCs w:val="19"/>
          <w:color w:val="auto"/>
        </w:rPr>
        <w:t>. In addition to Annual Base Salary, Executive shall be eligible to earn an annual performance bonus of up to forty percent (40%)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9"/>
          <w:szCs w:val="19"/>
          <w:b w:val="1"/>
          <w:bCs w:val="1"/>
          <w:i w:val="1"/>
          <w:iCs w:val="1"/>
          <w:color w:val="auto"/>
        </w:rPr>
        <w:t>Target Performance Bonus</w:t>
      </w:r>
      <w:r>
        <w:rPr>
          <w:rFonts w:ascii="Arial" w:cs="Arial" w:eastAsia="Arial" w:hAnsi="Arial"/>
          <w:sz w:val="19"/>
          <w:szCs w:val="19"/>
          <w:color w:val="auto"/>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15th following the applicable bonus year. Except as provided in Sections 3.2 and 4.2, Executive shall be eligible to earn the Target Performance Bonus only if Executive is actively employed and in good standing with the Company on both the determination and payment dates for the Target Performance Bonus.</w:t>
      </w:r>
    </w:p>
    <w:p>
      <w:pPr>
        <w:spacing w:after="0" w:line="178"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2.4 Reimbursement of Expenses</w:t>
      </w:r>
      <w:r>
        <w:rPr>
          <w:rFonts w:ascii="Arial" w:cs="Arial" w:eastAsia="Arial" w:hAnsi="Arial"/>
          <w:sz w:val="20"/>
          <w:szCs w:val="20"/>
          <w:color w:val="auto"/>
        </w:rPr>
        <w:t>. Subject to Section 5.10(c), the Company shall reimburse Executive for</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Executive’s necessary and reasonable business expenses incurred in connection with Executive’s duties in accordance with the Company’s generally applicable policies.</w:t>
      </w:r>
    </w:p>
    <w:p>
      <w:pPr>
        <w:spacing w:after="0" w:line="179"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8"/>
          <w:szCs w:val="18"/>
          <w:b w:val="1"/>
          <w:bCs w:val="1"/>
          <w:color w:val="auto"/>
        </w:rPr>
        <w:t>Intentionally Omitted</w:t>
      </w:r>
      <w:r>
        <w:rPr>
          <w:rFonts w:ascii="Arial" w:cs="Arial" w:eastAsia="Arial" w:hAnsi="Arial"/>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 SEVERANCE BENEFITS</w:t>
      </w:r>
    </w:p>
    <w:p>
      <w:pPr>
        <w:spacing w:after="0" w:line="21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3.1 Severance Benefits</w:t>
      </w:r>
      <w:r>
        <w:rPr>
          <w:rFonts w:ascii="Arial" w:cs="Arial" w:eastAsia="Arial" w:hAnsi="Arial"/>
          <w:sz w:val="20"/>
          <w:szCs w:val="20"/>
          <w:color w:val="auto"/>
        </w:rPr>
        <w:t>. Upon a Change in Control Termination, and subject to the limitations and conditions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this Agreement, Executive shall be eligible to receive the benefits set forth in this Article 3. The receipt of any severance payments or benefits pursuant to this Agreement is subject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3" w:name="page174"/>
    <w:bookmarkEnd w:id="173"/>
    <w:p>
      <w:pPr>
        <w:jc w:val="both"/>
        <w:spacing w:after="0" w:line="243" w:lineRule="auto"/>
        <w:rPr>
          <w:sz w:val="20"/>
          <w:szCs w:val="20"/>
          <w:color w:val="auto"/>
        </w:rPr>
      </w:pPr>
      <w:r>
        <w:rPr>
          <w:rFonts w:ascii="Arial" w:cs="Arial" w:eastAsia="Arial" w:hAnsi="Arial"/>
          <w:sz w:val="20"/>
          <w:szCs w:val="20"/>
          <w:color w:val="auto"/>
        </w:rPr>
        <w:t>Executive signing and not revoking a separation agreement and general release of claims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xml:space="preserve">”), in substantially the form attached hereto and incorporated herein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or </w:t>
      </w:r>
      <w:r>
        <w:rPr>
          <w:rFonts w:ascii="Arial" w:cs="Arial" w:eastAsia="Arial" w:hAnsi="Arial"/>
          <w:sz w:val="20"/>
          <w:szCs w:val="20"/>
          <w:b w:val="1"/>
          <w:bCs w:val="1"/>
          <w:color w:val="auto"/>
        </w:rPr>
        <w:t>Exhibit C</w:t>
      </w:r>
      <w:r>
        <w:rPr>
          <w:rFonts w:ascii="Arial" w:cs="Arial" w:eastAsia="Arial" w:hAnsi="Arial"/>
          <w:sz w:val="20"/>
          <w:szCs w:val="20"/>
          <w:color w:val="auto"/>
        </w:rPr>
        <w:t>, as appropriate, which Release must become effective and irrevocable no later than the sixtieth (60</w:t>
      </w:r>
      <w:r>
        <w:rPr>
          <w:rFonts w:ascii="Arial" w:cs="Arial" w:eastAsia="Arial" w:hAnsi="Arial"/>
          <w:sz w:val="16"/>
          <w:szCs w:val="16"/>
          <w:color w:val="auto"/>
        </w:rPr>
        <w:t>th</w:t>
      </w:r>
      <w:r>
        <w:rPr>
          <w:rFonts w:ascii="Arial" w:cs="Arial" w:eastAsia="Arial" w:hAnsi="Arial"/>
          <w:sz w:val="20"/>
          <w:szCs w:val="20"/>
          <w:color w:val="auto"/>
        </w:rPr>
        <w:t>) day following Executive’s termination of employment (the “</w:t>
      </w:r>
      <w:r>
        <w:rPr>
          <w:rFonts w:ascii="Arial" w:cs="Arial" w:eastAsia="Arial" w:hAnsi="Arial"/>
          <w:sz w:val="20"/>
          <w:szCs w:val="20"/>
          <w:b w:val="1"/>
          <w:bCs w:val="1"/>
          <w:i w:val="1"/>
          <w:iCs w:val="1"/>
          <w:color w:val="auto"/>
        </w:rPr>
        <w:t>Release Deadline Date</w:t>
      </w:r>
      <w:r>
        <w:rPr>
          <w:rFonts w:ascii="Arial" w:cs="Arial" w:eastAsia="Arial" w:hAnsi="Arial"/>
          <w:sz w:val="20"/>
          <w:szCs w:val="20"/>
          <w:color w:val="auto"/>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89"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3.2 Salary and Pro-Rata Bonus Payment</w:t>
      </w:r>
      <w:r>
        <w:rPr>
          <w:rFonts w:ascii="Arial" w:cs="Arial" w:eastAsia="Arial" w:hAnsi="Arial"/>
          <w:sz w:val="19"/>
          <w:szCs w:val="19"/>
          <w:color w:val="auto"/>
        </w:rPr>
        <w:t>. In consideration of Executive’s execution and non-revocation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by the Release Deadline Date in a form provided by the Company and in accordance with Article 4, the Company shall pay Executive a severance payment equal to (a) the sum of Executive’s Monthly Base Salary and Pro-Rata Bonus multiplied by (b) the number of months in the Change in Control Severance Period, less applicable withholdings. The severance payment shall be payable (except as set forth in Article 5) in a lump sum on the first regularly-scheduled payroll date occurring on or after the Release Deadline Date.</w:t>
      </w:r>
    </w:p>
    <w:p>
      <w:pPr>
        <w:sectPr>
          <w:pgSz w:w="11900" w:h="16838" w:orient="portrait"/>
          <w:cols w:equalWidth="0" w:num="1">
            <w:col w:w="11240"/>
          </w:cols>
          <w:pgMar w:left="320" w:top="122" w:right="339" w:bottom="1440" w:gutter="0" w:footer="0" w:header="0"/>
        </w:sectPr>
      </w:pPr>
    </w:p>
    <w:p>
      <w:pPr>
        <w:spacing w:after="0" w:line="16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Continuation Coverage.</w:t>
      </w:r>
    </w:p>
    <w:p>
      <w:pPr>
        <w:spacing w:after="0" w:line="200" w:lineRule="exact"/>
        <w:rPr>
          <w:sz w:val="20"/>
          <w:szCs w:val="20"/>
          <w:color w:val="auto"/>
        </w:rPr>
      </w:pPr>
    </w:p>
    <w:p>
      <w:pPr>
        <w:sectPr>
          <w:pgSz w:w="11900" w:h="16838" w:orient="portrait"/>
          <w:cols w:equalWidth="0" w:num="2">
            <w:col w:w="1700" w:space="720"/>
            <w:col w:w="8820"/>
          </w:cols>
          <w:pgMar w:left="320" w:top="122" w:right="339" w:bottom="1440" w:gutter="0" w:footer="0" w:header="0"/>
          <w:type w:val="continuous"/>
        </w:sectPr>
      </w:pPr>
    </w:p>
    <w:p>
      <w:pPr>
        <w:spacing w:after="0" w:line="44"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Provided that Executive is eligible and has made the necessary elections for continuation coverage pursuant</w:t>
      </w:r>
    </w:p>
    <w:p>
      <w:pPr>
        <w:sectPr>
          <w:pgSz w:w="11900" w:h="16838" w:orient="portrait"/>
          <w:cols w:equalWidth="0" w:num="1">
            <w:col w:w="11240"/>
          </w:cols>
          <w:pgMar w:left="320" w:top="122" w:right="339" w:bottom="1440" w:gutter="0" w:footer="0" w:header="0"/>
          <w:type w:val="continuous"/>
        </w:sectPr>
      </w:pP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77"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0"/>
          <w:szCs w:val="20"/>
          <w:color w:val="auto"/>
        </w:rPr>
        <w:t>b) 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84"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3.4 Stock Awards</w:t>
      </w:r>
      <w:r>
        <w:rPr>
          <w:rFonts w:ascii="Arial" w:cs="Arial" w:eastAsia="Arial" w:hAnsi="Arial"/>
          <w:sz w:val="20"/>
          <w:szCs w:val="20"/>
          <w:color w:val="auto"/>
        </w:rPr>
        <w:t>. Upon a Change in Control Termination, (a) the vesting and exercisability of all outstanding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to purchase the Company’s common stock (or stock appreciation rights or other rights with respect to the stock of the Company issued pursuant to any equity incentive plan of the Company) that are held by Executive on the Termination Date shall be accelerated in full, (b)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4" w:name="page175"/>
    <w:bookmarkEnd w:id="174"/>
    <w:p>
      <w:pPr>
        <w:jc w:val="both"/>
        <w:spacing w:after="0" w:line="260" w:lineRule="auto"/>
        <w:rPr>
          <w:sz w:val="20"/>
          <w:szCs w:val="20"/>
          <w:color w:val="auto"/>
        </w:rPr>
      </w:pPr>
      <w:r>
        <w:rPr>
          <w:rFonts w:ascii="Arial" w:cs="Arial" w:eastAsia="Arial" w:hAnsi="Arial"/>
          <w:sz w:val="19"/>
          <w:szCs w:val="19"/>
          <w:color w:val="auto"/>
        </w:rPr>
        <w:t>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(c) 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174"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880" w:type="dxa"/>
            <w:vAlign w:val="bottom"/>
          </w:tcPr>
          <w:p>
            <w:pPr>
              <w:spacing w:after="0"/>
              <w:rPr>
                <w:sz w:val="22"/>
                <w:szCs w:val="22"/>
                <w:color w:val="auto"/>
              </w:rPr>
            </w:pPr>
          </w:p>
        </w:tc>
        <w:tc>
          <w:tcPr>
            <w:tcW w:w="9480" w:type="dxa"/>
            <w:vAlign w:val="bottom"/>
          </w:tcPr>
          <w:p>
            <w:pPr>
              <w:jc w:val="center"/>
              <w:ind w:right="1661"/>
              <w:spacing w:after="0"/>
              <w:rPr>
                <w:sz w:val="20"/>
                <w:szCs w:val="20"/>
                <w:color w:val="auto"/>
              </w:rPr>
            </w:pPr>
            <w:r>
              <w:rPr>
                <w:rFonts w:ascii="Arial" w:cs="Arial" w:eastAsia="Arial" w:hAnsi="Arial"/>
                <w:sz w:val="20"/>
                <w:szCs w:val="20"/>
                <w:b w:val="1"/>
                <w:bCs w:val="1"/>
                <w:color w:val="auto"/>
              </w:rPr>
              <w:t>ARTICLE 4</w:t>
            </w:r>
          </w:p>
        </w:tc>
      </w:tr>
      <w:tr>
        <w:trPr>
          <w:trHeight w:val="458"/>
        </w:trPr>
        <w:tc>
          <w:tcPr>
            <w:tcW w:w="880" w:type="dxa"/>
            <w:vAlign w:val="bottom"/>
          </w:tcPr>
          <w:p>
            <w:pPr>
              <w:spacing w:after="0"/>
              <w:rPr>
                <w:sz w:val="24"/>
                <w:szCs w:val="24"/>
                <w:color w:val="auto"/>
              </w:rPr>
            </w:pPr>
          </w:p>
        </w:tc>
        <w:tc>
          <w:tcPr>
            <w:tcW w:w="9480" w:type="dxa"/>
            <w:vAlign w:val="bottom"/>
          </w:tcPr>
          <w:p>
            <w:pPr>
              <w:jc w:val="center"/>
              <w:ind w:right="1641"/>
              <w:spacing w:after="0"/>
              <w:rPr>
                <w:sz w:val="20"/>
                <w:szCs w:val="20"/>
                <w:color w:val="auto"/>
              </w:rPr>
            </w:pPr>
            <w:r>
              <w:rPr>
                <w:rFonts w:ascii="Arial" w:cs="Arial" w:eastAsia="Arial" w:hAnsi="Arial"/>
                <w:sz w:val="20"/>
                <w:szCs w:val="20"/>
                <w:b w:val="1"/>
                <w:bCs w:val="1"/>
                <w:color w:val="auto"/>
              </w:rPr>
              <w:t>COVERED TERMINATION SEVERANCE BENEFITS</w:t>
            </w:r>
          </w:p>
        </w:tc>
      </w:tr>
      <w:tr>
        <w:trPr>
          <w:trHeight w:val="440"/>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4.1</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2"/>
              </w:rPr>
              <w:t>Severance Benefits</w:t>
            </w:r>
            <w:r>
              <w:rPr>
                <w:rFonts w:ascii="Arial" w:cs="Arial" w:eastAsia="Arial" w:hAnsi="Arial"/>
                <w:sz w:val="20"/>
                <w:szCs w:val="20"/>
                <w:color w:val="auto"/>
                <w:w w:val="92"/>
              </w:rPr>
              <w:t>.  Upon a Covered Termination, and subject to the limitations and conditions set forth in</w:t>
            </w:r>
          </w:p>
        </w:tc>
      </w:tr>
    </w:tbl>
    <w:p>
      <w:pPr>
        <w:jc w:val="both"/>
        <w:spacing w:after="0" w:line="256" w:lineRule="auto"/>
        <w:rPr>
          <w:sz w:val="20"/>
          <w:szCs w:val="20"/>
          <w:color w:val="auto"/>
        </w:rPr>
      </w:pPr>
      <w:r>
        <w:rPr>
          <w:rFonts w:ascii="Arial" w:cs="Arial" w:eastAsia="Arial" w:hAnsi="Arial"/>
          <w:sz w:val="19"/>
          <w:szCs w:val="19"/>
          <w:color w:val="auto"/>
        </w:rPr>
        <w:t>this 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75"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8"/>
          <w:szCs w:val="18"/>
          <w:b w:val="1"/>
          <w:bCs w:val="1"/>
          <w:color w:val="auto"/>
        </w:rPr>
        <w:t>4.2 Salary Payment</w:t>
      </w:r>
      <w:r>
        <w:rPr>
          <w:rFonts w:ascii="Arial" w:cs="Arial" w:eastAsia="Arial" w:hAnsi="Arial"/>
          <w:sz w:val="18"/>
          <w:szCs w:val="18"/>
          <w:color w:val="auto"/>
        </w:rPr>
        <w:t>. In consideration of Executive’s timely execution and non-revocation of the Release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Deadline Date, the Company shall pay Executive a severance payment equal to Executive’s Monthly Base Salary multiplied by the number of months in the Covered Termination Severance Period, less applicable withholdings. The severance payment shall be payable (except as set forth in Article 5) in a lump sum on the first regularly-scheduled payroll date occurring on or after the Release Deadline Date.</w:t>
      </w:r>
    </w:p>
    <w:p>
      <w:pPr>
        <w:spacing w:after="0" w:line="15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Health Continuation Coverage</w:t>
      </w:r>
      <w:r>
        <w:rPr>
          <w:rFonts w:ascii="Arial" w:cs="Arial" w:eastAsia="Arial" w:hAnsi="Arial"/>
          <w:sz w:val="18"/>
          <w:szCs w:val="18"/>
          <w:color w:val="auto"/>
        </w:rPr>
        <w:t>.</w:t>
      </w:r>
    </w:p>
    <w:p>
      <w:pPr>
        <w:spacing w:after="0" w:line="221" w:lineRule="exact"/>
        <w:rPr>
          <w:sz w:val="20"/>
          <w:szCs w:val="20"/>
          <w:color w:val="auto"/>
        </w:rPr>
      </w:pPr>
    </w:p>
    <w:p>
      <w:pPr>
        <w:jc w:val="both"/>
        <w:ind w:firstLine="1735"/>
        <w:spacing w:after="0" w:line="253" w:lineRule="auto"/>
        <w:tabs>
          <w:tab w:leader="none" w:pos="2528" w:val="left"/>
        </w:tabs>
        <w:numPr>
          <w:ilvl w:val="0"/>
          <w:numId w:val="94"/>
        </w:numPr>
        <w:rPr>
          <w:rFonts w:ascii="Arial" w:cs="Arial" w:eastAsia="Arial" w:hAnsi="Arial"/>
          <w:sz w:val="19"/>
          <w:szCs w:val="19"/>
          <w:color w:val="auto"/>
        </w:rPr>
      </w:pPr>
      <w:r>
        <w:rPr>
          <w:rFonts w:ascii="Arial" w:cs="Arial" w:eastAsia="Arial" w:hAnsi="Arial"/>
          <w:sz w:val="19"/>
          <w:szCs w:val="19"/>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5" w:name="page176"/>
    <w:bookmarkEnd w:id="175"/>
    <w:p>
      <w:pPr>
        <w:jc w:val="both"/>
        <w:spacing w:after="0" w:line="261" w:lineRule="auto"/>
        <w:rPr>
          <w:sz w:val="20"/>
          <w:szCs w:val="20"/>
          <w:color w:val="auto"/>
        </w:rPr>
      </w:pPr>
      <w:r>
        <w:rPr>
          <w:rFonts w:ascii="Arial" w:cs="Arial" w:eastAsia="Arial" w:hAnsi="Arial"/>
          <w:sz w:val="20"/>
          <w:szCs w:val="20"/>
          <w:color w:val="auto"/>
        </w:rPr>
        <w:t>the Covered Termination Benefits Period, Executive will be responsible for the entire payment of such premiums required under COBRA for the duration of the COBRA period.</w:t>
      </w:r>
    </w:p>
    <w:p>
      <w:pPr>
        <w:spacing w:after="0" w:line="175"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0"/>
          <w:szCs w:val="20"/>
          <w:color w:val="auto"/>
        </w:rPr>
        <w:t>b) 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ectPr>
          <w:pgSz w:w="11900" w:h="16838" w:orient="portrait"/>
          <w:cols w:equalWidth="0" w:num="1">
            <w:col w:w="11240"/>
          </w:cols>
          <w:pgMar w:left="320" w:top="122" w:right="339" w:bottom="1440" w:gutter="0" w:footer="0" w:header="0"/>
        </w:sectPr>
      </w:pP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18"/>
          <w:szCs w:val="18"/>
          <w:color w:val="auto"/>
        </w:rPr>
        <w:t>. Upon a Covered Termination:</w:t>
      </w:r>
    </w:p>
    <w:p>
      <w:pPr>
        <w:spacing w:after="0" w:line="200" w:lineRule="exact"/>
        <w:rPr>
          <w:sz w:val="20"/>
          <w:szCs w:val="20"/>
          <w:color w:val="auto"/>
        </w:rPr>
      </w:pPr>
    </w:p>
    <w:p>
      <w:pPr>
        <w:sectPr>
          <w:pgSz w:w="11900" w:h="16838" w:orient="portrait"/>
          <w:cols w:equalWidth="0" w:num="2">
            <w:col w:w="1700" w:space="720"/>
            <w:col w:w="8820"/>
          </w:cols>
          <w:pgMar w:left="320" w:top="122" w:right="339" w:bottom="1440" w:gutter="0" w:footer="0" w:header="0"/>
          <w:type w:val="continuous"/>
        </w:sectPr>
      </w:pPr>
    </w:p>
    <w:p>
      <w:pPr>
        <w:spacing w:after="0" w:line="44" w:lineRule="exact"/>
        <w:rPr>
          <w:sz w:val="20"/>
          <w:szCs w:val="20"/>
          <w:color w:val="auto"/>
        </w:rPr>
      </w:pPr>
    </w:p>
    <w:p>
      <w:pPr>
        <w:ind w:left="1740"/>
        <w:spacing w:after="0"/>
        <w:tabs>
          <w:tab w:leader="none" w:pos="3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vesting and exercisability of all outstanding options to purchase the Company’s common</w:t>
      </w:r>
    </w:p>
    <w:p>
      <w:pPr>
        <w:sectPr>
          <w:pgSz w:w="11900" w:h="16838" w:orient="portrait"/>
          <w:cols w:equalWidth="0" w:num="1">
            <w:col w:w="11240"/>
          </w:cols>
          <w:pgMar w:left="320" w:top="122" w:right="339" w:bottom="1440" w:gutter="0" w:footer="0" w:header="0"/>
          <w:type w:val="continuous"/>
        </w:sectPr>
      </w:pP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20"/>
          <w:szCs w:val="20"/>
          <w:b w:val="1"/>
          <w:bCs w:val="1"/>
          <w:i w:val="1"/>
          <w:iCs w:val="1"/>
          <w:color w:val="auto"/>
        </w:rPr>
        <w:t>Option Shares</w:t>
      </w:r>
      <w:r>
        <w:rPr>
          <w:rFonts w:ascii="Arial" w:cs="Arial" w:eastAsia="Arial" w:hAnsi="Arial"/>
          <w:sz w:val="20"/>
          <w:szCs w:val="20"/>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96" w:lineRule="exact"/>
        <w:rPr>
          <w:sz w:val="20"/>
          <w:szCs w:val="20"/>
          <w:color w:val="auto"/>
        </w:rPr>
      </w:pPr>
    </w:p>
    <w:p>
      <w:pPr>
        <w:jc w:val="both"/>
        <w:ind w:firstLine="1728"/>
        <w:spacing w:after="0" w:line="242" w:lineRule="auto"/>
        <w:rPr>
          <w:sz w:val="20"/>
          <w:szCs w:val="20"/>
          <w:color w:val="auto"/>
        </w:rPr>
      </w:pPr>
      <w:r>
        <w:rPr>
          <w:rFonts w:ascii="Arial" w:cs="Arial" w:eastAsia="Arial" w:hAnsi="Arial"/>
          <w:sz w:val="20"/>
          <w:szCs w:val="20"/>
          <w:color w:val="auto"/>
        </w:rPr>
        <w:t>b) 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20"/>
          <w:szCs w:val="20"/>
          <w:b w:val="1"/>
          <w:bCs w:val="1"/>
          <w:i w:val="1"/>
          <w:i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held by the Executive as of the Termination Date shall lapse as to the number of Restricted Shares as equals the number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194" w:lineRule="exact"/>
        <w:rPr>
          <w:sz w:val="20"/>
          <w:szCs w:val="20"/>
          <w:color w:val="auto"/>
        </w:rPr>
      </w:pPr>
    </w:p>
    <w:p>
      <w:pPr>
        <w:jc w:val="both"/>
        <w:ind w:right="20" w:firstLine="1728"/>
        <w:spacing w:after="0" w:line="249" w:lineRule="auto"/>
        <w:rPr>
          <w:sz w:val="20"/>
          <w:szCs w:val="20"/>
          <w:color w:val="auto"/>
        </w:rPr>
      </w:pPr>
      <w:r>
        <w:rPr>
          <w:rFonts w:ascii="Arial" w:cs="Arial" w:eastAsia="Arial" w:hAnsi="Arial"/>
          <w:sz w:val="20"/>
          <w:szCs w:val="20"/>
          <w:color w:val="auto"/>
        </w:rPr>
        <w:t>c) 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880" w:type="dxa"/>
            <w:vAlign w:val="bottom"/>
          </w:tcPr>
          <w:p>
            <w:pPr>
              <w:spacing w:after="0"/>
              <w:rPr>
                <w:sz w:val="22"/>
                <w:szCs w:val="22"/>
                <w:color w:val="auto"/>
              </w:rPr>
            </w:pPr>
          </w:p>
        </w:tc>
        <w:tc>
          <w:tcPr>
            <w:tcW w:w="9480" w:type="dxa"/>
            <w:vAlign w:val="bottom"/>
          </w:tcPr>
          <w:p>
            <w:pPr>
              <w:jc w:val="center"/>
              <w:ind w:right="1661"/>
              <w:spacing w:after="0"/>
              <w:rPr>
                <w:sz w:val="20"/>
                <w:szCs w:val="20"/>
                <w:color w:val="auto"/>
              </w:rPr>
            </w:pPr>
            <w:r>
              <w:rPr>
                <w:rFonts w:ascii="Arial" w:cs="Arial" w:eastAsia="Arial" w:hAnsi="Arial"/>
                <w:sz w:val="20"/>
                <w:szCs w:val="20"/>
                <w:b w:val="1"/>
                <w:bCs w:val="1"/>
                <w:color w:val="auto"/>
              </w:rPr>
              <w:t>ARTICLE 5</w:t>
            </w:r>
          </w:p>
        </w:tc>
      </w:tr>
      <w:tr>
        <w:trPr>
          <w:trHeight w:val="458"/>
        </w:trPr>
        <w:tc>
          <w:tcPr>
            <w:tcW w:w="880" w:type="dxa"/>
            <w:vAlign w:val="bottom"/>
          </w:tcPr>
          <w:p>
            <w:pPr>
              <w:spacing w:after="0"/>
              <w:rPr>
                <w:sz w:val="24"/>
                <w:szCs w:val="24"/>
                <w:color w:val="auto"/>
              </w:rPr>
            </w:pPr>
          </w:p>
        </w:tc>
        <w:tc>
          <w:tcPr>
            <w:tcW w:w="9480" w:type="dxa"/>
            <w:vAlign w:val="bottom"/>
          </w:tcPr>
          <w:p>
            <w:pPr>
              <w:jc w:val="center"/>
              <w:ind w:right="1641"/>
              <w:spacing w:after="0"/>
              <w:rPr>
                <w:sz w:val="20"/>
                <w:szCs w:val="20"/>
                <w:color w:val="auto"/>
              </w:rPr>
            </w:pPr>
            <w:r>
              <w:rPr>
                <w:rFonts w:ascii="Arial" w:cs="Arial" w:eastAsia="Arial" w:hAnsi="Arial"/>
                <w:sz w:val="20"/>
                <w:szCs w:val="20"/>
                <w:b w:val="1"/>
                <w:bCs w:val="1"/>
                <w:color w:val="auto"/>
              </w:rPr>
              <w:t>LIMITATIONS AND CONDITIONS ON BENEFITS</w:t>
            </w:r>
          </w:p>
        </w:tc>
      </w:tr>
      <w:tr>
        <w:trPr>
          <w:trHeight w:val="440"/>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5.1</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1"/>
              </w:rPr>
              <w:t>Rights Conditioned on Compliance</w:t>
            </w:r>
            <w:r>
              <w:rPr>
                <w:rFonts w:ascii="Arial" w:cs="Arial" w:eastAsia="Arial" w:hAnsi="Arial"/>
                <w:sz w:val="20"/>
                <w:szCs w:val="20"/>
                <w:color w:val="auto"/>
                <w:w w:val="91"/>
              </w:rPr>
              <w:t>. Executive’s rights to receive all severance benefits described in Article</w:t>
            </w:r>
          </w:p>
        </w:tc>
      </w:tr>
    </w:tbl>
    <w:p>
      <w:pPr>
        <w:jc w:val="both"/>
        <w:spacing w:after="0" w:line="243" w:lineRule="auto"/>
        <w:rPr>
          <w:sz w:val="20"/>
          <w:szCs w:val="20"/>
          <w:color w:val="auto"/>
        </w:rPr>
      </w:pPr>
      <w:r>
        <w:rPr>
          <w:rFonts w:ascii="Arial" w:cs="Arial" w:eastAsia="Arial" w:hAnsi="Arial"/>
          <w:sz w:val="20"/>
          <w:szCs w:val="20"/>
          <w:color w:val="auto"/>
        </w:rPr>
        <w:t>3 and Article 4 shall be conditioned upon and subject to Executive’s compliance with the limitations and conditions on benefits as described in this Article 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5.2</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5"/>
              </w:rPr>
              <w:t>Continuation of Service Until Date of Termination</w:t>
            </w:r>
            <w:r>
              <w:rPr>
                <w:rFonts w:ascii="Arial" w:cs="Arial" w:eastAsia="Arial" w:hAnsi="Arial"/>
                <w:sz w:val="20"/>
                <w:szCs w:val="20"/>
                <w:color w:val="auto"/>
                <w:w w:val="95"/>
              </w:rPr>
              <w:t>.  Executive shall continue to provide service to the</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Company in good faith until the Termination Date, unless such performance is otherwise excused in writing by the Company.</w:t>
            </w:r>
          </w:p>
        </w:tc>
      </w:tr>
      <w:tr>
        <w:trPr>
          <w:trHeight w:val="440"/>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5.3</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89"/>
              </w:rPr>
              <w:t>Release Prior to Payment of Benefits</w:t>
            </w:r>
            <w:r>
              <w:rPr>
                <w:rFonts w:ascii="Arial" w:cs="Arial" w:eastAsia="Arial" w:hAnsi="Arial"/>
                <w:sz w:val="20"/>
                <w:szCs w:val="20"/>
                <w:color w:val="auto"/>
                <w:w w:val="89"/>
              </w:rPr>
              <w:t>. Upon the occurrence of a Change in Control Termination or a Covered</w:t>
            </w:r>
          </w:p>
        </w:tc>
      </w:tr>
    </w:tbl>
    <w:p>
      <w:pPr>
        <w:jc w:val="both"/>
        <w:spacing w:after="0" w:line="241" w:lineRule="auto"/>
        <w:rPr>
          <w:sz w:val="20"/>
          <w:szCs w:val="20"/>
          <w:color w:val="auto"/>
        </w:rPr>
      </w:pPr>
      <w:r>
        <w:rPr>
          <w:rFonts w:ascii="Arial" w:cs="Arial" w:eastAsia="Arial" w:hAnsi="Arial"/>
          <w:sz w:val="20"/>
          <w:szCs w:val="20"/>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6" w:name="page177"/>
    <w:bookmarkEnd w:id="176"/>
    <w:p>
      <w:pPr>
        <w:jc w:val="both"/>
        <w:spacing w:after="0" w:line="269" w:lineRule="auto"/>
        <w:rPr>
          <w:sz w:val="20"/>
          <w:szCs w:val="20"/>
          <w:color w:val="auto"/>
        </w:rPr>
      </w:pPr>
      <w:r>
        <w:rPr>
          <w:rFonts w:ascii="Arial" w:cs="Arial" w:eastAsia="Arial" w:hAnsi="Arial"/>
          <w:sz w:val="18"/>
          <w:szCs w:val="18"/>
          <w:color w:val="auto"/>
        </w:rPr>
        <w:t>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7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b w:val="1"/>
          <w:bCs w:val="1"/>
          <w:color w:val="auto"/>
        </w:rPr>
        <w:t>5.4 Return of Company Property</w:t>
      </w:r>
      <w:r>
        <w:rPr>
          <w:rFonts w:ascii="Arial" w:cs="Arial" w:eastAsia="Arial" w:hAnsi="Arial"/>
          <w:sz w:val="18"/>
          <w:szCs w:val="18"/>
          <w:color w:val="auto"/>
        </w:rPr>
        <w:t>. Not later than the Termination Date, Executive shall return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all 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ectPr>
          <w:pgSz w:w="11900" w:h="16838" w:orient="portrait"/>
          <w:cols w:equalWidth="0" w:num="1">
            <w:col w:w="11240"/>
          </w:cols>
          <w:pgMar w:left="320" w:top="122" w:right="339" w:bottom="1440" w:gutter="0" w:footer="0" w:header="0"/>
        </w:sectPr>
      </w:pPr>
    </w:p>
    <w:p>
      <w:pPr>
        <w:spacing w:after="0" w:line="16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1700" w:space="720"/>
            <w:col w:w="8820"/>
          </w:cols>
          <w:pgMar w:left="320" w:top="122" w:right="339" w:bottom="1440" w:gutter="0" w:footer="0" w:header="0"/>
          <w:type w:val="continuous"/>
        </w:sectPr>
      </w:pPr>
    </w:p>
    <w:p>
      <w:pPr>
        <w:spacing w:after="0" w:line="67" w:lineRule="exact"/>
        <w:rPr>
          <w:sz w:val="20"/>
          <w:szCs w:val="20"/>
          <w:color w:val="auto"/>
        </w:rPr>
      </w:pPr>
    </w:p>
    <w:p>
      <w:pPr>
        <w:ind w:left="1740"/>
        <w:spacing w:after="0"/>
        <w:tabs>
          <w:tab w:leader="none" w:pos="34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From and after the Termination Date, Executive shall cooperate fully with the Company in</w:t>
      </w:r>
    </w:p>
    <w:p>
      <w:pPr>
        <w:sectPr>
          <w:pgSz w:w="11900" w:h="16838" w:orient="portrait"/>
          <w:cols w:equalWidth="0" w:num="1">
            <w:col w:w="11240"/>
          </w:cols>
          <w:pgMar w:left="320" w:top="122" w:right="339" w:bottom="1440" w:gutter="0" w:footer="0" w:header="0"/>
          <w:type w:val="continuous"/>
        </w:sectPr>
      </w:pP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7" w:name="page178"/>
    <w:bookmarkEnd w:id="177"/>
    <w:p>
      <w:pPr>
        <w:jc w:val="both"/>
        <w:spacing w:after="0" w:line="250" w:lineRule="auto"/>
        <w:rPr>
          <w:sz w:val="20"/>
          <w:szCs w:val="20"/>
          <w:color w:val="auto"/>
        </w:rPr>
      </w:pPr>
      <w:r>
        <w:rPr>
          <w:rFonts w:ascii="Arial" w:cs="Arial" w:eastAsia="Arial" w:hAnsi="Arial"/>
          <w:sz w:val="20"/>
          <w:szCs w:val="20"/>
          <w:color w:val="auto"/>
        </w:rPr>
        <w:t>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86" w:lineRule="exact"/>
        <w:rPr>
          <w:sz w:val="20"/>
          <w:szCs w:val="20"/>
          <w:color w:val="auto"/>
        </w:rPr>
      </w:pPr>
    </w:p>
    <w:p>
      <w:pPr>
        <w:jc w:val="both"/>
        <w:ind w:firstLine="1728"/>
        <w:spacing w:after="0" w:line="260" w:lineRule="auto"/>
        <w:rPr>
          <w:sz w:val="20"/>
          <w:szCs w:val="20"/>
          <w:color w:val="auto"/>
        </w:rPr>
      </w:pPr>
      <w:r>
        <w:rPr>
          <w:rFonts w:ascii="Arial" w:cs="Arial" w:eastAsia="Arial" w:hAnsi="Arial"/>
          <w:sz w:val="20"/>
          <w:szCs w:val="20"/>
          <w:color w:val="auto"/>
        </w:rPr>
        <w:t>b) From and after the Termination Date, Executive shall continue to abide by all of the terms and provisions of the Confidentiality Agreement (and any other comparable agreement signed by Executive), in accordance with its terms.</w:t>
      </w:r>
    </w:p>
    <w:p>
      <w:pPr>
        <w:spacing w:after="0" w:line="176" w:lineRule="exact"/>
        <w:rPr>
          <w:sz w:val="20"/>
          <w:szCs w:val="20"/>
          <w:color w:val="auto"/>
        </w:rPr>
      </w:pPr>
    </w:p>
    <w:p>
      <w:pPr>
        <w:ind w:left="1740"/>
        <w:spacing w:after="0"/>
        <w:tabs>
          <w:tab w:leader="none" w:pos="34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Executive acknowledges and agrees that Executive’s obligations under this Section 5.5 are an</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8"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Parachute Payments</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78" w:lineRule="auto"/>
        <w:tabs>
          <w:tab w:leader="none" w:pos="2528"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Parachute Payment Limitation</w:t>
      </w:r>
      <w:r>
        <w:rPr>
          <w:rFonts w:ascii="Arial" w:cs="Arial" w:eastAsia="Arial" w:hAnsi="Arial"/>
          <w:sz w:val="18"/>
          <w:szCs w:val="18"/>
          <w:color w:val="auto"/>
        </w:rPr>
        <w:t>. If any payment or benefit (including payments and benefits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Executive would receive in connection with a Change in Control from the Company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w:t>
      </w:r>
    </w:p>
    <w:p>
      <w:pPr>
        <w:jc w:val="both"/>
        <w:ind w:firstLine="8"/>
        <w:spacing w:after="0" w:line="268" w:lineRule="auto"/>
        <w:tabs>
          <w:tab w:leader="none" w:pos="2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constitute a “parachute payment” within the meaning of Section 280G of the Code, and (ii) but for this paragraph,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77" w:lineRule="exact"/>
        <w:rPr>
          <w:sz w:val="20"/>
          <w:szCs w:val="20"/>
          <w:color w:val="auto"/>
        </w:rPr>
      </w:pPr>
    </w:p>
    <w:p>
      <w:pPr>
        <w:jc w:val="both"/>
        <w:ind w:firstLine="1728"/>
        <w:spacing w:after="0" w:line="258" w:lineRule="auto"/>
        <w:rPr>
          <w:sz w:val="20"/>
          <w:szCs w:val="20"/>
          <w:color w:val="auto"/>
        </w:rPr>
      </w:pPr>
      <w:r>
        <w:rPr>
          <w:rFonts w:ascii="Arial" w:cs="Arial" w:eastAsia="Arial" w:hAnsi="Arial"/>
          <w:sz w:val="19"/>
          <w:szCs w:val="19"/>
          <w:color w:val="auto"/>
        </w:rPr>
        <w:t>b) 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8" w:name="page179"/>
    <w:bookmarkEnd w:id="178"/>
    <w:p>
      <w:pPr>
        <w:ind w:left="1740"/>
        <w:spacing w:after="0"/>
        <w:tabs>
          <w:tab w:leader="none" w:pos="34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The  independent  registered  public  accounting  firm  engaged  to  make  the  determinations</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hereunder shall provide its calculations, together with detailed supporting documentation, to the Company and Executive within fifteen</w:t>
      </w:r>
    </w:p>
    <w:p>
      <w:pPr>
        <w:spacing w:after="0" w:line="11" w:lineRule="exact"/>
        <w:rPr>
          <w:sz w:val="20"/>
          <w:szCs w:val="20"/>
          <w:color w:val="auto"/>
        </w:rPr>
      </w:pPr>
    </w:p>
    <w:p>
      <w:pPr>
        <w:jc w:val="both"/>
        <w:ind w:firstLine="8"/>
        <w:spacing w:after="0" w:line="273" w:lineRule="auto"/>
        <w:tabs>
          <w:tab w:leader="none" w:pos="3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6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5.7 Certain Reductions and Offsets</w:t>
      </w:r>
      <w:r>
        <w:rPr>
          <w:rFonts w:ascii="Arial" w:cs="Arial" w:eastAsia="Arial" w:hAnsi="Arial"/>
          <w:sz w:val="20"/>
          <w:szCs w:val="20"/>
          <w:color w:val="auto"/>
        </w:rPr>
        <w:t>. To the extent that any federal, state or local laws, including,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limitation, the Worker Adjustment and Retraining Notification Act or any other so-called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9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5.8 Mitigation</w:t>
      </w:r>
      <w:r>
        <w:rPr>
          <w:rFonts w:ascii="Arial" w:cs="Arial" w:eastAsia="Arial" w:hAnsi="Arial"/>
          <w:sz w:val="20"/>
          <w:szCs w:val="20"/>
          <w:color w:val="auto"/>
        </w:rPr>
        <w:t>. Except as otherwise specifically provided herein, Executive shall not be required to mitigate</w:t>
      </w:r>
      <w:r>
        <w:rPr>
          <w:rFonts w:ascii="Arial" w:cs="Arial" w:eastAsia="Arial" w:hAnsi="Arial"/>
          <w:sz w:val="20"/>
          <w:szCs w:val="20"/>
          <w:b w:val="1"/>
          <w:bCs w:val="1"/>
          <w:color w:val="auto"/>
        </w:rPr>
        <w:t xml:space="preserve"> </w:t>
      </w:r>
      <w:r>
        <w:rPr>
          <w:rFonts w:ascii="Arial" w:cs="Arial" w:eastAsia="Arial" w:hAnsi="Arial"/>
          <w:sz w:val="20"/>
          <w:szCs w:val="20"/>
          <w:color w:val="auto"/>
        </w:rPr>
        <w:t>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18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5.9 Indebtedness of Executive</w:t>
      </w:r>
      <w:r>
        <w:rPr>
          <w:rFonts w:ascii="Arial" w:cs="Arial" w:eastAsia="Arial" w:hAnsi="Arial"/>
          <w:sz w:val="20"/>
          <w:szCs w:val="20"/>
          <w:color w:val="auto"/>
        </w:rPr>
        <w:t>. If Executive is indebted to the Company on the effective date of a 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Termination or Covered Termination, the Company reserves the right to offset any severance payments and benefits under this Agreement by the amount of such indebtedness.</w:t>
      </w:r>
    </w:p>
    <w:p>
      <w:pPr>
        <w:spacing w:after="0" w:line="17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72" w:lineRule="auto"/>
        <w:tabs>
          <w:tab w:leader="none" w:pos="2276"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Separation from Service</w:t>
      </w:r>
      <w:r>
        <w:rPr>
          <w:rFonts w:ascii="Arial" w:cs="Arial" w:eastAsia="Arial" w:hAnsi="Arial"/>
          <w:sz w:val="18"/>
          <w:szCs w:val="18"/>
          <w:color w:val="auto"/>
        </w:rPr>
        <w:t>. Notwithstanding any provision to the contrary in this Agreement, no amount deemed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4"/>
          <w:szCs w:val="14"/>
          <w:color w:val="auto"/>
        </w:rPr>
        <w:t>th</w:t>
      </w:r>
      <w:r>
        <w:rPr>
          <w:rFonts w:ascii="Arial" w:cs="Arial" w:eastAsia="Arial" w:hAnsi="Arial"/>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4"/>
          <w:szCs w:val="14"/>
          <w:color w:val="auto"/>
        </w:rPr>
        <w:t>th</w:t>
      </w:r>
      <w:r>
        <w:rPr>
          <w:rFonts w:ascii="Arial" w:cs="Arial" w:eastAsia="Arial" w:hAnsi="Arial"/>
          <w:sz w:val="18"/>
          <w:szCs w:val="18"/>
          <w:color w:val="auto"/>
        </w:rPr>
        <w:t>) day after Executive’s separation from service and the remaining payments shall be made as provided in this Agreement.</w:t>
      </w:r>
    </w:p>
    <w:p>
      <w:pPr>
        <w:spacing w:after="0" w:line="167" w:lineRule="exact"/>
        <w:rPr>
          <w:rFonts w:ascii="Arial" w:cs="Arial" w:eastAsia="Arial" w:hAnsi="Arial"/>
          <w:sz w:val="18"/>
          <w:szCs w:val="18"/>
          <w:color w:val="auto"/>
        </w:rPr>
      </w:pPr>
    </w:p>
    <w:p>
      <w:pPr>
        <w:jc w:val="both"/>
        <w:ind w:firstLine="1735"/>
        <w:spacing w:after="0" w:line="265" w:lineRule="auto"/>
        <w:tabs>
          <w:tab w:leader="none" w:pos="2288"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Specified Executive</w:t>
      </w:r>
      <w:r>
        <w:rPr>
          <w:rFonts w:ascii="Arial" w:cs="Arial" w:eastAsia="Arial" w:hAnsi="Arial"/>
          <w:sz w:val="19"/>
          <w:szCs w:val="19"/>
          <w:color w:val="auto"/>
        </w:rPr>
        <w:t>. Notwithstanding any provision to the contrary in this Agreement, if Executive is deemed</w:t>
      </w:r>
      <w:r>
        <w:rPr>
          <w:rFonts w:ascii="Arial" w:cs="Arial" w:eastAsia="Arial" w:hAnsi="Arial"/>
          <w:sz w:val="19"/>
          <w:szCs w:val="19"/>
          <w:b w:val="1"/>
          <w:bCs w:val="1"/>
          <w:color w:val="auto"/>
        </w:rPr>
        <w:t xml:space="preserve"> </w:t>
      </w:r>
      <w:r>
        <w:rPr>
          <w:rFonts w:ascii="Arial" w:cs="Arial" w:eastAsia="Arial" w:hAnsi="Arial"/>
          <w:sz w:val="19"/>
          <w:szCs w:val="19"/>
          <w:color w:val="auto"/>
        </w:rPr>
        <w:t>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9" w:name="page180"/>
    <w:bookmarkEnd w:id="179"/>
    <w:p>
      <w:pPr>
        <w:spacing w:after="0" w:line="275" w:lineRule="auto"/>
        <w:rPr>
          <w:sz w:val="20"/>
          <w:szCs w:val="20"/>
          <w:color w:val="auto"/>
        </w:rPr>
      </w:pPr>
      <w:r>
        <w:rPr>
          <w:rFonts w:ascii="Arial" w:cs="Arial" w:eastAsia="Arial" w:hAnsi="Arial"/>
          <w:sz w:val="18"/>
          <w:szCs w:val="18"/>
          <w:color w:val="auto"/>
        </w:rPr>
        <w:t>shall not be provided to Executive prior to the earlier of (i) the expiration of the six (6)-month period measured from the date of Executive’s “separation from service” with the Company (as such term is defined in the Treasury Regulations issued under Section 409A of the Code) or</w:t>
      </w:r>
    </w:p>
    <w:p>
      <w:pPr>
        <w:spacing w:after="0" w:line="1" w:lineRule="exact"/>
        <w:rPr>
          <w:sz w:val="20"/>
          <w:szCs w:val="20"/>
          <w:color w:val="auto"/>
        </w:rPr>
      </w:pPr>
    </w:p>
    <w:p>
      <w:pPr>
        <w:jc w:val="both"/>
        <w:ind w:firstLine="8"/>
        <w:spacing w:after="0" w:line="241" w:lineRule="auto"/>
        <w:tabs>
          <w:tab w:leader="none" w:pos="318"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188" w:lineRule="exact"/>
        <w:rPr>
          <w:rFonts w:ascii="Arial" w:cs="Arial" w:eastAsia="Arial" w:hAnsi="Arial"/>
          <w:sz w:val="20"/>
          <w:szCs w:val="20"/>
          <w:color w:val="auto"/>
        </w:rPr>
      </w:pPr>
    </w:p>
    <w:p>
      <w:pPr>
        <w:jc w:val="both"/>
        <w:ind w:firstLine="1735"/>
        <w:spacing w:after="0" w:line="262" w:lineRule="auto"/>
        <w:tabs>
          <w:tab w:leader="none" w:pos="2276" w:val="left"/>
        </w:tabs>
        <w:numPr>
          <w:ilvl w:val="1"/>
          <w:numId w:val="99"/>
        </w:numPr>
        <w:rPr>
          <w:rFonts w:ascii="Arial" w:cs="Arial" w:eastAsia="Arial" w:hAnsi="Arial"/>
          <w:sz w:val="19"/>
          <w:szCs w:val="19"/>
          <w:color w:val="auto"/>
        </w:rPr>
      </w:pPr>
      <w:r>
        <w:rPr>
          <w:rFonts w:ascii="Arial" w:cs="Arial" w:eastAsia="Arial" w:hAnsi="Arial"/>
          <w:sz w:val="19"/>
          <w:szCs w:val="19"/>
          <w:b w:val="1"/>
          <w:bCs w:val="1"/>
          <w:color w:val="auto"/>
        </w:rPr>
        <w:t>Expense Reimbursements</w:t>
      </w:r>
      <w:r>
        <w:rPr>
          <w:rFonts w:ascii="Arial" w:cs="Arial" w:eastAsia="Arial" w:hAnsi="Arial"/>
          <w:sz w:val="19"/>
          <w:szCs w:val="19"/>
          <w:color w:val="auto"/>
        </w:rPr>
        <w:t>. To the extent that any reimbursement payable pursuant to this Agreement is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9" w:lineRule="exact"/>
        <w:rPr>
          <w:rFonts w:ascii="Arial" w:cs="Arial" w:eastAsia="Arial" w:hAnsi="Arial"/>
          <w:sz w:val="19"/>
          <w:szCs w:val="19"/>
          <w:color w:val="auto"/>
        </w:rPr>
      </w:pPr>
    </w:p>
    <w:p>
      <w:pPr>
        <w:jc w:val="both"/>
        <w:ind w:firstLine="1735"/>
        <w:spacing w:after="0" w:line="248" w:lineRule="auto"/>
        <w:tabs>
          <w:tab w:leader="none" w:pos="2288" w:val="left"/>
        </w:tabs>
        <w:numPr>
          <w:ilvl w:val="1"/>
          <w:numId w:val="99"/>
        </w:numPr>
        <w:rPr>
          <w:rFonts w:ascii="Arial" w:cs="Arial" w:eastAsia="Arial" w:hAnsi="Arial"/>
          <w:sz w:val="20"/>
          <w:szCs w:val="20"/>
          <w:color w:val="auto"/>
        </w:rPr>
      </w:pPr>
      <w:r>
        <w:rPr>
          <w:rFonts w:ascii="Arial" w:cs="Arial" w:eastAsia="Arial" w:hAnsi="Arial"/>
          <w:sz w:val="20"/>
          <w:szCs w:val="20"/>
          <w:b w:val="1"/>
          <w:bCs w:val="1"/>
          <w:color w:val="auto"/>
        </w:rPr>
        <w:t>Installments</w:t>
      </w:r>
      <w:r>
        <w:rPr>
          <w:rFonts w:ascii="Arial" w:cs="Arial" w:eastAsia="Arial" w:hAnsi="Arial"/>
          <w:sz w:val="20"/>
          <w:szCs w:val="20"/>
          <w:color w:val="auto"/>
        </w:rPr>
        <w:t>. For purposes of Section 409A of the Code (including, without limitation, for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60" w:type="dxa"/>
            <w:vAlign w:val="bottom"/>
          </w:tcPr>
          <w:p>
            <w:pPr>
              <w:ind w:left="880"/>
              <w:spacing w:after="0"/>
              <w:rPr>
                <w:sz w:val="20"/>
                <w:szCs w:val="20"/>
                <w:color w:val="auto"/>
              </w:rPr>
            </w:pPr>
            <w:r>
              <w:rPr>
                <w:rFonts w:ascii="Arial" w:cs="Arial" w:eastAsia="Arial" w:hAnsi="Arial"/>
                <w:sz w:val="20"/>
                <w:szCs w:val="20"/>
                <w:b w:val="1"/>
                <w:bCs w:val="1"/>
                <w:color w:val="auto"/>
              </w:rPr>
              <w:t>5.11</w:t>
            </w:r>
          </w:p>
        </w:tc>
        <w:tc>
          <w:tcPr>
            <w:tcW w:w="9380" w:type="dxa"/>
            <w:vAlign w:val="bottom"/>
          </w:tcPr>
          <w:p>
            <w:pPr>
              <w:jc w:val="right"/>
              <w:spacing w:after="0"/>
              <w:rPr>
                <w:sz w:val="20"/>
                <w:szCs w:val="20"/>
                <w:color w:val="auto"/>
              </w:rPr>
            </w:pPr>
            <w:r>
              <w:rPr>
                <w:rFonts w:ascii="Arial" w:cs="Arial" w:eastAsia="Arial" w:hAnsi="Arial"/>
                <w:sz w:val="20"/>
                <w:szCs w:val="20"/>
                <w:b w:val="1"/>
                <w:bCs w:val="1"/>
                <w:color w:val="auto"/>
                <w:w w:val="98"/>
              </w:rPr>
              <w:t>Tax Withholding</w:t>
            </w:r>
            <w:r>
              <w:rPr>
                <w:rFonts w:ascii="Arial" w:cs="Arial" w:eastAsia="Arial" w:hAnsi="Arial"/>
                <w:sz w:val="20"/>
                <w:szCs w:val="20"/>
                <w:color w:val="auto"/>
                <w:w w:val="98"/>
              </w:rPr>
              <w:t>. All payments under this Agreement shall be subject to applicable withholding for federal,</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state and local income and employment taxes.</w:t>
            </w:r>
          </w:p>
        </w:tc>
      </w:tr>
      <w:tr>
        <w:trPr>
          <w:trHeight w:val="440"/>
        </w:trPr>
        <w:tc>
          <w:tcPr>
            <w:tcW w:w="1860" w:type="dxa"/>
            <w:vAlign w:val="bottom"/>
          </w:tcPr>
          <w:p>
            <w:pPr>
              <w:ind w:left="880"/>
              <w:spacing w:after="0"/>
              <w:rPr>
                <w:sz w:val="20"/>
                <w:szCs w:val="20"/>
                <w:color w:val="auto"/>
              </w:rPr>
            </w:pPr>
            <w:r>
              <w:rPr>
                <w:rFonts w:ascii="Arial" w:cs="Arial" w:eastAsia="Arial" w:hAnsi="Arial"/>
                <w:sz w:val="20"/>
                <w:szCs w:val="20"/>
                <w:b w:val="1"/>
                <w:bCs w:val="1"/>
                <w:color w:val="auto"/>
              </w:rPr>
              <w:t>5.12</w:t>
            </w:r>
          </w:p>
        </w:tc>
        <w:tc>
          <w:tcPr>
            <w:tcW w:w="9380" w:type="dxa"/>
            <w:vAlign w:val="bottom"/>
          </w:tcPr>
          <w:p>
            <w:pPr>
              <w:jc w:val="right"/>
              <w:spacing w:after="0"/>
              <w:rPr>
                <w:sz w:val="20"/>
                <w:szCs w:val="20"/>
                <w:color w:val="auto"/>
              </w:rPr>
            </w:pPr>
            <w:r>
              <w:rPr>
                <w:rFonts w:ascii="Arial" w:cs="Arial" w:eastAsia="Arial" w:hAnsi="Arial"/>
                <w:sz w:val="20"/>
                <w:szCs w:val="20"/>
                <w:b w:val="1"/>
                <w:bCs w:val="1"/>
                <w:color w:val="auto"/>
                <w:w w:val="97"/>
              </w:rPr>
              <w:t xml:space="preserve">No Duplication of Severance Benefits. </w:t>
            </w:r>
            <w:r>
              <w:rPr>
                <w:rFonts w:ascii="Arial" w:cs="Arial" w:eastAsia="Arial" w:hAnsi="Arial"/>
                <w:sz w:val="20"/>
                <w:szCs w:val="20"/>
                <w:color w:val="auto"/>
                <w:w w:val="97"/>
              </w:rPr>
              <w:t>The severance and other benefits provided in Article 3 and Article 4</w:t>
            </w:r>
          </w:p>
        </w:tc>
      </w:tr>
    </w:tbl>
    <w:p>
      <w:pPr>
        <w:jc w:val="both"/>
        <w:ind w:right="20"/>
        <w:spacing w:after="0" w:line="243" w:lineRule="auto"/>
        <w:rPr>
          <w:sz w:val="20"/>
          <w:szCs w:val="20"/>
          <w:color w:val="auto"/>
        </w:rPr>
      </w:pPr>
      <w:r>
        <w:rPr>
          <w:rFonts w:ascii="Arial" w:cs="Arial" w:eastAsia="Arial" w:hAnsi="Arial"/>
          <w:sz w:val="20"/>
          <w:szCs w:val="20"/>
          <w:color w:val="auto"/>
        </w:rPr>
        <w:t>are mutually exclusive of each other, and in no event shall Executive receive any severance or other benefits pursuant to both Article 3 and Article 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WITH CAUSE OR BY VOLUNTARY RESIGNATION;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RIGHTS AND BENEFITS</w:t>
      </w:r>
    </w:p>
    <w:p>
      <w:pPr>
        <w:spacing w:after="0" w:line="19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6.1 Termination for Cause by the Company</w:t>
      </w:r>
      <w:r>
        <w:rPr>
          <w:rFonts w:ascii="Arial" w:cs="Arial" w:eastAsia="Arial" w:hAnsi="Arial"/>
          <w:sz w:val="19"/>
          <w:szCs w:val="19"/>
          <w:color w:val="auto"/>
        </w:rPr>
        <w:t>. If the Company shall terminate the Executive’s employment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for Cause, then upon such termination, the Company shall have no further obligation to Executive hereunder except for the payment or provision, as applicable, of (a) the portion of the Annual Base Salary for the period prior to the effective date of termination earned but unpaid (if any), (b) all unreimbursed expenses (if any), subject to Sections 2.4 and 5.10(c), and (c)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Arial" w:cs="Arial" w:eastAsia="Arial" w:hAnsi="Arial"/>
          <w:sz w:val="19"/>
          <w:szCs w:val="19"/>
          <w:b w:val="1"/>
          <w:bCs w:val="1"/>
          <w:i w:val="1"/>
          <w:iCs w:val="1"/>
          <w:color w:val="auto"/>
        </w:rPr>
        <w:t>Other Benefits</w:t>
      </w:r>
      <w:r>
        <w:rPr>
          <w:rFonts w:ascii="Arial" w:cs="Arial" w:eastAsia="Arial" w:hAnsi="Arial"/>
          <w:sz w:val="19"/>
          <w:szCs w:val="19"/>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181" w:lineRule="exact"/>
        <w:rPr>
          <w:sz w:val="20"/>
          <w:szCs w:val="20"/>
          <w:color w:val="auto"/>
        </w:rPr>
      </w:pPr>
    </w:p>
    <w:p>
      <w:pPr>
        <w:ind w:left="880"/>
        <w:spacing w:after="0"/>
        <w:tabs>
          <w:tab w:leader="none" w:pos="2400" w:val="left"/>
          <w:tab w:leader="none" w:pos="3600" w:val="left"/>
          <w:tab w:leader="none" w:pos="3980" w:val="left"/>
          <w:tab w:leader="none" w:pos="5000" w:val="left"/>
          <w:tab w:leader="none" w:pos="6160" w:val="left"/>
          <w:tab w:leader="none" w:pos="6520" w:val="left"/>
          <w:tab w:leader="none" w:pos="6960" w:val="left"/>
          <w:tab w:leader="none" w:pos="7940" w:val="left"/>
          <w:tab w:leader="none" w:pos="8620" w:val="left"/>
          <w:tab w:leader="none" w:pos="9180" w:val="left"/>
          <w:tab w:leader="none" w:pos="10340" w:val="left"/>
          <w:tab w:leader="none" w:pos="1076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b w:val="1"/>
          <w:bCs w:val="1"/>
          <w:color w:val="auto"/>
        </w:rPr>
        <w:t>Termination</w:t>
        <w:tab/>
        <w:t>by</w:t>
        <w:tab/>
        <w:t>Voluntary</w:t>
        <w:tab/>
        <w:t>Resignation</w:t>
        <w:tab/>
        <w:t>by</w:t>
        <w:tab/>
        <w:t>the</w:t>
        <w:tab/>
        <w:t>Executive</w:t>
        <w:tab/>
        <w:t>(other</w:t>
        <w:tab/>
        <w:t>than</w:t>
        <w:tab/>
        <w:t>Resignation</w:t>
        <w:tab/>
        <w:t>for</w:t>
      </w:r>
      <w:r>
        <w:rPr>
          <w:sz w:val="20"/>
          <w:szCs w:val="20"/>
          <w:color w:val="auto"/>
        </w:rPr>
        <w:tab/>
      </w:r>
      <w:r>
        <w:rPr>
          <w:rFonts w:ascii="Arial" w:cs="Arial" w:eastAsia="Arial" w:hAnsi="Arial"/>
          <w:sz w:val="16"/>
          <w:szCs w:val="16"/>
          <w:b w:val="1"/>
          <w:bCs w:val="1"/>
          <w:color w:val="auto"/>
        </w:rPr>
        <w:t>Good</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Reason)</w:t>
      </w:r>
      <w:r>
        <w:rPr>
          <w:rFonts w:ascii="Arial" w:cs="Arial" w:eastAsia="Arial" w:hAnsi="Arial"/>
          <w:sz w:val="20"/>
          <w:szCs w:val="20"/>
          <w:color w:val="auto"/>
        </w:rPr>
        <w:t>. Upon any voluntary resignation by Executive that is not a Resignation for Good Reason, the Company shall have no further</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to the Executive hereunder except for the payment of (a) the portion of the Annual Base Salary for the period prior to the effective date of termination earned but unpaid (if any), (b) all unreimbursed expenses (if any), subject to Sections 2.4 and 5.10(c), and (c) the payment or provision of any Other Benefits. For the avoidance of doubt, Executive shall have no right to receive (and Other Benefits shall not include) any amounts under any Company severance plan or policy or pursuant to</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Article 3 or Article 4 upon any voluntary resignation by Executive that is not a Resignation for Good Reason.</w:t>
      </w:r>
    </w:p>
    <w:p>
      <w:pPr>
        <w:spacing w:after="0" w:line="21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6.3 Other Rights and Benefits. </w:t>
      </w:r>
      <w:r>
        <w:rPr>
          <w:rFonts w:ascii="Arial" w:cs="Arial" w:eastAsia="Arial" w:hAnsi="Arial"/>
          <w:sz w:val="20"/>
          <w:szCs w:val="20"/>
          <w:color w:val="auto"/>
        </w:rPr>
        <w:t>Nothing in this Agreement shall prevent or limit Executive’s continuing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2,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Unless otherwise provided, for purposes of this Agreement, the following definitions shall apply:</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7.1</w:t>
            </w:r>
          </w:p>
        </w:tc>
        <w:tc>
          <w:tcPr>
            <w:tcW w:w="9480" w:type="dxa"/>
            <w:vAlign w:val="bottom"/>
          </w:tcPr>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means the Board of Directors of the Company.</w:t>
            </w:r>
          </w:p>
        </w:tc>
      </w:tr>
      <w:tr>
        <w:trPr>
          <w:trHeight w:val="440"/>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7.2</w:t>
            </w:r>
          </w:p>
        </w:tc>
        <w:tc>
          <w:tcPr>
            <w:tcW w:w="9480" w:type="dxa"/>
            <w:vAlign w:val="bottom"/>
          </w:tcPr>
          <w:p>
            <w:pPr>
              <w:ind w:left="66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i w:val="1"/>
                <w:iCs w:val="1"/>
                <w:color w:val="auto"/>
                <w:w w:val="91"/>
              </w:rPr>
              <w:t>Cause</w:t>
            </w:r>
            <w:r>
              <w:rPr>
                <w:rFonts w:ascii="Arial" w:cs="Arial" w:eastAsia="Arial" w:hAnsi="Arial"/>
                <w:sz w:val="20"/>
                <w:szCs w:val="20"/>
                <w:color w:val="auto"/>
                <w:w w:val="91"/>
              </w:rPr>
              <w:t>” means, upon a reasonable determination by the Company, Executive’s: (a) dishonest statements or</w:t>
            </w:r>
          </w:p>
        </w:tc>
      </w:tr>
    </w:tbl>
    <w:p>
      <w:pPr>
        <w:jc w:val="both"/>
        <w:spacing w:after="0" w:line="253" w:lineRule="auto"/>
        <w:rPr>
          <w:sz w:val="20"/>
          <w:szCs w:val="20"/>
          <w:color w:val="auto"/>
        </w:rPr>
      </w:pPr>
      <w:r>
        <w:rPr>
          <w:rFonts w:ascii="Arial" w:cs="Arial" w:eastAsia="Arial" w:hAnsi="Arial"/>
          <w:sz w:val="19"/>
          <w:szCs w:val="19"/>
          <w:color w:val="auto"/>
        </w:rPr>
        <w:t>acts with respect to the Company, any subsidiary or any affiliate of the Company or any subsidiary; (b) commission by or indictment for (i) a felony or (ii) 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 (c) gross negligence, willful misconduct or insubordination with respect to the Company, any subsidiary or any affiliate of the Company or any subsidiary; (d) material breach of any of Executive’s obligations under any agreement to which Executive and the Company or any subsidiary are a party; or (e) death or disability. With respect to clause (d),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18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w:t>
      </w:r>
      <w:r>
        <w:rPr>
          <w:rFonts w:ascii="Arial" w:cs="Arial" w:eastAsia="Arial" w:hAnsi="Arial"/>
          <w:sz w:val="20"/>
          <w:szCs w:val="20"/>
          <w:b w:val="1"/>
          <w:bCs w:val="1"/>
          <w:color w:val="auto"/>
        </w:rPr>
        <w:t xml:space="preserve"> </w:t>
      </w:r>
      <w:r>
        <w:rPr>
          <w:rFonts w:ascii="Arial" w:cs="Arial" w:eastAsia="Arial" w:hAnsi="Arial"/>
          <w:sz w:val="20"/>
          <w:szCs w:val="20"/>
          <w:color w:val="auto"/>
        </w:rPr>
        <w:t>one or more of the following events:</w:t>
      </w:r>
    </w:p>
    <w:p>
      <w:pPr>
        <w:spacing w:after="0" w:line="170" w:lineRule="exact"/>
        <w:rPr>
          <w:sz w:val="20"/>
          <w:szCs w:val="20"/>
          <w:color w:val="auto"/>
        </w:rPr>
      </w:pPr>
    </w:p>
    <w:p>
      <w:pPr>
        <w:jc w:val="both"/>
        <w:ind w:firstLine="1735"/>
        <w:spacing w:after="0" w:line="268" w:lineRule="auto"/>
        <w:tabs>
          <w:tab w:leader="none" w:pos="227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natural person, entity or group within the meaning of Section 13(d) or 14(d) of the Securities Exchange Act of 1934, as amended (“</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w:t>
      </w:r>
    </w:p>
    <w:p>
      <w:pPr>
        <w:spacing w:after="0" w:line="4" w:lineRule="exact"/>
        <w:rPr>
          <w:rFonts w:ascii="Arial" w:cs="Arial" w:eastAsia="Arial" w:hAnsi="Arial"/>
          <w:sz w:val="18"/>
          <w:szCs w:val="18"/>
          <w:color w:val="auto"/>
        </w:rPr>
      </w:pPr>
    </w:p>
    <w:p>
      <w:pPr>
        <w:jc w:val="both"/>
        <w:ind w:firstLine="8"/>
        <w:spacing w:after="0" w:line="256" w:lineRule="auto"/>
        <w:tabs>
          <w:tab w:leader="none" w:pos="32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solely because the level of ownership held by any Exchange Act Person (the “</w:t>
      </w:r>
      <w:r>
        <w:rPr>
          <w:rFonts w:ascii="Arial" w:cs="Arial" w:eastAsia="Arial" w:hAnsi="Arial"/>
          <w:sz w:val="19"/>
          <w:szCs w:val="19"/>
          <w:b w:val="1"/>
          <w:bCs w:val="1"/>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1" w:name="page182"/>
    <w:bookmarkEnd w:id="181"/>
    <w:p>
      <w:pPr>
        <w:spacing w:after="0" w:line="261" w:lineRule="auto"/>
        <w:rPr>
          <w:sz w:val="20"/>
          <w:szCs w:val="20"/>
          <w:color w:val="auto"/>
        </w:rPr>
      </w:pPr>
      <w:r>
        <w:rPr>
          <w:rFonts w:ascii="Arial" w:cs="Arial" w:eastAsia="Arial" w:hAnsi="Arial"/>
          <w:sz w:val="20"/>
          <w:szCs w:val="20"/>
          <w:color w:val="auto"/>
        </w:rPr>
        <w:t>increases the percentage of the then outstanding voting securities owned by the Subject Person over the designated percentage threshold, then a Change in Control shall be deemed to occur;</w:t>
      </w:r>
    </w:p>
    <w:p>
      <w:pPr>
        <w:spacing w:after="0" w:line="175" w:lineRule="exact"/>
        <w:rPr>
          <w:sz w:val="20"/>
          <w:szCs w:val="20"/>
          <w:color w:val="auto"/>
        </w:rPr>
      </w:pPr>
    </w:p>
    <w:p>
      <w:pPr>
        <w:jc w:val="both"/>
        <w:ind w:firstLine="1735"/>
        <w:spacing w:after="0" w:line="243" w:lineRule="auto"/>
        <w:tabs>
          <w:tab w:leader="none" w:pos="228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94" w:lineRule="exact"/>
        <w:rPr>
          <w:rFonts w:ascii="Arial" w:cs="Arial" w:eastAsia="Arial" w:hAnsi="Arial"/>
          <w:sz w:val="20"/>
          <w:szCs w:val="20"/>
          <w:color w:val="auto"/>
        </w:rPr>
      </w:pPr>
    </w:p>
    <w:p>
      <w:pPr>
        <w:ind w:right="20" w:firstLine="1735"/>
        <w:spacing w:after="0" w:line="260" w:lineRule="auto"/>
        <w:tabs>
          <w:tab w:leader="none" w:pos="227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stockholders of the Company approve or the Board approves a plan of complete dissolution or liquidation of the Company, or a complete dissolution or liquidation of the Company shall otherwise occur; or</w:t>
      </w:r>
    </w:p>
    <w:p>
      <w:pPr>
        <w:spacing w:after="0" w:line="175" w:lineRule="exact"/>
        <w:rPr>
          <w:rFonts w:ascii="Arial" w:cs="Arial" w:eastAsia="Arial" w:hAnsi="Arial"/>
          <w:sz w:val="20"/>
          <w:szCs w:val="20"/>
          <w:color w:val="auto"/>
        </w:rPr>
      </w:pPr>
    </w:p>
    <w:p>
      <w:pPr>
        <w:jc w:val="both"/>
        <w:ind w:firstLine="1735"/>
        <w:spacing w:after="0" w:line="244" w:lineRule="auto"/>
        <w:tabs>
          <w:tab w:leader="none" w:pos="2288"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93"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920" w:type="dxa"/>
            <w:vAlign w:val="bottom"/>
          </w:tcPr>
          <w:p>
            <w:pPr>
              <w:jc w:val="right"/>
              <w:ind w:right="701"/>
              <w:spacing w:after="0"/>
              <w:rPr>
                <w:sz w:val="20"/>
                <w:szCs w:val="20"/>
                <w:color w:val="auto"/>
              </w:rPr>
            </w:pPr>
            <w:r>
              <w:rPr>
                <w:rFonts w:ascii="Arial" w:cs="Arial" w:eastAsia="Arial" w:hAnsi="Arial"/>
                <w:sz w:val="20"/>
                <w:szCs w:val="20"/>
                <w:b w:val="1"/>
                <w:bCs w:val="1"/>
                <w:color w:val="auto"/>
              </w:rPr>
              <w:t>7.4</w:t>
            </w:r>
          </w:p>
        </w:tc>
        <w:tc>
          <w:tcPr>
            <w:tcW w:w="1280" w:type="dxa"/>
            <w:vAlign w:val="bottom"/>
          </w:tcPr>
          <w:p>
            <w:pPr>
              <w:ind w:left="50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Change</w:t>
            </w:r>
          </w:p>
        </w:tc>
        <w:tc>
          <w:tcPr>
            <w:tcW w:w="260" w:type="dxa"/>
            <w:vAlign w:val="bottom"/>
          </w:tcPr>
          <w:p>
            <w:pPr>
              <w:ind w:left="60"/>
              <w:spacing w:after="0"/>
              <w:rPr>
                <w:sz w:val="20"/>
                <w:szCs w:val="20"/>
                <w:color w:val="auto"/>
              </w:rPr>
            </w:pPr>
            <w:r>
              <w:rPr>
                <w:rFonts w:ascii="Arial" w:cs="Arial" w:eastAsia="Arial" w:hAnsi="Arial"/>
                <w:sz w:val="20"/>
                <w:szCs w:val="20"/>
                <w:b w:val="1"/>
                <w:bCs w:val="1"/>
                <w:i w:val="1"/>
                <w:iCs w:val="1"/>
                <w:color w:val="auto"/>
              </w:rPr>
              <w:t>in</w:t>
            </w:r>
          </w:p>
        </w:tc>
        <w:tc>
          <w:tcPr>
            <w:tcW w:w="740" w:type="dxa"/>
            <w:vAlign w:val="bottom"/>
          </w:tcPr>
          <w:p>
            <w:pPr>
              <w:ind w:left="80"/>
              <w:spacing w:after="0"/>
              <w:rPr>
                <w:sz w:val="20"/>
                <w:szCs w:val="20"/>
                <w:color w:val="auto"/>
              </w:rPr>
            </w:pPr>
            <w:r>
              <w:rPr>
                <w:rFonts w:ascii="Arial" w:cs="Arial" w:eastAsia="Arial" w:hAnsi="Arial"/>
                <w:sz w:val="20"/>
                <w:szCs w:val="20"/>
                <w:b w:val="1"/>
                <w:bCs w:val="1"/>
                <w:i w:val="1"/>
                <w:iCs w:val="1"/>
                <w:color w:val="auto"/>
                <w:w w:val="89"/>
              </w:rPr>
              <w:t>Control</w:t>
            </w:r>
          </w:p>
        </w:tc>
        <w:tc>
          <w:tcPr>
            <w:tcW w:w="1620" w:type="dxa"/>
            <w:vAlign w:val="bottom"/>
          </w:tcPr>
          <w:p>
            <w:pPr>
              <w:ind w:left="80"/>
              <w:spacing w:after="0"/>
              <w:rPr>
                <w:sz w:val="20"/>
                <w:szCs w:val="20"/>
                <w:color w:val="auto"/>
              </w:rPr>
            </w:pPr>
            <w:r>
              <w:rPr>
                <w:rFonts w:ascii="Arial" w:cs="Arial" w:eastAsia="Arial" w:hAnsi="Arial"/>
                <w:sz w:val="20"/>
                <w:szCs w:val="20"/>
                <w:b w:val="1"/>
                <w:bCs w:val="1"/>
                <w:i w:val="1"/>
                <w:iCs w:val="1"/>
                <w:color w:val="auto"/>
                <w:w w:val="99"/>
              </w:rPr>
              <w:t>Benefits Period</w:t>
            </w:r>
            <w:r>
              <w:rPr>
                <w:rFonts w:ascii="Arial" w:cs="Arial" w:eastAsia="Arial" w:hAnsi="Arial"/>
                <w:sz w:val="20"/>
                <w:szCs w:val="20"/>
                <w:color w:val="auto"/>
                <w:w w:val="99"/>
              </w:rPr>
              <w:t>”</w:t>
            </w:r>
          </w:p>
        </w:tc>
        <w:tc>
          <w:tcPr>
            <w:tcW w:w="620" w:type="dxa"/>
            <w:vAlign w:val="bottom"/>
          </w:tcPr>
          <w:p>
            <w:pPr>
              <w:spacing w:after="0"/>
              <w:rPr>
                <w:sz w:val="20"/>
                <w:szCs w:val="20"/>
                <w:color w:val="auto"/>
              </w:rPr>
            </w:pPr>
            <w:r>
              <w:rPr>
                <w:rFonts w:ascii="Arial" w:cs="Arial" w:eastAsia="Arial" w:hAnsi="Arial"/>
                <w:sz w:val="20"/>
                <w:szCs w:val="20"/>
                <w:color w:val="auto"/>
                <w:w w:val="99"/>
              </w:rPr>
              <w:t>means</w:t>
            </w:r>
          </w:p>
        </w:tc>
        <w:tc>
          <w:tcPr>
            <w:tcW w:w="360" w:type="dxa"/>
            <w:vAlign w:val="bottom"/>
          </w:tcPr>
          <w:p>
            <w:pPr>
              <w:ind w:left="20"/>
              <w:spacing w:after="0"/>
              <w:rPr>
                <w:sz w:val="20"/>
                <w:szCs w:val="20"/>
                <w:color w:val="auto"/>
              </w:rPr>
            </w:pPr>
            <w:r>
              <w:rPr>
                <w:rFonts w:ascii="Arial" w:cs="Arial" w:eastAsia="Arial" w:hAnsi="Arial"/>
                <w:sz w:val="20"/>
                <w:szCs w:val="20"/>
                <w:color w:val="auto"/>
              </w:rPr>
              <w:t>the</w:t>
            </w:r>
          </w:p>
        </w:tc>
        <w:tc>
          <w:tcPr>
            <w:tcW w:w="620" w:type="dxa"/>
            <w:vAlign w:val="bottom"/>
          </w:tcPr>
          <w:p>
            <w:pPr>
              <w:ind w:left="20"/>
              <w:spacing w:after="0"/>
              <w:rPr>
                <w:sz w:val="20"/>
                <w:szCs w:val="20"/>
                <w:color w:val="auto"/>
              </w:rPr>
            </w:pPr>
            <w:r>
              <w:rPr>
                <w:rFonts w:ascii="Arial" w:cs="Arial" w:eastAsia="Arial" w:hAnsi="Arial"/>
                <w:sz w:val="20"/>
                <w:szCs w:val="20"/>
                <w:color w:val="auto"/>
              </w:rPr>
              <w:t>period</w:t>
            </w:r>
          </w:p>
        </w:tc>
        <w:tc>
          <w:tcPr>
            <w:tcW w:w="280" w:type="dxa"/>
            <w:vAlign w:val="bottom"/>
          </w:tcPr>
          <w:p>
            <w:pPr>
              <w:ind w:left="20"/>
              <w:spacing w:after="0"/>
              <w:rPr>
                <w:sz w:val="20"/>
                <w:szCs w:val="20"/>
                <w:color w:val="auto"/>
              </w:rPr>
            </w:pPr>
            <w:r>
              <w:rPr>
                <w:rFonts w:ascii="Arial" w:cs="Arial" w:eastAsia="Arial" w:hAnsi="Arial"/>
                <w:sz w:val="20"/>
                <w:szCs w:val="20"/>
                <w:color w:val="auto"/>
              </w:rPr>
              <w:t>of</w:t>
            </w:r>
          </w:p>
        </w:tc>
        <w:tc>
          <w:tcPr>
            <w:tcW w:w="640" w:type="dxa"/>
            <w:vAlign w:val="bottom"/>
          </w:tcPr>
          <w:p>
            <w:pPr>
              <w:ind w:left="40"/>
              <w:spacing w:after="0"/>
              <w:rPr>
                <w:sz w:val="20"/>
                <w:szCs w:val="20"/>
                <w:color w:val="auto"/>
              </w:rPr>
            </w:pPr>
            <w:r>
              <w:rPr>
                <w:rFonts w:ascii="Arial" w:cs="Arial" w:eastAsia="Arial" w:hAnsi="Arial"/>
                <w:sz w:val="20"/>
                <w:szCs w:val="20"/>
                <w:color w:val="auto"/>
              </w:rPr>
              <w:t>twelve</w:t>
            </w:r>
          </w:p>
        </w:tc>
        <w:tc>
          <w:tcPr>
            <w:tcW w:w="440" w:type="dxa"/>
            <w:vAlign w:val="bottom"/>
          </w:tcPr>
          <w:p>
            <w:pPr>
              <w:jc w:val="right"/>
              <w:spacing w:after="0"/>
              <w:rPr>
                <w:sz w:val="20"/>
                <w:szCs w:val="20"/>
                <w:color w:val="auto"/>
              </w:rPr>
            </w:pPr>
            <w:r>
              <w:rPr>
                <w:rFonts w:ascii="Arial" w:cs="Arial" w:eastAsia="Arial" w:hAnsi="Arial"/>
                <w:sz w:val="20"/>
                <w:szCs w:val="20"/>
                <w:color w:val="auto"/>
                <w:w w:val="95"/>
              </w:rPr>
              <w:t>(12)</w:t>
            </w:r>
          </w:p>
        </w:tc>
        <w:tc>
          <w:tcPr>
            <w:tcW w:w="700" w:type="dxa"/>
            <w:vAlign w:val="bottom"/>
          </w:tcPr>
          <w:p>
            <w:pPr>
              <w:ind w:left="60"/>
              <w:spacing w:after="0"/>
              <w:rPr>
                <w:sz w:val="20"/>
                <w:szCs w:val="20"/>
                <w:color w:val="auto"/>
              </w:rPr>
            </w:pPr>
            <w:r>
              <w:rPr>
                <w:rFonts w:ascii="Arial" w:cs="Arial" w:eastAsia="Arial" w:hAnsi="Arial"/>
                <w:sz w:val="20"/>
                <w:szCs w:val="20"/>
                <w:color w:val="auto"/>
                <w:w w:val="94"/>
              </w:rPr>
              <w:t>months</w:t>
            </w:r>
          </w:p>
        </w:tc>
        <w:tc>
          <w:tcPr>
            <w:tcW w:w="1140" w:type="dxa"/>
            <w:vAlign w:val="bottom"/>
          </w:tcPr>
          <w:p>
            <w:pPr>
              <w:ind w:left="60"/>
              <w:spacing w:after="0"/>
              <w:rPr>
                <w:sz w:val="20"/>
                <w:szCs w:val="20"/>
                <w:color w:val="auto"/>
              </w:rPr>
            </w:pPr>
            <w:r>
              <w:rPr>
                <w:rFonts w:ascii="Arial" w:cs="Arial" w:eastAsia="Arial" w:hAnsi="Arial"/>
                <w:sz w:val="20"/>
                <w:szCs w:val="20"/>
                <w:color w:val="auto"/>
                <w:w w:val="93"/>
              </w:rPr>
              <w:t>commencing</w:t>
            </w:r>
          </w:p>
        </w:tc>
        <w:tc>
          <w:tcPr>
            <w:tcW w:w="320" w:type="dxa"/>
            <w:vAlign w:val="bottom"/>
          </w:tcPr>
          <w:p>
            <w:pPr>
              <w:ind w:left="60"/>
              <w:spacing w:after="0"/>
              <w:rPr>
                <w:sz w:val="20"/>
                <w:szCs w:val="20"/>
                <w:color w:val="auto"/>
              </w:rPr>
            </w:pPr>
            <w:r>
              <w:rPr>
                <w:rFonts w:ascii="Arial" w:cs="Arial" w:eastAsia="Arial" w:hAnsi="Arial"/>
                <w:sz w:val="20"/>
                <w:szCs w:val="20"/>
                <w:color w:val="auto"/>
              </w:rPr>
              <w:t>on</w:t>
            </w:r>
          </w:p>
        </w:tc>
        <w:tc>
          <w:tcPr>
            <w:tcW w:w="300" w:type="dxa"/>
            <w:vAlign w:val="bottom"/>
          </w:tcPr>
          <w:p>
            <w:pPr>
              <w:ind w:left="60"/>
              <w:spacing w:after="0"/>
              <w:rPr>
                <w:sz w:val="20"/>
                <w:szCs w:val="20"/>
                <w:color w:val="auto"/>
              </w:rPr>
            </w:pPr>
            <w:r>
              <w:rPr>
                <w:rFonts w:ascii="Arial" w:cs="Arial" w:eastAsia="Arial" w:hAnsi="Arial"/>
                <w:sz w:val="20"/>
                <w:szCs w:val="20"/>
                <w:color w:val="auto"/>
                <w:w w:val="78"/>
              </w:rPr>
              <w:t>the</w:t>
            </w:r>
          </w:p>
        </w:tc>
      </w:tr>
      <w:tr>
        <w:trPr>
          <w:trHeight w:val="250"/>
        </w:trPr>
        <w:tc>
          <w:tcPr>
            <w:tcW w:w="1920" w:type="dxa"/>
            <w:vAlign w:val="bottom"/>
          </w:tcPr>
          <w:p>
            <w:pPr>
              <w:jc w:val="right"/>
              <w:ind w:right="381"/>
              <w:spacing w:after="0"/>
              <w:rPr>
                <w:sz w:val="20"/>
                <w:szCs w:val="20"/>
                <w:color w:val="auto"/>
              </w:rPr>
            </w:pPr>
            <w:r>
              <w:rPr>
                <w:rFonts w:ascii="Arial" w:cs="Arial" w:eastAsia="Arial" w:hAnsi="Arial"/>
                <w:sz w:val="20"/>
                <w:szCs w:val="20"/>
                <w:color w:val="auto"/>
                <w:w w:val="89"/>
              </w:rPr>
              <w:t>Termination Date.</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24"/>
        </w:trPr>
        <w:tc>
          <w:tcPr>
            <w:tcW w:w="1920" w:type="dxa"/>
            <w:vAlign w:val="bottom"/>
          </w:tcPr>
          <w:p>
            <w:pPr>
              <w:jc w:val="right"/>
              <w:ind w:right="701"/>
              <w:spacing w:after="0"/>
              <w:rPr>
                <w:sz w:val="20"/>
                <w:szCs w:val="20"/>
                <w:color w:val="auto"/>
              </w:rPr>
            </w:pPr>
            <w:r>
              <w:rPr>
                <w:rFonts w:ascii="Arial" w:cs="Arial" w:eastAsia="Arial" w:hAnsi="Arial"/>
                <w:sz w:val="20"/>
                <w:szCs w:val="20"/>
                <w:b w:val="1"/>
                <w:bCs w:val="1"/>
                <w:color w:val="auto"/>
              </w:rPr>
              <w:t>7.5</w:t>
            </w:r>
          </w:p>
        </w:tc>
        <w:tc>
          <w:tcPr>
            <w:tcW w:w="1280" w:type="dxa"/>
            <w:vAlign w:val="bottom"/>
          </w:tcPr>
          <w:p>
            <w:pPr>
              <w:ind w:left="50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i w:val="1"/>
                <w:iCs w:val="1"/>
                <w:color w:val="auto"/>
                <w:w w:val="94"/>
              </w:rPr>
              <w:t>Change</w:t>
            </w:r>
          </w:p>
        </w:tc>
        <w:tc>
          <w:tcPr>
            <w:tcW w:w="26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in</w:t>
            </w:r>
          </w:p>
        </w:tc>
        <w:tc>
          <w:tcPr>
            <w:tcW w:w="74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92"/>
              </w:rPr>
              <w:t>Control</w:t>
            </w:r>
          </w:p>
        </w:tc>
        <w:tc>
          <w:tcPr>
            <w:tcW w:w="162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Severance Period</w:t>
            </w:r>
            <w:r>
              <w:rPr>
                <w:rFonts w:ascii="Arial" w:cs="Arial" w:eastAsia="Arial" w:hAnsi="Arial"/>
                <w:sz w:val="20"/>
                <w:szCs w:val="20"/>
                <w:color w:val="auto"/>
                <w:w w:val="89"/>
              </w:rPr>
              <w:t>”</w:t>
            </w:r>
          </w:p>
        </w:tc>
        <w:tc>
          <w:tcPr>
            <w:tcW w:w="620" w:type="dxa"/>
            <w:vAlign w:val="bottom"/>
          </w:tcPr>
          <w:p>
            <w:pPr>
              <w:ind w:left="100"/>
              <w:spacing w:after="0"/>
              <w:rPr>
                <w:sz w:val="20"/>
                <w:szCs w:val="20"/>
                <w:color w:val="auto"/>
              </w:rPr>
            </w:pPr>
            <w:r>
              <w:rPr>
                <w:rFonts w:ascii="Arial" w:cs="Arial" w:eastAsia="Arial" w:hAnsi="Arial"/>
                <w:sz w:val="20"/>
                <w:szCs w:val="20"/>
                <w:color w:val="auto"/>
                <w:w w:val="83"/>
              </w:rPr>
              <w:t>means</w:t>
            </w:r>
          </w:p>
        </w:tc>
        <w:tc>
          <w:tcPr>
            <w:tcW w:w="360" w:type="dxa"/>
            <w:vAlign w:val="bottom"/>
          </w:tcPr>
          <w:p>
            <w:pPr>
              <w:ind w:left="100"/>
              <w:spacing w:after="0"/>
              <w:rPr>
                <w:sz w:val="20"/>
                <w:szCs w:val="20"/>
                <w:color w:val="auto"/>
              </w:rPr>
            </w:pPr>
            <w:r>
              <w:rPr>
                <w:rFonts w:ascii="Arial" w:cs="Arial" w:eastAsia="Arial" w:hAnsi="Arial"/>
                <w:sz w:val="20"/>
                <w:szCs w:val="20"/>
                <w:color w:val="auto"/>
                <w:w w:val="86"/>
              </w:rPr>
              <w:t>the</w:t>
            </w:r>
          </w:p>
        </w:tc>
        <w:tc>
          <w:tcPr>
            <w:tcW w:w="620" w:type="dxa"/>
            <w:vAlign w:val="bottom"/>
          </w:tcPr>
          <w:p>
            <w:pPr>
              <w:ind w:left="100"/>
              <w:spacing w:after="0"/>
              <w:rPr>
                <w:sz w:val="20"/>
                <w:szCs w:val="20"/>
                <w:color w:val="auto"/>
              </w:rPr>
            </w:pPr>
            <w:r>
              <w:rPr>
                <w:rFonts w:ascii="Arial" w:cs="Arial" w:eastAsia="Arial" w:hAnsi="Arial"/>
                <w:sz w:val="20"/>
                <w:szCs w:val="20"/>
                <w:color w:val="auto"/>
                <w:w w:val="89"/>
              </w:rPr>
              <w:t>period</w:t>
            </w:r>
          </w:p>
        </w:tc>
        <w:tc>
          <w:tcPr>
            <w:tcW w:w="280" w:type="dxa"/>
            <w:vAlign w:val="bottom"/>
          </w:tcPr>
          <w:p>
            <w:pPr>
              <w:ind w:left="80"/>
              <w:spacing w:after="0"/>
              <w:rPr>
                <w:sz w:val="20"/>
                <w:szCs w:val="20"/>
                <w:color w:val="auto"/>
              </w:rPr>
            </w:pPr>
            <w:r>
              <w:rPr>
                <w:rFonts w:ascii="Arial" w:cs="Arial" w:eastAsia="Arial" w:hAnsi="Arial"/>
                <w:sz w:val="20"/>
                <w:szCs w:val="20"/>
                <w:color w:val="auto"/>
              </w:rPr>
              <w:t>of</w:t>
            </w:r>
          </w:p>
        </w:tc>
        <w:tc>
          <w:tcPr>
            <w:tcW w:w="640" w:type="dxa"/>
            <w:vAlign w:val="bottom"/>
          </w:tcPr>
          <w:p>
            <w:pPr>
              <w:ind w:left="80"/>
              <w:spacing w:after="0"/>
              <w:rPr>
                <w:sz w:val="20"/>
                <w:szCs w:val="20"/>
                <w:color w:val="auto"/>
              </w:rPr>
            </w:pPr>
            <w:r>
              <w:rPr>
                <w:rFonts w:ascii="Arial" w:cs="Arial" w:eastAsia="Arial" w:hAnsi="Arial"/>
                <w:sz w:val="20"/>
                <w:szCs w:val="20"/>
                <w:color w:val="auto"/>
                <w:w w:val="95"/>
              </w:rPr>
              <w:t>twelve</w:t>
            </w:r>
          </w:p>
        </w:tc>
        <w:tc>
          <w:tcPr>
            <w:tcW w:w="440" w:type="dxa"/>
            <w:vAlign w:val="bottom"/>
          </w:tcPr>
          <w:p>
            <w:pPr>
              <w:jc w:val="right"/>
              <w:spacing w:after="0"/>
              <w:rPr>
                <w:sz w:val="20"/>
                <w:szCs w:val="20"/>
                <w:color w:val="auto"/>
              </w:rPr>
            </w:pPr>
            <w:r>
              <w:rPr>
                <w:rFonts w:ascii="Arial" w:cs="Arial" w:eastAsia="Arial" w:hAnsi="Arial"/>
                <w:sz w:val="20"/>
                <w:szCs w:val="20"/>
                <w:color w:val="auto"/>
              </w:rPr>
              <w:t>(12)</w:t>
            </w:r>
          </w:p>
        </w:tc>
        <w:tc>
          <w:tcPr>
            <w:tcW w:w="700" w:type="dxa"/>
            <w:vAlign w:val="bottom"/>
          </w:tcPr>
          <w:p>
            <w:pPr>
              <w:ind w:left="80"/>
              <w:spacing w:after="0"/>
              <w:rPr>
                <w:sz w:val="20"/>
                <w:szCs w:val="20"/>
                <w:color w:val="auto"/>
              </w:rPr>
            </w:pPr>
            <w:r>
              <w:rPr>
                <w:rFonts w:ascii="Arial" w:cs="Arial" w:eastAsia="Arial" w:hAnsi="Arial"/>
                <w:sz w:val="20"/>
                <w:szCs w:val="20"/>
                <w:color w:val="auto"/>
                <w:w w:val="91"/>
              </w:rPr>
              <w:t>months</w:t>
            </w:r>
          </w:p>
        </w:tc>
        <w:tc>
          <w:tcPr>
            <w:tcW w:w="1140" w:type="dxa"/>
            <w:vAlign w:val="bottom"/>
          </w:tcPr>
          <w:p>
            <w:pPr>
              <w:ind w:left="60"/>
              <w:spacing w:after="0"/>
              <w:rPr>
                <w:sz w:val="20"/>
                <w:szCs w:val="20"/>
                <w:color w:val="auto"/>
              </w:rPr>
            </w:pPr>
            <w:r>
              <w:rPr>
                <w:rFonts w:ascii="Arial" w:cs="Arial" w:eastAsia="Arial" w:hAnsi="Arial"/>
                <w:sz w:val="20"/>
                <w:szCs w:val="20"/>
                <w:color w:val="auto"/>
                <w:w w:val="93"/>
              </w:rPr>
              <w:t>commencing</w:t>
            </w:r>
          </w:p>
        </w:tc>
        <w:tc>
          <w:tcPr>
            <w:tcW w:w="320" w:type="dxa"/>
            <w:vAlign w:val="bottom"/>
          </w:tcPr>
          <w:p>
            <w:pPr>
              <w:ind w:left="60"/>
              <w:spacing w:after="0"/>
              <w:rPr>
                <w:sz w:val="20"/>
                <w:szCs w:val="20"/>
                <w:color w:val="auto"/>
              </w:rPr>
            </w:pPr>
            <w:r>
              <w:rPr>
                <w:rFonts w:ascii="Arial" w:cs="Arial" w:eastAsia="Arial" w:hAnsi="Arial"/>
                <w:sz w:val="20"/>
                <w:szCs w:val="20"/>
                <w:color w:val="auto"/>
              </w:rPr>
              <w:t>on</w:t>
            </w:r>
          </w:p>
        </w:tc>
        <w:tc>
          <w:tcPr>
            <w:tcW w:w="300" w:type="dxa"/>
            <w:vAlign w:val="bottom"/>
          </w:tcPr>
          <w:p>
            <w:pPr>
              <w:ind w:left="40"/>
              <w:spacing w:after="0"/>
              <w:rPr>
                <w:sz w:val="20"/>
                <w:szCs w:val="20"/>
                <w:color w:val="auto"/>
              </w:rPr>
            </w:pPr>
            <w:r>
              <w:rPr>
                <w:rFonts w:ascii="Arial" w:cs="Arial" w:eastAsia="Arial" w:hAnsi="Arial"/>
                <w:sz w:val="20"/>
                <w:szCs w:val="20"/>
                <w:color w:val="auto"/>
                <w:w w:val="86"/>
              </w:rPr>
              <w:t>the</w:t>
            </w:r>
          </w:p>
        </w:tc>
      </w:tr>
      <w:tr>
        <w:trPr>
          <w:trHeight w:val="250"/>
        </w:trPr>
        <w:tc>
          <w:tcPr>
            <w:tcW w:w="1920" w:type="dxa"/>
            <w:vAlign w:val="bottom"/>
          </w:tcPr>
          <w:p>
            <w:pPr>
              <w:jc w:val="right"/>
              <w:ind w:right="381"/>
              <w:spacing w:after="0"/>
              <w:rPr>
                <w:sz w:val="20"/>
                <w:szCs w:val="20"/>
                <w:color w:val="auto"/>
              </w:rPr>
            </w:pPr>
            <w:r>
              <w:rPr>
                <w:rFonts w:ascii="Arial" w:cs="Arial" w:eastAsia="Arial" w:hAnsi="Arial"/>
                <w:sz w:val="20"/>
                <w:szCs w:val="20"/>
                <w:color w:val="auto"/>
                <w:w w:val="89"/>
              </w:rPr>
              <w:t>Termination Date.</w:t>
            </w: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40"/>
        </w:trPr>
        <w:tc>
          <w:tcPr>
            <w:tcW w:w="1920" w:type="dxa"/>
            <w:vAlign w:val="bottom"/>
          </w:tcPr>
          <w:p>
            <w:pPr>
              <w:jc w:val="right"/>
              <w:ind w:right="701"/>
              <w:spacing w:after="0"/>
              <w:rPr>
                <w:sz w:val="20"/>
                <w:szCs w:val="20"/>
                <w:color w:val="auto"/>
              </w:rPr>
            </w:pPr>
            <w:r>
              <w:rPr>
                <w:rFonts w:ascii="Arial" w:cs="Arial" w:eastAsia="Arial" w:hAnsi="Arial"/>
                <w:sz w:val="20"/>
                <w:szCs w:val="20"/>
                <w:b w:val="1"/>
                <w:bCs w:val="1"/>
                <w:color w:val="auto"/>
              </w:rPr>
              <w:t>7.6</w:t>
            </w:r>
          </w:p>
        </w:tc>
        <w:tc>
          <w:tcPr>
            <w:tcW w:w="9320" w:type="dxa"/>
            <w:vAlign w:val="bottom"/>
            <w:gridSpan w:val="14"/>
          </w:tcPr>
          <w:p>
            <w:pPr>
              <w:ind w:left="50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i w:val="1"/>
                <w:iCs w:val="1"/>
                <w:color w:val="auto"/>
                <w:w w:val="90"/>
              </w:rPr>
              <w:t>Change in Control Termination</w:t>
            </w:r>
            <w:r>
              <w:rPr>
                <w:rFonts w:ascii="Arial" w:cs="Arial" w:eastAsia="Arial" w:hAnsi="Arial"/>
                <w:sz w:val="20"/>
                <w:szCs w:val="20"/>
                <w:color w:val="auto"/>
                <w:w w:val="90"/>
              </w:rPr>
              <w:t>” means an “</w:t>
            </w:r>
            <w:r>
              <w:rPr>
                <w:rFonts w:ascii="Arial" w:cs="Arial" w:eastAsia="Arial" w:hAnsi="Arial"/>
                <w:sz w:val="20"/>
                <w:szCs w:val="20"/>
                <w:b w:val="1"/>
                <w:bCs w:val="1"/>
                <w:i w:val="1"/>
                <w:iCs w:val="1"/>
                <w:color w:val="auto"/>
                <w:w w:val="90"/>
              </w:rPr>
              <w:t>Involuntary Termination Without Cause</w:t>
            </w:r>
            <w:r>
              <w:rPr>
                <w:rFonts w:ascii="Arial" w:cs="Arial" w:eastAsia="Arial" w:hAnsi="Arial"/>
                <w:sz w:val="20"/>
                <w:szCs w:val="20"/>
                <w:color w:val="auto"/>
                <w:w w:val="90"/>
              </w:rPr>
              <w:t>” or “</w:t>
            </w:r>
            <w:r>
              <w:rPr>
                <w:rFonts w:ascii="Arial" w:cs="Arial" w:eastAsia="Arial" w:hAnsi="Arial"/>
                <w:sz w:val="20"/>
                <w:szCs w:val="20"/>
                <w:b w:val="1"/>
                <w:bCs w:val="1"/>
                <w:i w:val="1"/>
                <w:iCs w:val="1"/>
                <w:color w:val="auto"/>
                <w:w w:val="90"/>
              </w:rPr>
              <w:t>Resignation for</w:t>
            </w:r>
          </w:p>
        </w:tc>
      </w:tr>
    </w:tbl>
    <w:p>
      <w:pPr>
        <w:jc w:val="both"/>
        <w:spacing w:after="0" w:line="241" w:lineRule="auto"/>
        <w:rPr>
          <w:sz w:val="20"/>
          <w:szCs w:val="20"/>
          <w:color w:val="auto"/>
        </w:rPr>
      </w:pPr>
      <w:r>
        <w:rPr>
          <w:rFonts w:ascii="Arial" w:cs="Arial" w:eastAsia="Arial" w:hAnsi="Arial"/>
          <w:sz w:val="20"/>
          <w:szCs w:val="20"/>
          <w:b w:val="1"/>
          <w:bCs w:val="1"/>
          <w:i w:val="1"/>
          <w:iCs w:val="1"/>
          <w:color w:val="auto"/>
        </w:rPr>
        <w:t>Good Reason</w:t>
      </w:r>
      <w:r>
        <w:rPr>
          <w:rFonts w:ascii="Arial" w:cs="Arial" w:eastAsia="Arial" w:hAnsi="Arial"/>
          <w:sz w:val="20"/>
          <w:szCs w:val="20"/>
          <w:i w:val="1"/>
          <w:iCs w:val="1"/>
          <w:color w:val="auto"/>
        </w:rPr>
        <w:t>,</w:t>
      </w:r>
      <w:r>
        <w:rPr>
          <w:rFonts w:ascii="Arial" w:cs="Arial" w:eastAsia="Arial" w:hAnsi="Arial"/>
          <w:sz w:val="20"/>
          <w:szCs w:val="20"/>
          <w:color w:val="auto"/>
        </w:rPr>
        <w:t>” either of which occurs on, or within three (3) months prior to, or within twelve (12) months following, the effective date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Change in Control, provided that any such termination is a “separation from service” within the meaning of Treasury Regulation Section 1.409A-1(h). Death and disability shall not be deemed Change in Control Terminations.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7.7</w:t>
            </w:r>
          </w:p>
        </w:tc>
        <w:tc>
          <w:tcPr>
            <w:tcW w:w="9480" w:type="dxa"/>
            <w:vAlign w:val="bottom"/>
          </w:tcPr>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means the Consolidated Omnibus Budget Reconciliation Act of 1985, as amended.</w:t>
            </w:r>
          </w:p>
        </w:tc>
      </w:tr>
      <w:tr>
        <w:trPr>
          <w:trHeight w:val="445"/>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7.8</w:t>
            </w:r>
          </w:p>
        </w:tc>
        <w:tc>
          <w:tcPr>
            <w:tcW w:w="9480" w:type="dxa"/>
            <w:vAlign w:val="bottom"/>
          </w:tcPr>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tc>
      </w:tr>
      <w:tr>
        <w:trPr>
          <w:trHeight w:val="440"/>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7.9</w:t>
            </w:r>
          </w:p>
        </w:tc>
        <w:tc>
          <w:tcPr>
            <w:tcW w:w="9480" w:type="dxa"/>
            <w:vAlign w:val="bottom"/>
          </w:tcPr>
          <w:p>
            <w:pPr>
              <w:ind w:left="660"/>
              <w:spacing w:after="0"/>
              <w:rPr>
                <w:sz w:val="20"/>
                <w:szCs w:val="20"/>
                <w:color w:val="auto"/>
              </w:rPr>
            </w:pPr>
            <w:r>
              <w:rPr>
                <w:rFonts w:ascii="Arial" w:cs="Arial" w:eastAsia="Arial" w:hAnsi="Arial"/>
                <w:sz w:val="20"/>
                <w:szCs w:val="20"/>
                <w:color w:val="auto"/>
                <w:w w:val="96"/>
              </w:rPr>
              <w:t>“</w:t>
            </w:r>
            <w:r>
              <w:rPr>
                <w:rFonts w:ascii="Arial" w:cs="Arial" w:eastAsia="Arial" w:hAnsi="Arial"/>
                <w:sz w:val="20"/>
                <w:szCs w:val="20"/>
                <w:b w:val="1"/>
                <w:bCs w:val="1"/>
                <w:i w:val="1"/>
                <w:iCs w:val="1"/>
                <w:color w:val="auto"/>
                <w:w w:val="96"/>
              </w:rPr>
              <w:t>Company</w:t>
            </w:r>
            <w:r>
              <w:rPr>
                <w:rFonts w:ascii="Arial" w:cs="Arial" w:eastAsia="Arial" w:hAnsi="Arial"/>
                <w:sz w:val="20"/>
                <w:szCs w:val="20"/>
                <w:color w:val="auto"/>
                <w:w w:val="96"/>
              </w:rPr>
              <w:t>” means Syndax Pharmaceuticals, Inc. or, following a Change in Control, the surviving entity</w:t>
            </w:r>
          </w:p>
        </w:tc>
      </w:tr>
    </w:tbl>
    <w:p>
      <w:pPr>
        <w:ind w:left="5520" w:right="1960" w:hanging="5520"/>
        <w:spacing w:after="0" w:line="468" w:lineRule="auto"/>
        <w:rPr>
          <w:sz w:val="20"/>
          <w:szCs w:val="20"/>
          <w:color w:val="auto"/>
        </w:rPr>
      </w:pPr>
      <w:r>
        <w:rPr>
          <w:rFonts w:ascii="Arial" w:cs="Arial" w:eastAsia="Arial" w:hAnsi="Arial"/>
          <w:sz w:val="20"/>
          <w:szCs w:val="20"/>
          <w:color w:val="auto"/>
        </w:rPr>
        <w:t>resulting from such transaction, or any subsequent surviving entity resulting from any subsequent Change in Control.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1860" w:type="dxa"/>
            <w:vAlign w:val="bottom"/>
          </w:tcPr>
          <w:p>
            <w:pPr>
              <w:ind w:left="880"/>
              <w:spacing w:after="0"/>
              <w:rPr>
                <w:sz w:val="20"/>
                <w:szCs w:val="20"/>
                <w:color w:val="auto"/>
              </w:rPr>
            </w:pPr>
            <w:r>
              <w:rPr>
                <w:rFonts w:ascii="Arial" w:cs="Arial" w:eastAsia="Arial" w:hAnsi="Arial"/>
                <w:sz w:val="20"/>
                <w:szCs w:val="20"/>
                <w:b w:val="1"/>
                <w:bCs w:val="1"/>
                <w:color w:val="auto"/>
              </w:rPr>
              <w:t>7.10</w:t>
            </w:r>
          </w:p>
        </w:tc>
        <w:tc>
          <w:tcPr>
            <w:tcW w:w="9360" w:type="dxa"/>
            <w:vAlign w:val="bottom"/>
          </w:tcPr>
          <w:p>
            <w:pPr>
              <w:jc w:val="right"/>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i w:val="1"/>
                <w:iCs w:val="1"/>
                <w:color w:val="auto"/>
                <w:w w:val="99"/>
              </w:rPr>
              <w:t>Confidentiality Agreement</w:t>
            </w:r>
            <w:r>
              <w:rPr>
                <w:rFonts w:ascii="Arial" w:cs="Arial" w:eastAsia="Arial" w:hAnsi="Arial"/>
                <w:sz w:val="20"/>
                <w:szCs w:val="20"/>
                <w:color w:val="auto"/>
                <w:w w:val="99"/>
              </w:rPr>
              <w:t>” means Executive’s Assignment of Developments, Non-Disclosure, and Non-</w:t>
            </w:r>
          </w:p>
        </w:tc>
      </w:tr>
      <w:tr>
        <w:trPr>
          <w:trHeight w:val="250"/>
        </w:trPr>
        <w:tc>
          <w:tcPr>
            <w:tcW w:w="11220" w:type="dxa"/>
            <w:vAlign w:val="bottom"/>
            <w:gridSpan w:val="2"/>
          </w:tcPr>
          <w:p>
            <w:pPr>
              <w:spacing w:after="0"/>
              <w:rPr>
                <w:sz w:val="20"/>
                <w:szCs w:val="20"/>
                <w:color w:val="auto"/>
              </w:rPr>
            </w:pPr>
            <w:r>
              <w:rPr>
                <w:rFonts w:ascii="Arial" w:cs="Arial" w:eastAsia="Arial" w:hAnsi="Arial"/>
                <w:sz w:val="20"/>
                <w:szCs w:val="20"/>
                <w:color w:val="auto"/>
              </w:rPr>
              <w:t>Solicitation Agreement with the Company (or any successor agreement thereto).</w:t>
            </w:r>
          </w:p>
        </w:tc>
      </w:tr>
      <w:tr>
        <w:trPr>
          <w:trHeight w:val="440"/>
        </w:trPr>
        <w:tc>
          <w:tcPr>
            <w:tcW w:w="1860" w:type="dxa"/>
            <w:vAlign w:val="bottom"/>
          </w:tcPr>
          <w:p>
            <w:pPr>
              <w:ind w:left="880"/>
              <w:spacing w:after="0"/>
              <w:rPr>
                <w:sz w:val="20"/>
                <w:szCs w:val="20"/>
                <w:color w:val="auto"/>
              </w:rPr>
            </w:pPr>
            <w:r>
              <w:rPr>
                <w:rFonts w:ascii="Arial" w:cs="Arial" w:eastAsia="Arial" w:hAnsi="Arial"/>
                <w:sz w:val="20"/>
                <w:szCs w:val="20"/>
                <w:b w:val="1"/>
                <w:bCs w:val="1"/>
                <w:color w:val="auto"/>
              </w:rPr>
              <w:t>7.11</w:t>
            </w:r>
          </w:p>
        </w:tc>
        <w:tc>
          <w:tcPr>
            <w:tcW w:w="9360" w:type="dxa"/>
            <w:vAlign w:val="bottom"/>
          </w:tcPr>
          <w:p>
            <w:pPr>
              <w:jc w:val="right"/>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i w:val="1"/>
                <w:iCs w:val="1"/>
                <w:color w:val="auto"/>
                <w:w w:val="99"/>
              </w:rPr>
              <w:t>Covered Termination</w:t>
            </w:r>
            <w:r>
              <w:rPr>
                <w:rFonts w:ascii="Arial" w:cs="Arial" w:eastAsia="Arial" w:hAnsi="Arial"/>
                <w:sz w:val="20"/>
                <w:szCs w:val="20"/>
                <w:color w:val="auto"/>
                <w:w w:val="99"/>
              </w:rPr>
              <w:t>” means an “</w:t>
            </w:r>
            <w:r>
              <w:rPr>
                <w:rFonts w:ascii="Arial" w:cs="Arial" w:eastAsia="Arial" w:hAnsi="Arial"/>
                <w:sz w:val="20"/>
                <w:szCs w:val="20"/>
                <w:b w:val="1"/>
                <w:bCs w:val="1"/>
                <w:i w:val="1"/>
                <w:iCs w:val="1"/>
                <w:color w:val="auto"/>
                <w:w w:val="99"/>
              </w:rPr>
              <w:t>Involuntary Termination Without Cause</w:t>
            </w:r>
            <w:r>
              <w:rPr>
                <w:rFonts w:ascii="Arial" w:cs="Arial" w:eastAsia="Arial" w:hAnsi="Arial"/>
                <w:sz w:val="20"/>
                <w:szCs w:val="20"/>
                <w:color w:val="auto"/>
                <w:w w:val="99"/>
              </w:rPr>
              <w:t>” or “</w:t>
            </w:r>
            <w:r>
              <w:rPr>
                <w:rFonts w:ascii="Arial" w:cs="Arial" w:eastAsia="Arial" w:hAnsi="Arial"/>
                <w:sz w:val="20"/>
                <w:szCs w:val="20"/>
                <w:b w:val="1"/>
                <w:bCs w:val="1"/>
                <w:i w:val="1"/>
                <w:iCs w:val="1"/>
                <w:color w:val="auto"/>
                <w:w w:val="99"/>
              </w:rPr>
              <w:t>Resignation for Good</w:t>
            </w:r>
          </w:p>
        </w:tc>
      </w:tr>
    </w:tbl>
    <w:p>
      <w:pPr>
        <w:jc w:val="both"/>
        <w:spacing w:after="0" w:line="241" w:lineRule="auto"/>
        <w:rPr>
          <w:sz w:val="20"/>
          <w:szCs w:val="20"/>
          <w:color w:val="auto"/>
        </w:rPr>
      </w:pPr>
      <w:r>
        <w:rPr>
          <w:rFonts w:ascii="Arial" w:cs="Arial" w:eastAsia="Arial" w:hAnsi="Arial"/>
          <w:sz w:val="20"/>
          <w:szCs w:val="20"/>
          <w:b w:val="1"/>
          <w:bCs w:val="1"/>
          <w:i w:val="1"/>
          <w:iCs w:val="1"/>
          <w:color w:val="auto"/>
        </w:rPr>
        <w:t>Reason</w:t>
      </w:r>
      <w:r>
        <w:rPr>
          <w:rFonts w:ascii="Arial" w:cs="Arial" w:eastAsia="Arial" w:hAnsi="Arial"/>
          <w:sz w:val="20"/>
          <w:szCs w:val="20"/>
          <w:i w:val="1"/>
          <w:iCs w:val="1"/>
          <w:color w:val="auto"/>
        </w:rPr>
        <w:t>,</w:t>
      </w:r>
      <w:r>
        <w:rPr>
          <w:rFonts w:ascii="Arial" w:cs="Arial" w:eastAsia="Arial" w:hAnsi="Arial"/>
          <w:sz w:val="20"/>
          <w:szCs w:val="20"/>
          <w:color w:val="auto"/>
        </w:rPr>
        <w:t>” provided that any such termination is a “separation from service” within the meaning of Treasury Regulation Section 1.409A-1(h).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Death and disability shall not be deemed Covered Terminations. If an Involuntary Termination Without Cause or Resignation for Good Reason qualifies as a Change in Control Termination, it shall not constitute a Covered Termination.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980" w:type="dxa"/>
            <w:vAlign w:val="bottom"/>
          </w:tcPr>
          <w:p>
            <w:pPr>
              <w:jc w:val="right"/>
              <w:ind w:right="661"/>
              <w:spacing w:after="0"/>
              <w:rPr>
                <w:sz w:val="20"/>
                <w:szCs w:val="20"/>
                <w:color w:val="auto"/>
              </w:rPr>
            </w:pPr>
            <w:r>
              <w:rPr>
                <w:rFonts w:ascii="Arial" w:cs="Arial" w:eastAsia="Arial" w:hAnsi="Arial"/>
                <w:sz w:val="20"/>
                <w:szCs w:val="20"/>
                <w:b w:val="1"/>
                <w:bCs w:val="1"/>
                <w:color w:val="auto"/>
              </w:rPr>
              <w:t>7.12</w:t>
            </w:r>
          </w:p>
        </w:tc>
        <w:tc>
          <w:tcPr>
            <w:tcW w:w="1340" w:type="dxa"/>
            <w:vAlign w:val="bottom"/>
          </w:tcPr>
          <w:p>
            <w:pPr>
              <w:ind w:left="54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Covered</w:t>
            </w:r>
          </w:p>
        </w:tc>
        <w:tc>
          <w:tcPr>
            <w:tcW w:w="1120" w:type="dxa"/>
            <w:vAlign w:val="bottom"/>
          </w:tcPr>
          <w:p>
            <w:pPr>
              <w:ind w:left="80"/>
              <w:spacing w:after="0"/>
              <w:rPr>
                <w:sz w:val="20"/>
                <w:szCs w:val="20"/>
                <w:color w:val="auto"/>
              </w:rPr>
            </w:pPr>
            <w:r>
              <w:rPr>
                <w:rFonts w:ascii="Arial" w:cs="Arial" w:eastAsia="Arial" w:hAnsi="Arial"/>
                <w:sz w:val="20"/>
                <w:szCs w:val="20"/>
                <w:b w:val="1"/>
                <w:bCs w:val="1"/>
                <w:i w:val="1"/>
                <w:iCs w:val="1"/>
                <w:color w:val="auto"/>
                <w:w w:val="89"/>
              </w:rPr>
              <w:t>Termination</w:t>
            </w:r>
          </w:p>
        </w:tc>
        <w:tc>
          <w:tcPr>
            <w:tcW w:w="1620" w:type="dxa"/>
            <w:vAlign w:val="bottom"/>
          </w:tcPr>
          <w:p>
            <w:pPr>
              <w:ind w:left="80"/>
              <w:spacing w:after="0"/>
              <w:rPr>
                <w:sz w:val="20"/>
                <w:szCs w:val="20"/>
                <w:color w:val="auto"/>
              </w:rPr>
            </w:pPr>
            <w:r>
              <w:rPr>
                <w:rFonts w:ascii="Arial" w:cs="Arial" w:eastAsia="Arial" w:hAnsi="Arial"/>
                <w:sz w:val="20"/>
                <w:szCs w:val="20"/>
                <w:b w:val="1"/>
                <w:bCs w:val="1"/>
                <w:i w:val="1"/>
                <w:iCs w:val="1"/>
                <w:color w:val="auto"/>
                <w:w w:val="99"/>
              </w:rPr>
              <w:t>Benefits Period</w:t>
            </w:r>
            <w:r>
              <w:rPr>
                <w:rFonts w:ascii="Arial" w:cs="Arial" w:eastAsia="Arial" w:hAnsi="Arial"/>
                <w:sz w:val="20"/>
                <w:szCs w:val="20"/>
                <w:color w:val="auto"/>
                <w:w w:val="99"/>
              </w:rPr>
              <w:t>”</w:t>
            </w:r>
          </w:p>
        </w:tc>
        <w:tc>
          <w:tcPr>
            <w:tcW w:w="640" w:type="dxa"/>
            <w:vAlign w:val="bottom"/>
          </w:tcPr>
          <w:p>
            <w:pPr>
              <w:ind w:left="20"/>
              <w:spacing w:after="0"/>
              <w:rPr>
                <w:sz w:val="20"/>
                <w:szCs w:val="20"/>
                <w:color w:val="auto"/>
              </w:rPr>
            </w:pPr>
            <w:r>
              <w:rPr>
                <w:rFonts w:ascii="Arial" w:cs="Arial" w:eastAsia="Arial" w:hAnsi="Arial"/>
                <w:sz w:val="20"/>
                <w:szCs w:val="20"/>
                <w:color w:val="auto"/>
                <w:w w:val="99"/>
              </w:rPr>
              <w:t>means</w:t>
            </w:r>
          </w:p>
        </w:tc>
        <w:tc>
          <w:tcPr>
            <w:tcW w:w="360" w:type="dxa"/>
            <w:vAlign w:val="bottom"/>
          </w:tcPr>
          <w:p>
            <w:pPr>
              <w:spacing w:after="0"/>
              <w:rPr>
                <w:sz w:val="20"/>
                <w:szCs w:val="20"/>
                <w:color w:val="auto"/>
              </w:rPr>
            </w:pPr>
            <w:r>
              <w:rPr>
                <w:rFonts w:ascii="Arial" w:cs="Arial" w:eastAsia="Arial" w:hAnsi="Arial"/>
                <w:sz w:val="20"/>
                <w:szCs w:val="20"/>
                <w:color w:val="auto"/>
              </w:rPr>
              <w:t>the</w:t>
            </w:r>
          </w:p>
        </w:tc>
        <w:tc>
          <w:tcPr>
            <w:tcW w:w="620" w:type="dxa"/>
            <w:vAlign w:val="bottom"/>
          </w:tcPr>
          <w:p>
            <w:pPr>
              <w:spacing w:after="0"/>
              <w:rPr>
                <w:sz w:val="20"/>
                <w:szCs w:val="20"/>
                <w:color w:val="auto"/>
              </w:rPr>
            </w:pPr>
            <w:r>
              <w:rPr>
                <w:rFonts w:ascii="Arial" w:cs="Arial" w:eastAsia="Arial" w:hAnsi="Arial"/>
                <w:sz w:val="20"/>
                <w:szCs w:val="20"/>
                <w:color w:val="auto"/>
              </w:rPr>
              <w:t>period</w:t>
            </w:r>
          </w:p>
        </w:tc>
        <w:tc>
          <w:tcPr>
            <w:tcW w:w="280" w:type="dxa"/>
            <w:vAlign w:val="bottom"/>
          </w:tcPr>
          <w:p>
            <w:pPr>
              <w:ind w:left="20"/>
              <w:spacing w:after="0"/>
              <w:rPr>
                <w:sz w:val="20"/>
                <w:szCs w:val="20"/>
                <w:color w:val="auto"/>
              </w:rPr>
            </w:pPr>
            <w:r>
              <w:rPr>
                <w:rFonts w:ascii="Arial" w:cs="Arial" w:eastAsia="Arial" w:hAnsi="Arial"/>
                <w:sz w:val="20"/>
                <w:szCs w:val="20"/>
                <w:color w:val="auto"/>
              </w:rPr>
              <w:t>of</w:t>
            </w:r>
          </w:p>
        </w:tc>
        <w:tc>
          <w:tcPr>
            <w:tcW w:w="460" w:type="dxa"/>
            <w:vAlign w:val="bottom"/>
          </w:tcPr>
          <w:p>
            <w:pPr>
              <w:ind w:left="40"/>
              <w:spacing w:after="0"/>
              <w:rPr>
                <w:sz w:val="20"/>
                <w:szCs w:val="20"/>
                <w:color w:val="auto"/>
              </w:rPr>
            </w:pPr>
            <w:r>
              <w:rPr>
                <w:rFonts w:ascii="Arial" w:cs="Arial" w:eastAsia="Arial" w:hAnsi="Arial"/>
                <w:sz w:val="20"/>
                <w:szCs w:val="20"/>
                <w:color w:val="auto"/>
              </w:rPr>
              <w:t>nine</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w w:val="97"/>
              </w:rPr>
              <w:t>(9)</w:t>
            </w:r>
          </w:p>
        </w:tc>
        <w:tc>
          <w:tcPr>
            <w:tcW w:w="700" w:type="dxa"/>
            <w:vAlign w:val="bottom"/>
          </w:tcPr>
          <w:p>
            <w:pPr>
              <w:ind w:left="40"/>
              <w:spacing w:after="0"/>
              <w:rPr>
                <w:sz w:val="20"/>
                <w:szCs w:val="20"/>
                <w:color w:val="auto"/>
              </w:rPr>
            </w:pPr>
            <w:r>
              <w:rPr>
                <w:rFonts w:ascii="Arial" w:cs="Arial" w:eastAsia="Arial" w:hAnsi="Arial"/>
                <w:sz w:val="20"/>
                <w:szCs w:val="20"/>
                <w:color w:val="auto"/>
                <w:w w:val="97"/>
              </w:rPr>
              <w:t>months</w:t>
            </w:r>
          </w:p>
        </w:tc>
        <w:tc>
          <w:tcPr>
            <w:tcW w:w="1140" w:type="dxa"/>
            <w:vAlign w:val="bottom"/>
          </w:tcPr>
          <w:p>
            <w:pPr>
              <w:ind w:left="40"/>
              <w:spacing w:after="0"/>
              <w:rPr>
                <w:sz w:val="20"/>
                <w:szCs w:val="20"/>
                <w:color w:val="auto"/>
              </w:rPr>
            </w:pPr>
            <w:r>
              <w:rPr>
                <w:rFonts w:ascii="Arial" w:cs="Arial" w:eastAsia="Arial" w:hAnsi="Arial"/>
                <w:sz w:val="20"/>
                <w:szCs w:val="20"/>
                <w:color w:val="auto"/>
                <w:w w:val="95"/>
              </w:rPr>
              <w:t>commencing</w:t>
            </w:r>
          </w:p>
        </w:tc>
        <w:tc>
          <w:tcPr>
            <w:tcW w:w="320" w:type="dxa"/>
            <w:vAlign w:val="bottom"/>
          </w:tcPr>
          <w:p>
            <w:pPr>
              <w:ind w:left="60"/>
              <w:spacing w:after="0"/>
              <w:rPr>
                <w:sz w:val="20"/>
                <w:szCs w:val="20"/>
                <w:color w:val="auto"/>
              </w:rPr>
            </w:pPr>
            <w:r>
              <w:rPr>
                <w:rFonts w:ascii="Arial" w:cs="Arial" w:eastAsia="Arial" w:hAnsi="Arial"/>
                <w:sz w:val="20"/>
                <w:szCs w:val="20"/>
                <w:color w:val="auto"/>
              </w:rPr>
              <w:t>on</w:t>
            </w:r>
          </w:p>
        </w:tc>
        <w:tc>
          <w:tcPr>
            <w:tcW w:w="300" w:type="dxa"/>
            <w:vAlign w:val="bottom"/>
          </w:tcPr>
          <w:p>
            <w:pPr>
              <w:jc w:val="right"/>
              <w:spacing w:after="0"/>
              <w:rPr>
                <w:sz w:val="20"/>
                <w:szCs w:val="20"/>
                <w:color w:val="auto"/>
              </w:rPr>
            </w:pPr>
            <w:r>
              <w:rPr>
                <w:rFonts w:ascii="Arial" w:cs="Arial" w:eastAsia="Arial" w:hAnsi="Arial"/>
                <w:sz w:val="20"/>
                <w:szCs w:val="20"/>
                <w:color w:val="auto"/>
              </w:rPr>
              <w:t>the</w:t>
            </w:r>
          </w:p>
        </w:tc>
      </w:tr>
      <w:tr>
        <w:trPr>
          <w:trHeight w:val="250"/>
        </w:trPr>
        <w:tc>
          <w:tcPr>
            <w:tcW w:w="1980" w:type="dxa"/>
            <w:vAlign w:val="bottom"/>
          </w:tcPr>
          <w:p>
            <w:pPr>
              <w:spacing w:after="0"/>
              <w:rPr>
                <w:sz w:val="20"/>
                <w:szCs w:val="20"/>
                <w:color w:val="auto"/>
              </w:rPr>
            </w:pPr>
            <w:r>
              <w:rPr>
                <w:rFonts w:ascii="Arial" w:cs="Arial" w:eastAsia="Arial" w:hAnsi="Arial"/>
                <w:sz w:val="20"/>
                <w:szCs w:val="20"/>
                <w:color w:val="auto"/>
              </w:rPr>
              <w:t>Termination Date.</w:t>
            </w: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24"/>
        </w:trPr>
        <w:tc>
          <w:tcPr>
            <w:tcW w:w="1980" w:type="dxa"/>
            <w:vAlign w:val="bottom"/>
          </w:tcPr>
          <w:p>
            <w:pPr>
              <w:jc w:val="right"/>
              <w:ind w:right="661"/>
              <w:spacing w:after="0"/>
              <w:rPr>
                <w:sz w:val="20"/>
                <w:szCs w:val="20"/>
                <w:color w:val="auto"/>
              </w:rPr>
            </w:pPr>
            <w:r>
              <w:rPr>
                <w:rFonts w:ascii="Arial" w:cs="Arial" w:eastAsia="Arial" w:hAnsi="Arial"/>
                <w:sz w:val="20"/>
                <w:szCs w:val="20"/>
                <w:b w:val="1"/>
                <w:bCs w:val="1"/>
                <w:color w:val="auto"/>
              </w:rPr>
              <w:t>7.13</w:t>
            </w:r>
          </w:p>
        </w:tc>
        <w:tc>
          <w:tcPr>
            <w:tcW w:w="1340" w:type="dxa"/>
            <w:vAlign w:val="bottom"/>
          </w:tcPr>
          <w:p>
            <w:pPr>
              <w:ind w:left="54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i w:val="1"/>
                <w:iCs w:val="1"/>
                <w:color w:val="auto"/>
                <w:w w:val="89"/>
              </w:rPr>
              <w:t>Covered</w:t>
            </w:r>
          </w:p>
        </w:tc>
        <w:tc>
          <w:tcPr>
            <w:tcW w:w="112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90"/>
              </w:rPr>
              <w:t>Termination</w:t>
            </w:r>
          </w:p>
        </w:tc>
        <w:tc>
          <w:tcPr>
            <w:tcW w:w="162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88"/>
              </w:rPr>
              <w:t>Severance Period</w:t>
            </w:r>
            <w:r>
              <w:rPr>
                <w:rFonts w:ascii="Arial" w:cs="Arial" w:eastAsia="Arial" w:hAnsi="Arial"/>
                <w:sz w:val="20"/>
                <w:szCs w:val="20"/>
                <w:color w:val="auto"/>
                <w:w w:val="88"/>
              </w:rPr>
              <w:t>”</w:t>
            </w:r>
          </w:p>
        </w:tc>
        <w:tc>
          <w:tcPr>
            <w:tcW w:w="640" w:type="dxa"/>
            <w:vAlign w:val="bottom"/>
          </w:tcPr>
          <w:p>
            <w:pPr>
              <w:ind w:left="120"/>
              <w:spacing w:after="0"/>
              <w:rPr>
                <w:sz w:val="20"/>
                <w:szCs w:val="20"/>
                <w:color w:val="auto"/>
              </w:rPr>
            </w:pPr>
            <w:r>
              <w:rPr>
                <w:rFonts w:ascii="Arial" w:cs="Arial" w:eastAsia="Arial" w:hAnsi="Arial"/>
                <w:sz w:val="20"/>
                <w:szCs w:val="20"/>
                <w:color w:val="auto"/>
                <w:w w:val="83"/>
              </w:rPr>
              <w:t>means</w:t>
            </w:r>
          </w:p>
        </w:tc>
        <w:tc>
          <w:tcPr>
            <w:tcW w:w="360" w:type="dxa"/>
            <w:vAlign w:val="bottom"/>
          </w:tcPr>
          <w:p>
            <w:pPr>
              <w:ind w:left="100"/>
              <w:spacing w:after="0"/>
              <w:rPr>
                <w:sz w:val="20"/>
                <w:szCs w:val="20"/>
                <w:color w:val="auto"/>
              </w:rPr>
            </w:pPr>
            <w:r>
              <w:rPr>
                <w:rFonts w:ascii="Arial" w:cs="Arial" w:eastAsia="Arial" w:hAnsi="Arial"/>
                <w:sz w:val="20"/>
                <w:szCs w:val="20"/>
                <w:color w:val="auto"/>
                <w:w w:val="86"/>
              </w:rPr>
              <w:t>the</w:t>
            </w:r>
          </w:p>
        </w:tc>
        <w:tc>
          <w:tcPr>
            <w:tcW w:w="620" w:type="dxa"/>
            <w:vAlign w:val="bottom"/>
          </w:tcPr>
          <w:p>
            <w:pPr>
              <w:ind w:left="100"/>
              <w:spacing w:after="0"/>
              <w:rPr>
                <w:sz w:val="20"/>
                <w:szCs w:val="20"/>
                <w:color w:val="auto"/>
              </w:rPr>
            </w:pPr>
            <w:r>
              <w:rPr>
                <w:rFonts w:ascii="Arial" w:cs="Arial" w:eastAsia="Arial" w:hAnsi="Arial"/>
                <w:sz w:val="20"/>
                <w:szCs w:val="20"/>
                <w:color w:val="auto"/>
                <w:w w:val="89"/>
              </w:rPr>
              <w:t>period</w:t>
            </w:r>
          </w:p>
        </w:tc>
        <w:tc>
          <w:tcPr>
            <w:tcW w:w="280" w:type="dxa"/>
            <w:vAlign w:val="bottom"/>
          </w:tcPr>
          <w:p>
            <w:pPr>
              <w:ind w:left="100"/>
              <w:spacing w:after="0"/>
              <w:rPr>
                <w:sz w:val="20"/>
                <w:szCs w:val="20"/>
                <w:color w:val="auto"/>
              </w:rPr>
            </w:pPr>
            <w:r>
              <w:rPr>
                <w:rFonts w:ascii="Arial" w:cs="Arial" w:eastAsia="Arial" w:hAnsi="Arial"/>
                <w:sz w:val="20"/>
                <w:szCs w:val="20"/>
                <w:color w:val="auto"/>
                <w:w w:val="95"/>
              </w:rPr>
              <w:t>of</w:t>
            </w:r>
          </w:p>
        </w:tc>
        <w:tc>
          <w:tcPr>
            <w:tcW w:w="460" w:type="dxa"/>
            <w:vAlign w:val="bottom"/>
          </w:tcPr>
          <w:p>
            <w:pPr>
              <w:ind w:left="100"/>
              <w:spacing w:after="0"/>
              <w:rPr>
                <w:sz w:val="20"/>
                <w:szCs w:val="20"/>
                <w:color w:val="auto"/>
              </w:rPr>
            </w:pPr>
            <w:r>
              <w:rPr>
                <w:rFonts w:ascii="Arial" w:cs="Arial" w:eastAsia="Arial" w:hAnsi="Arial"/>
                <w:sz w:val="20"/>
                <w:szCs w:val="20"/>
                <w:color w:val="auto"/>
                <w:w w:val="89"/>
              </w:rPr>
              <w:t>nine</w:t>
            </w:r>
          </w:p>
        </w:tc>
        <w:tc>
          <w:tcPr>
            <w:tcW w:w="360" w:type="dxa"/>
            <w:vAlign w:val="bottom"/>
          </w:tcPr>
          <w:p>
            <w:pPr>
              <w:jc w:val="right"/>
              <w:spacing w:after="0"/>
              <w:rPr>
                <w:sz w:val="20"/>
                <w:szCs w:val="20"/>
                <w:color w:val="auto"/>
              </w:rPr>
            </w:pPr>
            <w:r>
              <w:rPr>
                <w:rFonts w:ascii="Arial" w:cs="Arial" w:eastAsia="Arial" w:hAnsi="Arial"/>
                <w:sz w:val="20"/>
                <w:szCs w:val="20"/>
                <w:color w:val="auto"/>
              </w:rPr>
              <w:t>(9)</w:t>
            </w:r>
          </w:p>
        </w:tc>
        <w:tc>
          <w:tcPr>
            <w:tcW w:w="700" w:type="dxa"/>
            <w:vAlign w:val="bottom"/>
          </w:tcPr>
          <w:p>
            <w:pPr>
              <w:ind w:left="80"/>
              <w:spacing w:after="0"/>
              <w:rPr>
                <w:sz w:val="20"/>
                <w:szCs w:val="20"/>
                <w:color w:val="auto"/>
              </w:rPr>
            </w:pPr>
            <w:r>
              <w:rPr>
                <w:rFonts w:ascii="Arial" w:cs="Arial" w:eastAsia="Arial" w:hAnsi="Arial"/>
                <w:sz w:val="20"/>
                <w:szCs w:val="20"/>
                <w:color w:val="auto"/>
                <w:w w:val="91"/>
              </w:rPr>
              <w:t>months</w:t>
            </w:r>
          </w:p>
        </w:tc>
        <w:tc>
          <w:tcPr>
            <w:tcW w:w="1140" w:type="dxa"/>
            <w:vAlign w:val="bottom"/>
          </w:tcPr>
          <w:p>
            <w:pPr>
              <w:ind w:left="80"/>
              <w:spacing w:after="0"/>
              <w:rPr>
                <w:sz w:val="20"/>
                <w:szCs w:val="20"/>
                <w:color w:val="auto"/>
              </w:rPr>
            </w:pPr>
            <w:r>
              <w:rPr>
                <w:rFonts w:ascii="Arial" w:cs="Arial" w:eastAsia="Arial" w:hAnsi="Arial"/>
                <w:sz w:val="20"/>
                <w:szCs w:val="20"/>
                <w:color w:val="auto"/>
                <w:w w:val="91"/>
              </w:rPr>
              <w:t>commencing</w:t>
            </w:r>
          </w:p>
        </w:tc>
        <w:tc>
          <w:tcPr>
            <w:tcW w:w="320" w:type="dxa"/>
            <w:vAlign w:val="bottom"/>
          </w:tcPr>
          <w:p>
            <w:pPr>
              <w:ind w:left="60"/>
              <w:spacing w:after="0"/>
              <w:rPr>
                <w:sz w:val="20"/>
                <w:szCs w:val="20"/>
                <w:color w:val="auto"/>
              </w:rPr>
            </w:pPr>
            <w:r>
              <w:rPr>
                <w:rFonts w:ascii="Arial" w:cs="Arial" w:eastAsia="Arial" w:hAnsi="Arial"/>
                <w:sz w:val="20"/>
                <w:szCs w:val="20"/>
                <w:color w:val="auto"/>
              </w:rPr>
              <w:t>on</w:t>
            </w:r>
          </w:p>
        </w:tc>
        <w:tc>
          <w:tcPr>
            <w:tcW w:w="300" w:type="dxa"/>
            <w:vAlign w:val="bottom"/>
          </w:tcPr>
          <w:p>
            <w:pPr>
              <w:jc w:val="right"/>
              <w:spacing w:after="0"/>
              <w:rPr>
                <w:sz w:val="20"/>
                <w:szCs w:val="20"/>
                <w:color w:val="auto"/>
              </w:rPr>
            </w:pPr>
            <w:r>
              <w:rPr>
                <w:rFonts w:ascii="Arial" w:cs="Arial" w:eastAsia="Arial" w:hAnsi="Arial"/>
                <w:sz w:val="20"/>
                <w:szCs w:val="20"/>
                <w:color w:val="auto"/>
              </w:rPr>
              <w:t>the</w:t>
            </w:r>
          </w:p>
        </w:tc>
      </w:tr>
      <w:tr>
        <w:trPr>
          <w:trHeight w:val="250"/>
        </w:trPr>
        <w:tc>
          <w:tcPr>
            <w:tcW w:w="1980" w:type="dxa"/>
            <w:vAlign w:val="bottom"/>
          </w:tcPr>
          <w:p>
            <w:pPr>
              <w:spacing w:after="0"/>
              <w:rPr>
                <w:sz w:val="20"/>
                <w:szCs w:val="20"/>
                <w:color w:val="auto"/>
              </w:rPr>
            </w:pPr>
            <w:r>
              <w:rPr>
                <w:rFonts w:ascii="Arial" w:cs="Arial" w:eastAsia="Arial" w:hAnsi="Arial"/>
                <w:sz w:val="20"/>
                <w:szCs w:val="20"/>
                <w:color w:val="auto"/>
              </w:rPr>
              <w:t>Termination Date.</w:t>
            </w: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24"/>
        </w:trPr>
        <w:tc>
          <w:tcPr>
            <w:tcW w:w="1980" w:type="dxa"/>
            <w:vAlign w:val="bottom"/>
          </w:tcPr>
          <w:p>
            <w:pPr>
              <w:jc w:val="right"/>
              <w:ind w:right="661"/>
              <w:spacing w:after="0"/>
              <w:rPr>
                <w:sz w:val="20"/>
                <w:szCs w:val="20"/>
                <w:color w:val="auto"/>
              </w:rPr>
            </w:pPr>
            <w:r>
              <w:rPr>
                <w:rFonts w:ascii="Arial" w:cs="Arial" w:eastAsia="Arial" w:hAnsi="Arial"/>
                <w:sz w:val="20"/>
                <w:szCs w:val="20"/>
                <w:b w:val="1"/>
                <w:bCs w:val="1"/>
                <w:color w:val="auto"/>
              </w:rPr>
              <w:t>7.14</w:t>
            </w:r>
          </w:p>
        </w:tc>
        <w:tc>
          <w:tcPr>
            <w:tcW w:w="9260" w:type="dxa"/>
            <w:vAlign w:val="bottom"/>
            <w:gridSpan w:val="13"/>
          </w:tcPr>
          <w:p>
            <w:pPr>
              <w:jc w:val="right"/>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i w:val="1"/>
                <w:iCs w:val="1"/>
                <w:color w:val="auto"/>
                <w:w w:val="98"/>
              </w:rPr>
              <w:t>Involuntary Termination Without Cause</w:t>
            </w:r>
            <w:r>
              <w:rPr>
                <w:rFonts w:ascii="Arial" w:cs="Arial" w:eastAsia="Arial" w:hAnsi="Arial"/>
                <w:sz w:val="20"/>
                <w:szCs w:val="20"/>
                <w:color w:val="auto"/>
                <w:w w:val="98"/>
              </w:rPr>
              <w:t>” means Executive’s dismissal or discharge by the Company for</w:t>
            </w:r>
          </w:p>
        </w:tc>
      </w:tr>
      <w:tr>
        <w:trPr>
          <w:trHeight w:val="250"/>
        </w:trPr>
        <w:tc>
          <w:tcPr>
            <w:tcW w:w="6060" w:type="dxa"/>
            <w:vAlign w:val="bottom"/>
            <w:gridSpan w:val="4"/>
          </w:tcPr>
          <w:p>
            <w:pPr>
              <w:spacing w:after="0"/>
              <w:rPr>
                <w:sz w:val="20"/>
                <w:szCs w:val="20"/>
                <w:color w:val="auto"/>
              </w:rPr>
            </w:pPr>
            <w:r>
              <w:rPr>
                <w:rFonts w:ascii="Arial" w:cs="Arial" w:eastAsia="Arial" w:hAnsi="Arial"/>
                <w:sz w:val="20"/>
                <w:szCs w:val="20"/>
                <w:color w:val="auto"/>
                <w:w w:val="92"/>
              </w:rPr>
              <w:t>reasons other than Cause and other than as a result of death or disability.</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40"/>
        </w:trPr>
        <w:tc>
          <w:tcPr>
            <w:tcW w:w="1980" w:type="dxa"/>
            <w:vAlign w:val="bottom"/>
          </w:tcPr>
          <w:p>
            <w:pPr>
              <w:jc w:val="right"/>
              <w:ind w:right="661"/>
              <w:spacing w:after="0"/>
              <w:rPr>
                <w:sz w:val="20"/>
                <w:szCs w:val="20"/>
                <w:color w:val="auto"/>
              </w:rPr>
            </w:pPr>
            <w:r>
              <w:rPr>
                <w:rFonts w:ascii="Arial" w:cs="Arial" w:eastAsia="Arial" w:hAnsi="Arial"/>
                <w:sz w:val="20"/>
                <w:szCs w:val="20"/>
                <w:b w:val="1"/>
                <w:bCs w:val="1"/>
                <w:color w:val="auto"/>
              </w:rPr>
              <w:t>7.15</w:t>
            </w:r>
          </w:p>
        </w:tc>
        <w:tc>
          <w:tcPr>
            <w:tcW w:w="9260" w:type="dxa"/>
            <w:vAlign w:val="bottom"/>
            <w:gridSpan w:val="13"/>
          </w:tcPr>
          <w:p>
            <w:pPr>
              <w:jc w:val="right"/>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i w:val="1"/>
                <w:iCs w:val="1"/>
                <w:color w:val="auto"/>
                <w:w w:val="95"/>
              </w:rPr>
              <w:t>Monthly Base Salary</w:t>
            </w:r>
            <w:r>
              <w:rPr>
                <w:rFonts w:ascii="Arial" w:cs="Arial" w:eastAsia="Arial" w:hAnsi="Arial"/>
                <w:sz w:val="20"/>
                <w:szCs w:val="20"/>
                <w:color w:val="auto"/>
                <w:w w:val="95"/>
              </w:rPr>
              <w:t>” means 1/12</w:t>
            </w:r>
            <w:r>
              <w:rPr>
                <w:rFonts w:ascii="Arial" w:cs="Arial" w:eastAsia="Arial" w:hAnsi="Arial"/>
                <w:sz w:val="16"/>
                <w:szCs w:val="16"/>
                <w:color w:val="auto"/>
                <w:w w:val="95"/>
              </w:rPr>
              <w:t>th</w:t>
            </w:r>
            <w:r>
              <w:rPr>
                <w:rFonts w:ascii="Arial" w:cs="Arial" w:eastAsia="Arial" w:hAnsi="Arial"/>
                <w:sz w:val="20"/>
                <w:szCs w:val="20"/>
                <w:color w:val="auto"/>
                <w:w w:val="95"/>
              </w:rPr>
              <w:t xml:space="preserve"> of the greater of (i) Executive’s annual base salary (excluding incentive</w:t>
            </w:r>
          </w:p>
        </w:tc>
      </w:tr>
    </w:tbl>
    <w:p>
      <w:pPr>
        <w:jc w:val="both"/>
        <w:spacing w:after="0"/>
        <w:rPr>
          <w:sz w:val="20"/>
          <w:szCs w:val="20"/>
          <w:color w:val="auto"/>
        </w:rPr>
      </w:pPr>
      <w:r>
        <w:rPr>
          <w:rFonts w:ascii="Arial" w:cs="Arial" w:eastAsia="Arial" w:hAnsi="Arial"/>
          <w:sz w:val="20"/>
          <w:szCs w:val="20"/>
          <w:color w:val="auto"/>
        </w:rPr>
        <w:t>pay, 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9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7.16 </w:t>
      </w:r>
      <w:r>
        <w:rPr>
          <w:rFonts w:ascii="Arial" w:cs="Arial" w:eastAsia="Arial" w:hAnsi="Arial"/>
          <w:sz w:val="19"/>
          <w:szCs w:val="19"/>
          <w:color w:val="auto"/>
        </w:rPr>
        <w:t>“</w:t>
      </w:r>
      <w:r>
        <w:rPr>
          <w:rFonts w:ascii="Arial" w:cs="Arial" w:eastAsia="Arial" w:hAnsi="Arial"/>
          <w:sz w:val="19"/>
          <w:szCs w:val="19"/>
          <w:b w:val="1"/>
          <w:bCs w:val="1"/>
          <w:i w:val="1"/>
          <w:iCs w:val="1"/>
          <w:color w:val="auto"/>
        </w:rPr>
        <w:t>Pro-Rata Bonus</w:t>
      </w:r>
      <w:r>
        <w:rPr>
          <w:rFonts w:ascii="Arial" w:cs="Arial" w:eastAsia="Arial" w:hAnsi="Arial"/>
          <w:sz w:val="19"/>
          <w:szCs w:val="19"/>
          <w:color w:val="auto"/>
        </w:rPr>
        <w:t>” means 1/12</w:t>
      </w:r>
      <w:r>
        <w:rPr>
          <w:rFonts w:ascii="Arial" w:cs="Arial" w:eastAsia="Arial" w:hAnsi="Arial"/>
          <w:sz w:val="15"/>
          <w:szCs w:val="15"/>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greater of (i) the average Target Performance Bonus paid to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three years preceding the date of a Change in Control Termination (or such lesser number of years during which Executive has been employed by the Company), or (ii) the Target Performance Bonus, as in effect on the date of a Change in Control Termination.</w:t>
      </w:r>
    </w:p>
    <w:p>
      <w:pPr>
        <w:spacing w:after="0" w:line="16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7.17 </w:t>
      </w:r>
      <w:r>
        <w:rPr>
          <w:rFonts w:ascii="Arial" w:cs="Arial" w:eastAsia="Arial" w:hAnsi="Arial"/>
          <w:sz w:val="20"/>
          <w:szCs w:val="20"/>
          <w:color w:val="auto"/>
        </w:rPr>
        <w:t>“</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means Executive’s resignation from all employee positions Executive then</w:t>
      </w:r>
      <w:r>
        <w:rPr>
          <w:rFonts w:ascii="Arial" w:cs="Arial" w:eastAsia="Arial" w:hAnsi="Arial"/>
          <w:sz w:val="20"/>
          <w:szCs w:val="20"/>
          <w:b w:val="1"/>
          <w:bCs w:val="1"/>
          <w:color w:val="auto"/>
        </w:rPr>
        <w:t xml:space="preserve"> </w:t>
      </w:r>
      <w:r>
        <w:rPr>
          <w:rFonts w:ascii="Arial" w:cs="Arial" w:eastAsia="Arial" w:hAnsi="Arial"/>
          <w:sz w:val="20"/>
          <w:szCs w:val="20"/>
          <w:color w:val="auto"/>
        </w:rPr>
        <w:t>holds 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88" w:lineRule="exact"/>
        <w:rPr>
          <w:sz w:val="20"/>
          <w:szCs w:val="20"/>
          <w:color w:val="auto"/>
        </w:rPr>
      </w:pPr>
    </w:p>
    <w:p>
      <w:pPr>
        <w:jc w:val="both"/>
        <w:ind w:firstLine="1735"/>
        <w:spacing w:after="0" w:line="269" w:lineRule="auto"/>
        <w:tabs>
          <w:tab w:leader="none" w:pos="227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168" w:lineRule="exact"/>
        <w:rPr>
          <w:rFonts w:ascii="Arial" w:cs="Arial" w:eastAsia="Arial" w:hAnsi="Arial"/>
          <w:sz w:val="19"/>
          <w:szCs w:val="19"/>
          <w:color w:val="auto"/>
        </w:rPr>
      </w:pPr>
    </w:p>
    <w:p>
      <w:pPr>
        <w:jc w:val="both"/>
        <w:ind w:firstLine="1735"/>
        <w:spacing w:after="0" w:line="246" w:lineRule="auto"/>
        <w:tabs>
          <w:tab w:leader="none" w:pos="228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Executive’s duties or responsibilities are materially diminished (not simply a change in title or reporting relationships); provided, that Executive shall not be deemed to have a “</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if the Company survives as a separate legal entity or business unit following the Change in Control and Executive holds materially the same position in such legal entity or business unit as Executive held before the Change in Control;</w:t>
      </w:r>
    </w:p>
    <w:p>
      <w:pPr>
        <w:spacing w:after="0" w:line="189" w:lineRule="exact"/>
        <w:rPr>
          <w:rFonts w:ascii="Arial" w:cs="Arial" w:eastAsia="Arial" w:hAnsi="Arial"/>
          <w:sz w:val="20"/>
          <w:szCs w:val="20"/>
          <w:color w:val="auto"/>
        </w:rPr>
      </w:pPr>
    </w:p>
    <w:p>
      <w:pPr>
        <w:jc w:val="both"/>
        <w:ind w:firstLine="1735"/>
        <w:spacing w:after="0" w:line="246" w:lineRule="auto"/>
        <w:tabs>
          <w:tab w:leader="none" w:pos="2276" w:val="left"/>
        </w:tabs>
        <w:numPr>
          <w:ilvl w:val="0"/>
          <w:numId w:val="103"/>
        </w:numPr>
        <w:rPr>
          <w:rFonts w:ascii="Arial" w:cs="Arial" w:eastAsia="Arial" w:hAnsi="Arial"/>
          <w:sz w:val="20"/>
          <w:szCs w:val="20"/>
          <w:color w:val="auto"/>
        </w:rPr>
      </w:pPr>
      <w:r>
        <w:rPr>
          <w:rFonts w:ascii="Arial" w:cs="Arial" w:eastAsia="Arial" w:hAnsi="Arial"/>
          <w:sz w:val="20"/>
          <w:szCs w:val="20"/>
          <w:color w:val="auto"/>
        </w:rPr>
        <w:t>Either (i) Executive is required to establish residence in a location more than fifty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spacing w:after="0" w:line="261" w:lineRule="auto"/>
        <w:rPr>
          <w:sz w:val="20"/>
          <w:szCs w:val="20"/>
          <w:color w:val="auto"/>
        </w:rPr>
      </w:pPr>
      <w:r>
        <w:rPr>
          <w:rFonts w:ascii="Arial" w:cs="Arial" w:eastAsia="Arial" w:hAnsi="Arial"/>
          <w:sz w:val="20"/>
          <w:szCs w:val="20"/>
          <w:color w:val="auto"/>
        </w:rPr>
        <w:t>required business travel to the extent consistent with Executive’s prior business travel obligations) (“</w:t>
      </w:r>
      <w:r>
        <w:rPr>
          <w:rFonts w:ascii="Arial" w:cs="Arial" w:eastAsia="Arial" w:hAnsi="Arial"/>
          <w:sz w:val="20"/>
          <w:szCs w:val="20"/>
          <w:b w:val="1"/>
          <w:bCs w:val="1"/>
          <w:i w:val="1"/>
          <w:iCs w:val="1"/>
          <w:color w:val="auto"/>
        </w:rPr>
        <w:t>Executive’s Principal Place of</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as a result of a change in location by the Company of Executive’s Principal Place of Business; or</w:t>
      </w:r>
    </w:p>
    <w:p>
      <w:pPr>
        <w:spacing w:after="0" w:line="175" w:lineRule="exact"/>
        <w:rPr>
          <w:sz w:val="20"/>
          <w:szCs w:val="20"/>
          <w:color w:val="auto"/>
        </w:rPr>
      </w:pPr>
    </w:p>
    <w:p>
      <w:pPr>
        <w:ind w:firstLine="1735"/>
        <w:spacing w:after="0" w:line="260" w:lineRule="auto"/>
        <w:tabs>
          <w:tab w:leader="none" w:pos="2288"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failure of the Company to obtain a satisfactory agreement from any successor to materially assume and materially agree to perform under the terms of this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20" w:type="dxa"/>
            <w:vAlign w:val="bottom"/>
          </w:tcPr>
          <w:p>
            <w:pPr>
              <w:ind w:left="880"/>
              <w:spacing w:after="0"/>
              <w:rPr>
                <w:sz w:val="20"/>
                <w:szCs w:val="20"/>
                <w:color w:val="auto"/>
              </w:rPr>
            </w:pPr>
            <w:r>
              <w:rPr>
                <w:rFonts w:ascii="Arial" w:cs="Arial" w:eastAsia="Arial" w:hAnsi="Arial"/>
                <w:sz w:val="20"/>
                <w:szCs w:val="20"/>
                <w:b w:val="1"/>
                <w:bCs w:val="1"/>
                <w:color w:val="auto"/>
              </w:rPr>
              <w:t>7.18</w:t>
            </w:r>
          </w:p>
        </w:tc>
        <w:tc>
          <w:tcPr>
            <w:tcW w:w="9420" w:type="dxa"/>
            <w:vAlign w:val="bottom"/>
          </w:tcPr>
          <w:p>
            <w:pPr>
              <w:jc w:val="right"/>
              <w:spacing w:after="0"/>
              <w:rPr>
                <w:sz w:val="20"/>
                <w:szCs w:val="20"/>
                <w:color w:val="auto"/>
              </w:rPr>
            </w:pPr>
            <w:r>
              <w:rPr>
                <w:rFonts w:ascii="Arial" w:cs="Arial" w:eastAsia="Arial" w:hAnsi="Arial"/>
                <w:sz w:val="20"/>
                <w:szCs w:val="20"/>
                <w:color w:val="auto"/>
                <w:w w:val="97"/>
              </w:rPr>
              <w:t>“</w:t>
            </w:r>
            <w:r>
              <w:rPr>
                <w:rFonts w:ascii="Arial" w:cs="Arial" w:eastAsia="Arial" w:hAnsi="Arial"/>
                <w:sz w:val="20"/>
                <w:szCs w:val="20"/>
                <w:b w:val="1"/>
                <w:bCs w:val="1"/>
                <w:i w:val="1"/>
                <w:iCs w:val="1"/>
                <w:color w:val="auto"/>
                <w:w w:val="97"/>
              </w:rPr>
              <w:t>Termination Date</w:t>
            </w:r>
            <w:r>
              <w:rPr>
                <w:rFonts w:ascii="Arial" w:cs="Arial" w:eastAsia="Arial" w:hAnsi="Arial"/>
                <w:sz w:val="20"/>
                <w:szCs w:val="20"/>
                <w:color w:val="auto"/>
                <w:w w:val="97"/>
              </w:rPr>
              <w:t>” means the effective date of the Change in Control Termination, the Covered Termination</w:t>
            </w:r>
          </w:p>
        </w:tc>
      </w:tr>
      <w:tr>
        <w:trPr>
          <w:trHeight w:val="250"/>
        </w:trPr>
        <w:tc>
          <w:tcPr>
            <w:tcW w:w="11240" w:type="dxa"/>
            <w:vAlign w:val="bottom"/>
            <w:gridSpan w:val="2"/>
          </w:tcPr>
          <w:p>
            <w:pPr>
              <w:jc w:val="right"/>
              <w:ind w:right="7881"/>
              <w:spacing w:after="0"/>
              <w:rPr>
                <w:sz w:val="20"/>
                <w:szCs w:val="20"/>
                <w:color w:val="auto"/>
              </w:rPr>
            </w:pPr>
            <w:r>
              <w:rPr>
                <w:rFonts w:ascii="Arial" w:cs="Arial" w:eastAsia="Arial" w:hAnsi="Arial"/>
                <w:sz w:val="20"/>
                <w:szCs w:val="20"/>
                <w:color w:val="auto"/>
                <w:w w:val="88"/>
              </w:rPr>
              <w:t>or a termination for Cause, as applicable.</w:t>
            </w:r>
          </w:p>
        </w:tc>
      </w:tr>
      <w:tr>
        <w:trPr>
          <w:trHeight w:val="445"/>
        </w:trPr>
        <w:tc>
          <w:tcPr>
            <w:tcW w:w="1820" w:type="dxa"/>
            <w:vAlign w:val="bottom"/>
          </w:tcPr>
          <w:p>
            <w:pPr>
              <w:spacing w:after="0"/>
              <w:rPr>
                <w:sz w:val="24"/>
                <w:szCs w:val="24"/>
                <w:color w:val="auto"/>
              </w:rPr>
            </w:pPr>
          </w:p>
        </w:tc>
        <w:tc>
          <w:tcPr>
            <w:tcW w:w="9420" w:type="dxa"/>
            <w:vAlign w:val="bottom"/>
          </w:tcPr>
          <w:p>
            <w:pPr>
              <w:jc w:val="right"/>
              <w:ind w:right="5001"/>
              <w:spacing w:after="0"/>
              <w:rPr>
                <w:sz w:val="20"/>
                <w:szCs w:val="20"/>
                <w:color w:val="auto"/>
              </w:rPr>
            </w:pPr>
            <w:r>
              <w:rPr>
                <w:rFonts w:ascii="Arial" w:cs="Arial" w:eastAsia="Arial" w:hAnsi="Arial"/>
                <w:sz w:val="20"/>
                <w:szCs w:val="20"/>
                <w:b w:val="1"/>
                <w:bCs w:val="1"/>
                <w:color w:val="auto"/>
              </w:rPr>
              <w:t>ARTICLE 8</w:t>
            </w:r>
          </w:p>
        </w:tc>
      </w:tr>
      <w:tr>
        <w:trPr>
          <w:trHeight w:val="458"/>
        </w:trPr>
        <w:tc>
          <w:tcPr>
            <w:tcW w:w="1820" w:type="dxa"/>
            <w:vAlign w:val="bottom"/>
          </w:tcPr>
          <w:p>
            <w:pPr>
              <w:spacing w:after="0"/>
              <w:rPr>
                <w:sz w:val="24"/>
                <w:szCs w:val="24"/>
                <w:color w:val="auto"/>
              </w:rPr>
            </w:pPr>
          </w:p>
        </w:tc>
        <w:tc>
          <w:tcPr>
            <w:tcW w:w="9420" w:type="dxa"/>
            <w:vAlign w:val="bottom"/>
          </w:tcPr>
          <w:p>
            <w:pPr>
              <w:jc w:val="right"/>
              <w:ind w:right="4381"/>
              <w:spacing w:after="0"/>
              <w:rPr>
                <w:sz w:val="20"/>
                <w:szCs w:val="20"/>
                <w:color w:val="auto"/>
              </w:rPr>
            </w:pPr>
            <w:r>
              <w:rPr>
                <w:rFonts w:ascii="Arial" w:cs="Arial" w:eastAsia="Arial" w:hAnsi="Arial"/>
                <w:sz w:val="20"/>
                <w:szCs w:val="20"/>
                <w:b w:val="1"/>
                <w:bCs w:val="1"/>
                <w:color w:val="auto"/>
              </w:rPr>
              <w:t>GENERAL PROVISIONS</w:t>
            </w:r>
          </w:p>
        </w:tc>
      </w:tr>
      <w:tr>
        <w:trPr>
          <w:trHeight w:val="440"/>
        </w:trPr>
        <w:tc>
          <w:tcPr>
            <w:tcW w:w="1820" w:type="dxa"/>
            <w:vAlign w:val="bottom"/>
          </w:tcPr>
          <w:p>
            <w:pPr>
              <w:ind w:left="880"/>
              <w:spacing w:after="0"/>
              <w:rPr>
                <w:sz w:val="20"/>
                <w:szCs w:val="20"/>
                <w:color w:val="auto"/>
              </w:rPr>
            </w:pPr>
            <w:r>
              <w:rPr>
                <w:rFonts w:ascii="Arial" w:cs="Arial" w:eastAsia="Arial" w:hAnsi="Arial"/>
                <w:sz w:val="20"/>
                <w:szCs w:val="20"/>
                <w:b w:val="1"/>
                <w:bCs w:val="1"/>
                <w:color w:val="auto"/>
              </w:rPr>
              <w:t>8.1</w:t>
            </w:r>
          </w:p>
        </w:tc>
        <w:tc>
          <w:tcPr>
            <w:tcW w:w="9420" w:type="dxa"/>
            <w:vAlign w:val="bottom"/>
          </w:tcPr>
          <w:p>
            <w:pPr>
              <w:jc w:val="right"/>
              <w:spacing w:after="0"/>
              <w:rPr>
                <w:sz w:val="20"/>
                <w:szCs w:val="20"/>
                <w:color w:val="auto"/>
              </w:rPr>
            </w:pPr>
            <w:r>
              <w:rPr>
                <w:rFonts w:ascii="Arial" w:cs="Arial" w:eastAsia="Arial" w:hAnsi="Arial"/>
                <w:sz w:val="20"/>
                <w:szCs w:val="20"/>
                <w:b w:val="1"/>
                <w:bCs w:val="1"/>
                <w:color w:val="auto"/>
                <w:w w:val="96"/>
              </w:rPr>
              <w:t>Employment Status</w:t>
            </w:r>
            <w:r>
              <w:rPr>
                <w:rFonts w:ascii="Arial" w:cs="Arial" w:eastAsia="Arial" w:hAnsi="Arial"/>
                <w:sz w:val="20"/>
                <w:szCs w:val="20"/>
                <w:color w:val="auto"/>
                <w:w w:val="96"/>
              </w:rPr>
              <w:t>. This Agreement does not constitute a contract of employment or impose upon Executive</w:t>
            </w:r>
          </w:p>
        </w:tc>
      </w:tr>
    </w:tbl>
    <w:p>
      <w:pPr>
        <w:jc w:val="both"/>
        <w:spacing w:after="0" w:line="268" w:lineRule="auto"/>
        <w:rPr>
          <w:sz w:val="20"/>
          <w:szCs w:val="20"/>
          <w:color w:val="auto"/>
        </w:rPr>
      </w:pPr>
      <w:r>
        <w:rPr>
          <w:rFonts w:ascii="Arial" w:cs="Arial" w:eastAsia="Arial" w:hAnsi="Arial"/>
          <w:sz w:val="19"/>
          <w:szCs w:val="19"/>
          <w:color w:val="auto"/>
        </w:rPr>
        <w:t>any 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8.2 Notices</w:t>
      </w:r>
      <w:r>
        <w:rPr>
          <w:rFonts w:ascii="Arial" w:cs="Arial" w:eastAsia="Arial" w:hAnsi="Arial"/>
          <w:sz w:val="20"/>
          <w:szCs w:val="20"/>
          <w:color w:val="auto"/>
        </w:rPr>
        <w:t>. Any notices provided hereunder must be in writing, and such notices or any other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shall 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8.3 Severability</w:t>
      </w:r>
      <w:r>
        <w:rPr>
          <w:rFonts w:ascii="Arial" w:cs="Arial" w:eastAsia="Arial" w:hAnsi="Arial"/>
          <w:sz w:val="20"/>
          <w:szCs w:val="20"/>
          <w:color w:val="auto"/>
        </w:rPr>
        <w:t>. Whenever possible, each provision of this Agreement will be interpreted in such manner as to be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8.4</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4"/>
              </w:rPr>
              <w:t>Waiver</w:t>
            </w:r>
            <w:r>
              <w:rPr>
                <w:rFonts w:ascii="Arial" w:cs="Arial" w:eastAsia="Arial" w:hAnsi="Arial"/>
                <w:sz w:val="20"/>
                <w:szCs w:val="20"/>
                <w:color w:val="auto"/>
                <w:w w:val="94"/>
              </w:rPr>
              <w:t>. If either party should waive any breach of any provisions of this Agreement, he, she or it shall not</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thereby be deemed to have waived any preceding or succeeding breach of the same or any other provision of this Agreement.</w:t>
            </w:r>
          </w:p>
        </w:tc>
      </w:tr>
      <w:tr>
        <w:trPr>
          <w:trHeight w:val="440"/>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8.5</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7"/>
              </w:rPr>
              <w:t>Complete Agreement</w:t>
            </w:r>
            <w:r>
              <w:rPr>
                <w:rFonts w:ascii="Arial" w:cs="Arial" w:eastAsia="Arial" w:hAnsi="Arial"/>
                <w:sz w:val="20"/>
                <w:szCs w:val="20"/>
                <w:color w:val="auto"/>
                <w:w w:val="97"/>
              </w:rPr>
              <w:t>.  This  Agreement,  including</w:t>
            </w:r>
            <w:r>
              <w:rPr>
                <w:rFonts w:ascii="Arial" w:cs="Arial" w:eastAsia="Arial" w:hAnsi="Arial"/>
                <w:sz w:val="20"/>
                <w:szCs w:val="20"/>
                <w:b w:val="1"/>
                <w:bCs w:val="1"/>
                <w:color w:val="auto"/>
                <w:w w:val="97"/>
              </w:rPr>
              <w:t xml:space="preserve">  Exhibit A</w:t>
            </w:r>
            <w:r>
              <w:rPr>
                <w:rFonts w:ascii="Arial" w:cs="Arial" w:eastAsia="Arial" w:hAnsi="Arial"/>
                <w:sz w:val="20"/>
                <w:szCs w:val="20"/>
                <w:color w:val="auto"/>
                <w:w w:val="97"/>
              </w:rPr>
              <w:t>,</w:t>
            </w:r>
            <w:r>
              <w:rPr>
                <w:rFonts w:ascii="Arial" w:cs="Arial" w:eastAsia="Arial" w:hAnsi="Arial"/>
                <w:sz w:val="20"/>
                <w:szCs w:val="20"/>
                <w:b w:val="1"/>
                <w:bCs w:val="1"/>
                <w:color w:val="auto"/>
                <w:w w:val="97"/>
              </w:rPr>
              <w:t xml:space="preserve">  Exhibit  B  </w:t>
            </w:r>
            <w:r>
              <w:rPr>
                <w:rFonts w:ascii="Arial" w:cs="Arial" w:eastAsia="Arial" w:hAnsi="Arial"/>
                <w:sz w:val="20"/>
                <w:szCs w:val="20"/>
                <w:color w:val="auto"/>
                <w:w w:val="97"/>
              </w:rPr>
              <w:t>and</w:t>
            </w:r>
            <w:r>
              <w:rPr>
                <w:rFonts w:ascii="Arial" w:cs="Arial" w:eastAsia="Arial" w:hAnsi="Arial"/>
                <w:sz w:val="20"/>
                <w:szCs w:val="20"/>
                <w:b w:val="1"/>
                <w:bCs w:val="1"/>
                <w:color w:val="auto"/>
                <w:w w:val="97"/>
              </w:rPr>
              <w:t xml:space="preserve">  Exhibit  C</w:t>
            </w:r>
            <w:r>
              <w:rPr>
                <w:rFonts w:ascii="Arial" w:cs="Arial" w:eastAsia="Arial" w:hAnsi="Arial"/>
                <w:sz w:val="20"/>
                <w:szCs w:val="20"/>
                <w:color w:val="auto"/>
                <w:w w:val="97"/>
              </w:rPr>
              <w:t>,  and  the</w:t>
            </w:r>
          </w:p>
        </w:tc>
      </w:tr>
    </w:tbl>
    <w:p>
      <w:pPr>
        <w:jc w:val="both"/>
        <w:spacing w:after="0"/>
        <w:rPr>
          <w:sz w:val="20"/>
          <w:szCs w:val="20"/>
          <w:color w:val="auto"/>
        </w:rPr>
      </w:pPr>
      <w:r>
        <w:rPr>
          <w:rFonts w:ascii="Arial" w:cs="Arial" w:eastAsia="Arial" w:hAnsi="Arial"/>
          <w:sz w:val="20"/>
          <w:szCs w:val="20"/>
          <w:color w:val="auto"/>
        </w:rPr>
        <w:t>Confidentiality Agreement constitute the entire agreement between Executive and the Company 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spacing w:after="0" w:line="191"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8"/>
          <w:szCs w:val="18"/>
          <w:b w:val="1"/>
          <w:bCs w:val="1"/>
          <w:color w:val="auto"/>
        </w:rPr>
        <w:t>Amendment or Termination of Agreement; Continuation of Agreement</w:t>
      </w:r>
      <w:r>
        <w:rPr>
          <w:rFonts w:ascii="Arial" w:cs="Arial" w:eastAsia="Arial" w:hAnsi="Arial"/>
          <w:sz w:val="18"/>
          <w:szCs w:val="18"/>
          <w:color w:val="auto"/>
        </w:rPr>
        <w:t>. This Agreement may be changed</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20"/>
          <w:szCs w:val="20"/>
          <w:color w:val="auto"/>
        </w:rPr>
        <w:t>or 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4" w:name="page185"/>
    <w:bookmarkEnd w:id="184"/>
    <w:p>
      <w:pPr>
        <w:jc w:val="both"/>
        <w:spacing w:after="0" w:line="250" w:lineRule="auto"/>
        <w:rPr>
          <w:sz w:val="20"/>
          <w:szCs w:val="20"/>
          <w:color w:val="auto"/>
        </w:rPr>
      </w:pPr>
      <w:r>
        <w:rPr>
          <w:rFonts w:ascii="Arial" w:cs="Arial" w:eastAsia="Arial" w:hAnsi="Arial"/>
          <w:sz w:val="20"/>
          <w:szCs w:val="20"/>
          <w:color w:val="auto"/>
        </w:rPr>
        <w:t>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8.7</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0"/>
              </w:rPr>
              <w:t>Counterparts</w:t>
            </w:r>
            <w:r>
              <w:rPr>
                <w:rFonts w:ascii="Arial" w:cs="Arial" w:eastAsia="Arial" w:hAnsi="Arial"/>
                <w:sz w:val="20"/>
                <w:szCs w:val="20"/>
                <w:color w:val="auto"/>
                <w:w w:val="90"/>
              </w:rPr>
              <w:t>. This Agreement may be executed in separate counterparts, any one of which need not contain</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signatures of more than one party, but all of which taken together will constitute one and the same Agreement.</w:t>
            </w:r>
          </w:p>
        </w:tc>
      </w:tr>
      <w:tr>
        <w:trPr>
          <w:trHeight w:val="424"/>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8.8</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89"/>
              </w:rPr>
              <w:t>Headings</w:t>
            </w:r>
            <w:r>
              <w:rPr>
                <w:rFonts w:ascii="Arial" w:cs="Arial" w:eastAsia="Arial" w:hAnsi="Arial"/>
                <w:sz w:val="20"/>
                <w:szCs w:val="20"/>
                <w:color w:val="auto"/>
                <w:w w:val="89"/>
              </w:rPr>
              <w:t>. The headings of the Articles and Sections hereof are inserted for convenience only and shall not be</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deemed to constitute a part hereof nor to affect the meaning thereof.</w:t>
            </w:r>
          </w:p>
        </w:tc>
      </w:tr>
      <w:tr>
        <w:trPr>
          <w:trHeight w:val="440"/>
        </w:trPr>
        <w:tc>
          <w:tcPr>
            <w:tcW w:w="1760" w:type="dxa"/>
            <w:vAlign w:val="bottom"/>
          </w:tcPr>
          <w:p>
            <w:pPr>
              <w:jc w:val="right"/>
              <w:ind w:right="541"/>
              <w:spacing w:after="0"/>
              <w:rPr>
                <w:sz w:val="20"/>
                <w:szCs w:val="20"/>
                <w:color w:val="auto"/>
              </w:rPr>
            </w:pPr>
            <w:r>
              <w:rPr>
                <w:rFonts w:ascii="Arial" w:cs="Arial" w:eastAsia="Arial" w:hAnsi="Arial"/>
                <w:sz w:val="20"/>
                <w:szCs w:val="20"/>
                <w:b w:val="1"/>
                <w:bCs w:val="1"/>
                <w:color w:val="auto"/>
              </w:rPr>
              <w:t>8.9</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88"/>
              </w:rPr>
              <w:t>Successors and Assigns</w:t>
            </w:r>
            <w:r>
              <w:rPr>
                <w:rFonts w:ascii="Arial" w:cs="Arial" w:eastAsia="Arial" w:hAnsi="Arial"/>
                <w:sz w:val="20"/>
                <w:szCs w:val="20"/>
                <w:color w:val="auto"/>
                <w:w w:val="88"/>
              </w:rPr>
              <w:t>. This Agreement is intended to bind and inure to the benefit of and be enforceable by</w:t>
            </w:r>
          </w:p>
        </w:tc>
      </w:tr>
    </w:tbl>
    <w:p>
      <w:pPr>
        <w:jc w:val="both"/>
        <w:spacing w:after="0"/>
        <w:rPr>
          <w:sz w:val="20"/>
          <w:szCs w:val="20"/>
          <w:color w:val="auto"/>
        </w:rPr>
      </w:pPr>
      <w:r>
        <w:rPr>
          <w:rFonts w:ascii="Arial" w:cs="Arial" w:eastAsia="Arial" w:hAnsi="Arial"/>
          <w:sz w:val="20"/>
          <w:szCs w:val="20"/>
          <w:color w:val="auto"/>
        </w:rPr>
        <w:t>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19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8.10 Choice of Law</w:t>
      </w:r>
      <w:r>
        <w:rPr>
          <w:rFonts w:ascii="Arial" w:cs="Arial" w:eastAsia="Arial" w:hAnsi="Arial"/>
          <w:sz w:val="20"/>
          <w:szCs w:val="20"/>
          <w:color w:val="auto"/>
        </w:rPr>
        <w:t>. Because of the Company’s and Executive’s interests in ensuring that disputes regarding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19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9"/>
          <w:szCs w:val="19"/>
          <w:b w:val="1"/>
          <w:bCs w:val="1"/>
          <w:color w:val="auto"/>
        </w:rPr>
        <w:t xml:space="preserve">8.11 Arbitration. </w:t>
      </w:r>
      <w:r>
        <w:rPr>
          <w:rFonts w:ascii="Arial" w:cs="Arial" w:eastAsia="Arial" w:hAnsi="Arial"/>
          <w:sz w:val="19"/>
          <w:szCs w:val="19"/>
          <w:color w:val="auto"/>
        </w:rPr>
        <w:t>To ensure the rapid and economical resolution of any disputes that may arise under or relate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9"/>
          <w:szCs w:val="19"/>
          <w:i w:val="1"/>
          <w:iCs w:val="1"/>
          <w:color w:val="auto"/>
        </w:rPr>
        <w:t>et seq.</w:t>
      </w:r>
      <w:r>
        <w:rPr>
          <w:rFonts w:ascii="Arial" w:cs="Arial" w:eastAsia="Arial" w:hAnsi="Arial"/>
          <w:sz w:val="19"/>
          <w:szCs w:val="19"/>
          <w:color w:val="auto"/>
        </w:rPr>
        <w:t>, as amended, and shall be administered by the Judicial Arbitration &amp; Mediation Services,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in accordance with its then-current Employment Arbitration Rules &amp; Procedures (the “</w:t>
      </w:r>
      <w:r>
        <w:rPr>
          <w:rFonts w:ascii="Arial" w:cs="Arial" w:eastAsia="Arial" w:hAnsi="Arial"/>
          <w:sz w:val="19"/>
          <w:szCs w:val="19"/>
          <w:b w:val="1"/>
          <w:bCs w:val="1"/>
          <w:i w:val="1"/>
          <w:iCs w:val="1"/>
          <w:color w:val="auto"/>
        </w:rPr>
        <w:t>JAMS Rules</w:t>
      </w:r>
      <w:r>
        <w:rPr>
          <w:rFonts w:ascii="Arial" w:cs="Arial" w:eastAsia="Arial" w:hAnsi="Arial"/>
          <w:sz w:val="19"/>
          <w:szCs w:val="19"/>
          <w:color w:val="auto"/>
        </w:rPr>
        <w:t xml:space="preserve">”). The JAMS Rules are also available online at </w:t>
      </w:r>
      <w:r>
        <w:rPr>
          <w:rFonts w:ascii="Arial" w:cs="Arial" w:eastAsia="Arial" w:hAnsi="Arial"/>
          <w:sz w:val="19"/>
          <w:szCs w:val="19"/>
          <w:u w:val="single" w:color="auto"/>
          <w:color w:val="auto"/>
        </w:rPr>
        <w:t>http://www.jamsadr.com/rules-employment-arbitration/</w:t>
      </w:r>
      <w:r>
        <w:rPr>
          <w:rFonts w:ascii="Arial" w:cs="Arial" w:eastAsia="Arial" w:hAnsi="Arial"/>
          <w:sz w:val="19"/>
          <w:szCs w:val="19"/>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5" w:name="page186"/>
    <w:bookmarkEnd w:id="185"/>
    <w:p>
      <w:pPr>
        <w:jc w:val="both"/>
        <w:spacing w:after="0" w:line="260" w:lineRule="auto"/>
        <w:rPr>
          <w:sz w:val="20"/>
          <w:szCs w:val="20"/>
          <w:color w:val="auto"/>
        </w:rPr>
      </w:pPr>
      <w:r>
        <w:rPr>
          <w:rFonts w:ascii="Arial" w:cs="Arial" w:eastAsia="Arial" w:hAnsi="Arial"/>
          <w:sz w:val="19"/>
          <w:szCs w:val="19"/>
          <w:color w:val="auto"/>
        </w:rPr>
        <w:t>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60" w:type="dxa"/>
            <w:vAlign w:val="bottom"/>
          </w:tcPr>
          <w:p>
            <w:pPr>
              <w:jc w:val="right"/>
              <w:ind w:right="541"/>
              <w:spacing w:after="0"/>
              <w:rPr>
                <w:sz w:val="20"/>
                <w:szCs w:val="20"/>
                <w:color w:val="auto"/>
              </w:rPr>
            </w:pPr>
            <w:r>
              <w:rPr>
                <w:rFonts w:ascii="Arial" w:cs="Arial" w:eastAsia="Arial" w:hAnsi="Arial"/>
                <w:sz w:val="20"/>
                <w:szCs w:val="20"/>
                <w:b w:val="1"/>
                <w:bCs w:val="1"/>
                <w:color w:val="auto"/>
              </w:rPr>
              <w:t>8.12</w:t>
            </w:r>
          </w:p>
        </w:tc>
        <w:tc>
          <w:tcPr>
            <w:tcW w:w="9380" w:type="dxa"/>
            <w:vAlign w:val="bottom"/>
          </w:tcPr>
          <w:p>
            <w:pPr>
              <w:ind w:left="660"/>
              <w:spacing w:after="0"/>
              <w:rPr>
                <w:sz w:val="20"/>
                <w:szCs w:val="20"/>
                <w:color w:val="auto"/>
              </w:rPr>
            </w:pPr>
            <w:r>
              <w:rPr>
                <w:rFonts w:ascii="Arial" w:cs="Arial" w:eastAsia="Arial" w:hAnsi="Arial"/>
                <w:sz w:val="20"/>
                <w:szCs w:val="20"/>
                <w:b w:val="1"/>
                <w:bCs w:val="1"/>
                <w:color w:val="auto"/>
                <w:w w:val="90"/>
              </w:rPr>
              <w:t>Construction of Agreement</w:t>
            </w:r>
            <w:r>
              <w:rPr>
                <w:rFonts w:ascii="Arial" w:cs="Arial" w:eastAsia="Arial" w:hAnsi="Arial"/>
                <w:sz w:val="20"/>
                <w:szCs w:val="20"/>
                <w:color w:val="auto"/>
                <w:w w:val="90"/>
              </w:rPr>
              <w:t>. In the event of a conflict between the text of this Agreement and any summary,</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description or other information regarding this Agreement, the text of this Agreement shall control.</w:t>
            </w:r>
          </w:p>
        </w:tc>
      </w:tr>
      <w:tr>
        <w:trPr>
          <w:trHeight w:val="440"/>
        </w:trPr>
        <w:tc>
          <w:tcPr>
            <w:tcW w:w="1860" w:type="dxa"/>
            <w:vAlign w:val="bottom"/>
          </w:tcPr>
          <w:p>
            <w:pPr>
              <w:jc w:val="right"/>
              <w:ind w:right="541"/>
              <w:spacing w:after="0"/>
              <w:rPr>
                <w:sz w:val="20"/>
                <w:szCs w:val="20"/>
                <w:color w:val="auto"/>
              </w:rPr>
            </w:pPr>
            <w:r>
              <w:rPr>
                <w:rFonts w:ascii="Arial" w:cs="Arial" w:eastAsia="Arial" w:hAnsi="Arial"/>
                <w:sz w:val="20"/>
                <w:szCs w:val="20"/>
                <w:b w:val="1"/>
                <w:bCs w:val="1"/>
                <w:color w:val="auto"/>
              </w:rPr>
              <w:t>8.13</w:t>
            </w:r>
          </w:p>
        </w:tc>
        <w:tc>
          <w:tcPr>
            <w:tcW w:w="9380" w:type="dxa"/>
            <w:vAlign w:val="bottom"/>
          </w:tcPr>
          <w:p>
            <w:pPr>
              <w:ind w:left="660"/>
              <w:spacing w:after="0"/>
              <w:rPr>
                <w:sz w:val="20"/>
                <w:szCs w:val="20"/>
                <w:color w:val="auto"/>
              </w:rPr>
            </w:pPr>
            <w:r>
              <w:rPr>
                <w:rFonts w:ascii="Arial" w:cs="Arial" w:eastAsia="Arial" w:hAnsi="Arial"/>
                <w:sz w:val="20"/>
                <w:szCs w:val="20"/>
                <w:b w:val="1"/>
                <w:bCs w:val="1"/>
                <w:color w:val="auto"/>
              </w:rPr>
              <w:t>Circular 230 Disclaimer</w:t>
            </w:r>
            <w:r>
              <w:rPr>
                <w:rFonts w:ascii="Arial" w:cs="Arial" w:eastAsia="Arial" w:hAnsi="Arial"/>
                <w:sz w:val="20"/>
                <w:szCs w:val="20"/>
                <w:color w:val="auto"/>
              </w:rPr>
              <w:t>.</w:t>
            </w:r>
            <w:r>
              <w:rPr>
                <w:rFonts w:ascii="Arial" w:cs="Arial" w:eastAsia="Arial" w:hAnsi="Arial"/>
                <w:sz w:val="20"/>
                <w:szCs w:val="20"/>
                <w:b w:val="1"/>
                <w:bCs w:val="1"/>
                <w:color w:val="auto"/>
              </w:rPr>
              <w:t xml:space="preserve"> THE FOLLOWING DISCLAIMER IS PROVIDED IN ACCORDANCE</w:t>
            </w:r>
          </w:p>
        </w:tc>
      </w:tr>
    </w:tbl>
    <w:p>
      <w:pPr>
        <w:jc w:val="both"/>
        <w:spacing w:after="0"/>
        <w:rPr>
          <w:sz w:val="20"/>
          <w:szCs w:val="20"/>
          <w:color w:val="auto"/>
        </w:rPr>
      </w:pPr>
      <w:r>
        <w:rPr>
          <w:rFonts w:ascii="Arial" w:cs="Arial" w:eastAsia="Arial" w:hAnsi="Arial"/>
          <w:sz w:val="20"/>
          <w:szCs w:val="20"/>
          <w:b w:val="1"/>
          <w:bCs w:val="1"/>
          <w:color w:val="auto"/>
        </w:rPr>
        <w:t>WITH THE 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6" w:name="page187"/>
    <w:bookmarkEnd w:id="186"/>
    <w:p>
      <w:pPr>
        <w:ind w:left="88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Effective Date written above.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60" w:type="dxa"/>
            <w:vAlign w:val="bottom"/>
            <w:gridSpan w:val="3"/>
          </w:tcPr>
          <w:p>
            <w:pPr>
              <w:spacing w:after="0"/>
              <w:rPr>
                <w:sz w:val="20"/>
                <w:szCs w:val="20"/>
                <w:color w:val="auto"/>
              </w:rPr>
            </w:pPr>
            <w:r>
              <w:rPr>
                <w:rFonts w:ascii="Arial" w:cs="Arial" w:eastAsia="Arial" w:hAnsi="Arial"/>
                <w:sz w:val="20"/>
                <w:szCs w:val="20"/>
                <w:b w:val="1"/>
                <w:bCs w:val="1"/>
                <w:color w:val="auto"/>
              </w:rPr>
              <w:t>SYNDAX PHARMACEUTICALS, INC.</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20"/>
                <w:szCs w:val="20"/>
                <w:b w:val="1"/>
                <w:bCs w:val="1"/>
                <w:color w:val="auto"/>
              </w:rPr>
              <w:t>EXECUTIVE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420" w:type="dxa"/>
            <w:vAlign w:val="bottom"/>
            <w:vMerge w:val="restart"/>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gridSpan w:val="2"/>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ind w:left="600"/>
              <w:spacing w:after="0"/>
              <w:rPr>
                <w:sz w:val="20"/>
                <w:szCs w:val="20"/>
                <w:color w:val="auto"/>
              </w:rPr>
            </w:pPr>
            <w:r>
              <w:rPr>
                <w:rFonts w:ascii="Arial" w:cs="Arial" w:eastAsia="Arial" w:hAnsi="Arial"/>
                <w:sz w:val="20"/>
                <w:szCs w:val="20"/>
                <w:color w:val="auto"/>
              </w:rPr>
              <w:t>By:</w:t>
            </w:r>
          </w:p>
        </w:tc>
        <w:tc>
          <w:tcPr>
            <w:tcW w:w="3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vMerge w:val="continue"/>
          </w:tcPr>
          <w:p>
            <w:pPr>
              <w:spacing w:after="0"/>
              <w:rPr>
                <w:sz w:val="19"/>
                <w:szCs w:val="19"/>
                <w:color w:val="auto"/>
              </w:rPr>
            </w:pPr>
          </w:p>
        </w:tc>
        <w:tc>
          <w:tcPr>
            <w:tcW w:w="48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/s/ Briggs W. Morrison, M.D.</w:t>
            </w:r>
          </w:p>
        </w:tc>
        <w:tc>
          <w:tcPr>
            <w:tcW w:w="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9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/s/ Richard P. Shea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0"/>
        </w:trPr>
        <w:tc>
          <w:tcPr>
            <w:tcW w:w="760" w:type="dxa"/>
            <w:vAlign w:val="bottom"/>
            <w:gridSpan w:val="2"/>
          </w:tcPr>
          <w:p>
            <w:pPr>
              <w:spacing w:after="0"/>
              <w:rPr>
                <w:sz w:val="20"/>
                <w:szCs w:val="20"/>
                <w:color w:val="auto"/>
              </w:rPr>
            </w:pPr>
            <w:r>
              <w:rPr>
                <w:rFonts w:ascii="Arial" w:cs="Arial" w:eastAsia="Arial" w:hAnsi="Arial"/>
                <w:sz w:val="20"/>
                <w:szCs w:val="20"/>
                <w:color w:val="auto"/>
              </w:rPr>
              <w:t>Name:</w:t>
            </w:r>
          </w:p>
        </w:tc>
        <w:tc>
          <w:tcPr>
            <w:tcW w:w="4500" w:type="dxa"/>
            <w:vAlign w:val="bottom"/>
          </w:tcPr>
          <w:p>
            <w:pPr>
              <w:spacing w:after="0"/>
              <w:rPr>
                <w:sz w:val="20"/>
                <w:szCs w:val="20"/>
                <w:color w:val="auto"/>
              </w:rPr>
            </w:pPr>
            <w:r>
              <w:rPr>
                <w:rFonts w:ascii="Arial" w:cs="Arial" w:eastAsia="Arial" w:hAnsi="Arial"/>
                <w:sz w:val="20"/>
                <w:szCs w:val="20"/>
                <w:color w:val="auto"/>
              </w:rPr>
              <w:t>Briggs W. Morrison, M.D.</w:t>
            </w:r>
          </w:p>
        </w:tc>
        <w:tc>
          <w:tcPr>
            <w:tcW w:w="100" w:type="dxa"/>
            <w:vAlign w:val="bottom"/>
          </w:tcPr>
          <w:p>
            <w:pPr>
              <w:spacing w:after="0"/>
              <w:rPr>
                <w:sz w:val="24"/>
                <w:szCs w:val="24"/>
                <w:color w:val="auto"/>
              </w:rPr>
            </w:pPr>
          </w:p>
        </w:tc>
        <w:tc>
          <w:tcPr>
            <w:tcW w:w="5880" w:type="dxa"/>
            <w:vAlign w:val="bottom"/>
            <w:gridSpan w:val="3"/>
          </w:tcPr>
          <w:p>
            <w:pPr>
              <w:ind w:left="520"/>
              <w:spacing w:after="0"/>
              <w:rPr>
                <w:sz w:val="20"/>
                <w:szCs w:val="20"/>
                <w:color w:val="auto"/>
              </w:rPr>
            </w:pPr>
            <w:r>
              <w:rPr>
                <w:rFonts w:ascii="Arial" w:cs="Arial" w:eastAsia="Arial" w:hAnsi="Arial"/>
                <w:sz w:val="20"/>
                <w:szCs w:val="20"/>
                <w:color w:val="auto"/>
              </w:rPr>
              <w:t>Name:   Richard P. Shea</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spacing w:after="0" w:line="223" w:lineRule="exact"/>
              <w:rPr>
                <w:sz w:val="20"/>
                <w:szCs w:val="20"/>
                <w:color w:val="auto"/>
              </w:rPr>
            </w:pPr>
            <w:r>
              <w:rPr>
                <w:rFonts w:ascii="Arial" w:cs="Arial" w:eastAsia="Arial" w:hAnsi="Arial"/>
                <w:sz w:val="20"/>
                <w:szCs w:val="20"/>
                <w:color w:val="auto"/>
              </w:rPr>
              <w:t>Title:</w:t>
            </w:r>
          </w:p>
        </w:tc>
        <w:tc>
          <w:tcPr>
            <w:tcW w:w="45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Chief Executive Officer</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Release (Individual Termination – Age 40 or Older)</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Release (Individual and Group Termination – Under Age 40)</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Release (Group Termination – Age 40 or Older)</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346"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0"/>
          <w:szCs w:val="20"/>
          <w:b w:val="1"/>
          <w:bCs w:val="1"/>
          <w:color w:val="auto"/>
        </w:rPr>
        <w:t>EXHIBIT 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(INDIVIDUAL TERMINATION – AGE 40 OR OLDER)</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xml:space="preserve">”),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w:t>
      </w:r>
      <w:r>
        <w:rPr>
          <w:rFonts w:ascii="Arial" w:cs="Arial" w:eastAsia="Arial" w:hAnsi="Arial"/>
          <w:sz w:val="18"/>
          <w:szCs w:val="18"/>
          <w:b w:val="1"/>
          <w:bCs w:val="1"/>
          <w:color w:val="auto"/>
        </w:rPr>
        <w:t>States</w:t>
      </w:r>
      <w:r>
        <w:rPr>
          <w:rFonts w:ascii="Arial" w:cs="Arial" w:eastAsia="Arial" w:hAnsi="Arial"/>
          <w:sz w:val="18"/>
          <w:szCs w:val="18"/>
          <w:color w:val="auto"/>
        </w:rPr>
        <w:t xml:space="preserve">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8" w:name="page189"/>
    <w:bookmarkEnd w:id="188"/>
    <w:p>
      <w:pPr>
        <w:jc w:val="both"/>
        <w:spacing w:after="0" w:line="260" w:lineRule="auto"/>
        <w:rPr>
          <w:sz w:val="20"/>
          <w:szCs w:val="20"/>
          <w:color w:val="auto"/>
        </w:rPr>
      </w:pPr>
      <w:r>
        <w:rPr>
          <w:rFonts w:ascii="Arial" w:cs="Arial" w:eastAsia="Arial" w:hAnsi="Arial"/>
          <w:sz w:val="20"/>
          <w:szCs w:val="20"/>
          <w:color w:val="auto"/>
        </w:rPr>
        <w:t>Company’s Chief Executive Officer; and (E) this Release shall not be effective until the date upon which the revocation period has expired, which shall be the eighth (8th) day after I execute this Release (provided that I do not revoke it).</w:t>
      </w:r>
    </w:p>
    <w:p>
      <w:pPr>
        <w:spacing w:after="0" w:line="122"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9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26"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0"/>
          <w:szCs w:val="20"/>
          <w:b w:val="1"/>
          <w:bCs w:val="1"/>
          <w:color w:val="auto"/>
        </w:rPr>
        <w:t>EXHIBIT B</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(INDIVIDUAL AND GROUP TERMINATION – UNDER AGE 40)</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39"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0" w:name="page191"/>
    <w:bookmarkEnd w:id="190"/>
    <w:p>
      <w:pPr>
        <w:jc w:val="both"/>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26"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20"/>
          <w:szCs w:val="20"/>
          <w:b w:val="1"/>
          <w:bCs w:val="1"/>
          <w:color w:val="auto"/>
        </w:rPr>
        <w:t>EXHIBIT 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(GROUP TERMINATION – AGE 40 OR OLDER)</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 of revocation to the Company’s Chief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92" w:name="page193"/>
    <w:bookmarkEnd w:id="192"/>
    <w:p>
      <w:pPr>
        <w:jc w:val="both"/>
        <w:spacing w:after="0" w:line="282" w:lineRule="auto"/>
        <w:rPr>
          <w:sz w:val="20"/>
          <w:szCs w:val="20"/>
          <w:color w:val="auto"/>
        </w:rPr>
      </w:pPr>
      <w:r>
        <w:rPr>
          <w:rFonts w:ascii="Arial" w:cs="Arial" w:eastAsia="Arial" w:hAnsi="Arial"/>
          <w:sz w:val="18"/>
          <w:szCs w:val="18"/>
          <w:color w:val="auto"/>
        </w:rPr>
        <w:t>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06"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6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00"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240"/>
          </w:cols>
          <w:pgMar w:left="320" w:top="44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225" w:lineRule="exact"/>
        <w:rPr>
          <w:sz w:val="20"/>
          <w:szCs w:val="20"/>
          <w:color w:val="auto"/>
        </w:rPr>
      </w:pPr>
    </w:p>
    <w:p>
      <w:pPr>
        <w:ind w:left="700" w:hanging="182"/>
        <w:spacing w:after="0"/>
        <w:tabs>
          <w:tab w:leader="none" w:pos="7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4" w:lineRule="exact"/>
        <w:rPr>
          <w:rFonts w:ascii="Arial" w:cs="Arial" w:eastAsia="Arial" w:hAnsi="Arial"/>
          <w:sz w:val="18"/>
          <w:szCs w:val="18"/>
          <w:color w:val="auto"/>
        </w:rPr>
      </w:pPr>
    </w:p>
    <w:p>
      <w:pPr>
        <w:ind w:right="80" w:firstLine="518"/>
        <w:spacing w:after="0" w:line="341" w:lineRule="auto"/>
        <w:tabs>
          <w:tab w:leader="none" w:pos="69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518"/>
        <w:spacing w:after="0" w:line="277" w:lineRule="auto"/>
        <w:tabs>
          <w:tab w:leader="none" w:pos="6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100" w:firstLine="518"/>
        <w:spacing w:after="0" w:line="263" w:lineRule="auto"/>
        <w:tabs>
          <w:tab w:leader="none" w:pos="6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440" w:firstLine="483"/>
        <w:spacing w:after="0" w:line="263" w:lineRule="auto"/>
        <w:tabs>
          <w:tab w:leader="none" w:pos="125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180" w:firstLine="483"/>
        <w:spacing w:after="0" w:line="263" w:lineRule="auto"/>
        <w:tabs>
          <w:tab w:leader="none" w:pos="126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00" w:firstLine="483"/>
        <w:spacing w:after="0" w:line="341" w:lineRule="auto"/>
        <w:tabs>
          <w:tab w:leader="none" w:pos="125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60" w:firstLine="518"/>
        <w:spacing w:after="0" w:line="307" w:lineRule="auto"/>
        <w:tabs>
          <w:tab w:leader="none" w:pos="69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20" w:firstLine="483"/>
        <w:spacing w:after="0" w:line="307" w:lineRule="auto"/>
        <w:tabs>
          <w:tab w:leader="none" w:pos="125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00" w:firstLine="483"/>
        <w:spacing w:after="0" w:line="277" w:lineRule="auto"/>
        <w:tabs>
          <w:tab w:leader="none" w:pos="126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7, 2020</w:t>
            </w:r>
          </w:p>
        </w:tc>
        <w:tc>
          <w:tcPr>
            <w:tcW w:w="7180" w:type="dxa"/>
            <w:vAlign w:val="bottom"/>
            <w:gridSpan w:val="2"/>
          </w:tcPr>
          <w:p>
            <w:pPr>
              <w:ind w:left="2720"/>
              <w:spacing w:after="0"/>
              <w:rPr>
                <w:sz w:val="20"/>
                <w:szCs w:val="20"/>
                <w:color w:val="auto"/>
              </w:rPr>
            </w:pPr>
            <w:r>
              <w:rPr>
                <w:rFonts w:ascii="Arial" w:cs="Arial" w:eastAsia="Arial" w:hAnsi="Arial"/>
                <w:sz w:val="18"/>
                <w:szCs w:val="18"/>
                <w:color w:val="auto"/>
              </w:rPr>
              <w:t>By:  /s/ Briggs W. Morrison, M.D.</w:t>
            </w:r>
          </w:p>
        </w:tc>
      </w:tr>
      <w:tr>
        <w:trPr>
          <w:trHeight w:val="195"/>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16"/>
        </w:trPr>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225" w:lineRule="exact"/>
        <w:rPr>
          <w:sz w:val="20"/>
          <w:szCs w:val="20"/>
          <w:color w:val="auto"/>
        </w:rPr>
      </w:pPr>
    </w:p>
    <w:p>
      <w:pPr>
        <w:ind w:left="700" w:hanging="182"/>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4" w:lineRule="exact"/>
        <w:rPr>
          <w:rFonts w:ascii="Arial" w:cs="Arial" w:eastAsia="Arial" w:hAnsi="Arial"/>
          <w:sz w:val="18"/>
          <w:szCs w:val="18"/>
          <w:color w:val="auto"/>
        </w:rPr>
      </w:pPr>
    </w:p>
    <w:p>
      <w:pPr>
        <w:ind w:right="80" w:firstLine="518"/>
        <w:spacing w:after="0" w:line="341" w:lineRule="auto"/>
        <w:tabs>
          <w:tab w:leader="none" w:pos="69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518"/>
        <w:spacing w:after="0" w:line="277" w:lineRule="auto"/>
        <w:tabs>
          <w:tab w:leader="none" w:pos="69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100" w:firstLine="518"/>
        <w:spacing w:after="0" w:line="263" w:lineRule="auto"/>
        <w:tabs>
          <w:tab w:leader="none" w:pos="69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440" w:firstLine="483"/>
        <w:spacing w:after="0" w:line="263" w:lineRule="auto"/>
        <w:tabs>
          <w:tab w:leader="none" w:pos="125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180" w:firstLine="483"/>
        <w:spacing w:after="0" w:line="263" w:lineRule="auto"/>
        <w:tabs>
          <w:tab w:leader="none" w:pos="126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00" w:firstLine="483"/>
        <w:spacing w:after="0" w:line="341" w:lineRule="auto"/>
        <w:tabs>
          <w:tab w:leader="none" w:pos="125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60" w:firstLine="518"/>
        <w:spacing w:after="0" w:line="307" w:lineRule="auto"/>
        <w:tabs>
          <w:tab w:leader="none" w:pos="69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20" w:firstLine="483"/>
        <w:spacing w:after="0" w:line="307" w:lineRule="auto"/>
        <w:tabs>
          <w:tab w:leader="none" w:pos="1251"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00" w:firstLine="483"/>
        <w:spacing w:after="0" w:line="277" w:lineRule="auto"/>
        <w:tabs>
          <w:tab w:leader="none" w:pos="126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May 7, 2020</w:t>
            </w:r>
          </w:p>
        </w:tc>
        <w:tc>
          <w:tcPr>
            <w:tcW w:w="7160" w:type="dxa"/>
            <w:vAlign w:val="bottom"/>
            <w:gridSpan w:val="2"/>
          </w:tcPr>
          <w:p>
            <w:pPr>
              <w:ind w:left="2740"/>
              <w:spacing w:after="0"/>
              <w:rPr>
                <w:sz w:val="20"/>
                <w:szCs w:val="20"/>
                <w:color w:val="auto"/>
              </w:rPr>
            </w:pPr>
            <w:r>
              <w:rPr>
                <w:rFonts w:ascii="Arial" w:cs="Arial" w:eastAsia="Arial" w:hAnsi="Arial"/>
                <w:sz w:val="18"/>
                <w:szCs w:val="18"/>
                <w:color w:val="auto"/>
              </w:rPr>
              <w:t>By:  /s/ Richard P. Shea</w:t>
            </w:r>
          </w:p>
        </w:tc>
      </w:tr>
      <w:tr>
        <w:trPr>
          <w:trHeight w:val="195"/>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P. Shea</w:t>
            </w:r>
          </w:p>
        </w:tc>
      </w:tr>
      <w:tr>
        <w:trPr>
          <w:trHeight w:val="216"/>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(Principal Financial Officer and Principal Accounting</w:t>
            </w:r>
          </w:p>
        </w:tc>
      </w:tr>
      <w:tr>
        <w:trPr>
          <w:trHeight w:val="230"/>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512"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March 31, 2020, as filed with the Securities and Exchange Commission on the date hereof (the “Report”), each of the undersigned officers of the Company hereby certifies, pursuant to 18 U.S.C. Section 1350, that to his or her knowledge:</w:t>
      </w:r>
    </w:p>
    <w:p>
      <w:pPr>
        <w:spacing w:after="0" w:line="183" w:lineRule="exact"/>
        <w:rPr>
          <w:sz w:val="20"/>
          <w:szCs w:val="20"/>
          <w:color w:val="auto"/>
        </w:rPr>
      </w:pPr>
    </w:p>
    <w:p>
      <w:pPr>
        <w:ind w:left="1000" w:hanging="493"/>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7, 2020</w:t>
            </w:r>
          </w:p>
        </w:tc>
        <w:tc>
          <w:tcPr>
            <w:tcW w:w="3140" w:type="dxa"/>
            <w:vAlign w:val="bottom"/>
          </w:tcPr>
          <w:p>
            <w:pPr>
              <w:ind w:left="27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Briggs W. Morrison, M.D.</w:t>
            </w:r>
          </w:p>
        </w:tc>
      </w:tr>
      <w:tr>
        <w:trPr>
          <w:trHeight w:val="195"/>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2"/>
        </w:trPr>
        <w:tc>
          <w:tcPr>
            <w:tcW w:w="4060" w:type="dxa"/>
            <w:vAlign w:val="bottom"/>
          </w:tcPr>
          <w:p>
            <w:pPr>
              <w:spacing w:after="0"/>
              <w:rPr>
                <w:sz w:val="20"/>
                <w:szCs w:val="20"/>
                <w:color w:val="auto"/>
              </w:rPr>
            </w:pPr>
            <w:r>
              <w:rPr>
                <w:rFonts w:ascii="Arial" w:cs="Arial" w:eastAsia="Arial" w:hAnsi="Arial"/>
                <w:sz w:val="18"/>
                <w:szCs w:val="18"/>
                <w:color w:val="auto"/>
              </w:rPr>
              <w:t>Date: May 7, 2020</w:t>
            </w:r>
          </w:p>
        </w:tc>
        <w:tc>
          <w:tcPr>
            <w:tcW w:w="3140" w:type="dxa"/>
            <w:vAlign w:val="bottom"/>
          </w:tcPr>
          <w:p>
            <w:pPr>
              <w:ind w:left="27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195"/>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Richard P. Shea</w:t>
            </w:r>
          </w:p>
        </w:tc>
      </w:tr>
      <w:tr>
        <w:trPr>
          <w:trHeight w:val="230"/>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1."/>
      <w:numFmt w:val="decimal"/>
      <w:start w:val="3"/>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1"/>
      <w:numFmt w:val="decimal"/>
      <w:start w:val="10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Letter"/>
      <w:start w:val="1"/>
    </w:lvl>
  </w:abstractNum>
  <w:abstractNum w:abstractNumId="32">
    <w:nsid w:val="5F5E7FD0"/>
    <w:multiLevelType w:val="hybridMultilevel"/>
    <w:lvl w:ilvl="0">
      <w:lvlJc w:val="left"/>
      <w:lvlText w:val="(%1)"/>
      <w:numFmt w:val="lowerLetter"/>
      <w:start w:val="1"/>
    </w:lvl>
  </w:abstractNum>
  <w:abstractNum w:abstractNumId="33">
    <w:nsid w:val="98A3148"/>
    <w:multiLevelType w:val="hybridMultilevel"/>
    <w:lvl w:ilvl="0">
      <w:lvlJc w:val="left"/>
      <w:lvlText w:val="(%1)"/>
      <w:numFmt w:val="lowerLetter"/>
      <w:start w:val="1"/>
    </w:lvl>
  </w:abstractNum>
  <w:abstractNum w:abstractNumId="34">
    <w:nsid w:val="799D0247"/>
    <w:multiLevelType w:val="hybridMultilevel"/>
    <w:lvl w:ilvl="0">
      <w:lvlJc w:val="left"/>
      <w:lvlText w:val="(%1)"/>
      <w:numFmt w:val="lowerLetter"/>
      <w:start w:val="1"/>
    </w:lvl>
  </w:abstractNum>
  <w:abstractNum w:abstractNumId="35">
    <w:nsid w:val="6B94764"/>
    <w:multiLevelType w:val="hybridMultilevel"/>
    <w:lvl w:ilvl="0">
      <w:lvlJc w:val="left"/>
      <w:lvlText w:val="(%1)"/>
      <w:numFmt w:val="lowerLetter"/>
      <w:start w:val="1"/>
    </w:lvl>
  </w:abstractNum>
  <w:abstractNum w:abstractNumId="36">
    <w:nsid w:val="42C296BD"/>
    <w:multiLevelType w:val="hybridMultilevel"/>
    <w:lvl w:ilvl="0">
      <w:lvlJc w:val="left"/>
      <w:lvlText w:val="(%1)"/>
      <w:numFmt w:val="lowerLetter"/>
      <w:start w:val="7"/>
    </w:lvl>
  </w:abstractNum>
  <w:abstractNum w:abstractNumId="37">
    <w:nsid w:val="168E121F"/>
    <w:multiLevelType w:val="hybridMultilevel"/>
    <w:lvl w:ilvl="0">
      <w:lvlJc w:val="left"/>
      <w:lvlText w:val="(%1)"/>
      <w:numFmt w:val="lowerLetter"/>
      <w:start w:val="1"/>
    </w:lvl>
  </w:abstractNum>
  <w:abstractNum w:abstractNumId="38">
    <w:nsid w:val="1EBA5D23"/>
    <w:multiLevelType w:val="hybridMultilevel"/>
    <w:lvl w:ilvl="0">
      <w:lvlJc w:val="left"/>
      <w:lvlText w:val="(%1)"/>
      <w:numFmt w:val="lowerLetter"/>
      <w:start w:val="1"/>
    </w:lvl>
  </w:abstractNum>
  <w:abstractNum w:abstractNumId="39">
    <w:nsid w:val="661E3F1E"/>
    <w:multiLevelType w:val="hybridMultilevel"/>
    <w:lvl w:ilvl="0">
      <w:lvlJc w:val="left"/>
      <w:lvlText w:val="(%1)"/>
      <w:numFmt w:val="lowerLetter"/>
      <w:start w:val="4"/>
    </w:lvl>
  </w:abstractNum>
  <w:abstractNum w:abstractNumId="40">
    <w:nsid w:val="5DC79EA8"/>
    <w:multiLevelType w:val="hybridMultilevel"/>
    <w:lvl w:ilvl="0">
      <w:lvlJc w:val="left"/>
      <w:lvlText w:val="(%1)"/>
      <w:numFmt w:val="lowerLetter"/>
      <w:start w:val="2"/>
    </w:lvl>
  </w:abstractNum>
  <w:abstractNum w:abstractNumId="41">
    <w:nsid w:val="540A471C"/>
    <w:multiLevelType w:val="hybridMultilevel"/>
    <w:lvl w:ilvl="0">
      <w:lvlJc w:val="left"/>
      <w:lvlText w:val="(%1)"/>
      <w:numFmt w:val="lowerLetter"/>
      <w:start w:val="1"/>
    </w:lvl>
    <w:lvl w:ilvl="1">
      <w:lvlJc w:val="left"/>
      <w:lvlText w:val="(%2)"/>
      <w:numFmt w:val="lowerRoman"/>
      <w:start w:val="1"/>
    </w:lvl>
  </w:abstractNum>
  <w:abstractNum w:abstractNumId="42">
    <w:nsid w:val="7BD3EE7B"/>
    <w:multiLevelType w:val="hybridMultilevel"/>
    <w:lvl w:ilvl="0">
      <w:lvlJc w:val="left"/>
      <w:lvlText w:val="(%1)"/>
      <w:numFmt w:val="lowerLetter"/>
      <w:start w:val="3"/>
    </w:lvl>
    <w:lvl w:ilvl="1">
      <w:lvlJc w:val="left"/>
      <w:lvlText w:val="(%2)"/>
      <w:numFmt w:val="lowerRoman"/>
      <w:start w:val="1"/>
    </w:lvl>
  </w:abstractNum>
  <w:abstractNum w:abstractNumId="43">
    <w:nsid w:val="51D9C564"/>
    <w:multiLevelType w:val="hybridMultilevel"/>
    <w:lvl w:ilvl="0">
      <w:lvlJc w:val="left"/>
      <w:lvlText w:val="(%1)"/>
      <w:numFmt w:val="decimal"/>
      <w:start w:val="60"/>
    </w:lvl>
  </w:abstractNum>
  <w:abstractNum w:abstractNumId="44">
    <w:nsid w:val="613EFDC5"/>
    <w:multiLevelType w:val="hybridMultilevel"/>
    <w:lvl w:ilvl="0">
      <w:lvlJc w:val="left"/>
      <w:lvlText w:val="(%1)"/>
      <w:numFmt w:val="lowerRoman"/>
      <w:start w:val="5"/>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1"/>
    </w:lvl>
  </w:abstractNum>
  <w:abstractNum w:abstractNumId="47">
    <w:nsid w:val="42963E5A"/>
    <w:multiLevelType w:val="hybridMultilevel"/>
    <w:lvl w:ilvl="0">
      <w:lvlJc w:val="left"/>
      <w:lvlText w:val="(%1)"/>
      <w:numFmt w:val="lowerLetter"/>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1)"/>
      <w:numFmt w:val="lowerLetter"/>
      <w:start w:val="1"/>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lowerLetter"/>
      <w:start w:val="2"/>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abstractNum>
  <w:abstractNum w:abstractNumId="56">
    <w:nsid w:val="14330624"/>
    <w:multiLevelType w:val="hybridMultilevel"/>
    <w:lvl w:ilvl="0">
      <w:lvlJc w:val="left"/>
      <w:lvlText w:val="%1)"/>
      <w:numFmt w:val="lowerLetter"/>
      <w:start w:val="2"/>
    </w:lvl>
  </w:abstractNum>
  <w:abstractNum w:abstractNumId="57">
    <w:nsid w:val="7FFFCA11"/>
    <w:multiLevelType w:val="hybridMultilevel"/>
    <w:lvl w:ilvl="0">
      <w:lvlJc w:val="left"/>
      <w:lvlText w:val="%1)"/>
      <w:numFmt w:val="lowerLetter"/>
      <w:start w:val="4"/>
    </w:lvl>
  </w:abstractNum>
  <w:abstractNum w:abstractNumId="58">
    <w:nsid w:val="1A27709E"/>
    <w:multiLevelType w:val="hybridMultilevel"/>
    <w:lvl w:ilvl="0">
      <w:lvlJc w:val="left"/>
      <w:lvlText w:val="%1"/>
      <w:numFmt w:val="upperLetter"/>
      <w:start w:val="1"/>
    </w:lvl>
    <w:lvl w:ilvl="1">
      <w:lvlJc w:val="left"/>
      <w:lvlText w:val="%2)"/>
      <w:numFmt w:val="lowerLetter"/>
      <w:start w:val="1"/>
    </w:lvl>
  </w:abstractNum>
  <w:abstractNum w:abstractNumId="59">
    <w:nsid w:val="71EA1109"/>
    <w:multiLevelType w:val="hybridMultilevel"/>
    <w:lvl w:ilvl="0">
      <w:lvlJc w:val="left"/>
      <w:lvlText w:val="(%1)"/>
      <w:numFmt w:val="upperLetter"/>
      <w:start w:val="2"/>
    </w:lvl>
    <w:lvl w:ilvl="1">
      <w:lvlJc w:val="left"/>
      <w:lvlText w:val="%2"/>
      <w:numFmt w:val="lowerLetter"/>
      <w:start w:val="1"/>
    </w:lvl>
  </w:abstractNum>
  <w:abstractNum w:abstractNumId="60">
    <w:nsid w:val="100F59DC"/>
    <w:multiLevelType w:val="hybridMultilevel"/>
    <w:lvl w:ilvl="0">
      <w:lvlJc w:val="left"/>
      <w:lvlText w:val="(%1)"/>
      <w:numFmt w:val="upperLetter"/>
      <w:start w:val="4"/>
    </w:lvl>
    <w:lvl w:ilvl="1">
      <w:lvlJc w:val="left"/>
      <w:lvlText w:val="%2"/>
      <w:numFmt w:val="lowerLetter"/>
      <w:start w:val="1"/>
    </w:lvl>
  </w:abstractNum>
  <w:abstractNum w:abstractNumId="61">
    <w:nsid w:val="7FB7E0AA"/>
    <w:multiLevelType w:val="hybridMultilevel"/>
    <w:lvl w:ilvl="0">
      <w:lvlJc w:val="left"/>
      <w:lvlText w:val="%1)"/>
      <w:numFmt w:val="lowerLetter"/>
      <w:start w:val="2"/>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lowerLetter"/>
      <w:start w:val="2"/>
    </w:lvl>
  </w:abstractNum>
  <w:abstractNum w:abstractNumId="64">
    <w:nsid w:val="94211F2"/>
    <w:multiLevelType w:val="hybridMultilevel"/>
    <w:lvl w:ilvl="0">
      <w:lvlJc w:val="left"/>
      <w:lvlText w:val="(%1)"/>
      <w:numFmt w:val="lowerRoman"/>
      <w:start w:val="3"/>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Letter"/>
      <w:start w:val="2"/>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lowerLetter"/>
      <w:start w:val="2"/>
    </w:lvl>
  </w:abstractNum>
  <w:abstractNum w:abstractNumId="69">
    <w:nsid w:val="14E17E33"/>
    <w:multiLevelType w:val="hybridMultilevel"/>
    <w:lvl w:ilvl="0">
      <w:lvlJc w:val="left"/>
      <w:lvlText w:val="%1"/>
      <w:numFmt w:val="upperLetter"/>
      <w:start w:val="1"/>
    </w:lvl>
    <w:lvl w:ilvl="1">
      <w:lvlJc w:val="left"/>
      <w:lvlText w:val="%2."/>
      <w:numFmt w:val="upperLetter"/>
      <w:start w:val="1"/>
    </w:lvl>
  </w:abstractNum>
  <w:abstractNum w:abstractNumId="70">
    <w:nsid w:val="3222E7CD"/>
    <w:multiLevelType w:val="hybridMultilevel"/>
    <w:lvl w:ilvl="0">
      <w:lvlJc w:val="left"/>
      <w:lvlText w:val="(%1)"/>
      <w:numFmt w:val="decimal"/>
      <w:start w:val="15"/>
    </w:lvl>
  </w:abstractNum>
  <w:abstractNum w:abstractNumId="71">
    <w:nsid w:val="74DE0EE3"/>
    <w:multiLevelType w:val="hybridMultilevel"/>
    <w:lvl w:ilvl="0">
      <w:lvlJc w:val="left"/>
      <w:lvlText w:val="(%1)"/>
      <w:numFmt w:val="lowerRoman"/>
      <w:start w:val="3"/>
    </w:lvl>
  </w:abstractNum>
  <w:abstractNum w:abstractNumId="72">
    <w:nsid w:val="68EBC550"/>
    <w:multiLevelType w:val="hybridMultilevel"/>
    <w:lvl w:ilvl="0">
      <w:lvlJc w:val="left"/>
      <w:lvlText w:val="%1)"/>
      <w:numFmt w:val="lowerLetter"/>
      <w:start w:val="3"/>
    </w:lvl>
  </w:abstractNum>
  <w:abstractNum w:abstractNumId="73">
    <w:nsid w:val="2DF6D648"/>
    <w:multiLevelType w:val="hybridMultilevel"/>
    <w:lvl w:ilvl="0">
      <w:lvlJc w:val="left"/>
      <w:lvlText w:val="(%1)"/>
      <w:numFmt w:val="decimal"/>
      <w:start w:val="50"/>
    </w:lvl>
  </w:abstractNum>
  <w:abstractNum w:abstractNumId="74">
    <w:nsid w:val="46B7D447"/>
    <w:multiLevelType w:val="hybridMultilevel"/>
    <w:lvl w:ilvl="0">
      <w:lvlJc w:val="left"/>
      <w:lvlText w:val="&amp;"/>
      <w:numFmt w:val="bullet"/>
      <w:start w:val="1"/>
    </w:lvl>
  </w:abstractNum>
  <w:abstractNum w:abstractNumId="75">
    <w:nsid w:val="4A2AC315"/>
    <w:multiLevelType w:val="hybridMultilevel"/>
    <w:lvl w:ilvl="0">
      <w:lvlJc w:val="left"/>
      <w:lvlText w:val="%1)"/>
      <w:numFmt w:val="lowerLetter"/>
      <w:start w:val="1"/>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lowerLetter"/>
      <w:start w:val="1"/>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2"/>
    </w:lvl>
  </w:abstractNum>
  <w:abstractNum w:abstractNumId="80">
    <w:nsid w:val="60EF0119"/>
    <w:multiLevelType w:val="hybridMultilevel"/>
    <w:lvl w:ilvl="0">
      <w:lvlJc w:val="left"/>
      <w:lvlText w:val="%1)"/>
      <w:numFmt w:val="lowerLetter"/>
      <w:start w:val="4"/>
    </w:lvl>
  </w:abstractNum>
  <w:abstractNum w:abstractNumId="81">
    <w:nsid w:val="26F324BA"/>
    <w:multiLevelType w:val="hybridMultilevel"/>
    <w:lvl w:ilvl="0">
      <w:lvlJc w:val="left"/>
      <w:lvlText w:val="%1"/>
      <w:numFmt w:val="upperLetter"/>
      <w:start w:val="1"/>
    </w:lvl>
    <w:lvl w:ilvl="1">
      <w:lvlJc w:val="left"/>
      <w:lvlText w:val="%2)"/>
      <w:numFmt w:val="lowerLetter"/>
      <w:start w:val="1"/>
    </w:lvl>
  </w:abstractNum>
  <w:abstractNum w:abstractNumId="82">
    <w:nsid w:val="7F01579B"/>
    <w:multiLevelType w:val="hybridMultilevel"/>
    <w:lvl w:ilvl="0">
      <w:lvlJc w:val="left"/>
      <w:lvlText w:val="(%1)"/>
      <w:numFmt w:val="upperLetter"/>
      <w:start w:val="4"/>
    </w:lvl>
    <w:lvl w:ilvl="1">
      <w:lvlJc w:val="left"/>
      <w:lvlText w:val="%2"/>
      <w:numFmt w:val="lowerLetter"/>
      <w:start w:val="1"/>
    </w:lvl>
  </w:abstractNum>
  <w:abstractNum w:abstractNumId="83">
    <w:nsid w:val="49DA307D"/>
    <w:multiLevelType w:val="hybridMultilevel"/>
    <w:lvl w:ilvl="0">
      <w:lvlJc w:val="left"/>
      <w:lvlText w:val="%1)"/>
      <w:numFmt w:val="lowerLetter"/>
      <w:start w:val="2"/>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lowerLetter"/>
      <w:start w:val="2"/>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lowerLetter"/>
      <w:start w:val="2"/>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lowerLetter"/>
      <w:start w:val="3"/>
    </w:lvl>
  </w:abstractNum>
  <w:abstractNum w:abstractNumId="90">
    <w:nsid w:val="7672BD23"/>
    <w:multiLevelType w:val="hybridMultilevel"/>
    <w:lvl w:ilvl="0">
      <w:lvlJc w:val="left"/>
      <w:lvlText w:val="%1."/>
      <w:numFmt w:val="upperLetter"/>
      <w:start w:val="1"/>
    </w:lvl>
  </w:abstractNum>
  <w:abstractNum w:abstractNumId="91">
    <w:nsid w:val="6FC75AF8"/>
    <w:multiLevelType w:val="hybridMultilevel"/>
    <w:lvl w:ilvl="0">
      <w:lvlJc w:val="left"/>
      <w:lvlText w:val="(%1)"/>
      <w:numFmt w:val="lowerLetter"/>
      <w:start w:val="9"/>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lowerLetter"/>
      <w:start w:val="1"/>
    </w:lvl>
  </w:abstractNum>
  <w:abstractNum w:abstractNumId="94">
    <w:nsid w:val="5F3534A4"/>
    <w:multiLevelType w:val="hybridMultilevel"/>
    <w:lvl w:ilvl="0">
      <w:lvlJc w:val="left"/>
      <w:lvlText w:val="%1"/>
      <w:numFmt w:val="lowerRoman"/>
      <w:start w:val="1"/>
    </w:lvl>
    <w:lvl w:ilvl="1">
      <w:lvlJc w:val="left"/>
      <w:lvlText w:val="%2)"/>
      <w:numFmt w:val="lowerLetter"/>
      <w:start w:val="1"/>
    </w:lvl>
  </w:abstractNum>
  <w:abstractNum w:abstractNumId="95">
    <w:nsid w:val="73A1821B"/>
    <w:multiLevelType w:val="hybridMultilevel"/>
    <w:lvl w:ilvl="0">
      <w:lvlJc w:val="left"/>
      <w:lvlText w:val="(%1)"/>
      <w:numFmt w:val="lowerRoman"/>
      <w:start w:val="1"/>
    </w:lvl>
    <w:lvl w:ilvl="1">
      <w:lvlJc w:val="left"/>
      <w:lvlText w:val="%2"/>
      <w:numFmt w:val="lowerLetter"/>
      <w:start w:val="1"/>
    </w:lvl>
  </w:abstractNum>
  <w:abstractNum w:abstractNumId="96">
    <w:nsid w:val="7DE67713"/>
    <w:multiLevelType w:val="hybridMultilevel"/>
    <w:lvl w:ilvl="0">
      <w:lvlJc w:val="left"/>
      <w:lvlText w:val="(%1)"/>
      <w:numFmt w:val="decimal"/>
      <w:start w:val="15"/>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lowerRoman"/>
      <w:start w:val="2"/>
    </w:lvl>
    <w:lvl w:ilvl="1">
      <w:lvlJc w:val="left"/>
      <w:lvlText w:val="%2)"/>
      <w:numFmt w:val="lowerLetter"/>
      <w:start w:val="3"/>
    </w:lvl>
  </w:abstractNum>
  <w:abstractNum w:abstractNumId="99">
    <w:nsid w:val="14FCE74E"/>
    <w:multiLevelType w:val="hybridMultilevel"/>
    <w:lvl w:ilvl="0">
      <w:lvlJc w:val="left"/>
      <w:lvlText w:val="%1"/>
      <w:numFmt w:val="lowerRoman"/>
      <w:start w:val="1"/>
    </w:lvl>
    <w:lvl w:ilvl="1">
      <w:lvlJc w:val="left"/>
      <w:lvlText w:val="%2)"/>
      <w:numFmt w:val="lowerLetter"/>
      <w:start w:val="1"/>
    </w:lvl>
  </w:abstractNum>
  <w:abstractNum w:abstractNumId="100">
    <w:nsid w:val="6A3DD3E8"/>
    <w:multiLevelType w:val="hybridMultilevel"/>
    <w:lvl w:ilvl="0">
      <w:lvlJc w:val="left"/>
      <w:lvlText w:val="(%1)"/>
      <w:numFmt w:val="lowerRoman"/>
      <w:start w:val="2"/>
    </w:lvl>
    <w:lvl w:ilvl="1">
      <w:lvlJc w:val="left"/>
      <w:lvlText w:val="%2"/>
      <w:numFmt w:val="lowerLetter"/>
      <w:start w:val="1"/>
    </w:lvl>
  </w:abstractNum>
  <w:abstractNum w:abstractNumId="101">
    <w:nsid w:val="71C91298"/>
    <w:multiLevelType w:val="hybridMultilevel"/>
    <w:lvl w:ilvl="0">
      <w:lvlJc w:val="left"/>
      <w:lvlText w:val="%1)"/>
      <w:numFmt w:val="lowerLetter"/>
      <w:start w:val="2"/>
    </w:lvl>
  </w:abstractNum>
  <w:abstractNum w:abstractNumId="102">
    <w:nsid w:val="9DAF632"/>
    <w:multiLevelType w:val="hybridMultilevel"/>
    <w:lvl w:ilvl="0">
      <w:lvlJc w:val="left"/>
      <w:lvlText w:val="%1)"/>
      <w:numFmt w:val="lowerLetter"/>
      <w:start w:val="1"/>
    </w:lvl>
  </w:abstractNum>
  <w:abstractNum w:abstractNumId="103">
    <w:nsid w:val="53299938"/>
    <w:multiLevelType w:val="hybridMultilevel"/>
    <w:lvl w:ilvl="0">
      <w:lvlJc w:val="left"/>
      <w:lvlText w:val="%1)"/>
      <w:numFmt w:val="lowerLetter"/>
      <w:start w:val="4"/>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81" Type="http://schemas.openxmlformats.org/officeDocument/2006/relationships/hyperlink" Target="http://www.sec.gov/Archives/edgar/data/1395937/000119312516496764/d119516dex31.htm" TargetMode="External"/><Relationship Id="rId82" Type="http://schemas.openxmlformats.org/officeDocument/2006/relationships/hyperlink" Target="http://www.sec.gov/Archives/edgar/data/1395937/000119312516496764/d119516dex32.htm" TargetMode="External"/><Relationship Id="rId83" Type="http://schemas.openxmlformats.org/officeDocument/2006/relationships/hyperlink" Target="http://www.sec.gov/Archives/edgar/data/1395937/000119312520023646/d880053dex41.htm" TargetMode="External"/><Relationship Id="rId84" Type="http://schemas.openxmlformats.org/officeDocument/2006/relationships/hyperlink" Target="http://www.sec.gov/Archives/edgar/data/1395937/000119312520023646/d8800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2020-05-07T16:10:39Z</dcterms:created>
  <dcterms:modified xsi:type="dcterms:W3CDTF">2020-05-07T16:10:39Z</dcterms:modified>
</cp:coreProperties>
</file>