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2021</w:t>
      </w: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62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-4445</wp:posOffset>
            </wp:positionV>
            <wp:extent cx="119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tbl>
      <w:tblPr>
        <w:tblLayout w:type="fixed"/>
        <w:tblInd w:w="1800" w:type="dxa"/>
        <w:tblCellMar>
          <w:top w:w="0" w:type="dxa"/>
          <w:left w:w="0" w:type="dxa"/>
          <w:bottom w:w="0" w:type="dxa"/>
          <w:right w:w="0" w:type="dxa"/>
        </w:tblCellMar>
      </w:tblPr>
      <w:tr>
        <w:trPr>
          <w:trHeight w:val="194"/>
        </w:trPr>
        <w:tc>
          <w:tcPr>
            <w:tcW w:w="5600" w:type="dxa"/>
            <w:vAlign w:val="bottom"/>
          </w:tcPr>
          <w:p>
            <w:pPr>
              <w:jc w:val="center"/>
              <w:ind w:right="2744"/>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48"/>
        </w:trPr>
        <w:tc>
          <w:tcPr>
            <w:tcW w:w="5600" w:type="dxa"/>
            <w:vAlign w:val="bottom"/>
          </w:tcPr>
          <w:p>
            <w:pPr>
              <w:jc w:val="center"/>
              <w:ind w:right="274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00" w:type="dxa"/>
            <w:vAlign w:val="bottom"/>
          </w:tcPr>
          <w:p>
            <w:pPr>
              <w:jc w:val="center"/>
              <w:ind w:right="2744"/>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4"/>
              </w:rPr>
              <w:t>Identification No.)</w:t>
            </w:r>
          </w:p>
        </w:tc>
      </w:tr>
      <w:tr>
        <w:trPr>
          <w:trHeight w:val="403"/>
        </w:trPr>
        <w:tc>
          <w:tcPr>
            <w:tcW w:w="5600" w:type="dxa"/>
            <w:vAlign w:val="bottom"/>
          </w:tcPr>
          <w:p>
            <w:pPr>
              <w:jc w:val="center"/>
              <w:ind w:right="2744"/>
              <w:spacing w:after="0"/>
              <w:rPr>
                <w:sz w:val="20"/>
                <w:szCs w:val="20"/>
                <w:color w:val="auto"/>
              </w:rPr>
            </w:pPr>
            <w:r>
              <w:rPr>
                <w:rFonts w:ascii="Arial" w:cs="Arial" w:eastAsia="Arial" w:hAnsi="Arial"/>
                <w:sz w:val="16"/>
                <w:szCs w:val="16"/>
                <w:b w:val="1"/>
                <w:bCs w:val="1"/>
                <w:color w:val="auto"/>
                <w:w w:val="92"/>
              </w:rPr>
              <w:t>35 Gatehouse Drive, Building D, Floor 3</w:t>
            </w:r>
          </w:p>
        </w:tc>
        <w:tc>
          <w:tcPr>
            <w:tcW w:w="1220" w:type="dxa"/>
            <w:vAlign w:val="bottom"/>
          </w:tcPr>
          <w:p>
            <w:pPr>
              <w:spacing w:after="0"/>
              <w:rPr>
                <w:sz w:val="24"/>
                <w:szCs w:val="24"/>
                <w:color w:val="auto"/>
              </w:rPr>
            </w:pPr>
          </w:p>
        </w:tc>
      </w:tr>
      <w:tr>
        <w:trPr>
          <w:trHeight w:val="207"/>
        </w:trPr>
        <w:tc>
          <w:tcPr>
            <w:tcW w:w="5600" w:type="dxa"/>
            <w:vAlign w:val="bottom"/>
          </w:tcPr>
          <w:p>
            <w:pPr>
              <w:jc w:val="center"/>
              <w:ind w:right="2724"/>
              <w:spacing w:after="0"/>
              <w:rPr>
                <w:sz w:val="20"/>
                <w:szCs w:val="20"/>
                <w:color w:val="auto"/>
              </w:rPr>
            </w:pPr>
            <w:r>
              <w:rPr>
                <w:rFonts w:ascii="Arial" w:cs="Arial" w:eastAsia="Arial" w:hAnsi="Arial"/>
                <w:sz w:val="16"/>
                <w:szCs w:val="16"/>
                <w:b w:val="1"/>
                <w:bCs w:val="1"/>
                <w:color w:val="auto"/>
                <w:w w:val="90"/>
              </w:rPr>
              <w:t>Waltham, Massachusetts</w:t>
            </w:r>
          </w:p>
        </w:tc>
        <w:tc>
          <w:tcPr>
            <w:tcW w:w="12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5600" w:type="dxa"/>
            <w:vAlign w:val="bottom"/>
          </w:tcPr>
          <w:p>
            <w:pPr>
              <w:jc w:val="center"/>
              <w:ind w:right="274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5600" w:type="dxa"/>
            <w:vAlign w:val="bottom"/>
          </w:tcPr>
          <w:p>
            <w:pPr>
              <w:jc w:val="right"/>
              <w:ind w:right="1184"/>
              <w:spacing w:after="0"/>
              <w:rPr>
                <w:sz w:val="20"/>
                <w:szCs w:val="20"/>
                <w:color w:val="auto"/>
              </w:rPr>
            </w:pPr>
            <w:r>
              <w:rPr>
                <w:rFonts w:ascii="Arial" w:cs="Arial" w:eastAsia="Arial" w:hAnsi="Arial"/>
                <w:sz w:val="16"/>
                <w:szCs w:val="16"/>
                <w:b w:val="1"/>
                <w:bCs w:val="1"/>
                <w:color w:val="auto"/>
              </w:rPr>
              <w:t>(781) 419-1400</w:t>
            </w:r>
          </w:p>
        </w:tc>
        <w:tc>
          <w:tcPr>
            <w:tcW w:w="1220" w:type="dxa"/>
            <w:vAlign w:val="bottom"/>
          </w:tcPr>
          <w:p>
            <w:pPr>
              <w:spacing w:after="0"/>
              <w:rPr>
                <w:sz w:val="23"/>
                <w:szCs w:val="23"/>
                <w:color w:val="auto"/>
              </w:rPr>
            </w:pPr>
          </w:p>
        </w:tc>
      </w:tr>
      <w:tr>
        <w:trPr>
          <w:trHeight w:val="186"/>
        </w:trPr>
        <w:tc>
          <w:tcPr>
            <w:tcW w:w="5600" w:type="dxa"/>
            <w:vAlign w:val="bottom"/>
          </w:tcPr>
          <w:p>
            <w:pPr>
              <w:jc w:val="center"/>
              <w:ind w:left="196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590" w:type="dxa"/>
        <w:tblCellMar>
          <w:top w:w="0" w:type="dxa"/>
          <w:left w:w="0" w:type="dxa"/>
          <w:bottom w:w="0" w:type="dxa"/>
          <w:right w:w="0" w:type="dxa"/>
        </w:tblCellMar>
      </w:tblPr>
      <w:tr>
        <w:trPr>
          <w:trHeight w:val="213"/>
        </w:trPr>
        <w:tc>
          <w:tcPr>
            <w:tcW w:w="338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98" w:lineRule="exact"/>
        <w:rPr>
          <w:sz w:val="24"/>
          <w:szCs w:val="24"/>
          <w:color w:val="auto"/>
        </w:rPr>
      </w:pPr>
    </w:p>
    <w:p>
      <w:pPr>
        <w:ind w:right="240" w:firstLine="38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firstLine="38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8" w:lineRule="exact"/>
        <w:rPr>
          <w:sz w:val="24"/>
          <w:szCs w:val="24"/>
          <w:color w:val="auto"/>
        </w:rPr>
      </w:pPr>
    </w:p>
    <w:p>
      <w:pPr>
        <w:ind w:right="28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00" w:lineRule="exact"/>
        <w:rPr>
          <w:sz w:val="24"/>
          <w:szCs w:val="24"/>
          <w:color w:val="auto"/>
        </w:rPr>
      </w:pPr>
    </w:p>
    <w:p>
      <w:pPr>
        <w:ind w:right="180" w:firstLine="38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80" w:right="22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6, 2021, there were 48,627,611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00" w:right="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expansion cohort from the Phase 1/2 clinical trial of axatilimab in chronic Graft Versus Host Disease (cGVHD);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cGVHD;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00" w:right="50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licenses with Bayer Pharma AG, Eddingpharm Investment Company Limited, Kyowa Kirin Co., Ltd., UCB Biopharma Sprl, and Vitae Pharmaceuticals, Inc., a subsidiary of Allergan plc, which was acquired by AbbVie Inc.;</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social and economic instability, natural disasters or public health crisis, including but not limited to the COVID-19 pandemic, in countries where we or our collaborators do business.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discussed at length in the section titled “Risk Factors.” These risks include, among others, the following:</w:t>
      </w:r>
    </w:p>
    <w:p>
      <w:pPr>
        <w:spacing w:after="0" w:line="62"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could adversely impact our business, including our clinical trials.</w:t>
      </w:r>
    </w:p>
    <w:p>
      <w:pPr>
        <w:spacing w:after="0" w:line="144" w:lineRule="exact"/>
        <w:rPr>
          <w:rFonts w:ascii="Arial" w:cs="Arial" w:eastAsia="Arial" w:hAnsi="Arial"/>
          <w:sz w:val="18"/>
          <w:szCs w:val="18"/>
          <w:color w:val="auto"/>
        </w:rPr>
      </w:pPr>
    </w:p>
    <w:p>
      <w:pPr>
        <w:ind w:left="1000" w:right="124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strategy for developing SNDX-5613 has undergone limited clinical testing and we may fail to show that the drug is well tolerated and provides sufficient clinical benefit for patients.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strategy for developing axatilimab has undergone limited clinical testing and we may fail to show that this drug is well tolerated and provides a sufficient clinical benefit for patients.</w:t>
      </w:r>
    </w:p>
    <w:p>
      <w:pPr>
        <w:spacing w:after="0" w:line="62" w:lineRule="exact"/>
        <w:rPr>
          <w:rFonts w:ascii="Arial" w:cs="Arial" w:eastAsia="Arial" w:hAnsi="Arial"/>
          <w:sz w:val="18"/>
          <w:szCs w:val="18"/>
          <w:color w:val="auto"/>
        </w:rPr>
      </w:pPr>
    </w:p>
    <w:p>
      <w:pPr>
        <w:ind w:left="1000" w:right="10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00" w:right="2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44"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net losses since our inception and anticipate that we will continue to incur net losses for the foreseeable future.</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44"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you could lose all or part of your investment.</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0"/>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738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Financial Statements:</w:t>
              </w:r>
            </w:hyperlink>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7"/>
        </w:trPr>
        <w:tc>
          <w:tcPr>
            <w:tcW w:w="1040" w:type="dxa"/>
            <w:vAlign w:val="bottom"/>
          </w:tcPr>
          <w:p>
            <w:pPr>
              <w:spacing w:after="0"/>
              <w:rPr>
                <w:sz w:val="24"/>
                <w:szCs w:val="24"/>
                <w:color w:val="auto"/>
              </w:rPr>
            </w:pPr>
          </w:p>
        </w:tc>
        <w:tc>
          <w:tcPr>
            <w:tcW w:w="61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June 30, 2021 and December 31, 2020</w:t>
              </w:r>
            </w:hyperlink>
          </w:p>
        </w:tc>
        <w:tc>
          <w:tcPr>
            <w:tcW w:w="328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4"/>
                <w:szCs w:val="24"/>
                <w:color w:val="auto"/>
              </w:rPr>
            </w:pPr>
          </w:p>
        </w:tc>
        <w:tc>
          <w:tcPr>
            <w:tcW w:w="69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and six months ended</w:t>
              </w:r>
            </w:hyperlink>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June 30, 2021 and 2020</w:t>
              </w:r>
            </w:hyperlink>
          </w:p>
        </w:tc>
        <w:tc>
          <w:tcPr>
            <w:tcW w:w="746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18"/>
        </w:trPr>
        <w:tc>
          <w:tcPr>
            <w:tcW w:w="1040" w:type="dxa"/>
            <w:vAlign w:val="bottom"/>
          </w:tcPr>
          <w:p>
            <w:pPr>
              <w:spacing w:after="0"/>
              <w:rPr>
                <w:sz w:val="24"/>
                <w:szCs w:val="24"/>
                <w:color w:val="auto"/>
              </w:rPr>
            </w:pPr>
          </w:p>
        </w:tc>
        <w:tc>
          <w:tcPr>
            <w:tcW w:w="66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2021</w:t>
              </w:r>
            </w:hyperlink>
          </w:p>
        </w:tc>
        <w:tc>
          <w:tcPr>
            <w:tcW w:w="280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2020</w:t>
              </w:r>
            </w:hyperlink>
          </w:p>
        </w:tc>
        <w:tc>
          <w:tcPr>
            <w:tcW w:w="85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50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28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76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Defaults upon Senior Securities</w:t>
              </w:r>
            </w:hyperlink>
          </w:p>
        </w:tc>
        <w:tc>
          <w:tcPr>
            <w:tcW w:w="2000" w:type="dxa"/>
            <w:vAlign w:val="bottom"/>
            <w:tcBorders>
              <w:top w:val="single" w:sz="8" w:color="0000EE"/>
            </w:tcBorders>
            <w:gridSpan w:val="2"/>
          </w:tcPr>
          <w:p>
            <w:pPr>
              <w:spacing w:after="0"/>
              <w:rPr>
                <w:sz w:val="24"/>
                <w:szCs w:val="24"/>
                <w:color w:val="auto"/>
              </w:rPr>
            </w:pPr>
          </w:p>
        </w:tc>
        <w:tc>
          <w:tcPr>
            <w:tcW w:w="508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88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68,041</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185,091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net</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3,624</w:t>
            </w:r>
          </w:p>
        </w:tc>
        <w:tc>
          <w:tcPr>
            <w:tcW w:w="18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term loan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less current portion</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2021 and December 31, 2020</w:t>
            </w:r>
          </w:p>
        </w:tc>
        <w:tc>
          <w:tcPr>
            <w:tcW w:w="2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48,616,628</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and 47,881,223 shares issued and outstanding at June 30, 2021 and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December 31, 2020, respectively</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833,802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(619,261)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(568,628)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214,563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263,059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4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6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7"/>
              </w:rPr>
              <w:t>Net loss per share attributable to common stockholders—basic</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6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(0.44)</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6"/>
              </w:rPr>
              <w:t>Weighted-average number of common shares used to compute</w:t>
            </w:r>
          </w:p>
        </w:tc>
        <w:tc>
          <w:tcPr>
            <w:tcW w:w="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51,603,286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40,609,205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51,551,844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37,468,922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(50,633)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(32,298)</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accretion of investments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Non-cash operating lease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(126,548)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(131,125)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direct stock offering, net</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agreement, net</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68,156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2021, and the results of operations and comprehensive loss for the three and six months ended June 30, 2021 and 2020, and cash flows for the six months ended June 30, 2021 and 2020. The results for the three and six months ended June 30, 2021 are not necessarily indicative of the results to be expected for the year ending December 31, 2021, any other interim periods, or any future year or period. These interim financial statements should be read in conjunction with the audited financial statements as of and for the year ended December 31, 2020, and the notes thereto, which are included in the Company’s Annual Report on Form 10-K as filed with the Securities and Exchange Commission (“SEC”) on March 12, 2021.</w:t>
      </w:r>
    </w:p>
    <w:p>
      <w:pPr>
        <w:spacing w:after="0" w:line="185"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3" w:lineRule="exact"/>
        <w:rPr>
          <w:sz w:val="20"/>
          <w:szCs w:val="20"/>
          <w:color w:val="auto"/>
        </w:rPr>
      </w:pPr>
    </w:p>
    <w:p>
      <w:pPr>
        <w:ind w:left="520" w:right="7680" w:hanging="512"/>
        <w:spacing w:after="0" w:line="400" w:lineRule="auto"/>
        <w:tabs>
          <w:tab w:leader="none" w:pos="191"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ind w:left="520"/>
        <w:spacing w:after="0"/>
        <w:rPr>
          <w:sz w:val="20"/>
          <w:szCs w:val="20"/>
          <w:color w:val="auto"/>
        </w:rPr>
      </w:pPr>
      <w:r>
        <w:rPr>
          <w:rFonts w:ascii="Arial" w:cs="Arial" w:eastAsia="Arial" w:hAnsi="Arial"/>
          <w:sz w:val="18"/>
          <w:szCs w:val="18"/>
          <w:color w:val="auto"/>
        </w:rPr>
        <w:t>The Company’s significant accounting policies, which are disclosed in the audited consolidated financial statements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the notes thereto are included in the Company’s Annual Report on Form 10-K that was filed with the SEC on March 12,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Since the date of that filing, there have been no material changes to the Company’s significant accounting policies except as noted below.</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have implemented business continuity plans designed to address and mitigate the impact of the COVID-19 pandemic on our business. We anticipate that the COVID-19 pandemic could have an impact on the clinical development timelines for one or more of our clinical programs. The extent to which the COVID-19 pandemic impacts our business, our clinical 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the slow rollout of mass vaccinations for COVID-19 and any limitations to the efficacy of such vaccines and the effectiveness of other actions taken globally to contain and treat the</w:t>
      </w:r>
    </w:p>
    <w:p>
      <w:pPr>
        <w:spacing w:after="0" w:line="2"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disease. The global economic slowdown, the overall disruption of global healthcare systems and the other risks and uncertainties associated with the pandemic could have a material adverse effect on our business, financial condition, results of operations and growth prospects.</w:t>
      </w:r>
    </w:p>
    <w:p>
      <w:pPr>
        <w:spacing w:after="0" w:line="53"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anticipate that the COVID-19 pandemic will have an impact on the clinical and pre-clinical development timelines for our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December 19, 2014 (the “Effective Date”), the Company entered into a license agreement with Kyowa Kirin, Co., Ltd.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6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7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right="40"/>
        <w:spacing w:after="0" w:line="342" w:lineRule="auto"/>
        <w:rPr>
          <w:sz w:val="20"/>
          <w:szCs w:val="20"/>
          <w:color w:val="auto"/>
        </w:rPr>
      </w:pPr>
      <w:r>
        <w:rPr>
          <w:rFonts w:ascii="Arial" w:cs="Arial" w:eastAsia="Arial" w:hAnsi="Arial"/>
          <w:sz w:val="16"/>
          <w:szCs w:val="16"/>
          <w:color w:val="auto"/>
        </w:rPr>
        <w:t>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Contract liabilities consisted of deferred revenue, as presented on the consolidated balance sheet, as of June 30, 2021. Deferred revenue related to the KKC License Agreement was $12.4 million as of June 30, 2021 and will be recognized over the remainder of the contract term. The Company will continue to monitor the impact of the results of E2112 on the KKC License Agreement. For the three and six months ended June 30, 2021 and 2020, the Company recognized $0.4 million and $0.8 million, respectively, as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gridSpan w:val="5"/>
          </w:tcPr>
          <w:p>
            <w:pPr>
              <w:jc w:val="center"/>
              <w:ind w:right="133"/>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gridSpan w:val="4"/>
          </w:tcPr>
          <w:p>
            <w:pPr>
              <w:jc w:val="center"/>
              <w:ind w:right="93"/>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jc w:val="center"/>
              <w:ind w:left="678"/>
              <w:spacing w:after="0"/>
              <w:rPr>
                <w:sz w:val="20"/>
                <w:szCs w:val="20"/>
                <w:color w:val="auto"/>
              </w:rPr>
            </w:pPr>
            <w:r>
              <w:rPr>
                <w:rFonts w:ascii="Arial" w:cs="Arial" w:eastAsia="Arial" w:hAnsi="Arial"/>
                <w:sz w:val="14"/>
                <w:szCs w:val="14"/>
                <w:b w:val="1"/>
                <w:bCs w:val="1"/>
                <w:color w:val="auto"/>
                <w:w w:val="93"/>
              </w:rPr>
              <w:t>share data)</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0"/>
              </w:rPr>
              <w:t>share data)</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(22,910)</w:t>
            </w:r>
          </w:p>
        </w:tc>
        <w:tc>
          <w:tcPr>
            <w:tcW w:w="5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(17,062)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(50,633)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(32,298)</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due to warrant reset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(22,910)</w:t>
            </w:r>
          </w:p>
        </w:tc>
        <w:tc>
          <w:tcPr>
            <w:tcW w:w="5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(17,062)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(50,633)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(36,204)</w:t>
            </w:r>
          </w:p>
        </w:tc>
        <w:tc>
          <w:tcPr>
            <w:tcW w:w="0" w:type="dxa"/>
            <w:vAlign w:val="bottom"/>
          </w:tcPr>
          <w:p>
            <w:pPr>
              <w:spacing w:after="0"/>
              <w:rPr>
                <w:sz w:val="1"/>
                <w:szCs w:val="1"/>
                <w:color w:val="auto"/>
              </w:rPr>
            </w:pPr>
          </w:p>
        </w:tc>
      </w:tr>
      <w:tr>
        <w:trPr>
          <w:trHeight w:val="196"/>
        </w:trPr>
        <w:tc>
          <w:tcPr>
            <w:tcW w:w="38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(0.44)</w:t>
            </w:r>
          </w:p>
        </w:tc>
        <w:tc>
          <w:tcPr>
            <w:tcW w:w="5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used to compute net loss per share attributable</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 common stockholders—basic and diluted</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51,603,286</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40,609,205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51,551,844</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37,468,922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94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7,406,760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6,857,741</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1,105,908</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Non-vested restricted stock units (RSUs)</w:t>
            </w:r>
          </w:p>
        </w:tc>
        <w:tc>
          <w:tcPr>
            <w:tcW w:w="1380" w:type="dxa"/>
            <w:vAlign w:val="bottom"/>
          </w:tcPr>
          <w:p>
            <w:pPr>
              <w:jc w:val="right"/>
              <w:spacing w:after="0"/>
              <w:rPr>
                <w:sz w:val="20"/>
                <w:szCs w:val="20"/>
                <w:color w:val="auto"/>
              </w:rPr>
            </w:pPr>
            <w:r>
              <w:rPr>
                <w:rFonts w:ascii="Arial" w:cs="Arial" w:eastAsia="Arial" w:hAnsi="Arial"/>
                <w:sz w:val="18"/>
                <w:szCs w:val="18"/>
                <w:color w:val="auto"/>
              </w:rPr>
              <w:t>124,083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June 2018, the Company signed an exchange agreement with an investor under which the investor exchanged 2,000,000 shares of common stock for 2,000,000 warrants. Further, as discussed in Note 12, in March 2019, the Company sold 2,095,039 shares of common stock as well as 2,500,000 pre-funded warrants and 4,595,039 Series 1 and Series 2 warrants. The pre-funded warrants are exercisable into shares of common stock for $0.0001 per share. In January 2020, the Company sold 3,036,719 shares of common stock as well as 1,338,287 pre-funded warrants. The warrants are exercisable into shares of common stock for $0.0001 per share. The shares of common stock into which the pre-funded warrants may be exercised are considered outstanding for the purposes of computing earnings per share. All Series 1 and Series 2 warrants were exercised in 2020.</w:t>
      </w:r>
    </w:p>
    <w:p>
      <w:pPr>
        <w:spacing w:after="0" w:line="5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During the first quarter of 2021, 250,000 pre-funded warrants were exchanged for shares of common stock in a cash exercise. As of June 30, 2021, 3,307,952 pre-funded warrants were outstanding.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In October 2017, the Company entered into a license agreement (the “AbbVie License Agreement”) with Vitae Pharmaceuticals, Inc., which is now a subsidiary of AbbVie, Inc. (“AbbVie”), under which AbbVie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AbbVie in the fourth quarter of 2017. Additionally, subject to the achievement of certain milestone events, the Company may be required to pay AbbVie up to $99.0 million in one-time development and regulatory milestone payments over the term of the AbbVie License Agreement. In the event that the Company or any of its affiliates or sublicensees commercializes the Menin Assets, the Company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AbbVie. The Company is solely responsible for the development and commercialization of the Menin Assets. Each party may terminate the AbbVie License Agreement for the other party’s uncured material breach or insolvency; and the Company may terminate the AbbVie License Agreement at will at any time upon advance written notice to AbbVie. AbbVie may terminate the AbbVie License Agreement if the Company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w:t>
      </w:r>
    </w:p>
    <w:p>
      <w:pPr>
        <w:jc w:val="both"/>
        <w:ind w:right="20" w:firstLine="8"/>
        <w:spacing w:after="0" w:line="295"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10 years from the date of the first commercial sale of the product in such country. As of the date of the AbbVie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The amount was paid in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jc w:val="both"/>
        <w:ind w:right="240" w:firstLine="510"/>
        <w:spacing w:after="0" w:line="287" w:lineRule="auto"/>
        <w:rPr>
          <w:sz w:val="20"/>
          <w:szCs w:val="20"/>
          <w:color w:val="auto"/>
        </w:rPr>
      </w:pPr>
      <w:r>
        <w:rPr>
          <w:rFonts w:ascii="Arial" w:cs="Arial" w:eastAsia="Arial" w:hAnsi="Arial"/>
          <w:sz w:val="16"/>
          <w:szCs w:val="16"/>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July 2020, the Company achieved certain development and regulatory milestones. As a result, in July 2020, the Company recorded $2.0 million as research and development expense, which has been fully paid. In March 2021, the Company recorded $2.0 million as research and development expense for the achievement of a certain development milestone. This amount was fully paid in the six months ended June 30, 2021.</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 March 2014, the Company entered into the ECOG Agreement with Eastern Cooperative Oncology Group, a contracting entity for the Eastern Cooperative Oncology Group—American College of Radiology Imaging Network Cancer Research Group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right="60"/>
        <w:spacing w:after="0" w:line="290" w:lineRule="auto"/>
        <w:rPr>
          <w:sz w:val="20"/>
          <w:szCs w:val="20"/>
          <w:color w:val="auto"/>
        </w:rPr>
      </w:pPr>
      <w:r>
        <w:rPr>
          <w:rFonts w:ascii="Arial" w:cs="Arial" w:eastAsia="Arial" w:hAnsi="Arial"/>
          <w:sz w:val="16"/>
          <w:szCs w:val="16"/>
          <w:color w:val="auto"/>
        </w:rPr>
        <w:t>(“ECOG-ACRIN”),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$5.3 million. The Company has agreed to provide this additional financial support to fund the additional activities required to ensure that the E2112 clinical trial will satisfy FDA registration requirements.</w:t>
      </w:r>
    </w:p>
    <w:p>
      <w:pPr>
        <w:spacing w:after="0" w:line="5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June 30, 2021, the Company’s aggregate payment obligations under this agreement are approximately $24.7 million; and its estimated remaining payment obligations are approximately $3.2 million, which are estimated to be paid over a period of approximately one year. As of June 30, 2021, the Company has accrued $2.5 million related to the ECOG Agreement.</w:t>
      </w:r>
    </w:p>
    <w:p>
      <w:pPr>
        <w:spacing w:after="0" w:line="6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ind w:left="1200" w:right="260" w:hanging="688"/>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76" w:lineRule="exact"/>
        <w:rPr>
          <w:sz w:val="20"/>
          <w:szCs w:val="20"/>
          <w:color w:val="auto"/>
        </w:rPr>
      </w:pPr>
    </w:p>
    <w:p>
      <w:pPr>
        <w:jc w:val="center"/>
        <w:ind w:right="-179"/>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jc w:val="both"/>
        <w:ind w:right="80" w:firstLine="510"/>
        <w:spacing w:after="0" w:line="263"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Prices</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(unadjusted)</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7"/>
              </w:rPr>
              <w:t>June 30, 2021</w:t>
            </w:r>
          </w:p>
        </w:tc>
        <w:tc>
          <w:tcPr>
            <w:tcW w:w="41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185,091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115,243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110,246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4,997</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3"/>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293,065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110,246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Cash and cash equivalents of $68.0 million and $110.2 million as of June 30, 2021 and December 31, 2020, respectively, consisted of overnight investments and money market funds and are classified within Level 1 of the fair value hierarchy because they are valued using quoted market prices in active markets. Cash equivalents of $5.0 million as of December 31, 2020,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6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Short-term investments of $185.1 million and $177.8 million as of June 30, 2021 and December 31, 2020, respectively, consisted of commercial paper, highly rated corporate bonds and U.S. Treasury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short-term investments are classified as available-for-sale securities. As of June 30, 2021,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and six months ended June 30, 2021 and 2020. As a result, the Company did not reclassify any amounts out of accumulated other comprehensive income for the same periods. The Company has a limited number of available-for-sale securities in insignificant loss positions as of June 30, 2021, which the Company does not intend to sell and has concluded it will not be required to sell before recovery of the amortized cost for the investment at maturity.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7"/>
          </w:tcPr>
          <w:p>
            <w:pPr>
              <w:jc w:val="right"/>
              <w:ind w:right="86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0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7"/>
              </w:rPr>
              <w:t>June 30, 2021</w:t>
            </w:r>
          </w:p>
        </w:tc>
        <w:tc>
          <w:tcPr>
            <w:tcW w:w="4160" w:type="dxa"/>
            <w:vAlign w:val="bottom"/>
            <w:tcBorders>
              <w:bottom w:val="single" w:sz="8" w:color="CFF0FC"/>
            </w:tcBorders>
            <w:gridSpan w:val="3"/>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143,465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Federal bonds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14,375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185,074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24</w:t>
            </w: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tcBorders>
              <w:top w:val="single" w:sz="8" w:color="CFF0FC"/>
              <w:bottom w:val="single" w:sz="8" w:color="CFF0FC"/>
            </w:tcBorders>
            <w:gridSpan w:val="4"/>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52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154,176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13</w:t>
            </w:r>
          </w:p>
        </w:tc>
        <w:tc>
          <w:tcPr>
            <w:tcW w:w="120" w:type="dxa"/>
            <w:vAlign w:val="bottom"/>
            <w:tcBorders>
              <w:left w:val="single" w:sz="8" w:color="CFF0FC"/>
            </w:tcBorders>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U.S. Treasury</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182,823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8. Prepaid Expenses and Other Current Assets</w:t>
            </w: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5"/>
          </w:tcPr>
          <w:p>
            <w:pPr>
              <w:ind w:left="520"/>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6,917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Prepaid subscriptions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clinical supplies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Reimbursable costs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120" w:type="dxa"/>
            <w:vAlign w:val="bottom"/>
            <w:tcBorders>
              <w:left w:val="single" w:sz="8" w:color="CFF0FC"/>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Total prepaid expenses and other current assets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4"/>
          </w:tcPr>
          <w:p>
            <w:pPr>
              <w:jc w:val="right"/>
              <w:ind w:right="105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0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1700"/>
              <w:spacing w:after="0"/>
              <w:rPr>
                <w:sz w:val="20"/>
                <w:szCs w:val="20"/>
                <w:color w:val="auto"/>
              </w:rPr>
            </w:pPr>
            <w:r>
              <w:rPr>
                <w:rFonts w:ascii="Arial" w:cs="Arial" w:eastAsia="Arial" w:hAnsi="Arial"/>
                <w:sz w:val="18"/>
                <w:szCs w:val="18"/>
                <w:color w:val="auto"/>
                <w:w w:val="91"/>
              </w:rPr>
              <w:t>Total accrued expenses and other current liabilities</w:t>
            </w:r>
          </w:p>
        </w:tc>
        <w:tc>
          <w:tcPr>
            <w:tcW w:w="8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vMerge w:val="restart"/>
          </w:tcPr>
          <w:p>
            <w:pPr>
              <w:jc w:val="right"/>
              <w:ind w:right="5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January 2021, the number of shares of common stock available for issuance under the 2015 Omnibus Incentive Plan (“2015 Plan”) was increased by 1,915,248 shares due to the automatic annual provision to increase shares available under the 2015 Plan. As of June 30, 2021, the total number of shares of common stock available for issuance under the 2015 Plan was 1,167,029.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ectPr>
          <w:pgSz w:w="11900" w:h="16838" w:orient="portrait"/>
          <w:cols w:equalWidth="0" w:num="1">
            <w:col w:w="11200"/>
          </w:cols>
          <w:pgMar w:left="320" w:top="661" w:right="379" w:bottom="1440" w:gutter="0" w:footer="0" w:header="0"/>
        </w:sectPr>
      </w:pPr>
    </w:p>
    <w:p>
      <w:pPr>
        <w:spacing w:after="0" w:line="287" w:lineRule="exact"/>
        <w:rPr>
          <w:sz w:val="20"/>
          <w:szCs w:val="20"/>
          <w:color w:val="auto"/>
        </w:rPr>
      </w:pPr>
    </w:p>
    <w:p>
      <w:pPr>
        <w:jc w:val="center"/>
        <w:ind w:left="4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13970</wp:posOffset>
            </wp:positionV>
            <wp:extent cx="1611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65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0</wp:posOffset>
            </wp:positionV>
            <wp:extent cx="16116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13970</wp:posOffset>
            </wp:positionV>
            <wp:extent cx="16198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6985</wp:posOffset>
            </wp:positionV>
            <wp:extent cx="16198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7180" w:space="720"/>
            <w:col w:w="3300"/>
          </w:cols>
          <w:pgMar w:left="320" w:top="661" w:right="379" w:bottom="1440" w:gutter="0" w:footer="0" w:header="0"/>
          <w:type w:val="continuous"/>
        </w:sectPr>
      </w:pPr>
    </w:p>
    <w:tbl>
      <w:tblPr>
        <w:tblLayout w:type="fixed"/>
        <w:tblInd w:w="1140" w:type="dxa"/>
        <w:tblCellMar>
          <w:top w:w="0" w:type="dxa"/>
          <w:left w:w="0" w:type="dxa"/>
          <w:bottom w:w="0" w:type="dxa"/>
          <w:right w:w="0" w:type="dxa"/>
        </w:tblCellMar>
      </w:tblP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6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FF0FC"/>
          </w:tcPr>
          <w:p>
            <w:pPr>
              <w:spacing w:after="0"/>
              <w:rPr>
                <w:sz w:val="18"/>
                <w:szCs w:val="18"/>
                <w:color w:val="auto"/>
              </w:rPr>
            </w:pPr>
          </w:p>
        </w:tc>
      </w:tr>
      <w:tr>
        <w:trPr>
          <w:trHeight w:val="229"/>
        </w:trPr>
        <w:tc>
          <w:tcPr>
            <w:tcW w:w="2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80" w:type="dxa"/>
            <w:vAlign w:val="bottom"/>
            <w:tcBorders>
              <w:bottom w:val="single" w:sz="8" w:color="CFF0FC"/>
            </w:tcBorders>
          </w:tcPr>
          <w:p>
            <w:pPr>
              <w:spacing w:after="0"/>
              <w:rPr>
                <w:sz w:val="19"/>
                <w:szCs w:val="19"/>
                <w:color w:val="auto"/>
              </w:rPr>
            </w:pPr>
          </w:p>
        </w:tc>
      </w:tr>
      <w:tr>
        <w:trPr>
          <w:trHeight w:val="223"/>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six months ended June 30, 2021 and 2020 was as follows:</w:t>
      </w:r>
    </w:p>
    <w:p>
      <w:pPr>
        <w:sectPr>
          <w:pgSz w:w="11900" w:h="16838" w:orient="portrait"/>
          <w:cols w:equalWidth="0" w:num="1">
            <w:col w:w="11200"/>
          </w:cols>
          <w:pgMar w:left="320" w:top="661" w:right="379" w:bottom="1440" w:gutter="0" w:footer="0" w:header="0"/>
          <w:type w:val="continuous"/>
        </w:sectPr>
      </w:pPr>
    </w:p>
    <w:p>
      <w:pPr>
        <w:spacing w:after="0" w:line="325" w:lineRule="exact"/>
        <w:rPr>
          <w:sz w:val="20"/>
          <w:szCs w:val="20"/>
          <w:color w:val="auto"/>
        </w:rPr>
      </w:pPr>
    </w:p>
    <w:p>
      <w:pPr>
        <w:jc w:val="center"/>
        <w:ind w:left="4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13970</wp:posOffset>
            </wp:positionV>
            <wp:extent cx="16116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65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0</wp:posOffset>
            </wp:positionV>
            <wp:extent cx="16116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13970</wp:posOffset>
            </wp:positionV>
            <wp:extent cx="1619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6985</wp:posOffset>
            </wp:positionV>
            <wp:extent cx="16198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7180" w:space="720"/>
            <w:col w:w="3300"/>
          </w:cols>
          <w:pgMar w:left="320" w:top="661" w:right="379" w:bottom="1440" w:gutter="0" w:footer="0" w:header="0"/>
          <w:type w:val="continuous"/>
        </w:sectPr>
      </w:pPr>
    </w:p>
    <w:tbl>
      <w:tblPr>
        <w:tblLayout w:type="fixed"/>
        <w:tblInd w:w="1140" w:type="dxa"/>
        <w:tblCellMar>
          <w:top w:w="0" w:type="dxa"/>
          <w:left w:w="0" w:type="dxa"/>
          <w:bottom w:w="0" w:type="dxa"/>
          <w:right w:w="0" w:type="dxa"/>
        </w:tblCellMar>
      </w:tblPr>
      <w:tr>
        <w:trPr>
          <w:trHeight w:val="20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8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80" w:type="dxa"/>
            <w:vAlign w:val="bottom"/>
            <w:shd w:val="clear" w:color="auto" w:fill="CFF0FC"/>
          </w:tcPr>
          <w:p>
            <w:pPr>
              <w:spacing w:after="0"/>
              <w:rPr>
                <w:sz w:val="18"/>
                <w:szCs w:val="18"/>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6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During the six months ended June 30, 2021, the Company granted 1,339,000 stock options to certain executives, consultants and employees having service-based vesting conditions. The grant date fair value of the options granted in the six months ended June 30, 2021, was $20.0 million, or $14.96 per share on a weighted-average basis and will be recognized as compensation expense over the requisite service period of three to four years.</w:t>
      </w:r>
    </w:p>
    <w:p>
      <w:pPr>
        <w:spacing w:after="0" w:line="4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2019, the Company granted 583,000 stock options to certain employees to purchase shares of common stock that contain certain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80"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In the fourth quarter of 2020 one of the performance milestones was achieved and of the associated 194,331 stock options, 64,777 stock options vested. The remaining options will vest in the fourth quarter of 2021 and 2022. The Company recorded approximately $0.1 million of stock compensation expense associated with these awards for the six months ended June 30, 2021, and 2020, respectively. For the remaining milestones, the performance conditions were not met. Therefore, no expense has been recognized related to these awards, and 388,669 options were cancelled in 2020.</w:t>
      </w:r>
    </w:p>
    <w:p>
      <w:pPr>
        <w:spacing w:after="0" w:line="4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the six months ended June 30, 2021, 191,394 options were exercised for cash proceeds of $1.7 million. During the six months ended June 30, 2020, 141,490 options were exercised for cash proceeds of $1.4 million.</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June 30, 2021, there was $28.2 million of unrecognized compensation cost related to employee and non-employee unvested stock options and RSUs granted under the 2015 and 2007 Plans, which is expected to be recognized over a weighted-average remaining service period of 3.0 years. Stock compensation costs have not been capitalized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During the six months ended June 30, 2021, the Company granted 109,333 shares of the Company’s restricted stock units. The shares are scheduled to vest on the one-year anniversary date of the related grant. The fair value of these shares totaled $2.3 million at the grant date, representing a weighted-average grant date fair value per share of $21.36.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 Payable</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 (ii) subject to Hercules’ investment committee approval,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color w:val="auto"/>
        </w:rPr>
        <w:t>an additional term loan of up to $10.0 million, available for borrowing from February 7, 2020 to December 15, 2020 (the “Tranche 2 Advance”).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Loan Agreement bear interest at an annual rate equal to the greater of (i) 9.85% or (ii) 5.10% plus the Wall Street Journal prime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Company’s interest rate under the Loan Agreement was 9.85%.</w:t>
      </w:r>
    </w:p>
    <w:p>
      <w:pPr>
        <w:spacing w:after="0" w:line="21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The Loan Agreement also provides for a final payment, payable upon maturity or the repayment in full of all obligations under the agreement, of up to 4.99% of the aggregate principal amount of the Term Loan Advances (as defined in the Loan Agreement). The final payment will be accrued over the term of the debt.</w:t>
      </w:r>
    </w:p>
    <w:p>
      <w:pPr>
        <w:spacing w:after="0" w:line="18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applies commencing on October 1, 2020, subject to reduction upon satisfaction of certain conditions as set forth in the Loan Agreement. As of June 30, 2021, the conditions set forth in the Loan Agreement were met. The cash covenant of $12.5 million was deferred.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79"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During the six months ended June 30, 2021 and 2020, the Company recognized $1.2 million and $1.0 million, respectively, of interest expense related to the Initial Advance pursuant to the Loan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the Company’s maturities of principal obligations under its long-term debt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6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2022</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9,727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Total principal outstanding</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Amortized final fee</w:t>
            </w:r>
          </w:p>
        </w:tc>
        <w:tc>
          <w:tcPr>
            <w:tcW w:w="3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 current portion</w:t>
            </w:r>
          </w:p>
        </w:tc>
        <w:tc>
          <w:tcPr>
            <w:tcW w:w="3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less current portion</w:t>
            </w:r>
          </w:p>
        </w:tc>
        <w:tc>
          <w:tcPr>
            <w:tcW w:w="3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120" w:type="dxa"/>
            <w:vAlign w:val="bottom"/>
            <w:vMerge w:val="restart"/>
          </w:tcPr>
          <w:p>
            <w:pPr>
              <w:jc w:val="right"/>
              <w:ind w:right="1830"/>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six months ended June 30,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00" w:type="dxa"/>
            <w:vAlign w:val="bottom"/>
            <w:gridSpan w:val="3"/>
            <w:vMerge w:val="restart"/>
          </w:tcPr>
          <w:p>
            <w:pPr>
              <w:jc w:val="center"/>
              <w:ind w:left="94"/>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3"/>
            <w:vMerge w:val="restart"/>
          </w:tcPr>
          <w:p>
            <w:pPr>
              <w:jc w:val="right"/>
              <w:ind w:right="121"/>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3"/>
          </w:tcPr>
          <w:p>
            <w:pPr>
              <w:jc w:val="center"/>
              <w:ind w:left="94"/>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90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47,881,223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(568,628)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16,382</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Pre-funded warrant exchange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(27,723)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48,248,559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(596,351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ATM Offering, net of $200</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277,629</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90,440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Balance as of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48,616,628</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833,802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(619,261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gridSpan w:val="2"/>
          </w:tcPr>
          <w:p>
            <w:pPr>
              <w:jc w:val="right"/>
              <w:ind w:right="427"/>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six months ended June 30,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00" w:type="dxa"/>
            <w:vAlign w:val="bottom"/>
            <w:gridSpan w:val="3"/>
            <w:vMerge w:val="restart"/>
          </w:tcPr>
          <w:p>
            <w:pPr>
              <w:jc w:val="center"/>
              <w:ind w:left="93"/>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1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80" w:type="dxa"/>
            <w:vAlign w:val="bottom"/>
            <w:gridSpan w:val="3"/>
            <w:vMerge w:val="restart"/>
          </w:tcPr>
          <w:p>
            <w:pPr>
              <w:jc w:val="right"/>
              <w:ind w:right="121"/>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3"/>
          </w:tcPr>
          <w:p>
            <w:pPr>
              <w:jc w:val="center"/>
              <w:ind w:left="93"/>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90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1"/>
              </w:rPr>
              <w:t>Income /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27,140,484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527,067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(495,470)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12,601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Proceeds from direct offering, net of $93</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offering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3,036,719</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pre-funded common stock</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warrant from direct offering, net of $41</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Deemed dividend from repricing Series 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and 2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Repricing Series 1 and 2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51,034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30,240,838</w:t>
            </w:r>
          </w:p>
        </w:tc>
        <w:tc>
          <w:tcPr>
            <w:tcW w:w="2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564,164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(510,706</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Issuance of common stock in exchange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for pre-funded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280,332</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Exercise Series 1 and Series 2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1,512,229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Proceeds from direct offering, net of $7,099</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of offering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6,388,889</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107,901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90,456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38,512,744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(527,768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In the six months ended June 30, 2021, the Company sold 277,629 shares of common stock under the 2021 ATM Program, with net proceeds of approximately $5.1 million.</w:t>
      </w:r>
    </w:p>
    <w:p>
      <w:pPr>
        <w:spacing w:after="0" w:line="166"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March 2019, the Company issued 2,095,039 shares of its common stock and pre-funded warrants to purchase 2,500,000 shares of common stock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(collectively,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7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Series Warrants were immediately exercisable. Each Series 1 Warrant had an initial exercise price of $12.00 per share of common stock and each Series 2 Warrant had an initial exercise price of $18.00 per share of common stock, in each case subject to certain adjustments. All Series 1 and Series 2 warrants were exercised in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ind w:right="140" w:firstLine="510"/>
        <w:spacing w:after="0" w:line="279" w:lineRule="auto"/>
        <w:rPr>
          <w:sz w:val="20"/>
          <w:szCs w:val="20"/>
          <w:color w:val="auto"/>
        </w:rPr>
      </w:pPr>
      <w:r>
        <w:rPr>
          <w:rFonts w:ascii="Arial" w:cs="Arial" w:eastAsia="Arial" w:hAnsi="Arial"/>
          <w:sz w:val="17"/>
          <w:szCs w:val="17"/>
          <w:color w:val="auto"/>
        </w:rPr>
        <w:t>The Pre-Funded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7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shares of common stock upon exercise. In addition, such warrants do not provide any guarantee of value or return</w:t>
      </w:r>
      <w:r>
        <w:rPr>
          <w:rFonts w:ascii="Arial" w:cs="Arial" w:eastAsia="Arial" w:hAnsi="Arial"/>
          <w:sz w:val="21"/>
          <w:szCs w:val="21"/>
          <w:color w:val="auto"/>
        </w:rPr>
        <w:t>.</w:t>
      </w:r>
      <w:r>
        <w:rPr>
          <w:rFonts w:ascii="Arial" w:cs="Arial" w:eastAsia="Arial" w:hAnsi="Arial"/>
          <w:sz w:val="18"/>
          <w:szCs w:val="18"/>
          <w:color w:val="auto"/>
        </w:rPr>
        <w:t xml:space="preserve"> The Company valued the Series Warrants at issuance in March 2019 using the Black Scholes option pricing model and determined the fair value of the 4,595,039 Series Warrants at $3.4 million. The key inputs to the valuation model included the weighted average volatility of 89.1% and the weighted-average expected term of 1.4 years.</w:t>
      </w:r>
    </w:p>
    <w:p>
      <w:pPr>
        <w:spacing w:after="0" w:line="19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In January 2020, the Company sold 3,036,719 shares of common stock and pre-funded warrants to purchase 1,338,287 shares of common stock. The offering price for the securities was $8.00 per share of common stock or $7.9999 for each pre-funded warrant. As a result of this offering, the exercise price of Series 1 Warrants and Series 2 Warrants outstanding reset from $12.00 per share to $10.00 per share and from $18.00 per share to $13.00, respectively.</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recorded $3.9 million as a deemed dividend which represents the value transferred to the warrant holders due to the Series Warrant adjustment mechanism being triggered. The deemed dividend was recorded as both an increase and a decrease in Additional Paid-in-Capital and reduced net income available to common stockholders by the same amount. The key inputs to the valuation model included the weighted average volatility of 96.74% and the weighted average expected term of 0.4 years.</w:t>
      </w:r>
    </w:p>
    <w:p>
      <w:pPr>
        <w:spacing w:after="0" w:line="193"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2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3,307,952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280" w:type="dxa"/>
            <w:vAlign w:val="bottom"/>
          </w:tcPr>
          <w:p>
            <w:pPr>
              <w:jc w:val="right"/>
              <w:spacing w:after="0"/>
              <w:rPr>
                <w:sz w:val="20"/>
                <w:szCs w:val="20"/>
                <w:color w:val="auto"/>
              </w:rPr>
            </w:pPr>
            <w:r>
              <w:rPr>
                <w:rFonts w:ascii="Arial" w:cs="Arial" w:eastAsia="Arial" w:hAnsi="Arial"/>
                <w:sz w:val="18"/>
                <w:szCs w:val="18"/>
                <w:color w:val="auto"/>
              </w:rPr>
              <w:t>1,167,029</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1,306,906</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12,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six months ended June 30, 2021 and 2020, we reported a net loss of $50.6 million and $32.3 million, respectively. We reported a net loss attributable to stockholders of $50.6 million and $36.2 million for the six months ended June 30, 2021 and 2020, respectively. As of June 30, 2021, we had an accumulated deficit of $619.3 million, which included non-cash charges for stock-based compensation, preferred stock accretion and extinguishment charges. As of June 30, 2021, we had cash, cash equivalents and short-term investments of $253.1 million.</w:t>
      </w:r>
    </w:p>
    <w:p>
      <w:pPr>
        <w:spacing w:after="0" w:line="87"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We continue to monitor our daily operations and program timelines during the evolving coronavirus 2019 (COVID-19) pandemic. The health and safety of our employees as well as the patients and people participating in and operating our clinical trials are of paramount importance. COVID-19, including its variants, has not impacted our financial guidance or changed our timelines for clinical data in 2021, to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ind w:left="740" w:right="6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May 2021, we reported updated data from the ongoing Phase 1 dose escalation portion of the Phase 1/2 AUGMENT-101 trial of SNDX-5613, a highly selective oral menin inhibitor, in patients with MLLr and NPM1c mutant relapsed/refractory (R/R) acute leukemias. The updated May data showed that a total of 7/31 patients (23%) have achieved CR/CRh.</w:t>
      </w:r>
    </w:p>
    <w:p>
      <w:pPr>
        <w:spacing w:after="0" w:line="183" w:lineRule="exact"/>
        <w:rPr>
          <w:rFonts w:ascii="Arial" w:cs="Arial" w:eastAsia="Arial" w:hAnsi="Arial"/>
          <w:sz w:val="18"/>
          <w:szCs w:val="18"/>
          <w:color w:val="auto"/>
        </w:rPr>
      </w:pPr>
    </w:p>
    <w:p>
      <w:pPr>
        <w:ind w:left="740" w:right="80"/>
        <w:spacing w:after="0" w:line="257" w:lineRule="auto"/>
        <w:rPr>
          <w:rFonts w:ascii="Arial" w:cs="Arial" w:eastAsia="Arial" w:hAnsi="Arial"/>
          <w:sz w:val="18"/>
          <w:szCs w:val="18"/>
          <w:color w:val="auto"/>
        </w:rPr>
      </w:pPr>
      <w:r>
        <w:rPr>
          <w:rFonts w:ascii="Arial" w:cs="Arial" w:eastAsia="Arial" w:hAnsi="Arial"/>
          <w:sz w:val="18"/>
          <w:szCs w:val="18"/>
          <w:color w:val="auto"/>
        </w:rPr>
        <w:t>Based on positive findings from the intermediate dose cohort, in which no dose limiting toxicities were observed, we have selected 276 mg of SNDX-5613 every 12 hours in patients who are not receiving a concomitant strong CYP3A4 inhibitor (Arm A) and 163 mg every 12 hours for patients who are receiving a concomitant strong CYP3A4 inhibitor doses (Arm B), for Phase 2. Enrollment in the trial remains ongoing, with recently enrolled patients expected to count towards the Phase 2 expansion portion, subject to endorsement of the Phase 2 dose by the U.S. Food and Drug Administration (FDA).</w:t>
      </w:r>
    </w:p>
    <w:p>
      <w:pPr>
        <w:spacing w:after="0" w:line="79" w:lineRule="exact"/>
        <w:rPr>
          <w:rFonts w:ascii="Arial" w:cs="Arial" w:eastAsia="Arial" w:hAnsi="Arial"/>
          <w:sz w:val="18"/>
          <w:szCs w:val="18"/>
          <w:color w:val="auto"/>
        </w:rPr>
      </w:pPr>
    </w:p>
    <w:p>
      <w:pPr>
        <w:ind w:left="740" w:right="60" w:hanging="368"/>
        <w:spacing w:after="0" w:line="279"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announced that we will initiate a frontline trial of SNDX-5613 in combination with venetoclax and azacytidine in newly diagnosed acute myeloid leukemia (AML) patients unable to tolerate induction chemotherapy. The trial will be conducted as part of the Leukemia &amp; Lymphoma Society’s Beat</w:t>
      </w:r>
      <w:r>
        <w:rPr>
          <w:rFonts w:ascii="Arial" w:cs="Arial" w:eastAsia="Arial" w:hAnsi="Arial"/>
          <w:sz w:val="14"/>
          <w:szCs w:val="14"/>
          <w:color w:val="auto"/>
        </w:rPr>
        <w:t>®</w:t>
      </w:r>
      <w:r>
        <w:rPr>
          <w:rFonts w:ascii="Arial" w:cs="Arial" w:eastAsia="Arial" w:hAnsi="Arial"/>
          <w:sz w:val="17"/>
          <w:szCs w:val="17"/>
          <w:color w:val="auto"/>
        </w:rPr>
        <w:t xml:space="preserve"> AML Master Clinical Trial, a collaborative clinical trial that aims to change the paradigm of AML treatment through a precision medicine approach. SNDX-5613 is the first menin inhibitor to be included in the Beat AML Master Clinical Trial.</w:t>
      </w:r>
    </w:p>
    <w:p>
      <w:pPr>
        <w:spacing w:after="0" w:line="63" w:lineRule="exact"/>
        <w:rPr>
          <w:rFonts w:ascii="Arial" w:cs="Arial" w:eastAsia="Arial" w:hAnsi="Arial"/>
          <w:sz w:val="17"/>
          <w:szCs w:val="17"/>
          <w:color w:val="auto"/>
        </w:rPr>
      </w:pPr>
    </w:p>
    <w:p>
      <w:pPr>
        <w:ind w:left="740" w:right="18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also announced that it plans to initiate a new trial to assess the safety, tolerability, and preliminary anti-leukemic efficacy of SNDX-5613 in combination with chemotherapy in patients with relapsed or refractory MLLr or mNPM1 acute leukemias. The Phase 1b trial, which will be referred to as AUGMENT-102, is expected to enroll up to 27 patients.</w:t>
      </w:r>
    </w:p>
    <w:p>
      <w:pPr>
        <w:spacing w:after="0" w:line="75" w:lineRule="exact"/>
        <w:rPr>
          <w:rFonts w:ascii="Arial" w:cs="Arial" w:eastAsia="Arial" w:hAnsi="Arial"/>
          <w:sz w:val="18"/>
          <w:szCs w:val="18"/>
          <w:color w:val="auto"/>
        </w:rPr>
      </w:pPr>
    </w:p>
    <w:p>
      <w:pPr>
        <w:jc w:val="both"/>
        <w:ind w:left="740" w:right="20" w:hanging="368"/>
        <w:spacing w:after="0" w:line="286"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June 2021, we announced that the FDA granted Fast Track Designation (FTD) to SNDX-5613 for the treatment of adult and pediatric patients with relapsed or refractory acute leukemias harboring a MLLr or NPM1 mutation. FTD is designed to facilitate the development and expedite the review of drugs to treat serious conditions and fulfill an unmet medical need, enabling drugs to reach patients earlier.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left="740" w:right="28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2021, we announced that enrollment is complete in the Phase 2 expansion portion of the Phase 1/2 trial of axatilimab, its anti-CSF-1R monoclonal antibody, in patients with cGVHD. We continue to anticipate reporting updated results at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ind w:left="740" w:right="100"/>
        <w:spacing w:after="0" w:line="259" w:lineRule="auto"/>
        <w:rPr>
          <w:sz w:val="20"/>
          <w:szCs w:val="20"/>
          <w:color w:val="auto"/>
        </w:rPr>
      </w:pPr>
      <w:r>
        <w:rPr>
          <w:rFonts w:ascii="Arial" w:cs="Arial" w:eastAsia="Arial" w:hAnsi="Arial"/>
          <w:sz w:val="18"/>
          <w:szCs w:val="18"/>
          <w:color w:val="auto"/>
        </w:rPr>
        <w:t>medical meeting in the fourth quarter of 2021 for 40 patients, including the 17 patients in the Phase 1 portion and 23 patients from the Phase 2 expansion portion, which evaluated 1 mg/kg of axatilimab every two weeks. At the American Society of Hematology Annual Meeting in December 2020, preliminary data from the Phase 1 portion of the trial were reported during an oral presentation highlighting the tolerability and high response rate of axatilimab in cGVHD patients refractory to multiple therapeutic agents.</w:t>
      </w:r>
    </w:p>
    <w:p>
      <w:pPr>
        <w:spacing w:after="0" w:line="187" w:lineRule="exact"/>
        <w:rPr>
          <w:sz w:val="20"/>
          <w:szCs w:val="20"/>
          <w:color w:val="auto"/>
        </w:rPr>
      </w:pPr>
    </w:p>
    <w:p>
      <w:pPr>
        <w:ind w:left="740" w:right="40"/>
        <w:spacing w:after="0" w:line="259" w:lineRule="auto"/>
        <w:rPr>
          <w:sz w:val="20"/>
          <w:szCs w:val="20"/>
          <w:color w:val="auto"/>
        </w:rPr>
      </w:pPr>
      <w:r>
        <w:rPr>
          <w:rFonts w:ascii="Arial" w:cs="Arial" w:eastAsia="Arial" w:hAnsi="Arial"/>
          <w:sz w:val="18"/>
          <w:szCs w:val="18"/>
          <w:color w:val="auto"/>
        </w:rPr>
        <w:t>Enrollment is ongoing in our global pivotal Phase 2 AGAVE-201 trial of axatilimab in patients with cGVHD, with topline data expected in 2023. The trial will evaluate the safety and efficacy of three doses and schedules of axatilimab. The primary endpoint will assess objective response rate based on the 2014 NIH consensus criteria for cGVHD, with key secondary endpoints including duration of response and improvement in modified Lee Symptom Scale score.</w:t>
      </w:r>
    </w:p>
    <w:p>
      <w:pPr>
        <w:spacing w:after="0" w:line="79" w:lineRule="exact"/>
        <w:rPr>
          <w:sz w:val="20"/>
          <w:szCs w:val="20"/>
          <w:color w:val="auto"/>
        </w:rPr>
      </w:pPr>
    </w:p>
    <w:p>
      <w:pPr>
        <w:ind w:left="740" w:right="38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Earlier this year, we announced that the FDA granted Orphan Drug Designation to axatilimab for the treatment of patients with cGVHD and idiopathic pulmonary fibrosis.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implemented business continuity plans designed to address and mitigate the impact of the ongoing COVID-19 pandemic on our employees and our business. While we are not experiencing financial impacts at this time, given the global economic slowdown, the overall disruption of global healthcare systems, the slow rollout-of mass vaccinations for COVID-19 and any limitations to the efficacy of such vaccines, the evolution of multiple variants of the virus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an approach that is principles-based and local in design, with a focus on employee safety and optimal work environment.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for an extended period of time and begins to impact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With respect to clinical development, we have taken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slight impact on our ability to maintain patient enrollment in the AUGMENT-101 and AGAVE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Corporate Development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With our strong cash balance, we anticipate having sufficient liquidity to make planned investments in our business this year in support of our long-term growth strategy. We believe that our cash, cash equivalents and marketable securities as of June 30, 2021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and Corporate Impacts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While we continue to evaluate whether the COVID-19 pandemic will adversely affect our business operations and financial results, our clinical development and regulatory efforts, our corporate development objectives and the value of and market for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right="60"/>
        <w:spacing w:after="0" w:line="257" w:lineRule="auto"/>
        <w:rPr>
          <w:sz w:val="20"/>
          <w:szCs w:val="20"/>
          <w:color w:val="auto"/>
        </w:rPr>
      </w:pPr>
      <w:r>
        <w:rPr>
          <w:rFonts w:ascii="Arial" w:cs="Arial" w:eastAsia="Arial" w:hAnsi="Arial"/>
          <w:sz w:val="18"/>
          <w:szCs w:val="18"/>
          <w:color w:val="auto"/>
        </w:rPr>
        <w:t>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0" w:firstLine="510"/>
        <w:spacing w:after="0" w:line="286"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revenues for the three and six months ended June 30, 2021 and 2020 have been solely derived from our license, development and commercialization agreement with Kyowa Kirin Co., Ltd., or KKC, under which we granted KKC an exclusive license to develop and commercialize entinostat in Japan and Korea, or the KKC license agreement. In 2015, we received a</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$25.0 million upfront payment from KKC,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KKC’s purchase of shares of our convertible preferred stock.</w:t>
      </w:r>
    </w:p>
    <w:p>
      <w:pPr>
        <w:spacing w:after="0" w:line="8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October 2017, KKC enrolled the first Japanese patient into a local pivotal study of entinostat for the treatment of hormone receptor positive, human epidermal growth factor 2 negative breast cancer. In accordance with the terms of the KKC License Agreement, in December 2017 we received a $5.0 million milestone payment from KKC for achievement of the development milestone.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00" w:right="10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5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9" w:lineRule="exact"/>
        <w:rPr>
          <w:sz w:val="20"/>
          <w:szCs w:val="20"/>
          <w:color w:val="auto"/>
        </w:rPr>
      </w:pPr>
    </w:p>
    <w:p>
      <w:pPr>
        <w:jc w:val="both"/>
        <w:ind w:right="8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6"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5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44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ind w:right="47"/>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480"/>
              <w:spacing w:after="0"/>
              <w:rPr>
                <w:sz w:val="20"/>
                <w:szCs w:val="20"/>
                <w:color w:val="auto"/>
              </w:rPr>
            </w:pPr>
            <w:r>
              <w:rPr>
                <w:rFonts w:ascii="Arial" w:cs="Arial" w:eastAsia="Arial" w:hAnsi="Arial"/>
                <w:sz w:val="18"/>
                <w:szCs w:val="18"/>
                <w:color w:val="auto"/>
              </w:rPr>
              <w:t>License fees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(22,334)</w:t>
            </w: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(16,610)</w:t>
            </w:r>
          </w:p>
        </w:tc>
        <w:tc>
          <w:tcPr>
            <w:tcW w:w="2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2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(22,910)</w:t>
            </w:r>
          </w:p>
        </w:tc>
        <w:tc>
          <w:tcPr>
            <w:tcW w:w="22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(17,062)</w:t>
            </w:r>
          </w:p>
        </w:tc>
        <w:tc>
          <w:tcPr>
            <w:tcW w:w="220" w:type="dxa"/>
            <w:vAlign w:val="bottom"/>
            <w:vMerge w:val="continue"/>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5,848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months ended June 30, 2021 and 2020, we recognized license fees of $0.4 million and $0.4 million respectively, derived from the KKC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months ended June 30, 2021, our total research and development expenses increased approximately $6.0 million, or 54%,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$16.9 million from $10.9 million for the comparable quarter in the prior year. The increase in research and development expenses was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clinical and manufacturing activities of $4.6 million, increases in employee related expenses of $1.2 million and increased professional fees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$0.2 million. Increased clinical and manufacturing expenses are primarily due to increased manufacturing activities related to menin of $3.0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axatilimab of $1.6 million. Clinical activities for menin increased by $1.0 million, for axatilimab by $0.1 million, offset by decreased activity for entinostat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$1.1 million. Employee related activities increased due to increased headcount expenses of $0.7 million and increased stock compensation of $0.5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We expect research and development expenses to fluctuate from quarter to quarter depending on the timing of clinical trial activities, clinical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manufacturing and other development activities.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12,063</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16,871</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For the three months ended June 30, 2021, our total general and administrative expenses decreased $0.2 million, or 3%, to $5.8 million from $6.0 million for the comparable period in the prior year. The decrease in general and administrative expenses was primarily due to decreased pre-commercialization activities of $0.9 million, partially offset by increased stock compensation expenses of $0.6 million in connection with an RSU grant and increased directors’ and officers’ insurance of $0.1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For the three months ended June 30, 2021, interest expense increased from the comparable period in the prior year primarily due to the interest expense on the loan payable.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For the three months ended June 30, 2021, interest income increased from the comparable period in the prior year primarily due to interest income on an increased average balance of cash equivalents and short-term investments, partially offset by lower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Increase (Decrease)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70"/>
              <w:spacing w:after="0" w:line="155"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License fees</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9"/>
                <w:szCs w:val="19"/>
                <w:color w:val="auto"/>
              </w:rPr>
            </w:pP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18,237</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50,255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17,787</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(49,497)</w:t>
            </w:r>
          </w:p>
        </w:tc>
        <w:tc>
          <w:tcPr>
            <w:tcW w:w="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(31,710)</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(1,258)</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(329)</w:t>
            </w: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Other expense (income), net</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7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2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4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7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(50,633)</w:t>
            </w:r>
          </w:p>
        </w:tc>
        <w:tc>
          <w:tcPr>
            <w:tcW w:w="22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(32,298)</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18,335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For the six months ended June 30, 2021 and 2020, we recognized license fees of $0.8 million and $0.8 million respectively, derived from the KKC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For the six months ended June 30, 2021, our total research and development expenses increased $18.2 million, or 89%, to $38.7 million from $20.5 million for the comparable period in the prior year due to increased clinical and manufacturing activities of $15.8 million, increased employee related expenses of $2.1 million, and increased professional fees of $0.3 million. Increased clinical and manufacturing activities are primarily due to increased manufacturing related to menin of $5.2 million, and axatilimab of $4.0 million, and increased clinical activities for menin of $3.3 million, for axatilimab of $2.4 million, partially offset by decreased clinical activities for entinostat of $1.1 million. Additionally in 2021, we recognized a $2.0 million expense upon the achievement of certain milestones in connection with the menin program. Employee related expenses primarily increased due to increased headcount and stock compensation. We expect research and development expenses to fluctuate from period to period depending on the timing of clinical trial activities, clinical manufacturing, and other development activities.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Increase (Decrease)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29,669</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13,596</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16,073</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38,742</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20,505</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18,237</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For the six months ended June 30, 2021, our total general and administrative expenses decreased $0.5 million, or 4%, to $11.5 million from $12.0 million for the comparable period in the prior year. The decrease in general and administrative expenses was primarily due to decreased pre-commercialization activities of $1.5 million, partially offset by increased stock compensation expense of $1.0 million associated with RSUs issued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operating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six months ended June 30, 2021, interest income decreased from the comparable period in the prior year primarily due to lower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As of June 30, 2021, we had cash, cash equivalents and short-term investments totaling $253.1 million, which includes $5.1 million in net proceeds from the sale of 277,629 shares of common stock under our 2021 ATM Program (as described below). Our operations have been primarily financed by net proceeds from our initial public offering, our follow-on stock offerings, and proceeds from our license agreements. We believe that our present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57"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We did not request the available additional borrowings by the due date. 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Borrowings under the Loan Agreement bear interest at an annual rate equal to the greater of (i) 9.85% or (ii) 5.10% plus the Wall Street Journal prime rate. The Wall Street Journal prime rate as of June 30, 2021, was 3.25%.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For additional information regarding the Loan Agreement with Hercules, see Note 11 to our condensed consolidated financial statements located elsewhere in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March 2021, we entered into a sales agreement with Cowen and Company, LLC, or Cowen, under which we may issue and sell shares of our common stock having aggregate sales proceeds of up to $75.0 million from time to time through Cowen, acting as agent, in a series of one or more ATM equity offerings, or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 In the first half of 2021, we sold 277,629 shares of common stock under the 2021 ATM Program for net proceeds of approximately $5.1 million.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7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44"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00" w:right="3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55"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4"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8" w:lineRule="exact"/>
        <w:rPr>
          <w:rFonts w:ascii="Arial" w:cs="Arial" w:eastAsia="Arial" w:hAnsi="Arial"/>
          <w:sz w:val="17"/>
          <w:szCs w:val="17"/>
          <w:color w:val="auto"/>
        </w:rPr>
      </w:pPr>
    </w:p>
    <w:p>
      <w:pPr>
        <w:ind w:left="1000" w:right="6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5" w:lineRule="exact"/>
        <w:rPr>
          <w:rFonts w:ascii="Arial" w:cs="Arial" w:eastAsia="Arial" w:hAnsi="Arial"/>
          <w:sz w:val="18"/>
          <w:szCs w:val="18"/>
          <w:color w:val="auto"/>
        </w:rPr>
      </w:pPr>
    </w:p>
    <w:p>
      <w:pPr>
        <w:ind w:left="1000" w:right="20" w:hanging="493"/>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disruptions to our supply chain and operations, and associated delays in the manufacturing and supply of our products, which would adversely impact our ability to generate sales of and revenues from entinostat, if approved, and to continue our clinical trial operations;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20" w:firstLine="51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June 30, 2021, we had an accumulated deficit of $619.3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gridSpan w:val="3"/>
          </w:tcPr>
          <w:p>
            <w:pPr>
              <w:jc w:val="right"/>
              <w:ind w:right="496"/>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(46,634)</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(37,332)</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(7,548)</w:t>
            </w: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(97,665)</w:t>
            </w: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2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163,999</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(47,202)</w:t>
            </w:r>
          </w:p>
        </w:tc>
        <w:tc>
          <w:tcPr>
            <w:tcW w:w="28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2021, was $46.6 million and primarily consisted of our net loss of $50.6 million adjusted for non-cash items, including stock-based compensation of $6.0 million, a net decrease in operating assets and liabilities of $2.8 million, an investment accretion of $0.3 million, a non-cash operating lease expense of $0.2 million and non-cash interest expense associated with the term loan of $0.2 million. The increase in net loss was primarily due to increased clinical trial activities and CMC expenses partially offset by decreased pre-commercialization activities. The net decrease in operating assets and liabilities primarily consisted of increased accounts payable of $0.1 million, increased prepayments and deposits of $2.4 million and increased accrued expenses and other liabilities of $0.2 million and decreased deferred revenue of $0.8 million.</w:t>
      </w:r>
    </w:p>
    <w:p>
      <w:pPr>
        <w:spacing w:after="0" w:line="8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2020, was $37.3 million and primarily consisted of our net loss of $32.3 million adjusted for non-cash items, including stock-based compensation of $4.0 million, a net decrease in operating assets and liabilities of $9.2 million, an investment accretion of $0.2 million and non-cash interest expense associated with the term loan of $0.2 million. The increased net loss is primarily due to increased pre-commercialization expenses, offset by decreased clinical trial activities and CMC expenses. The net decrease in operating assets and liabilities primarily consisted of decreased accounts payable of $4.3 million, increased prepayments and deposits of $2.4 million, and decreased accrued expenses and other liabilities of $1.7 million and deferred revenue of $0.8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ind w:right="400" w:firstLine="510"/>
        <w:spacing w:after="0" w:line="342" w:lineRule="auto"/>
        <w:rPr>
          <w:sz w:val="20"/>
          <w:szCs w:val="20"/>
          <w:color w:val="auto"/>
        </w:rPr>
      </w:pPr>
      <w:r>
        <w:rPr>
          <w:rFonts w:ascii="Arial" w:cs="Arial" w:eastAsia="Arial" w:hAnsi="Arial"/>
          <w:sz w:val="16"/>
          <w:szCs w:val="16"/>
          <w:color w:val="auto"/>
        </w:rPr>
        <w:t>Net cash used in investing activities for the six months ended June 30, 2021, was $7.5 million and was primarily due to the purchase of $126.5 million of available-for-sale marketable securities partially offset by the $119.0 million of proceeds from the maturities of available-for-sale securities.</w:t>
      </w:r>
    </w:p>
    <w:p>
      <w:pPr>
        <w:spacing w:after="0" w:line="1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2020, was $97.7 million and was primarily due to the purchase of $131.1 million of available-for-sale marketable securities from the proceeds of the direct offering partially offset by $33.4 million of proceeds from the maturities of available-for-sale securities, which will primarily be used to fund the next period’s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of $7.0 million was primarily due to proceeds from sales under the 2021 ATM Program, net of discounts and commissions of $5.1 million, proceeds from the exercise of stock options of $1.7 million and employee participation in our Employee Stock Purchase Plan of $0.1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120" w:firstLine="510"/>
        <w:spacing w:after="0" w:line="286" w:lineRule="auto"/>
        <w:rPr>
          <w:sz w:val="20"/>
          <w:szCs w:val="20"/>
          <w:color w:val="auto"/>
        </w:rPr>
      </w:pPr>
      <w:r>
        <w:rPr>
          <w:rFonts w:ascii="Arial" w:cs="Arial" w:eastAsia="Arial" w:hAnsi="Arial"/>
          <w:sz w:val="17"/>
          <w:szCs w:val="17"/>
          <w:color w:val="auto"/>
        </w:rPr>
        <w:t>Net cash provided by financing activities for the six months ended June 30, 2020, of $164.0 million was primarily due to the proceeds from our direct placement and follow-on offering, net of discounts and commissions, of $142.8 million, net proceeds from our term loan of $19.7 million, proceeds from stock option exercises of $1.4 million and employee participation in our Employee Stock Purchase Plan of $0.1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JOBS Act.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We will cease to be an “emerging growth company” on December 31, 2021.</w:t>
      </w:r>
    </w:p>
    <w:p>
      <w:pPr>
        <w:spacing w:after="0" w:line="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June 30, 2021, we no longer qualify as a smaller reporting company as defined in the Securities Exchange Act of 1934, as amended. We have historically taken, and may continue through the filing of our Annual Report on Form 10-K for the year ending December 31, 2021 to take, advantage of certain scaled disclosures available to smaller reporting companies.</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2021, we had cash and cash equivalents of $68.0 million, consisting of overnight investments, interest-bearing money market funds, commercial papers and short-term corporate bonds, and short-term investments of $185.1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3"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also have exposure to market risk on our Loan Agreement with Hercules. Our Loan Agreement accrues interest from its date of issue at a variable interest rate equal to greater of (i) 9.85% and (ii) 5.10% plus the Wall Street Journal prime rate. As of June 30, 2021, $20.0 million in loan principal was outstanding under the Loan Agreement. The effect of a 100 basis points adverse change in market interest rates on our 2020 Loan Payable, in excess of applicable minimum floors, on our interest expense would be approximately $0.5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As of June 30, 2021,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9" w:name="page30"/>
    <w:bookmarkEnd w:id="29"/>
    <w:p>
      <w:pPr>
        <w:ind w:right="320"/>
        <w:spacing w:after="0" w:line="277" w:lineRule="auto"/>
        <w:rPr>
          <w:sz w:val="20"/>
          <w:szCs w:val="20"/>
          <w:color w:val="auto"/>
        </w:rPr>
      </w:pPr>
      <w:r>
        <w:rPr>
          <w:rFonts w:ascii="Arial" w:cs="Arial" w:eastAsia="Arial" w:hAnsi="Arial"/>
          <w:sz w:val="18"/>
          <w:szCs w:val="18"/>
          <w:color w:val="auto"/>
        </w:rPr>
        <w:t>concluded based upon the evaluation described above that, as of June 30, 2021,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There was no change in our internal control over financial reporting that occurred during our most recent fiscal quarter that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2021,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6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executive orders may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8"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While COVID-19 has not yet had a material impact on our business operations, quarantines and various government orders related to COVID-19, including its variants, may adversely impact our business operations and the business operations of our contract research organizations conducting our clinical trials and our third-party manufacturing facilities in the United States and other countries. In particular, if the COVID-19 pandemic continues to persist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continue our clinical trial operations.</w:t>
      </w:r>
    </w:p>
    <w:p>
      <w:pPr>
        <w:spacing w:after="0" w:line="56"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In addition, our clinical trials may be affected by the COVID-19 pandemic. For example, we have experienced delays in clinical site initiation and patient enrollment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5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spread of COVID-19, including its variants,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4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COVID-19 continues to evolve rapidly, and multiple variants of the virus that causes COVID-19 are circulating globally. 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social distancing requirements, business closures in the United States and other countries, the rollout of mass vaccinations for COVID-19 and any limitations to the efficacy of such vaccines and the effectiveness of other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240" w:firstLine="51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520" w:firstLine="578"/>
        <w:spacing w:after="0" w:line="311"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41" w:lineRule="exact"/>
        <w:rPr>
          <w:sz w:val="20"/>
          <w:szCs w:val="20"/>
          <w:color w:val="auto"/>
        </w:rPr>
      </w:pPr>
    </w:p>
    <w:p>
      <w:pPr>
        <w:ind w:left="1000" w:right="1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62" w:lineRule="exact"/>
        <w:rPr>
          <w:rFonts w:ascii="Arial" w:cs="Arial" w:eastAsia="Arial" w:hAnsi="Arial"/>
          <w:sz w:val="18"/>
          <w:szCs w:val="18"/>
          <w:color w:val="auto"/>
        </w:rPr>
      </w:pPr>
    </w:p>
    <w:p>
      <w:pPr>
        <w:jc w:val="both"/>
        <w:ind w:left="1000" w:hanging="493"/>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5" w:lineRule="exact"/>
        <w:rPr>
          <w:rFonts w:ascii="Arial" w:cs="Arial" w:eastAsia="Arial" w:hAnsi="Arial"/>
          <w:sz w:val="16"/>
          <w:szCs w:val="16"/>
          <w:color w:val="auto"/>
        </w:rPr>
      </w:pPr>
    </w:p>
    <w:p>
      <w:pPr>
        <w:ind w:left="1000" w:right="9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the Phase 1/2 clinical trial, AUGMENT-101, of SNDX-5613 in patients with relapsed/refractory MLLr and NPM1c acute leukemia;</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the pivotal Phase 2 clinical trial, AGAVE-201, of axatilimab in patients with chronic Graft Versus Host Disease, or cGVHD;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SNDX-5613 and axatilimab;</w:t>
      </w:r>
    </w:p>
    <w:p>
      <w:pPr>
        <w:spacing w:after="0" w:line="144"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44"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62" w:lineRule="exact"/>
        <w:rPr>
          <w:sz w:val="20"/>
          <w:szCs w:val="20"/>
          <w:color w:val="auto"/>
        </w:rPr>
      </w:pPr>
    </w:p>
    <w:p>
      <w:pPr>
        <w:ind w:right="80" w:firstLine="584"/>
        <w:spacing w:after="0" w:line="259" w:lineRule="auto"/>
        <w:rPr>
          <w:sz w:val="20"/>
          <w:szCs w:val="20"/>
          <w:color w:val="auto"/>
        </w:rPr>
      </w:pPr>
      <w:r>
        <w:rPr>
          <w:rFonts w:ascii="Arial" w:cs="Arial" w:eastAsia="Arial" w:hAnsi="Arial"/>
          <w:sz w:val="18"/>
          <w:szCs w:val="18"/>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MLLr acute leukemias, the interaction occurs via a mutant form of MLL1,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ind w:right="20"/>
        <w:spacing w:after="0" w:line="269" w:lineRule="auto"/>
        <w:rPr>
          <w:sz w:val="20"/>
          <w:szCs w:val="20"/>
          <w:color w:val="auto"/>
        </w:rPr>
      </w:pPr>
      <w:r>
        <w:rPr>
          <w:rFonts w:ascii="Arial" w:cs="Arial" w:eastAsia="Arial" w:hAnsi="Arial"/>
          <w:sz w:val="17"/>
          <w:szCs w:val="17"/>
          <w:color w:val="auto"/>
        </w:rPr>
        <w:t>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 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will evaluate efficacy of SNDX-5613 across three expansion cohorts enrolling pediatric and adult patients with MLLr acute lymphoblastic leukemia, or ALL, MLLr acute myeloid leukemia, or AML, and NPM1 mutant AML. While we believe that we have established sufficient efficacy to warrant continued development in these indications, we have not yet sufficiently demonstrated a favorable risk-benefit of SNDX-5613 in patients.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strategy for developing axatilimab has undergone limited clinical testing and we may fail to show that this drug is well tolerated and provides a clinical benefit for patients.</w:t>
      </w:r>
    </w:p>
    <w:p>
      <w:pPr>
        <w:spacing w:after="0" w:line="62" w:lineRule="exact"/>
        <w:rPr>
          <w:sz w:val="20"/>
          <w:szCs w:val="20"/>
          <w:color w:val="auto"/>
        </w:rPr>
      </w:pPr>
    </w:p>
    <w:p>
      <w:pPr>
        <w:ind w:right="60" w:firstLine="584"/>
        <w:spacing w:after="0" w:line="271"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While we believe that we have established sufficient efficacy to warrant continued development in this indication, we have not yet sufficiently demonstrated a favorable risk-benefit of axatilimab in patients.</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2021,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44" w:lineRule="exact"/>
        <w:rPr>
          <w:rFonts w:ascii="Arial" w:cs="Arial" w:eastAsia="Arial" w:hAnsi="Arial"/>
          <w:sz w:val="18"/>
          <w:szCs w:val="18"/>
          <w:color w:val="auto"/>
        </w:rPr>
      </w:pPr>
    </w:p>
    <w:p>
      <w:pPr>
        <w:ind w:left="1000" w:right="11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40" w:firstLine="578"/>
        <w:spacing w:after="0" w:line="296"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3"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53"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4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44"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44" w:lineRule="exact"/>
        <w:rPr>
          <w:sz w:val="20"/>
          <w:szCs w:val="20"/>
          <w:color w:val="auto"/>
        </w:rPr>
      </w:pPr>
    </w:p>
    <w:p>
      <w:pPr>
        <w:jc w:val="both"/>
        <w:ind w:right="12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6"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53"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7"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44"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8"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8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00" w:right="62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00" w:firstLine="57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78"/>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five years, the FDA has approved two drugs, ibrutinib (</w:t>
      </w:r>
      <w:r>
        <w:rPr>
          <w:rFonts w:ascii="Arial" w:cs="Arial" w:eastAsia="Arial" w:hAnsi="Arial"/>
          <w:sz w:val="18"/>
          <w:szCs w:val="18"/>
          <w:i w:val="1"/>
          <w:iCs w:val="1"/>
          <w:color w:val="auto"/>
        </w:rPr>
        <w:t>Imbruvica®</w:t>
      </w:r>
      <w:r>
        <w:rPr>
          <w:rFonts w:ascii="Arial" w:cs="Arial" w:eastAsia="Arial" w:hAnsi="Arial"/>
          <w:sz w:val="18"/>
          <w:szCs w:val="18"/>
          <w:color w:val="auto"/>
        </w:rPr>
        <w:t>) and belomosidil (</w:t>
      </w:r>
      <w:r>
        <w:rPr>
          <w:rFonts w:ascii="Arial" w:cs="Arial" w:eastAsia="Arial" w:hAnsi="Arial"/>
          <w:sz w:val="18"/>
          <w:szCs w:val="18"/>
          <w:i w:val="1"/>
          <w:iCs w:val="1"/>
          <w:color w:val="auto"/>
        </w:rPr>
        <w:t>Rezurock</w:t>
      </w:r>
      <w:r>
        <w:rPr>
          <w:rFonts w:ascii="Arial" w:cs="Arial" w:eastAsia="Arial" w:hAnsi="Arial"/>
          <w:sz w:val="18"/>
          <w:szCs w:val="18"/>
          <w:color w:val="auto"/>
        </w:rPr>
        <w:t>®), for use in patients with cGVHD after failure of one or more lines of systemic therapy and one additional drug, Ruxolitinib (</w:t>
      </w:r>
      <w:r>
        <w:rPr>
          <w:rFonts w:ascii="Arial" w:cs="Arial" w:eastAsia="Arial" w:hAnsi="Arial"/>
          <w:sz w:val="18"/>
          <w:szCs w:val="18"/>
          <w:i w:val="1"/>
          <w:iCs w:val="1"/>
          <w:color w:val="auto"/>
        </w:rPr>
        <w:t>Jakafi</w:t>
      </w:r>
      <w:r>
        <w:rPr>
          <w:rFonts w:ascii="Arial" w:cs="Arial" w:eastAsia="Arial" w:hAnsi="Arial"/>
          <w:sz w:val="18"/>
          <w:szCs w:val="18"/>
          <w:color w:val="auto"/>
        </w:rPr>
        <w:t>®), is under FDA review to treat steroid refractory cGVHD patients. All three of these drugs may compete with axatilimab in patients diagnosed with cGVHD.</w:t>
      </w:r>
    </w:p>
    <w:p>
      <w:pPr>
        <w:spacing w:after="0" w:line="80"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SNDX-5613 is being developed for the treatment of adult and pediatric patients with MLLr ALL, MLLr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9" w:lineRule="exact"/>
        <w:rPr>
          <w:sz w:val="20"/>
          <w:szCs w:val="20"/>
          <w:color w:val="auto"/>
        </w:rPr>
      </w:pPr>
    </w:p>
    <w:p>
      <w:pPr>
        <w:ind w:right="420" w:firstLine="578"/>
        <w:spacing w:after="0" w:line="263"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jc w:val="both"/>
        <w:ind w:right="20"/>
        <w:spacing w:after="0" w:line="257" w:lineRule="auto"/>
        <w:rPr>
          <w:sz w:val="20"/>
          <w:szCs w:val="20"/>
          <w:color w:val="auto"/>
        </w:rPr>
      </w:pPr>
      <w:r>
        <w:rPr>
          <w:rFonts w:ascii="Arial" w:cs="Arial" w:eastAsia="Arial" w:hAnsi="Arial"/>
          <w:sz w:val="18"/>
          <w:szCs w:val="18"/>
          <w:color w:val="auto"/>
        </w:rPr>
        <w:t>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44"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w:t>
      </w:r>
    </w:p>
    <w:p>
      <w:pPr>
        <w:spacing w:after="0" w:line="14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actions of Kyowa Kirin Co., Ltd., or KKC, Eddingpharm Investment Company Limited, or Eddingpharm, and any other current or future sublicensees could adversely affect our business.</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20"/>
        <w:spacing w:after="0" w:line="272" w:lineRule="auto"/>
        <w:rPr>
          <w:sz w:val="20"/>
          <w:szCs w:val="20"/>
          <w:color w:val="auto"/>
        </w:rPr>
      </w:pPr>
      <w:r>
        <w:rPr>
          <w:rFonts w:ascii="Arial" w:cs="Arial" w:eastAsia="Arial" w:hAnsi="Arial"/>
          <w:sz w:val="17"/>
          <w:szCs w:val="17"/>
          <w:color w:val="auto"/>
        </w:rPr>
        <w:t>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84" w:lineRule="exact"/>
        <w:rPr>
          <w:sz w:val="20"/>
          <w:szCs w:val="20"/>
          <w:color w:val="auto"/>
        </w:rPr>
      </w:pPr>
    </w:p>
    <w:p>
      <w:pPr>
        <w:ind w:right="80"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70" w:lineRule="exact"/>
        <w:rPr>
          <w:sz w:val="20"/>
          <w:szCs w:val="20"/>
          <w:color w:val="auto"/>
        </w:rPr>
      </w:pPr>
    </w:p>
    <w:p>
      <w:pPr>
        <w:ind w:right="28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6" w:lineRule="exact"/>
        <w:rPr>
          <w:sz w:val="20"/>
          <w:szCs w:val="20"/>
          <w:color w:val="auto"/>
        </w:rPr>
      </w:pPr>
    </w:p>
    <w:p>
      <w:pPr>
        <w:ind w:right="60" w:firstLine="57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0"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9" w:lineRule="exact"/>
        <w:rPr>
          <w:sz w:val="20"/>
          <w:szCs w:val="20"/>
          <w:color w:val="auto"/>
        </w:rPr>
      </w:pPr>
    </w:p>
    <w:p>
      <w:pPr>
        <w:ind w:right="20" w:firstLine="578"/>
        <w:spacing w:after="0" w:line="263"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60"/>
        <w:spacing w:after="0" w:line="275" w:lineRule="auto"/>
        <w:rPr>
          <w:sz w:val="20"/>
          <w:szCs w:val="20"/>
          <w:color w:val="auto"/>
        </w:rPr>
      </w:pPr>
      <w:r>
        <w:rPr>
          <w:rFonts w:ascii="Arial" w:cs="Arial" w:eastAsia="Arial" w:hAnsi="Arial"/>
          <w:sz w:val="17"/>
          <w:szCs w:val="17"/>
          <w:color w:val="auto"/>
        </w:rPr>
        <w:t>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68" w:lineRule="exact"/>
        <w:rPr>
          <w:sz w:val="20"/>
          <w:szCs w:val="20"/>
          <w:color w:val="auto"/>
        </w:rPr>
      </w:pPr>
    </w:p>
    <w:p>
      <w:pPr>
        <w:ind w:right="22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right="20" w:firstLine="578"/>
        <w:spacing w:after="0" w:line="285"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U.S. Supreme Court ruling, January 28, 2021, President Biden issued an executive order that initiated a special enrollment period for purposes of obtaining health insurance coverage through the Affordable Care Act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63"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including the BBA, has extended the 2% reduction to 2030 with the exception of a temporary suspension from May 1, 2020 through December 31, 2021 due to the COVID-19 pandemic, unless additional congressional action is taken.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73" w:lineRule="exact"/>
        <w:rPr>
          <w:sz w:val="20"/>
          <w:szCs w:val="20"/>
          <w:color w:val="auto"/>
        </w:rPr>
      </w:pPr>
    </w:p>
    <w:p>
      <w:pPr>
        <w:ind w:right="40" w:firstLine="578"/>
        <w:spacing w:after="0" w:line="287"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t>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Centers for Medicare &amp; Medicaid Services, or CMS, issued an interim final rule implementing the Trump administration’s Most Favored Nation, or MFN, executive order, which would tie Medicare Part B payments for certain physician-administered drugs to the lowest price paid in other economically advanced countries. The MFN regulations mandate participation by identified Medicare Part B providers and will apply in all U.S. states and territories for a seven-year period beginning January 1, 2021 and ending December 31, 2027. On December 28, 2020, the U.S. District Court for the Northern District of California issued a nationwide preliminary injunction against implementation of the interim final rule. On January 13, 2021, in a separate lawsuit brought by industry groups in the U.S. District Court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model interim final rule shall not commence earlier than sixty (60) days after publication of that regulation in the Federal Register. Additionally, based on a recent executive order, the Biden administration expressed its intent to pursue certain policy initiatives to reduce drug prices.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3"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It is also possible that additional governmental action is taken in response to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100" w:firstLine="578"/>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4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force;</w:t>
      </w:r>
    </w:p>
    <w:p>
      <w:pPr>
        <w:spacing w:after="0" w:line="144"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44"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6" w:lineRule="exact"/>
        <w:rPr>
          <w:sz w:val="20"/>
          <w:szCs w:val="20"/>
          <w:color w:val="auto"/>
        </w:rPr>
      </w:pPr>
    </w:p>
    <w:p>
      <w:pPr>
        <w:ind w:right="22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200" w:firstLine="57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9"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8" w:lineRule="exact"/>
        <w:rPr>
          <w:sz w:val="20"/>
          <w:szCs w:val="20"/>
          <w:color w:val="auto"/>
        </w:rPr>
      </w:pPr>
    </w:p>
    <w:p>
      <w:pPr>
        <w:ind w:left="1000" w:right="100" w:hanging="493"/>
        <w:spacing w:after="0" w:line="279"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00" w:right="20" w:hanging="493"/>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00" w:right="40" w:hanging="493"/>
        <w:spacing w:after="0" w:line="25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6" w:lineRule="exact"/>
        <w:rPr>
          <w:rFonts w:ascii="Arial" w:cs="Arial" w:eastAsia="Arial" w:hAnsi="Arial"/>
          <w:sz w:val="18"/>
          <w:szCs w:val="18"/>
          <w:color w:val="auto"/>
        </w:rPr>
      </w:pPr>
    </w:p>
    <w:p>
      <w:pPr>
        <w:ind w:left="1000" w:hanging="493"/>
        <w:spacing w:after="0" w:line="25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and applicable manufacturers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3" w:name="page44"/>
    <w:bookmarkEnd w:id="43"/>
    <w:p>
      <w:pPr>
        <w:ind w:left="1000" w:right="440"/>
        <w:spacing w:after="0" w:line="279" w:lineRule="auto"/>
        <w:rPr>
          <w:sz w:val="20"/>
          <w:szCs w:val="20"/>
          <w:color w:val="auto"/>
        </w:rPr>
      </w:pPr>
      <w:r>
        <w:rPr>
          <w:rFonts w:ascii="Arial" w:cs="Arial" w:eastAsia="Arial" w:hAnsi="Arial"/>
          <w:sz w:val="17"/>
          <w:szCs w:val="17"/>
          <w:color w:val="auto"/>
        </w:rPr>
        <w:t>applicable group purchasing organizations to report annually to CMS ownership and investment interests held by physicians (as defined above) and their immediate family members. Beginning in 2022, applicable manufacturers also will be required to report information regarding payments and transfers of value provided during the previous year to physician assistants, nurse practitioners, clinical nurse specialists, certified nurse anesthetists, anesthesiologist assistants and certified nurse-midwives; and</w:t>
      </w:r>
    </w:p>
    <w:p>
      <w:pPr>
        <w:spacing w:after="0" w:line="63" w:lineRule="exact"/>
        <w:rPr>
          <w:sz w:val="20"/>
          <w:szCs w:val="20"/>
          <w:color w:val="auto"/>
        </w:rPr>
      </w:pPr>
    </w:p>
    <w:p>
      <w:pPr>
        <w:ind w:left="1000" w:right="20" w:hanging="493"/>
        <w:spacing w:after="0" w:line="26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1" w:lineRule="exact"/>
        <w:rPr>
          <w:sz w:val="20"/>
          <w:szCs w:val="20"/>
          <w:color w:val="auto"/>
        </w:rPr>
      </w:pPr>
    </w:p>
    <w:p>
      <w:pPr>
        <w:ind w:right="60" w:firstLine="578"/>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83" w:lineRule="exact"/>
        <w:rPr>
          <w:sz w:val="20"/>
          <w:szCs w:val="20"/>
          <w:color w:val="auto"/>
        </w:rPr>
      </w:pPr>
    </w:p>
    <w:p>
      <w:pPr>
        <w:ind w:right="180" w:firstLine="578"/>
        <w:spacing w:after="0" w:line="263"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40"/>
        <w:spacing w:after="0" w:line="279" w:lineRule="auto"/>
        <w:rPr>
          <w:sz w:val="20"/>
          <w:szCs w:val="20"/>
          <w:color w:val="auto"/>
        </w:rPr>
      </w:pPr>
      <w:r>
        <w:rPr>
          <w:rFonts w:ascii="Arial" w:cs="Arial" w:eastAsia="Arial" w:hAnsi="Arial"/>
          <w:sz w:val="17"/>
          <w:szCs w:val="17"/>
          <w:color w:val="auto"/>
        </w:rPr>
        <w:t>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63"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For the six ended June 30, 2021, we reported a net loss attributable to stockholders of $50.6 million. As of June 30, 2021, we had an accumulated deficit of $619.3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6"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44" w:lineRule="exact"/>
        <w:rPr>
          <w:sz w:val="20"/>
          <w:szCs w:val="20"/>
          <w:color w:val="auto"/>
        </w:rPr>
      </w:pPr>
    </w:p>
    <w:p>
      <w:pPr>
        <w:ind w:right="160" w:firstLine="578"/>
        <w:spacing w:after="0" w:line="275"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8" w:lineRule="exact"/>
        <w:rPr>
          <w:sz w:val="20"/>
          <w:szCs w:val="20"/>
          <w:color w:val="auto"/>
        </w:rPr>
      </w:pPr>
    </w:p>
    <w:p>
      <w:pPr>
        <w:ind w:right="100" w:firstLine="584"/>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84"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84"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100" w:firstLine="57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jc w:val="both"/>
        <w:ind w:left="1000" w:right="30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as we grow our company; and</w:t>
      </w:r>
    </w:p>
    <w:p>
      <w:pPr>
        <w:spacing w:after="0" w:line="62" w:lineRule="exact"/>
        <w:rPr>
          <w:rFonts w:ascii="Arial" w:cs="Arial" w:eastAsia="Arial" w:hAnsi="Arial"/>
          <w:sz w:val="18"/>
          <w:szCs w:val="18"/>
          <w:color w:val="auto"/>
        </w:rPr>
      </w:pPr>
    </w:p>
    <w:p>
      <w:pPr>
        <w:ind w:left="1000" w:right="100" w:hanging="493"/>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38"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300" w:firstLine="578"/>
        <w:spacing w:after="0" w:line="301" w:lineRule="auto"/>
        <w:rPr>
          <w:sz w:val="20"/>
          <w:szCs w:val="20"/>
          <w:color w:val="auto"/>
        </w:rPr>
      </w:pPr>
      <w:r>
        <w:rPr>
          <w:rFonts w:ascii="Arial" w:cs="Arial" w:eastAsia="Arial" w:hAnsi="Arial"/>
          <w:sz w:val="16"/>
          <w:szCs w:val="16"/>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June 30, 2021, the outstanding principal balance under the Credit Facility was $20.0 million. The Credit Facility contains customary representations, warranties, affirmative and negative covenants and events of default applicable to us and our subsidiaries.</w:t>
      </w:r>
    </w:p>
    <w:p>
      <w:pPr>
        <w:spacing w:after="0" w:line="49"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0"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3"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1" w:lineRule="exact"/>
        <w:rPr>
          <w:sz w:val="20"/>
          <w:szCs w:val="20"/>
          <w:color w:val="auto"/>
        </w:rPr>
      </w:pPr>
    </w:p>
    <w:p>
      <w:pPr>
        <w:ind w:right="220" w:firstLine="578"/>
        <w:spacing w:after="0" w:line="27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ind w:right="100"/>
        <w:spacing w:after="0" w:line="263" w:lineRule="auto"/>
        <w:rPr>
          <w:sz w:val="20"/>
          <w:szCs w:val="20"/>
          <w:color w:val="auto"/>
        </w:rPr>
      </w:pPr>
      <w:r>
        <w:rPr>
          <w:rFonts w:ascii="Arial" w:cs="Arial" w:eastAsia="Arial" w:hAnsi="Arial"/>
          <w:sz w:val="18"/>
          <w:szCs w:val="18"/>
          <w:color w:val="auto"/>
        </w:rPr>
        <w:t>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76" w:lineRule="exact"/>
        <w:rPr>
          <w:sz w:val="20"/>
          <w:szCs w:val="20"/>
          <w:color w:val="auto"/>
        </w:rPr>
      </w:pPr>
    </w:p>
    <w:p>
      <w:pPr>
        <w:ind w:right="40" w:firstLine="578"/>
        <w:spacing w:after="0" w:line="287"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64"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0"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87"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The portfolio that we licensed from Vitae Pharmaceuticals, which is now a subsidiary of AbbVie Inc.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3" w:lineRule="exact"/>
        <w:rPr>
          <w:sz w:val="20"/>
          <w:szCs w:val="20"/>
          <w:color w:val="auto"/>
        </w:rPr>
      </w:pPr>
    </w:p>
    <w:p>
      <w:pPr>
        <w:ind w:right="160" w:firstLine="578"/>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80"/>
        <w:spacing w:after="0" w:line="257" w:lineRule="auto"/>
        <w:rPr>
          <w:sz w:val="20"/>
          <w:szCs w:val="20"/>
          <w:color w:val="auto"/>
        </w:rPr>
      </w:pPr>
      <w:r>
        <w:rPr>
          <w:rFonts w:ascii="Arial" w:cs="Arial" w:eastAsia="Arial" w:hAnsi="Arial"/>
          <w:sz w:val="18"/>
          <w:szCs w:val="18"/>
          <w:color w:val="auto"/>
        </w:rPr>
        <w:t>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80" w:lineRule="exact"/>
        <w:rPr>
          <w:sz w:val="20"/>
          <w:szCs w:val="20"/>
          <w:color w:val="auto"/>
        </w:rPr>
      </w:pPr>
    </w:p>
    <w:p>
      <w:pPr>
        <w:ind w:right="20" w:firstLine="578"/>
        <w:spacing w:after="0" w:line="269"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160" w:firstLine="57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0" w:lineRule="exact"/>
        <w:rPr>
          <w:sz w:val="20"/>
          <w:szCs w:val="20"/>
          <w:color w:val="auto"/>
        </w:rPr>
      </w:pPr>
    </w:p>
    <w:p>
      <w:pPr>
        <w:ind w:right="80"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8"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0"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Our commercial success depends upon our ability to develop, manufacture, market and sell SNDX-5613.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 In June 2019, we achieved certain development and regulatory milestones. As a result, in June 2019, we recorded $4.0 million as research and development expense. The amount was paid in 2020.</w:t>
      </w:r>
    </w:p>
    <w:p>
      <w:pPr>
        <w:spacing w:after="0" w:line="84"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60"/>
        <w:spacing w:after="0" w:line="263" w:lineRule="auto"/>
        <w:rPr>
          <w:sz w:val="20"/>
          <w:szCs w:val="20"/>
          <w:color w:val="auto"/>
        </w:rPr>
      </w:pPr>
      <w:r>
        <w:rPr>
          <w:rFonts w:ascii="Arial" w:cs="Arial" w:eastAsia="Arial" w:hAnsi="Arial"/>
          <w:sz w:val="18"/>
          <w:szCs w:val="18"/>
          <w:color w:val="auto"/>
        </w:rPr>
        <w:t>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76"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80" w:lineRule="exact"/>
        <w:rPr>
          <w:sz w:val="20"/>
          <w:szCs w:val="20"/>
          <w:color w:val="auto"/>
        </w:rPr>
      </w:pPr>
    </w:p>
    <w:p>
      <w:pPr>
        <w:ind w:right="26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120" w:firstLine="578"/>
        <w:spacing w:after="0" w:line="257" w:lineRule="auto"/>
        <w:rPr>
          <w:sz w:val="20"/>
          <w:szCs w:val="20"/>
          <w:color w:val="auto"/>
        </w:rPr>
      </w:pPr>
      <w:r>
        <w:rPr>
          <w:rFonts w:ascii="Arial" w:cs="Arial" w:eastAsia="Arial" w:hAnsi="Arial"/>
          <w:sz w:val="18"/>
          <w:szCs w:val="18"/>
          <w:color w:val="auto"/>
        </w:rPr>
        <w:t>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0" w:lineRule="exact"/>
        <w:rPr>
          <w:sz w:val="20"/>
          <w:szCs w:val="20"/>
          <w:color w:val="auto"/>
        </w:rPr>
      </w:pPr>
    </w:p>
    <w:p>
      <w:pPr>
        <w:ind w:right="20" w:firstLine="57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8" w:lineRule="exact"/>
        <w:rPr>
          <w:sz w:val="20"/>
          <w:szCs w:val="20"/>
          <w:color w:val="auto"/>
        </w:rPr>
      </w:pPr>
    </w:p>
    <w:p>
      <w:pPr>
        <w:ind w:right="40"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70"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ind w:right="80" w:firstLine="57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4"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1" w:name="page52"/>
    <w:bookmarkEnd w:id="51"/>
    <w:p>
      <w:pPr>
        <w:ind w:right="140"/>
        <w:spacing w:after="0" w:line="272" w:lineRule="auto"/>
        <w:rPr>
          <w:sz w:val="20"/>
          <w:szCs w:val="20"/>
          <w:color w:val="auto"/>
        </w:rPr>
      </w:pPr>
      <w:r>
        <w:rPr>
          <w:rFonts w:ascii="Arial" w:cs="Arial" w:eastAsia="Arial" w:hAnsi="Arial"/>
          <w:sz w:val="17"/>
          <w:szCs w:val="17"/>
          <w:color w:val="auto"/>
        </w:rPr>
        <w:t>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1" w:lineRule="exact"/>
        <w:rPr>
          <w:sz w:val="20"/>
          <w:szCs w:val="20"/>
          <w:color w:val="auto"/>
        </w:rPr>
      </w:pPr>
    </w:p>
    <w:p>
      <w:pPr>
        <w:ind w:right="60" w:firstLine="578"/>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2" w:name="page53"/>
    <w:bookmarkEnd w:id="52"/>
    <w:p>
      <w:pPr>
        <w:ind w:right="22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6"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4"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jc w:val="both"/>
        <w:ind w:right="160" w:firstLine="578"/>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4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6" w:lineRule="exact"/>
        <w:rPr>
          <w:sz w:val="20"/>
          <w:szCs w:val="20"/>
          <w:color w:val="auto"/>
        </w:rPr>
      </w:pPr>
    </w:p>
    <w:p>
      <w:pPr>
        <w:ind w:right="80"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80" w:firstLine="584"/>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industry, political and market conditions, including, but not limited to the ongoing impact of the COVID-19 pandemic.</w:t>
      </w:r>
    </w:p>
    <w:p>
      <w:pPr>
        <w:spacing w:after="0" w:line="156"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6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during 2020, we sold a total of 15,675,608 shares of our common stock and pre-funded warrants to purchase 1,338,287 shares of our common stock. The pre-funded warrants are exercisable into shares of common stock for $0.0001 per share. The shares of common stock into which the warrants may be exercised are considered outstanding for the purposes of computing earnings per share. As of June 30, 2021, we had 3,307,952 pre-funded warrants outstanding. The issuance of these shares of our common stock resulted, and any future issuance pursuant to the exercise of the outstanding pre-funded warrants will result, in dilution to our stockholders.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54" w:name="page55"/>
    <w:bookmarkEnd w:id="54"/>
    <w:p>
      <w:pPr>
        <w:ind w:right="80" w:firstLine="578"/>
        <w:spacing w:after="0" w:line="286" w:lineRule="auto"/>
        <w:rPr>
          <w:sz w:val="20"/>
          <w:szCs w:val="20"/>
          <w:color w:val="auto"/>
        </w:rPr>
      </w:pPr>
      <w:r>
        <w:rPr>
          <w:rFonts w:ascii="Arial" w:cs="Arial" w:eastAsia="Arial" w:hAnsi="Arial"/>
          <w:sz w:val="16"/>
          <w:szCs w:val="16"/>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Loan Agreement with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We did not request the available additional borrowing by the due date.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6"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of June 30, 2021, our executive officers, directors, holders of 5% or more of our capital stock and their respective affiliates beneficially owned approximately 36.6%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7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00" w:right="32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00" w:right="60" w:hanging="493"/>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left="1000" w:hanging="49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62"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may take advantage of these exemptions until we are no longer an “emerging growth company.” We will cease to be an “emerging growth company” on December 31, 2021.</w:t>
      </w:r>
    </w:p>
    <w:p>
      <w:pPr>
        <w:spacing w:after="0" w:line="6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6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June 30, 2021, we no qualify as a smaller reporting company as defined in the Securities Exchange Act of 1934, as amended, or the Exchange Act. We have historically taken, and may continue through the filing of our Annual Report on Form 10-K for the year ending December 31, 2021 to take, advantage of certain scaled disclosures available to smaller reporting companies.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Effective as of December 31, 2021, we will be a large accelerated filer, which will increase our costs and demands on management.</w:t>
      </w:r>
    </w:p>
    <w:p>
      <w:pPr>
        <w:spacing w:after="0" w:line="12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a result of the market value of our common stock held by non-affiliates as of June 30, 2021, we will be a large accelerated filer as of December 31, 2021, and we will therefore no longer qualify as an EGC. Additionally, due to our public float as of June 30, 2021, we will no longer qualify as a smaller reporting company as defined in the Exchange Act. However, we are not required to reflect the change in our smaller reporting company status, and comply with the associated increased disclosure obligations, until our quarterly report for the three-month period ended March 31, 2022.</w:t>
      </w:r>
    </w:p>
    <w:p>
      <w:pPr>
        <w:spacing w:after="0" w:line="49"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As a large accelerated filer, we will be subject to certain disclosure and compliance requirements that apply to other public companies that did not previously apply to us due to our status as an emerging growth company. These requirements include, but are not limited to:</w:t>
      </w:r>
    </w:p>
    <w:p>
      <w:pPr>
        <w:spacing w:after="0" w:line="38" w:lineRule="exact"/>
        <w:rPr>
          <w:sz w:val="20"/>
          <w:szCs w:val="20"/>
          <w:color w:val="auto"/>
        </w:rPr>
      </w:pPr>
    </w:p>
    <w:p>
      <w:pPr>
        <w:ind w:left="1120" w:right="480" w:hanging="370"/>
        <w:spacing w:after="0" w:line="277"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w:t>
      </w:r>
    </w:p>
    <w:p>
      <w:pPr>
        <w:spacing w:after="0" w:line="62" w:lineRule="exact"/>
        <w:rPr>
          <w:rFonts w:ascii="Arial" w:cs="Arial" w:eastAsia="Arial" w:hAnsi="Arial"/>
          <w:sz w:val="18"/>
          <w:szCs w:val="18"/>
          <w:color w:val="auto"/>
        </w:rPr>
      </w:pPr>
    </w:p>
    <w:p>
      <w:pPr>
        <w:ind w:left="1120" w:right="20" w:hanging="370"/>
        <w:spacing w:after="0" w:line="308" w:lineRule="auto"/>
        <w:tabs>
          <w:tab w:leader="none" w:pos="11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44" w:lineRule="exact"/>
        <w:rPr>
          <w:rFonts w:ascii="Arial" w:cs="Arial" w:eastAsia="Arial" w:hAnsi="Arial"/>
          <w:sz w:val="18"/>
          <w:szCs w:val="18"/>
          <w:color w:val="auto"/>
        </w:rPr>
      </w:pPr>
    </w:p>
    <w:p>
      <w:pPr>
        <w:ind w:left="1120" w:right="580" w:hanging="370"/>
        <w:spacing w:after="0" w:line="277"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shareholder approval of any golden parachute payments not previously approved.</w:t>
      </w:r>
    </w:p>
    <w:p>
      <w:pPr>
        <w:spacing w:after="0" w:line="6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may cause management and other personnel to divert attention from operational and other business matters to devote increased time to public company reporting requirements. In addition, if we are not able to comply with changing requirements in a timely manner, the market price of our common stock could decline, and we could be subject to sanctions or investigations by Nasdaq, the SEC or other regulatory authorities, which would require additional financial and management resources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58"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While we have been EGC, our independent registered public accounting firm has not been required to attest to the effectiveness of our internal controls over financial reporting pursuant to Section 404. This exemption will no longer apply to us as of December 31, 2021. Accordingly, beginning with our annual report on Form 10-K for the year ending December 31, 2021, we will be required to include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1"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375"/>
              <w:spacing w:after="0"/>
              <w:rPr>
                <w:sz w:val="20"/>
                <w:szCs w:val="20"/>
                <w:color w:val="auto"/>
              </w:rPr>
            </w:pPr>
            <w:r>
              <w:rPr>
                <w:rFonts w:ascii="Arial" w:cs="Arial" w:eastAsia="Arial" w:hAnsi="Arial"/>
                <w:sz w:val="18"/>
                <w:szCs w:val="18"/>
                <w:b w:val="1"/>
                <w:bCs w:val="1"/>
                <w:color w:val="auto"/>
                <w:w w:val="91"/>
              </w:rPr>
              <w:t>Item 6.</w:t>
            </w:r>
          </w:p>
        </w:tc>
        <w:tc>
          <w:tcPr>
            <w:tcW w:w="10240" w:type="dxa"/>
            <w:vAlign w:val="bottom"/>
            <w:gridSpan w:val="11"/>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40" w:type="dxa"/>
            <w:vAlign w:val="bottom"/>
            <w:gridSpan w:val="8"/>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595"/>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Current Report on Form 8-K (File No. 001-37708), as filed with the SEC on March 8, 2016).</w:t>
              </w:r>
            </w:hyperlink>
          </w:p>
        </w:tc>
        <w:tc>
          <w:tcPr>
            <w:tcW w:w="2980" w:type="dxa"/>
            <w:vAlign w:val="bottom"/>
            <w:tcBorders>
              <w:top w:val="single" w:sz="8" w:color="0000EE"/>
            </w:tcBorders>
            <w:gridSpan w:val="2"/>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95"/>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8-K (File No. 001-37708), as filed with the SEC on March 8, 2016).</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595"/>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Executive Officer pursuant to Rules 13a-14(a) and 15d-14(a) promulgated under the Securities Exchange Act of</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595"/>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Certification of Principal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1934, as amended.</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5"/>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Certifications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Section 906 of the Sarbanes-Oxley Act of 2002.</w:t>
              </w:r>
            </w:hyperlink>
          </w:p>
        </w:tc>
        <w:tc>
          <w:tcPr>
            <w:tcW w:w="5800" w:type="dxa"/>
            <w:vAlign w:val="bottom"/>
            <w:tcBorders>
              <w:top w:val="single" w:sz="8" w:color="0000EE"/>
            </w:tcBorders>
            <w:gridSpan w:val="3"/>
          </w:tcPr>
          <w:p>
            <w:pPr>
              <w:spacing w:after="0"/>
              <w:rPr>
                <w:sz w:val="17"/>
                <w:szCs w:val="17"/>
                <w:color w:val="auto"/>
              </w:rPr>
            </w:pPr>
          </w:p>
        </w:tc>
        <w:tc>
          <w:tcPr>
            <w:tcW w:w="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20" w:hanging="1132"/>
        <w:spacing w:after="0" w:line="259"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June 30, 2021,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51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jc w:val="both"/>
        <w:ind w:left="500" w:right="280" w:hanging="492"/>
        <w:spacing w:after="0" w:line="311"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Karydas</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Daphne Karydas</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 and Principal</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553"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82"/>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3"/>
        <w:spacing w:after="0" w:line="342" w:lineRule="auto"/>
        <w:tabs>
          <w:tab w:leader="none" w:pos="125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00" w:firstLine="483"/>
        <w:spacing w:after="0" w:line="308" w:lineRule="auto"/>
        <w:tabs>
          <w:tab w:leader="none" w:pos="12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80" w:firstLine="483"/>
        <w:spacing w:after="0" w:line="277" w:lineRule="auto"/>
        <w:tabs>
          <w:tab w:leader="none" w:pos="1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7080" w:type="dxa"/>
            <w:vAlign w:val="bottom"/>
            <w:gridSpan w:val="2"/>
          </w:tcPr>
          <w:p>
            <w:pPr>
              <w:ind w:left="2620"/>
              <w:spacing w:after="0"/>
              <w:rPr>
                <w:sz w:val="20"/>
                <w:szCs w:val="20"/>
                <w:color w:val="auto"/>
              </w:rPr>
            </w:pPr>
            <w:r>
              <w:rPr>
                <w:rFonts w:ascii="Arial" w:cs="Arial" w:eastAsia="Arial" w:hAnsi="Arial"/>
                <w:sz w:val="18"/>
                <w:szCs w:val="18"/>
                <w:color w:val="auto"/>
              </w:rPr>
              <w:t>By:  /s/ Briggs W. Morrison, M.D.</w:t>
            </w:r>
          </w:p>
        </w:tc>
      </w:tr>
      <w:tr>
        <w:trPr>
          <w:trHeight w:val="195"/>
        </w:trPr>
        <w:tc>
          <w:tcPr>
            <w:tcW w:w="4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Daphne Karydas, certify that:</w:t>
      </w:r>
    </w:p>
    <w:p>
      <w:pPr>
        <w:spacing w:after="0" w:line="225" w:lineRule="exact"/>
        <w:rPr>
          <w:sz w:val="20"/>
          <w:szCs w:val="20"/>
          <w:color w:val="auto"/>
        </w:rPr>
      </w:pPr>
    </w:p>
    <w:p>
      <w:pPr>
        <w:ind w:left="700" w:hanging="18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3"/>
        <w:spacing w:after="0" w:line="342" w:lineRule="auto"/>
        <w:tabs>
          <w:tab w:leader="none" w:pos="12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00" w:firstLine="483"/>
        <w:spacing w:after="0" w:line="308" w:lineRule="auto"/>
        <w:tabs>
          <w:tab w:leader="none" w:pos="12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80" w:firstLine="483"/>
        <w:spacing w:after="0" w:line="277"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August 9, 2021</w:t>
            </w:r>
          </w:p>
        </w:tc>
        <w:tc>
          <w:tcPr>
            <w:tcW w:w="7060" w:type="dxa"/>
            <w:vAlign w:val="bottom"/>
            <w:gridSpan w:val="2"/>
          </w:tcPr>
          <w:p>
            <w:pPr>
              <w:ind w:left="2640"/>
              <w:spacing w:after="0"/>
              <w:rPr>
                <w:sz w:val="20"/>
                <w:szCs w:val="20"/>
                <w:color w:val="auto"/>
              </w:rPr>
            </w:pPr>
            <w:r>
              <w:rPr>
                <w:rFonts w:ascii="Arial" w:cs="Arial" w:eastAsia="Arial" w:hAnsi="Arial"/>
                <w:sz w:val="18"/>
                <w:szCs w:val="18"/>
                <w:color w:val="auto"/>
              </w:rPr>
              <w:t>By:  /s/ Daphne Karydas</w:t>
            </w:r>
          </w:p>
        </w:tc>
      </w:tr>
      <w:tr>
        <w:trPr>
          <w:trHeight w:val="195"/>
        </w:trPr>
        <w:tc>
          <w:tcPr>
            <w:tcW w:w="4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Daphne Karydas</w:t>
            </w:r>
          </w:p>
        </w:tc>
      </w:tr>
      <w:tr>
        <w:trPr>
          <w:trHeight w:val="216"/>
        </w:trPr>
        <w:tc>
          <w:tcPr>
            <w:tcW w:w="4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(Principal Financial Officer and Principal Accounting</w:t>
            </w:r>
          </w:p>
        </w:tc>
      </w:tr>
      <w:tr>
        <w:trPr>
          <w:trHeight w:val="230"/>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51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2021, as filed with the Securities and Exchange Commission on the date hereof (the “Report”), each of the undersigned officers of the Company hereby certifies, pursuant to 18 U.S.C. Section 1350, that to his or her knowledge:</w:t>
      </w:r>
    </w:p>
    <w:p>
      <w:pPr>
        <w:spacing w:after="0" w:line="184"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3040" w:type="dxa"/>
            <w:vAlign w:val="bottom"/>
          </w:tcPr>
          <w:p>
            <w:pPr>
              <w:ind w:left="26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3040" w:type="dxa"/>
            <w:vAlign w:val="bottom"/>
          </w:tcPr>
          <w:p>
            <w:pPr>
              <w:ind w:left="26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Karydas</w:t>
            </w:r>
          </w:p>
        </w:tc>
      </w:tr>
      <w:tr>
        <w:trPr>
          <w:trHeight w:val="195"/>
        </w:trPr>
        <w:tc>
          <w:tcPr>
            <w:tcW w:w="4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Daphne Karydas</w:t>
            </w:r>
          </w:p>
        </w:tc>
      </w:tr>
      <w:tr>
        <w:trPr>
          <w:trHeight w:val="230"/>
        </w:trPr>
        <w:tc>
          <w:tcPr>
            <w:tcW w:w="4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lowerRoman"/>
      <w:start w:val="3"/>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0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8" Type="http://schemas.openxmlformats.org/officeDocument/2006/relationships/hyperlink" Target="http://www.sec.gov/Archives/edgar/data/1395937/000119312516496764/d119516dex31.htm" TargetMode="External"/><Relationship Id="rId89" Type="http://schemas.openxmlformats.org/officeDocument/2006/relationships/hyperlink" Target="http://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2021-08-09T16:01:10Z</dcterms:created>
  <dcterms:modified xsi:type="dcterms:W3CDTF">2021-08-09T16:01:10Z</dcterms:modified>
</cp:coreProperties>
</file>