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SYNDAX PHARMACEUTICALS,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560" w:type="dxa"/>
            <w:vAlign w:val="bottom"/>
          </w:tcPr>
          <w:p>
            <w:pPr>
              <w:jc w:val="center"/>
              <w:ind w:right="18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001-37708</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32-0162505</w:t>
            </w:r>
          </w:p>
        </w:tc>
      </w:tr>
      <w:tr>
        <w:trPr>
          <w:trHeight w:val="149"/>
        </w:trPr>
        <w:tc>
          <w:tcPr>
            <w:tcW w:w="3560" w:type="dxa"/>
            <w:vAlign w:val="bottom"/>
          </w:tcPr>
          <w:p>
            <w:pPr>
              <w:jc w:val="center"/>
              <w:ind w:right="18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60" w:type="dxa"/>
            <w:vAlign w:val="bottom"/>
          </w:tcPr>
          <w:p>
            <w:pPr>
              <w:jc w:val="center"/>
              <w:ind w:right="181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560" w:type="dxa"/>
            <w:vAlign w:val="bottom"/>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w w:val="99"/>
              </w:rPr>
              <w:t>730 Third Avenue, Floor 9</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60" w:type="dxa"/>
            <w:vAlign w:val="bottom"/>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10017</w:t>
            </w:r>
          </w:p>
        </w:tc>
      </w:tr>
      <w:tr>
        <w:trPr>
          <w:trHeight w:val="190"/>
        </w:trPr>
        <w:tc>
          <w:tcPr>
            <w:tcW w:w="356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419-1400</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SNDX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4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Indenture and Notes</w:t>
      </w:r>
    </w:p>
    <w:p>
      <w:pPr>
        <w:spacing w:after="0" w:line="117"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t>On June 10, 2026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Syndax Pharmaceuticals,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issued $250.0 million aggregate principal amount of 2.25% Convertible Senior Notes due 2031 (the “</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 in a private placement (the “</w:t>
      </w:r>
      <w:r>
        <w:rPr>
          <w:rFonts w:ascii="Times New Roman" w:cs="Times New Roman" w:eastAsia="Times New Roman" w:hAnsi="Times New Roman"/>
          <w:sz w:val="18"/>
          <w:szCs w:val="18"/>
          <w:b w:val="1"/>
          <w:bCs w:val="1"/>
          <w:i w:val="1"/>
          <w:iCs w:val="1"/>
          <w:color w:val="auto"/>
        </w:rPr>
        <w:t>Private Placement</w:t>
      </w:r>
      <w:r>
        <w:rPr>
          <w:rFonts w:ascii="Times New Roman" w:cs="Times New Roman" w:eastAsia="Times New Roman" w:hAnsi="Times New Roman"/>
          <w:sz w:val="18"/>
          <w:szCs w:val="18"/>
          <w:color w:val="auto"/>
        </w:rPr>
        <w:t>”) pursuant to the previously announced privately negotiated subscription agreements. The Notes were issued pursuant to an indenture, dated as of the Closing Date (the “</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between the Company and U.S. Bank Trust Company, National Association, as trustee.</w:t>
      </w:r>
    </w:p>
    <w:p>
      <w:pPr>
        <w:spacing w:after="0" w:line="180"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The terms of the Notes and Indenture are described in Item 1.01 on Form 8-K filed by the Company on June 4, 2026, which information is incorporated herein by reference.</w:t>
      </w:r>
    </w:p>
    <w:p>
      <w:pPr>
        <w:spacing w:after="0" w:line="16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Copies of the Indenture and the form of the Notes are attached as Exhibit 4.1 and 4.2, respectively, to this Current Report on Form 8-K and are incorporated herein by reference (and the foregoing description is qualified in its entirety by reference to such documents).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Proceeds</w:t>
      </w:r>
    </w:p>
    <w:p>
      <w:pPr>
        <w:spacing w:after="0" w:line="121"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The Company’s net proceeds from the Private Placement were approximately $243.0 million, after deducting the placement agent’s fees and Private Placement expenses payable by the Company. The Company expects to use the net proceeds from the Private Placement for general corporate purposes, including working capital, research and development expenditures, commercialization activity expenditures and business development expenditures.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under Item 1.01 of this Current Report on Form 8-K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 of Equity Securities.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under Item 1.01 of this Current Report on Form 8-K is incorporated herein by reference.</w:t>
      </w:r>
    </w:p>
    <w:p>
      <w:pPr>
        <w:spacing w:after="0" w:line="225" w:lineRule="exact"/>
        <w:rPr>
          <w:sz w:val="20"/>
          <w:szCs w:val="20"/>
          <w:color w:val="auto"/>
        </w:rPr>
      </w:pPr>
    </w:p>
    <w:p>
      <w:pPr>
        <w:jc w:val="both"/>
        <w:ind w:right="260" w:firstLine="440"/>
        <w:spacing w:after="0" w:line="289" w:lineRule="auto"/>
        <w:rPr>
          <w:sz w:val="20"/>
          <w:szCs w:val="20"/>
          <w:color w:val="auto"/>
        </w:rPr>
      </w:pPr>
      <w:r>
        <w:rPr>
          <w:rFonts w:ascii="Times New Roman" w:cs="Times New Roman" w:eastAsia="Times New Roman" w:hAnsi="Times New Roman"/>
          <w:sz w:val="17"/>
          <w:szCs w:val="17"/>
          <w:color w:val="auto"/>
        </w:rPr>
        <w:t>The Company offered and sold the Notes to certain investors in reliance on the exemption from registration provided by Section 4(a)(2) of the Securities Act of 1933, as amended (the “</w:t>
      </w:r>
      <w:r>
        <w:rPr>
          <w:rFonts w:ascii="Times New Roman" w:cs="Times New Roman" w:eastAsia="Times New Roman" w:hAnsi="Times New Roman"/>
          <w:sz w:val="17"/>
          <w:szCs w:val="17"/>
          <w:b w:val="1"/>
          <w:bCs w:val="1"/>
          <w:i w:val="1"/>
          <w:iCs w:val="1"/>
          <w:color w:val="auto"/>
        </w:rPr>
        <w:t>Securities Act</w:t>
      </w:r>
      <w:r>
        <w:rPr>
          <w:rFonts w:ascii="Times New Roman" w:cs="Times New Roman" w:eastAsia="Times New Roman" w:hAnsi="Times New Roman"/>
          <w:sz w:val="17"/>
          <w:szCs w:val="17"/>
          <w:color w:val="auto"/>
        </w:rPr>
        <w:t>”). The Company relied on this exemption from registration based in part on representations made by each investor in the subscription agreements, dated June 3, 2026, between the Company and each investor identified therein.</w:t>
      </w:r>
    </w:p>
    <w:p>
      <w:pPr>
        <w:spacing w:after="0" w:line="158"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Notes and the shares of Common Stock issuable upon conversion of the Notes, if any, have not been registered under the Securities Act and may not be offered or sold in the United States absent registration or an applicable exemption from registration requirements.</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To the extent that any shares of Common Stock are issued upon conversion of the Notes, they will be issued in transactions anticipated to be exempt from registration under the Securities Act by virtue of Section 3(a)(9) thereof as involving an exchange by the Company exclusively with its noteholders because no commission or other remuneration is expected to be paid in connection with conversion of the Notes and any resulting issuance of shares of Common Stock. Initially, a maximum of 13,631,400 shares of Common Stock may be issued upon conversion of the Notes based on the initial maximum conversion rate of 54.5256 shares of Common Stock per $1,000 principal amount of Notes, which is subject to customary anti-dilution adjustment provisions.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Section 27A of the Securities Act and Section 21E of the Securities Exchange Act of 1934, as amended, including statements regarding the Company’s anticipated use of the net proceeds from the Private Placement. These forward-looking</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440" w:top="293" w:right="539" w:bottom="1440" w:gutter="0" w:footer="0" w:header="0"/>
        </w:sectPr>
      </w:pPr>
    </w:p>
    <w:bookmarkStart w:id="2" w:name="page3"/>
    <w:bookmarkEnd w:id="2"/>
    <w:p>
      <w:pPr>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statements are based on the Company’s current assumptions, expectations and beliefs and are subject to substantial risks, uncertainties, assumptions and changes in circumstances that may cause the Company’s actual results, performance or achievements to differ materially from those expressed or implied in any forward-looking statement. These risks include, but are not limited to market risks, trends and conditions. Other factors that may cause the Company’s actual results to differ from those expressed or implied in the forward-looking statements in this Current Report on Form 8-K are discussed in the Company’s filings with the U.S. Securities and Exchange Commission, including the “Risk Factors” sections contained therein. Except as required by law, the Company assumes no obligation to update any forward-looking statements contained herein to reflect any change in expectations, even as new information becomes available.</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7980" w:type="dxa"/>
            <w:vAlign w:val="bottom"/>
            <w:gridSpan w:val="3"/>
            <w:vMerge w:val="restart"/>
          </w:tcPr>
          <w:p>
            <w:pPr>
              <w:ind w:left="25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8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5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798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Indenture, dated as of June 10, 2026, by and between Syndax Pharmaceuticals, Inc. and U.S. Bank Trust Company, National Association, as</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8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Trustee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00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Form of Global Note, representing Syndax Pharmaceuticals, Inc.’s 2.25% Convertible Senior Notes due 2031 (included as Exhibit A to the</w:t>
            </w:r>
          </w:p>
        </w:tc>
        <w:tc>
          <w:tcPr>
            <w:tcW w:w="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1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Indenture filed as Exhibit 4.1)</w:t>
            </w:r>
          </w:p>
        </w:tc>
        <w:tc>
          <w:tcPr>
            <w:tcW w:w="79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5464" w:right="4380" w:hanging="5464"/>
        <w:spacing w:after="0" w:line="454" w:lineRule="auto"/>
        <w:tabs>
          <w:tab w:leader="none" w:pos="87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3</w:t>
      </w:r>
    </w:p>
    <w:p>
      <w:pPr>
        <w:sectPr>
          <w:pgSz w:w="11900" w:h="16838" w:orient="portrait"/>
          <w:cols w:equalWidth="0" w:num="1">
            <w:col w:w="11024"/>
          </w:cols>
          <w:pgMar w:left="436" w:top="297" w:right="439" w:bottom="1440" w:gutter="0" w:footer="0" w:header="0"/>
        </w:sectPr>
      </w:pPr>
    </w:p>
    <w:bookmarkStart w:id="3" w:name="page4"/>
    <w:bookmarkEnd w:id="3"/>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Syndax Pharmaceuticals,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10, 2026</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A. Metzger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Michael A. Metzger</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3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20"/>
          </w:cols>
          <w:pgMar w:left="440" w:top="293" w:right="7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SYNDAX PHARMACEUTICALS, INC.</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U.S. BANK TRUST COMPANY, NATIONAL ASSOCIATION,</w:t>
      </w:r>
    </w:p>
    <w:p>
      <w:pPr>
        <w:spacing w:after="0" w:line="23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Trustee</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INDENTURE</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Dated as of June 10, 2026</w:t>
      </w:r>
    </w:p>
    <w:p>
      <w:pPr>
        <w:spacing w:after="0" w:line="22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2.25% Convertible Senior Notes due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188595</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ARTICLE 1 DEFINITIONS</w:t>
            </w:r>
          </w:p>
        </w:tc>
        <w:tc>
          <w:tcPr>
            <w:tcW w:w="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w:t>
            </w:r>
            <w:r>
              <w:rPr>
                <w:rFonts w:ascii="Times New Roman" w:cs="Times New Roman" w:eastAsia="Times New Roman" w:hAnsi="Times New Roman"/>
                <w:sz w:val="11"/>
                <w:szCs w:val="11"/>
                <w:b w:val="1"/>
                <w:bCs w:val="1"/>
                <w:color w:val="auto"/>
              </w:rPr>
              <w:t>AGE</w:t>
            </w:r>
          </w:p>
        </w:tc>
        <w:tc>
          <w:tcPr>
            <w:tcW w:w="0" w:type="dxa"/>
            <w:vAlign w:val="bottom"/>
          </w:tcPr>
          <w:p>
            <w:pPr>
              <w:spacing w:after="0"/>
              <w:rPr>
                <w:sz w:val="1"/>
                <w:szCs w:val="1"/>
                <w:color w:val="auto"/>
              </w:rPr>
            </w:pPr>
          </w:p>
        </w:tc>
      </w:tr>
      <w:tr>
        <w:trPr>
          <w:trHeight w:val="228"/>
        </w:trPr>
        <w:tc>
          <w:tcPr>
            <w:tcW w:w="10600" w:type="dxa"/>
            <w:vAlign w:val="bottom"/>
            <w:vMerge w:val="continue"/>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i w:val="1"/>
                <w:iCs w:val="1"/>
                <w:color w:val="auto"/>
              </w:rPr>
              <w:t>. Definitions</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24"/>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i w:val="1"/>
                <w:iCs w:val="1"/>
                <w:color w:val="auto"/>
              </w:rPr>
              <w:t>. References to Interest</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324"/>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ARTICLE 2 ISSUE, DESCRIPTION, EXECUTION, REGISTRATION AND EXCHANGE OF NOTES</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324"/>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 Designation and Amount</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324"/>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i w:val="1"/>
                <w:iCs w:val="1"/>
                <w:color w:val="auto"/>
              </w:rPr>
              <w:t>. Form of Notes</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324"/>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i w:val="1"/>
                <w:iCs w:val="1"/>
                <w:color w:val="auto"/>
              </w:rPr>
              <w:t>. Date and Denomination of Notes; Payments of Interest and Defaulted Amounts</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324"/>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i w:val="1"/>
                <w:iCs w:val="1"/>
                <w:color w:val="auto"/>
              </w:rPr>
              <w:t>. Execution, Authentication and Delivery of Notes</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324"/>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i w:val="1"/>
                <w:iCs w:val="1"/>
                <w:color w:val="auto"/>
              </w:rPr>
              <w:t>. Exchange and Registration of Transfer of Notes; Restrictions on Transfer; Depositary.</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324"/>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i w:val="1"/>
                <w:iCs w:val="1"/>
                <w:color w:val="auto"/>
              </w:rPr>
              <w:t>. Mutilated, Destroyed, Lost or Stolen Notes</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24"/>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i w:val="1"/>
                <w:iCs w:val="1"/>
                <w:color w:val="auto"/>
              </w:rPr>
              <w:t>. Temporary Notes</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324"/>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i w:val="1"/>
                <w:iCs w:val="1"/>
                <w:color w:val="auto"/>
              </w:rPr>
              <w:t>. Cancellation of Notes Paid, Converted, Etc.</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324"/>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i w:val="1"/>
                <w:iCs w:val="1"/>
                <w:color w:val="auto"/>
              </w:rPr>
              <w:t>. CUSIP Numbers</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324"/>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i w:val="1"/>
                <w:iCs w:val="1"/>
                <w:color w:val="auto"/>
              </w:rPr>
              <w:t>. Additional Notes; Repurchases</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24"/>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ARTICLE 3 SATISFACTION AND DISCHARGE</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24"/>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 Satisfaction and Discharge</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24"/>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ARTICLE 4 PARTICULAR COVENANTS OF THE COMPANY</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324"/>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 Payment of Principal and Interest</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324"/>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i w:val="1"/>
                <w:iCs w:val="1"/>
                <w:color w:val="auto"/>
              </w:rPr>
              <w:t>. Maintenance of Office or Agency</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324"/>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i w:val="1"/>
                <w:iCs w:val="1"/>
                <w:color w:val="auto"/>
              </w:rPr>
              <w:t>. Appointments to Fill Vacancies in Trustee’s Office</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324"/>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i w:val="1"/>
                <w:iCs w:val="1"/>
                <w:color w:val="auto"/>
              </w:rPr>
              <w:t>. Provisions as to Paying Agent</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324"/>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i w:val="1"/>
                <w:iCs w:val="1"/>
                <w:color w:val="auto"/>
              </w:rPr>
              <w:t>. Existence</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324"/>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i w:val="1"/>
                <w:iCs w:val="1"/>
                <w:color w:val="auto"/>
              </w:rPr>
              <w:t>. Rule 144A Information Requirement and Annual Reports</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324"/>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i w:val="1"/>
                <w:iCs w:val="1"/>
                <w:color w:val="auto"/>
              </w:rPr>
              <w:t>. Stay, Extension and Usury Laws</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324"/>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i w:val="1"/>
                <w:iCs w:val="1"/>
                <w:color w:val="auto"/>
              </w:rPr>
              <w:t>. Compliance Certificate; Statements as to Defaults</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324"/>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i w:val="1"/>
                <w:iCs w:val="1"/>
                <w:color w:val="auto"/>
              </w:rPr>
              <w:t>. Further Instruments and Acts</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365"/>
        </w:trPr>
        <w:tc>
          <w:tcPr>
            <w:tcW w:w="1060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i</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40" w:top="266" w:right="49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ARTICLE 5 LISTS OF HOLDERS AND REPORTS BY THE COMPANY AND THE TRUSTEE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4"/>
        </w:trPr>
        <w:tc>
          <w:tcPr>
            <w:tcW w:w="9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i w:val="1"/>
                <w:iCs w:val="1"/>
                <w:color w:val="auto"/>
              </w:rPr>
              <w:t>. Lists of Holders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4"/>
        </w:trPr>
        <w:tc>
          <w:tcPr>
            <w:tcW w:w="9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i w:val="1"/>
                <w:iCs w:val="1"/>
                <w:color w:val="auto"/>
              </w:rPr>
              <w:t>. Preservation and Disclosure of Lists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4"/>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ARTICLE 6 DEFAULTS AND REMEDIES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4"/>
        </w:trPr>
        <w:tc>
          <w:tcPr>
            <w:tcW w:w="9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i w:val="1"/>
                <w:iCs w:val="1"/>
                <w:color w:val="auto"/>
              </w:rPr>
              <w:t>. Events of Default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4"/>
        </w:trPr>
        <w:tc>
          <w:tcPr>
            <w:tcW w:w="9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6.02 . </w:t>
            </w:r>
            <w:r>
              <w:rPr>
                <w:rFonts w:ascii="Times New Roman" w:cs="Times New Roman" w:eastAsia="Times New Roman" w:hAnsi="Times New Roman"/>
                <w:sz w:val="18"/>
                <w:szCs w:val="18"/>
                <w:i w:val="1"/>
                <w:iCs w:val="1"/>
                <w:color w:val="auto"/>
              </w:rPr>
              <w:t>Acceleration; Rescission and Annulment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24"/>
        </w:trPr>
        <w:tc>
          <w:tcPr>
            <w:tcW w:w="9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6.03 . </w:t>
            </w:r>
            <w:r>
              <w:rPr>
                <w:rFonts w:ascii="Times New Roman" w:cs="Times New Roman" w:eastAsia="Times New Roman" w:hAnsi="Times New Roman"/>
                <w:sz w:val="18"/>
                <w:szCs w:val="18"/>
                <w:i w:val="1"/>
                <w:iCs w:val="1"/>
                <w:color w:val="auto"/>
              </w:rPr>
              <w:t>Additional Interest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9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i w:val="1"/>
                <w:iCs w:val="1"/>
                <w:color w:val="auto"/>
              </w:rPr>
              <w:t>. Payments of Notes on Default; Suit Therefor</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9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i w:val="1"/>
                <w:iCs w:val="1"/>
                <w:color w:val="auto"/>
              </w:rPr>
              <w:t>. Application of Monies Collected by Trustee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24"/>
        </w:trPr>
        <w:tc>
          <w:tcPr>
            <w:tcW w:w="9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i w:val="1"/>
                <w:iCs w:val="1"/>
                <w:color w:val="auto"/>
              </w:rPr>
              <w:t>. Proceedings by Holders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24"/>
        </w:trPr>
        <w:tc>
          <w:tcPr>
            <w:tcW w:w="9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i w:val="1"/>
                <w:iCs w:val="1"/>
                <w:color w:val="auto"/>
              </w:rPr>
              <w:t>. Proceedings by Trustee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9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i w:val="1"/>
                <w:iCs w:val="1"/>
                <w:color w:val="auto"/>
              </w:rPr>
              <w:t>. Remedies Cumulative and Continuing</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9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i w:val="1"/>
                <w:iCs w:val="1"/>
                <w:color w:val="auto"/>
              </w:rPr>
              <w:t>. Direction of Proceedings and Waiver of Defaults by Majority of Holders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9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i w:val="1"/>
                <w:iCs w:val="1"/>
                <w:color w:val="auto"/>
              </w:rPr>
              <w:t>. Notice of Defaults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24"/>
        </w:trPr>
        <w:tc>
          <w:tcPr>
            <w:tcW w:w="9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i w:val="1"/>
                <w:iCs w:val="1"/>
                <w:color w:val="auto"/>
              </w:rPr>
              <w:t>. Undertaking to Pay Costs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24"/>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ARTICLE 7 CONCERNING THE TRUSTEE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24"/>
        </w:trPr>
        <w:tc>
          <w:tcPr>
            <w:tcW w:w="9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i w:val="1"/>
                <w:iCs w:val="1"/>
                <w:color w:val="auto"/>
              </w:rPr>
              <w:t>. Duties and Responsibilities of Trustee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24"/>
        </w:trPr>
        <w:tc>
          <w:tcPr>
            <w:tcW w:w="9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i w:val="1"/>
                <w:iCs w:val="1"/>
                <w:color w:val="auto"/>
              </w:rPr>
              <w:t>. Reliance on Documents, Opinions, Etc</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24"/>
        </w:trPr>
        <w:tc>
          <w:tcPr>
            <w:tcW w:w="9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i w:val="1"/>
                <w:iCs w:val="1"/>
                <w:color w:val="auto"/>
              </w:rPr>
              <w:t>. No Responsibility for Recitals, Etc.</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24"/>
        </w:trPr>
        <w:tc>
          <w:tcPr>
            <w:tcW w:w="9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i w:val="1"/>
                <w:iCs w:val="1"/>
                <w:color w:val="auto"/>
              </w:rPr>
              <w:t>. Trustee, Paying Agents, Conversion Agents, Bid Solicitation Agent or Note Registrar May Own Notes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24"/>
        </w:trPr>
        <w:tc>
          <w:tcPr>
            <w:tcW w:w="9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i w:val="1"/>
                <w:iCs w:val="1"/>
                <w:color w:val="auto"/>
              </w:rPr>
              <w:t>. Monies and Shares of Common Stock to Be Held in Trust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24"/>
        </w:trPr>
        <w:tc>
          <w:tcPr>
            <w:tcW w:w="9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i w:val="1"/>
                <w:iCs w:val="1"/>
                <w:color w:val="auto"/>
              </w:rPr>
              <w:t>. Compensation and Expenses of Trustee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24"/>
        </w:trPr>
        <w:tc>
          <w:tcPr>
            <w:tcW w:w="9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i w:val="1"/>
                <w:iCs w:val="1"/>
                <w:color w:val="auto"/>
              </w:rPr>
              <w:t>. Officer’s Certificate as Evidence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24"/>
        </w:trPr>
        <w:tc>
          <w:tcPr>
            <w:tcW w:w="9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i w:val="1"/>
                <w:iCs w:val="1"/>
                <w:color w:val="auto"/>
              </w:rPr>
              <w:t>. Eligibility of Trustee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24"/>
        </w:trPr>
        <w:tc>
          <w:tcPr>
            <w:tcW w:w="9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7.09 </w:t>
            </w:r>
            <w:r>
              <w:rPr>
                <w:rFonts w:ascii="Times New Roman" w:cs="Times New Roman" w:eastAsia="Times New Roman" w:hAnsi="Times New Roman"/>
                <w:sz w:val="18"/>
                <w:szCs w:val="18"/>
                <w:i w:val="1"/>
                <w:iCs w:val="1"/>
                <w:color w:val="auto"/>
              </w:rPr>
              <w:t>. Resignation or Removal of Trustee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24"/>
        </w:trPr>
        <w:tc>
          <w:tcPr>
            <w:tcW w:w="9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i w:val="1"/>
                <w:iCs w:val="1"/>
                <w:color w:val="auto"/>
              </w:rPr>
              <w:t>. Acceptance by Successor Trustee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24"/>
        </w:trPr>
        <w:tc>
          <w:tcPr>
            <w:tcW w:w="9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i w:val="1"/>
                <w:iCs w:val="1"/>
                <w:color w:val="auto"/>
              </w:rPr>
              <w:t>. Succession by Merger, Etc.</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324"/>
        </w:trPr>
        <w:tc>
          <w:tcPr>
            <w:tcW w:w="9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i w:val="1"/>
                <w:iCs w:val="1"/>
                <w:color w:val="auto"/>
              </w:rPr>
              <w:t>. Trustee’s Application for Instructions from the Company</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364"/>
        </w:trPr>
        <w:tc>
          <w:tcPr>
            <w:tcW w:w="9740" w:type="dxa"/>
            <w:vAlign w:val="bottom"/>
          </w:tcPr>
          <w:p>
            <w:pPr>
              <w:ind w:left="5460"/>
              <w:spacing w:after="0"/>
              <w:rPr>
                <w:sz w:val="20"/>
                <w:szCs w:val="20"/>
                <w:color w:val="auto"/>
              </w:rPr>
            </w:pPr>
            <w:r>
              <w:rPr>
                <w:rFonts w:ascii="Times New Roman" w:cs="Times New Roman" w:eastAsia="Times New Roman" w:hAnsi="Times New Roman"/>
                <w:sz w:val="18"/>
                <w:szCs w:val="18"/>
                <w:color w:val="auto"/>
              </w:rPr>
              <w:t>ii</w:t>
            </w:r>
          </w:p>
        </w:tc>
        <w:tc>
          <w:tcPr>
            <w:tcW w:w="1220" w:type="dxa"/>
            <w:vAlign w:val="bottom"/>
          </w:tcPr>
          <w:p>
            <w:pPr>
              <w:spacing w:after="0"/>
              <w:rPr>
                <w:sz w:val="24"/>
                <w:szCs w:val="24"/>
                <w:color w:val="auto"/>
              </w:rPr>
            </w:pPr>
          </w:p>
        </w:tc>
      </w:tr>
    </w:tbl>
    <w:p>
      <w:pPr>
        <w:sectPr>
          <w:pgSz w:w="11900" w:h="16838" w:orient="portrait"/>
          <w:cols w:equalWidth="0" w:num="1">
            <w:col w:w="10960"/>
          </w:cols>
          <w:pgMar w:left="440" w:top="270" w:right="49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ARTICLE 8 CONCERNING THE HOLDERS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24"/>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i w:val="1"/>
                <w:iCs w:val="1"/>
                <w:color w:val="auto"/>
              </w:rPr>
              <w:t>. Action by Holders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24"/>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i w:val="1"/>
                <w:iCs w:val="1"/>
                <w:color w:val="auto"/>
              </w:rPr>
              <w:t>. Proof of Execution by Holders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24"/>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i w:val="1"/>
                <w:iCs w:val="1"/>
                <w:color w:val="auto"/>
              </w:rPr>
              <w:t>. Who Are Deemed Absolute Owners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24"/>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i w:val="1"/>
                <w:iCs w:val="1"/>
                <w:color w:val="auto"/>
              </w:rPr>
              <w:t>. Company-Owned Notes Disregarded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24"/>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i w:val="1"/>
                <w:iCs w:val="1"/>
                <w:color w:val="auto"/>
              </w:rPr>
              <w:t>. Revocation of Consents; Future Holders Bound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24"/>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ARTICLE 9 HOLDERS’ MEETINGS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24"/>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i w:val="1"/>
                <w:iCs w:val="1"/>
                <w:color w:val="auto"/>
              </w:rPr>
              <w:t>. Purpose of Meetings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24"/>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i w:val="1"/>
                <w:iCs w:val="1"/>
                <w:color w:val="auto"/>
              </w:rPr>
              <w:t>. Call of Meetings by Trustee</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24"/>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i w:val="1"/>
                <w:iCs w:val="1"/>
                <w:color w:val="auto"/>
              </w:rPr>
              <w:t>. Call of Meetings by Company or Holders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24"/>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i w:val="1"/>
                <w:iCs w:val="1"/>
                <w:color w:val="auto"/>
              </w:rPr>
              <w:t>. Qualifications for Voting</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24"/>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i w:val="1"/>
                <w:iCs w:val="1"/>
                <w:color w:val="auto"/>
              </w:rPr>
              <w:t>. Regulations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24"/>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i w:val="1"/>
                <w:iCs w:val="1"/>
                <w:color w:val="auto"/>
              </w:rPr>
              <w:t>. Voting</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24"/>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i w:val="1"/>
                <w:iCs w:val="1"/>
                <w:color w:val="auto"/>
              </w:rPr>
              <w:t>. No Delay of Rights by Meeting</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24"/>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ARTICLE 10 SUPPLEMENTAL INDENTURES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24"/>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i w:val="1"/>
                <w:iCs w:val="1"/>
                <w:color w:val="auto"/>
              </w:rPr>
              <w:t>. Supplemental Indentures Without Consent of Holders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24"/>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i w:val="1"/>
                <w:iCs w:val="1"/>
                <w:color w:val="auto"/>
              </w:rPr>
              <w:t>. Supplemental Indentures with Consent of Holders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24"/>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i w:val="1"/>
                <w:iCs w:val="1"/>
                <w:color w:val="auto"/>
              </w:rPr>
              <w:t>. Effect of Supplemental Indentures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24"/>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i w:val="1"/>
                <w:iCs w:val="1"/>
                <w:color w:val="auto"/>
              </w:rPr>
              <w:t>. Notation on Notes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24"/>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i w:val="1"/>
                <w:iCs w:val="1"/>
                <w:color w:val="auto"/>
              </w:rPr>
              <w:t>. Evidence of Compliance of Supplemental Indenture to Be Furnished to the Trustee</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24"/>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ARTICLE 11 CONSOLIDATION, MERGER, SALE, CONVEYANCE AND LEASE</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24"/>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i w:val="1"/>
                <w:iCs w:val="1"/>
                <w:color w:val="auto"/>
              </w:rPr>
              <w:t>. Company May Consolidate, Etc. on Certain Terms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24"/>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i w:val="1"/>
                <w:iCs w:val="1"/>
                <w:color w:val="auto"/>
              </w:rPr>
              <w:t>. Successor Entity to Be Substituted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24"/>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ARTICLE 12 IMMUNITY OF INCORPORATORS, STOCKHOLDERS, OFFICERS AND DIRECTORS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24"/>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i w:val="1"/>
                <w:iCs w:val="1"/>
                <w:color w:val="auto"/>
              </w:rPr>
              <w:t>. Indenture and Notes Solely Corporate Obligations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24"/>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ARTICLE 13 [INTENTIONALLY OMITTED]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24"/>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ARTICLE 14 CONVERSION OF NOTES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24"/>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14.01 </w:t>
            </w:r>
            <w:r>
              <w:rPr>
                <w:rFonts w:ascii="Times New Roman" w:cs="Times New Roman" w:eastAsia="Times New Roman" w:hAnsi="Times New Roman"/>
                <w:sz w:val="18"/>
                <w:szCs w:val="18"/>
                <w:i w:val="1"/>
                <w:iCs w:val="1"/>
                <w:color w:val="auto"/>
              </w:rPr>
              <w:t>. Conversion Privilege</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24"/>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14.02 </w:t>
            </w:r>
            <w:r>
              <w:rPr>
                <w:rFonts w:ascii="Times New Roman" w:cs="Times New Roman" w:eastAsia="Times New Roman" w:hAnsi="Times New Roman"/>
                <w:sz w:val="18"/>
                <w:szCs w:val="18"/>
                <w:i w:val="1"/>
                <w:iCs w:val="1"/>
                <w:color w:val="auto"/>
              </w:rPr>
              <w:t>. Conversion Procedure; Settlement Upon Conversion</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65"/>
        </w:trPr>
        <w:tc>
          <w:tcPr>
            <w:tcW w:w="9220" w:type="dxa"/>
            <w:vAlign w:val="bottom"/>
          </w:tcPr>
          <w:p>
            <w:pPr>
              <w:ind w:left="5420"/>
              <w:spacing w:after="0"/>
              <w:rPr>
                <w:sz w:val="20"/>
                <w:szCs w:val="20"/>
                <w:color w:val="auto"/>
              </w:rPr>
            </w:pPr>
            <w:r>
              <w:rPr>
                <w:rFonts w:ascii="Times New Roman" w:cs="Times New Roman" w:eastAsia="Times New Roman" w:hAnsi="Times New Roman"/>
                <w:sz w:val="18"/>
                <w:szCs w:val="18"/>
                <w:color w:val="auto"/>
              </w:rPr>
              <w:t>iii</w:t>
            </w:r>
          </w:p>
        </w:tc>
        <w:tc>
          <w:tcPr>
            <w:tcW w:w="1740" w:type="dxa"/>
            <w:vAlign w:val="bottom"/>
          </w:tcPr>
          <w:p>
            <w:pPr>
              <w:spacing w:after="0"/>
              <w:rPr>
                <w:sz w:val="24"/>
                <w:szCs w:val="24"/>
                <w:color w:val="auto"/>
              </w:rPr>
            </w:pPr>
          </w:p>
        </w:tc>
      </w:tr>
    </w:tbl>
    <w:p>
      <w:pPr>
        <w:sectPr>
          <w:pgSz w:w="11900" w:h="16838" w:orient="portrait"/>
          <w:cols w:equalWidth="0" w:num="1">
            <w:col w:w="10960"/>
          </w:cols>
          <w:pgMar w:left="440" w:top="270" w:right="49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0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14.03 </w:t>
            </w:r>
            <w:r>
              <w:rPr>
                <w:rFonts w:ascii="Times New Roman" w:cs="Times New Roman" w:eastAsia="Times New Roman" w:hAnsi="Times New Roman"/>
                <w:sz w:val="18"/>
                <w:szCs w:val="18"/>
                <w:i w:val="1"/>
                <w:iCs w:val="1"/>
                <w:color w:val="auto"/>
              </w:rPr>
              <w:t>. Increased Conversion Rate Applicable to Certain Notes Surrendered in Connection with Make-Whole Fundamental Changes</w:t>
            </w:r>
          </w:p>
        </w:tc>
        <w:tc>
          <w:tcPr>
            <w:tcW w:w="380" w:type="dxa"/>
            <w:vAlign w:val="bottom"/>
          </w:tcPr>
          <w:p>
            <w:pPr>
              <w:spacing w:after="0"/>
              <w:rPr>
                <w:sz w:val="18"/>
                <w:szCs w:val="18"/>
                <w:color w:val="auto"/>
              </w:rPr>
            </w:pPr>
          </w:p>
        </w:tc>
      </w:tr>
      <w:tr>
        <w:trPr>
          <w:trHeight w:val="236"/>
        </w:trPr>
        <w:tc>
          <w:tcPr>
            <w:tcW w:w="10580" w:type="dxa"/>
            <w:vAlign w:val="bottom"/>
          </w:tcPr>
          <w:p>
            <w:pPr>
              <w:ind w:left="540"/>
              <w:spacing w:after="0"/>
              <w:rPr>
                <w:sz w:val="20"/>
                <w:szCs w:val="20"/>
                <w:color w:val="auto"/>
              </w:rPr>
            </w:pPr>
            <w:r>
              <w:rPr>
                <w:rFonts w:ascii="Times New Roman" w:cs="Times New Roman" w:eastAsia="Times New Roman" w:hAnsi="Times New Roman"/>
                <w:sz w:val="18"/>
                <w:szCs w:val="18"/>
                <w:i w:val="1"/>
                <w:iCs w:val="1"/>
                <w:color w:val="auto"/>
              </w:rPr>
              <w:t>or a Notice of Redemption.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324"/>
        </w:trPr>
        <w:tc>
          <w:tcPr>
            <w:tcW w:w="10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14.04 </w:t>
            </w:r>
            <w:r>
              <w:rPr>
                <w:rFonts w:ascii="Times New Roman" w:cs="Times New Roman" w:eastAsia="Times New Roman" w:hAnsi="Times New Roman"/>
                <w:sz w:val="18"/>
                <w:szCs w:val="18"/>
                <w:i w:val="1"/>
                <w:iCs w:val="1"/>
                <w:color w:val="auto"/>
              </w:rPr>
              <w:t>. Adjustment of Conversion Rate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324"/>
        </w:trPr>
        <w:tc>
          <w:tcPr>
            <w:tcW w:w="10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14.05 </w:t>
            </w:r>
            <w:r>
              <w:rPr>
                <w:rFonts w:ascii="Times New Roman" w:cs="Times New Roman" w:eastAsia="Times New Roman" w:hAnsi="Times New Roman"/>
                <w:sz w:val="18"/>
                <w:szCs w:val="18"/>
                <w:i w:val="1"/>
                <w:iCs w:val="1"/>
                <w:color w:val="auto"/>
              </w:rPr>
              <w:t>. Adjustments of Prices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324"/>
        </w:trPr>
        <w:tc>
          <w:tcPr>
            <w:tcW w:w="10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14.06 </w:t>
            </w:r>
            <w:r>
              <w:rPr>
                <w:rFonts w:ascii="Times New Roman" w:cs="Times New Roman" w:eastAsia="Times New Roman" w:hAnsi="Times New Roman"/>
                <w:sz w:val="18"/>
                <w:szCs w:val="18"/>
                <w:i w:val="1"/>
                <w:iCs w:val="1"/>
                <w:color w:val="auto"/>
              </w:rPr>
              <w:t>. Shares to Be Fully Paid</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324"/>
        </w:trPr>
        <w:tc>
          <w:tcPr>
            <w:tcW w:w="10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14.07 </w:t>
            </w:r>
            <w:r>
              <w:rPr>
                <w:rFonts w:ascii="Times New Roman" w:cs="Times New Roman" w:eastAsia="Times New Roman" w:hAnsi="Times New Roman"/>
                <w:sz w:val="18"/>
                <w:szCs w:val="18"/>
                <w:i w:val="1"/>
                <w:iCs w:val="1"/>
                <w:color w:val="auto"/>
              </w:rPr>
              <w:t>. Effect of Recapitalizations, Reclassifications and Changes of the Common Stock.</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324"/>
        </w:trPr>
        <w:tc>
          <w:tcPr>
            <w:tcW w:w="10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14.08 </w:t>
            </w:r>
            <w:r>
              <w:rPr>
                <w:rFonts w:ascii="Times New Roman" w:cs="Times New Roman" w:eastAsia="Times New Roman" w:hAnsi="Times New Roman"/>
                <w:sz w:val="18"/>
                <w:szCs w:val="18"/>
                <w:i w:val="1"/>
                <w:iCs w:val="1"/>
                <w:color w:val="auto"/>
              </w:rPr>
              <w:t>. Certain Covenants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324"/>
        </w:trPr>
        <w:tc>
          <w:tcPr>
            <w:tcW w:w="10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14.09 </w:t>
            </w:r>
            <w:r>
              <w:rPr>
                <w:rFonts w:ascii="Times New Roman" w:cs="Times New Roman" w:eastAsia="Times New Roman" w:hAnsi="Times New Roman"/>
                <w:sz w:val="18"/>
                <w:szCs w:val="18"/>
                <w:i w:val="1"/>
                <w:iCs w:val="1"/>
                <w:color w:val="auto"/>
              </w:rPr>
              <w:t>. Responsibility of Trustee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324"/>
        </w:trPr>
        <w:tc>
          <w:tcPr>
            <w:tcW w:w="10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14.10 </w:t>
            </w:r>
            <w:r>
              <w:rPr>
                <w:rFonts w:ascii="Times New Roman" w:cs="Times New Roman" w:eastAsia="Times New Roman" w:hAnsi="Times New Roman"/>
                <w:sz w:val="18"/>
                <w:szCs w:val="18"/>
                <w:i w:val="1"/>
                <w:iCs w:val="1"/>
                <w:color w:val="auto"/>
              </w:rPr>
              <w:t>. [Intentionally Omitted].</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324"/>
        </w:trPr>
        <w:tc>
          <w:tcPr>
            <w:tcW w:w="10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14.11 </w:t>
            </w:r>
            <w:r>
              <w:rPr>
                <w:rFonts w:ascii="Times New Roman" w:cs="Times New Roman" w:eastAsia="Times New Roman" w:hAnsi="Times New Roman"/>
                <w:sz w:val="18"/>
                <w:szCs w:val="18"/>
                <w:i w:val="1"/>
                <w:iCs w:val="1"/>
                <w:color w:val="auto"/>
              </w:rPr>
              <w:t>. Stockholder Rights Plans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324"/>
        </w:trPr>
        <w:tc>
          <w:tcPr>
            <w:tcW w:w="10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14.12 </w:t>
            </w:r>
            <w:r>
              <w:rPr>
                <w:rFonts w:ascii="Times New Roman" w:cs="Times New Roman" w:eastAsia="Times New Roman" w:hAnsi="Times New Roman"/>
                <w:sz w:val="18"/>
                <w:szCs w:val="18"/>
                <w:i w:val="1"/>
                <w:iCs w:val="1"/>
                <w:color w:val="auto"/>
              </w:rPr>
              <w:t>. Exchange in Lieu of Conversion.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324"/>
        </w:trPr>
        <w:tc>
          <w:tcPr>
            <w:tcW w:w="10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14.13 </w:t>
            </w:r>
            <w:r>
              <w:rPr>
                <w:rFonts w:ascii="Times New Roman" w:cs="Times New Roman" w:eastAsia="Times New Roman" w:hAnsi="Times New Roman"/>
                <w:sz w:val="18"/>
                <w:szCs w:val="18"/>
                <w:i w:val="1"/>
                <w:iCs w:val="1"/>
                <w:color w:val="auto"/>
              </w:rPr>
              <w:t>Limits Upon Issuance of Shares of Common Stock Upon Conversion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324"/>
        </w:trPr>
        <w:tc>
          <w:tcPr>
            <w:tcW w:w="10580" w:type="dxa"/>
            <w:vAlign w:val="bottom"/>
          </w:tcPr>
          <w:p>
            <w:pPr>
              <w:spacing w:after="0"/>
              <w:rPr>
                <w:sz w:val="20"/>
                <w:szCs w:val="20"/>
                <w:color w:val="auto"/>
              </w:rPr>
            </w:pPr>
            <w:r>
              <w:rPr>
                <w:rFonts w:ascii="Times New Roman" w:cs="Times New Roman" w:eastAsia="Times New Roman" w:hAnsi="Times New Roman"/>
                <w:sz w:val="18"/>
                <w:szCs w:val="18"/>
                <w:color w:val="auto"/>
              </w:rPr>
              <w:t>ARTICLE 15 REPURCHASE OF NOTES AT OPTION OF HOLDERS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324"/>
        </w:trPr>
        <w:tc>
          <w:tcPr>
            <w:tcW w:w="10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15.01 </w:t>
            </w:r>
            <w:r>
              <w:rPr>
                <w:rFonts w:ascii="Times New Roman" w:cs="Times New Roman" w:eastAsia="Times New Roman" w:hAnsi="Times New Roman"/>
                <w:sz w:val="18"/>
                <w:szCs w:val="18"/>
                <w:i w:val="1"/>
                <w:iCs w:val="1"/>
                <w:color w:val="auto"/>
              </w:rPr>
              <w:t>. [Intentionally Omitted].</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324"/>
        </w:trPr>
        <w:tc>
          <w:tcPr>
            <w:tcW w:w="10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15.02 </w:t>
            </w:r>
            <w:r>
              <w:rPr>
                <w:rFonts w:ascii="Times New Roman" w:cs="Times New Roman" w:eastAsia="Times New Roman" w:hAnsi="Times New Roman"/>
                <w:sz w:val="18"/>
                <w:szCs w:val="18"/>
                <w:i w:val="1"/>
                <w:iCs w:val="1"/>
                <w:color w:val="auto"/>
              </w:rPr>
              <w:t>. Repurchase at Option of Holders Upon a Fundamental Change.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324"/>
        </w:trPr>
        <w:tc>
          <w:tcPr>
            <w:tcW w:w="10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15.03 </w:t>
            </w:r>
            <w:r>
              <w:rPr>
                <w:rFonts w:ascii="Times New Roman" w:cs="Times New Roman" w:eastAsia="Times New Roman" w:hAnsi="Times New Roman"/>
                <w:sz w:val="18"/>
                <w:szCs w:val="18"/>
                <w:i w:val="1"/>
                <w:iCs w:val="1"/>
                <w:color w:val="auto"/>
              </w:rPr>
              <w:t>. Withdrawal of Fundamental Change Repurchase Notice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324"/>
        </w:trPr>
        <w:tc>
          <w:tcPr>
            <w:tcW w:w="10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15.04 </w:t>
            </w:r>
            <w:r>
              <w:rPr>
                <w:rFonts w:ascii="Times New Roman" w:cs="Times New Roman" w:eastAsia="Times New Roman" w:hAnsi="Times New Roman"/>
                <w:sz w:val="18"/>
                <w:szCs w:val="18"/>
                <w:i w:val="1"/>
                <w:iCs w:val="1"/>
                <w:color w:val="auto"/>
              </w:rPr>
              <w:t>. Deposit of Fundamental Change Repurchase Price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324"/>
        </w:trPr>
        <w:tc>
          <w:tcPr>
            <w:tcW w:w="10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15.05 . </w:t>
            </w:r>
            <w:r>
              <w:rPr>
                <w:rFonts w:ascii="Times New Roman" w:cs="Times New Roman" w:eastAsia="Times New Roman" w:hAnsi="Times New Roman"/>
                <w:sz w:val="18"/>
                <w:szCs w:val="18"/>
                <w:i w:val="1"/>
                <w:iCs w:val="1"/>
                <w:color w:val="auto"/>
              </w:rPr>
              <w:t>Covenant to Comply with Applicable Laws Upon Repurchase of Notes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324"/>
        </w:trPr>
        <w:tc>
          <w:tcPr>
            <w:tcW w:w="10580" w:type="dxa"/>
            <w:vAlign w:val="bottom"/>
          </w:tcPr>
          <w:p>
            <w:pPr>
              <w:spacing w:after="0"/>
              <w:rPr>
                <w:sz w:val="20"/>
                <w:szCs w:val="20"/>
                <w:color w:val="auto"/>
              </w:rPr>
            </w:pPr>
            <w:r>
              <w:rPr>
                <w:rFonts w:ascii="Times New Roman" w:cs="Times New Roman" w:eastAsia="Times New Roman" w:hAnsi="Times New Roman"/>
                <w:sz w:val="18"/>
                <w:szCs w:val="18"/>
                <w:color w:val="auto"/>
              </w:rPr>
              <w:t>ARTICLE 16 OPTIONAL REDEMPTION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324"/>
        </w:trPr>
        <w:tc>
          <w:tcPr>
            <w:tcW w:w="10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16.01 . </w:t>
            </w:r>
            <w:r>
              <w:rPr>
                <w:rFonts w:ascii="Times New Roman" w:cs="Times New Roman" w:eastAsia="Times New Roman" w:hAnsi="Times New Roman"/>
                <w:sz w:val="18"/>
                <w:szCs w:val="18"/>
                <w:i w:val="1"/>
                <w:iCs w:val="1"/>
                <w:color w:val="auto"/>
              </w:rPr>
              <w:t>Optional Redemption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324"/>
        </w:trPr>
        <w:tc>
          <w:tcPr>
            <w:tcW w:w="10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16.02 </w:t>
            </w:r>
            <w:r>
              <w:rPr>
                <w:rFonts w:ascii="Times New Roman" w:cs="Times New Roman" w:eastAsia="Times New Roman" w:hAnsi="Times New Roman"/>
                <w:sz w:val="18"/>
                <w:szCs w:val="18"/>
                <w:i w:val="1"/>
                <w:iCs w:val="1"/>
                <w:color w:val="auto"/>
              </w:rPr>
              <w:t>Notice of Optional Redemption; Selection of Notes</w:t>
            </w: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324"/>
        </w:trPr>
        <w:tc>
          <w:tcPr>
            <w:tcW w:w="10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16.03 . </w:t>
            </w:r>
            <w:r>
              <w:rPr>
                <w:rFonts w:ascii="Times New Roman" w:cs="Times New Roman" w:eastAsia="Times New Roman" w:hAnsi="Times New Roman"/>
                <w:sz w:val="18"/>
                <w:szCs w:val="18"/>
                <w:i w:val="1"/>
                <w:iCs w:val="1"/>
                <w:color w:val="auto"/>
              </w:rPr>
              <w:t>Payment of Notes Called for Redemption</w:t>
            </w: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324"/>
        </w:trPr>
        <w:tc>
          <w:tcPr>
            <w:tcW w:w="10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16.04 . </w:t>
            </w:r>
            <w:r>
              <w:rPr>
                <w:rFonts w:ascii="Times New Roman" w:cs="Times New Roman" w:eastAsia="Times New Roman" w:hAnsi="Times New Roman"/>
                <w:sz w:val="18"/>
                <w:szCs w:val="18"/>
                <w:i w:val="1"/>
                <w:iCs w:val="1"/>
                <w:color w:val="auto"/>
              </w:rPr>
              <w:t>Restrictions on Redemption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324"/>
        </w:trPr>
        <w:tc>
          <w:tcPr>
            <w:tcW w:w="10580" w:type="dxa"/>
            <w:vAlign w:val="bottom"/>
          </w:tcPr>
          <w:p>
            <w:pPr>
              <w:spacing w:after="0"/>
              <w:rPr>
                <w:sz w:val="20"/>
                <w:szCs w:val="20"/>
                <w:color w:val="auto"/>
              </w:rPr>
            </w:pPr>
            <w:r>
              <w:rPr>
                <w:rFonts w:ascii="Times New Roman" w:cs="Times New Roman" w:eastAsia="Times New Roman" w:hAnsi="Times New Roman"/>
                <w:sz w:val="18"/>
                <w:szCs w:val="18"/>
                <w:color w:val="auto"/>
              </w:rPr>
              <w:t>ARTICLE 17 MISCELLANEOUS PROVISIONS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324"/>
        </w:trPr>
        <w:tc>
          <w:tcPr>
            <w:tcW w:w="10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17.01 </w:t>
            </w:r>
            <w:r>
              <w:rPr>
                <w:rFonts w:ascii="Times New Roman" w:cs="Times New Roman" w:eastAsia="Times New Roman" w:hAnsi="Times New Roman"/>
                <w:sz w:val="18"/>
                <w:szCs w:val="18"/>
                <w:i w:val="1"/>
                <w:iCs w:val="1"/>
                <w:color w:val="auto"/>
              </w:rPr>
              <w:t>. Provisions Binding on Company’s Successors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324"/>
        </w:trPr>
        <w:tc>
          <w:tcPr>
            <w:tcW w:w="10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17.02 </w:t>
            </w:r>
            <w:r>
              <w:rPr>
                <w:rFonts w:ascii="Times New Roman" w:cs="Times New Roman" w:eastAsia="Times New Roman" w:hAnsi="Times New Roman"/>
                <w:sz w:val="18"/>
                <w:szCs w:val="18"/>
                <w:i w:val="1"/>
                <w:iCs w:val="1"/>
                <w:color w:val="auto"/>
              </w:rPr>
              <w:t>. Official Acts by Successor Entity</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324"/>
        </w:trPr>
        <w:tc>
          <w:tcPr>
            <w:tcW w:w="10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17.03 </w:t>
            </w:r>
            <w:r>
              <w:rPr>
                <w:rFonts w:ascii="Times New Roman" w:cs="Times New Roman" w:eastAsia="Times New Roman" w:hAnsi="Times New Roman"/>
                <w:sz w:val="18"/>
                <w:szCs w:val="18"/>
                <w:i w:val="1"/>
                <w:iCs w:val="1"/>
                <w:color w:val="auto"/>
              </w:rPr>
              <w:t>. Addresses for Notices, Etc.</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324"/>
        </w:trPr>
        <w:tc>
          <w:tcPr>
            <w:tcW w:w="10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Section 17.04 </w:t>
            </w:r>
            <w:r>
              <w:rPr>
                <w:rFonts w:ascii="Times New Roman" w:cs="Times New Roman" w:eastAsia="Times New Roman" w:hAnsi="Times New Roman"/>
                <w:sz w:val="18"/>
                <w:szCs w:val="18"/>
                <w:i w:val="1"/>
                <w:iCs w:val="1"/>
                <w:color w:val="auto"/>
              </w:rPr>
              <w:t>. Governing Law; Jurisdiction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365"/>
        </w:trPr>
        <w:tc>
          <w:tcPr>
            <w:tcW w:w="10580" w:type="dxa"/>
            <w:vAlign w:val="bottom"/>
          </w:tcPr>
          <w:p>
            <w:pPr>
              <w:ind w:left="5440"/>
              <w:spacing w:after="0"/>
              <w:rPr>
                <w:sz w:val="20"/>
                <w:szCs w:val="20"/>
                <w:color w:val="auto"/>
              </w:rPr>
            </w:pPr>
            <w:r>
              <w:rPr>
                <w:rFonts w:ascii="Times New Roman" w:cs="Times New Roman" w:eastAsia="Times New Roman" w:hAnsi="Times New Roman"/>
                <w:sz w:val="18"/>
                <w:szCs w:val="18"/>
                <w:color w:val="auto"/>
              </w:rPr>
              <w:t>iv</w:t>
            </w:r>
          </w:p>
        </w:tc>
        <w:tc>
          <w:tcPr>
            <w:tcW w:w="380" w:type="dxa"/>
            <w:vAlign w:val="bottom"/>
          </w:tcPr>
          <w:p>
            <w:pPr>
              <w:spacing w:after="0"/>
              <w:rPr>
                <w:sz w:val="24"/>
                <w:szCs w:val="24"/>
                <w:color w:val="auto"/>
              </w:rPr>
            </w:pPr>
          </w:p>
        </w:tc>
      </w:tr>
    </w:tbl>
    <w:p>
      <w:pPr>
        <w:sectPr>
          <w:pgSz w:w="11900" w:h="16838" w:orient="portrait"/>
          <w:cols w:equalWidth="0" w:num="1">
            <w:col w:w="10960"/>
          </w:cols>
          <w:pgMar w:left="440" w:top="376" w:right="49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6"/>
        </w:trPr>
        <w:tc>
          <w:tcPr>
            <w:tcW w:w="9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Section 17.05 </w:t>
            </w:r>
            <w:r>
              <w:rPr>
                <w:rFonts w:ascii="Times New Roman" w:cs="Times New Roman" w:eastAsia="Times New Roman" w:hAnsi="Times New Roman"/>
                <w:sz w:val="18"/>
                <w:szCs w:val="18"/>
                <w:i w:val="1"/>
                <w:iCs w:val="1"/>
                <w:color w:val="auto"/>
              </w:rPr>
              <w:t>. Evidence of Compliance with Conditions Precedent; Certificates and Opinions of Counsel to Trustee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324"/>
        </w:trPr>
        <w:tc>
          <w:tcPr>
            <w:tcW w:w="9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Section 17.06 </w:t>
            </w:r>
            <w:r>
              <w:rPr>
                <w:rFonts w:ascii="Times New Roman" w:cs="Times New Roman" w:eastAsia="Times New Roman" w:hAnsi="Times New Roman"/>
                <w:sz w:val="18"/>
                <w:szCs w:val="18"/>
                <w:i w:val="1"/>
                <w:iCs w:val="1"/>
                <w:color w:val="auto"/>
              </w:rPr>
              <w:t>. Legal Holidays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324"/>
        </w:trPr>
        <w:tc>
          <w:tcPr>
            <w:tcW w:w="9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Section 17.07 </w:t>
            </w:r>
            <w:r>
              <w:rPr>
                <w:rFonts w:ascii="Times New Roman" w:cs="Times New Roman" w:eastAsia="Times New Roman" w:hAnsi="Times New Roman"/>
                <w:sz w:val="18"/>
                <w:szCs w:val="18"/>
                <w:i w:val="1"/>
                <w:iCs w:val="1"/>
                <w:color w:val="auto"/>
              </w:rPr>
              <w:t>. No Security Interest Created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324"/>
        </w:trPr>
        <w:tc>
          <w:tcPr>
            <w:tcW w:w="9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Section 17.08 </w:t>
            </w:r>
            <w:r>
              <w:rPr>
                <w:rFonts w:ascii="Times New Roman" w:cs="Times New Roman" w:eastAsia="Times New Roman" w:hAnsi="Times New Roman"/>
                <w:sz w:val="18"/>
                <w:szCs w:val="18"/>
                <w:i w:val="1"/>
                <w:iCs w:val="1"/>
                <w:color w:val="auto"/>
              </w:rPr>
              <w:t>. Benefits of Indenture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324"/>
        </w:trPr>
        <w:tc>
          <w:tcPr>
            <w:tcW w:w="9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Section 17.09 </w:t>
            </w:r>
            <w:r>
              <w:rPr>
                <w:rFonts w:ascii="Times New Roman" w:cs="Times New Roman" w:eastAsia="Times New Roman" w:hAnsi="Times New Roman"/>
                <w:sz w:val="18"/>
                <w:szCs w:val="18"/>
                <w:i w:val="1"/>
                <w:iCs w:val="1"/>
                <w:color w:val="auto"/>
              </w:rPr>
              <w:t>. Table of Contents, Headings, Etc.</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324"/>
        </w:trPr>
        <w:tc>
          <w:tcPr>
            <w:tcW w:w="9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Section 17.10 </w:t>
            </w:r>
            <w:r>
              <w:rPr>
                <w:rFonts w:ascii="Times New Roman" w:cs="Times New Roman" w:eastAsia="Times New Roman" w:hAnsi="Times New Roman"/>
                <w:sz w:val="18"/>
                <w:szCs w:val="18"/>
                <w:i w:val="1"/>
                <w:iCs w:val="1"/>
                <w:color w:val="auto"/>
              </w:rPr>
              <w:t>. Authenticating Agent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324"/>
        </w:trPr>
        <w:tc>
          <w:tcPr>
            <w:tcW w:w="9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Section 17.11 </w:t>
            </w:r>
            <w:r>
              <w:rPr>
                <w:rFonts w:ascii="Times New Roman" w:cs="Times New Roman" w:eastAsia="Times New Roman" w:hAnsi="Times New Roman"/>
                <w:sz w:val="18"/>
                <w:szCs w:val="18"/>
                <w:i w:val="1"/>
                <w:iCs w:val="1"/>
                <w:color w:val="auto"/>
              </w:rPr>
              <w:t>. Execution in Counterparts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324"/>
        </w:trPr>
        <w:tc>
          <w:tcPr>
            <w:tcW w:w="9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Section 17.12 </w:t>
            </w:r>
            <w:r>
              <w:rPr>
                <w:rFonts w:ascii="Times New Roman" w:cs="Times New Roman" w:eastAsia="Times New Roman" w:hAnsi="Times New Roman"/>
                <w:sz w:val="18"/>
                <w:szCs w:val="18"/>
                <w:i w:val="1"/>
                <w:iCs w:val="1"/>
                <w:color w:val="auto"/>
              </w:rPr>
              <w:t>. Severability</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324"/>
        </w:trPr>
        <w:tc>
          <w:tcPr>
            <w:tcW w:w="9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Section 17.13 </w:t>
            </w:r>
            <w:r>
              <w:rPr>
                <w:rFonts w:ascii="Times New Roman" w:cs="Times New Roman" w:eastAsia="Times New Roman" w:hAnsi="Times New Roman"/>
                <w:sz w:val="18"/>
                <w:szCs w:val="18"/>
                <w:i w:val="1"/>
                <w:iCs w:val="1"/>
                <w:color w:val="auto"/>
              </w:rPr>
              <w:t>. Waiver of Jury Trial</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324"/>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Section 17.14</w:t>
            </w:r>
          </w:p>
        </w:tc>
        <w:tc>
          <w:tcPr>
            <w:tcW w:w="83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 Force Majeure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324"/>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Section 17.15</w:t>
            </w:r>
          </w:p>
        </w:tc>
        <w:tc>
          <w:tcPr>
            <w:tcW w:w="83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 Calculations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324"/>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Section 17.16</w:t>
            </w:r>
          </w:p>
        </w:tc>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USA PATRIOT Act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324"/>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Section 17.17</w:t>
            </w:r>
          </w:p>
        </w:tc>
        <w:tc>
          <w:tcPr>
            <w:tcW w:w="83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Electronic Signatures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648"/>
        </w:trPr>
        <w:tc>
          <w:tcPr>
            <w:tcW w:w="1360" w:type="dxa"/>
            <w:vAlign w:val="bottom"/>
          </w:tcPr>
          <w:p>
            <w:pPr>
              <w:spacing w:after="0"/>
              <w:rPr>
                <w:sz w:val="24"/>
                <w:szCs w:val="24"/>
                <w:color w:val="auto"/>
              </w:rPr>
            </w:pPr>
          </w:p>
        </w:tc>
        <w:tc>
          <w:tcPr>
            <w:tcW w:w="8360" w:type="dxa"/>
            <w:vAlign w:val="bottom"/>
          </w:tcPr>
          <w:p>
            <w:pPr>
              <w:ind w:left="37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300" w:type="dxa"/>
            <w:vAlign w:val="bottom"/>
          </w:tcPr>
          <w:p>
            <w:pPr>
              <w:spacing w:after="0"/>
              <w:rPr>
                <w:sz w:val="24"/>
                <w:szCs w:val="24"/>
                <w:color w:val="auto"/>
              </w:rPr>
            </w:pPr>
          </w:p>
        </w:tc>
      </w:tr>
      <w:tr>
        <w:trPr>
          <w:trHeight w:val="459"/>
        </w:trPr>
        <w:tc>
          <w:tcPr>
            <w:tcW w:w="9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A  Form of Note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r>
        <w:trPr>
          <w:trHeight w:val="365"/>
        </w:trPr>
        <w:tc>
          <w:tcPr>
            <w:tcW w:w="1360" w:type="dxa"/>
            <w:vAlign w:val="bottom"/>
          </w:tcPr>
          <w:p>
            <w:pPr>
              <w:spacing w:after="0"/>
              <w:rPr>
                <w:sz w:val="24"/>
                <w:szCs w:val="24"/>
                <w:color w:val="auto"/>
              </w:rPr>
            </w:pPr>
          </w:p>
        </w:tc>
        <w:tc>
          <w:tcPr>
            <w:tcW w:w="8360" w:type="dxa"/>
            <w:vAlign w:val="bottom"/>
          </w:tcPr>
          <w:p>
            <w:pPr>
              <w:ind w:left="4100"/>
              <w:spacing w:after="0"/>
              <w:rPr>
                <w:sz w:val="20"/>
                <w:szCs w:val="20"/>
                <w:color w:val="auto"/>
              </w:rPr>
            </w:pPr>
            <w:r>
              <w:rPr>
                <w:rFonts w:ascii="Times New Roman" w:cs="Times New Roman" w:eastAsia="Times New Roman" w:hAnsi="Times New Roman"/>
                <w:sz w:val="18"/>
                <w:szCs w:val="18"/>
                <w:color w:val="auto"/>
              </w:rPr>
              <w:t>v</w:t>
            </w:r>
          </w:p>
        </w:tc>
        <w:tc>
          <w:tcPr>
            <w:tcW w:w="1300" w:type="dxa"/>
            <w:vAlign w:val="bottom"/>
          </w:tcPr>
          <w:p>
            <w:pPr>
              <w:spacing w:after="0"/>
              <w:rPr>
                <w:sz w:val="24"/>
                <w:szCs w:val="24"/>
                <w:color w:val="auto"/>
              </w:rPr>
            </w:pPr>
          </w:p>
        </w:tc>
      </w:tr>
    </w:tbl>
    <w:p>
      <w:pPr>
        <w:sectPr>
          <w:pgSz w:w="11900" w:h="16838" w:orient="portrait"/>
          <w:cols w:equalWidth="0" w:num="1">
            <w:col w:w="11020"/>
          </w:cols>
          <w:pgMar w:left="440" w:top="376" w:right="439" w:bottom="1440" w:gutter="0" w:footer="0" w:header="0"/>
        </w:sectPr>
      </w:pPr>
    </w:p>
    <w:bookmarkStart w:id="10" w:name="page11"/>
    <w:bookmarkEnd w:id="10"/>
    <w:p>
      <w:pPr>
        <w:jc w:val="both"/>
        <w:ind w:right="16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INDENTURE dated as of June 10, 2026 between SYNDAX PHARMACEUTICALS, INC., a Delaware corporation, as issuer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more fully set forth in Section 1.01) and U.S. BANK TRUST COMPANY, NATIONAL ASSOCIATION, a national banking association,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more fully set forth in Section 1.01).</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WHEREAS, for its lawful corporate purposes, the Company has duly authorized the issuance of its 2.25% Convertible Senior Notes due 2031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initially in an aggregate principal amount not to exceed $250,000,000, and in order to provide the terms and conditions upon which the Notes are to be authenticated, issued and delivered, the Company has duly authorized the execution and delivery of this Indenture; and</w:t>
      </w:r>
    </w:p>
    <w:p>
      <w:pPr>
        <w:spacing w:after="0" w:line="176" w:lineRule="exact"/>
        <w:rPr>
          <w:sz w:val="20"/>
          <w:szCs w:val="20"/>
          <w:color w:val="auto"/>
        </w:rPr>
      </w:pPr>
    </w:p>
    <w:p>
      <w:pPr>
        <w:jc w:val="both"/>
        <w:ind w:right="660" w:firstLine="440"/>
        <w:spacing w:after="0" w:line="266" w:lineRule="auto"/>
        <w:rPr>
          <w:sz w:val="20"/>
          <w:szCs w:val="20"/>
          <w:color w:val="auto"/>
        </w:rPr>
      </w:pPr>
      <w:r>
        <w:rPr>
          <w:rFonts w:ascii="Times New Roman" w:cs="Times New Roman" w:eastAsia="Times New Roman" w:hAnsi="Times New Roman"/>
          <w:sz w:val="18"/>
          <w:szCs w:val="18"/>
          <w:color w:val="auto"/>
        </w:rPr>
        <w:t>WHEREAS, the Form of Note, the certificate of authentication to be borne by each Note, the Form of Notice of Conversion, the Form of Fundamental Change Repurchase Notice and the Form of Assignment and Transfer to be borne by the Notes are to be substantially in the forms hereinafter provided; and</w:t>
      </w:r>
    </w:p>
    <w:p>
      <w:pPr>
        <w:spacing w:after="0" w:line="176"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WHEREAS, all acts and things necessary to make the Notes, when executed by the Company and authenticated and delivered by the Trustee or a duly authorized authenticating agent, as in this Indenture provided, the valid, binding and legal obligations of the Company, and this Indenture a valid agreement according to its terms, have been done and performed, and the execution of this Indenture and the issuance hereunder of the Notes have in all respects been duly authorized.</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THIS INDENTURE WITNESSETH:</w:t>
      </w:r>
    </w:p>
    <w:p>
      <w:pPr>
        <w:spacing w:after="0" w:line="225" w:lineRule="exact"/>
        <w:rPr>
          <w:sz w:val="20"/>
          <w:szCs w:val="20"/>
          <w:color w:val="auto"/>
        </w:rPr>
      </w:pPr>
    </w:p>
    <w:p>
      <w:pPr>
        <w:ind w:right="20" w:firstLine="440"/>
        <w:spacing w:after="0" w:line="289" w:lineRule="auto"/>
        <w:rPr>
          <w:sz w:val="20"/>
          <w:szCs w:val="20"/>
          <w:color w:val="auto"/>
        </w:rPr>
      </w:pPr>
      <w:r>
        <w:rPr>
          <w:rFonts w:ascii="Times New Roman" w:cs="Times New Roman" w:eastAsia="Times New Roman" w:hAnsi="Times New Roman"/>
          <w:sz w:val="17"/>
          <w:szCs w:val="17"/>
          <w:color w:val="auto"/>
        </w:rPr>
        <w:t>That in order to declare the terms and conditions upon which the Notes are, and are to be, authenticated, issued and delivered, and in consideration of the premises and of the purchase and acceptance of the Notes by the Holders thereof, the Company covenants and agrees with the Trustee for the equal and proportionate benefit of the respective Holders from time to time of the Notes (except as otherwise provided below), as follows: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EFINITIONS</w:t>
      </w:r>
    </w:p>
    <w:p>
      <w:pPr>
        <w:spacing w:after="0" w:line="205" w:lineRule="exact"/>
        <w:rPr>
          <w:sz w:val="20"/>
          <w:szCs w:val="20"/>
          <w:color w:val="auto"/>
        </w:rPr>
      </w:pPr>
    </w:p>
    <w:p>
      <w:pPr>
        <w:jc w:val="both"/>
        <w:ind w:right="220" w:firstLine="440"/>
        <w:spacing w:after="0" w:line="261" w:lineRule="auto"/>
        <w:rPr>
          <w:sz w:val="20"/>
          <w:szCs w:val="20"/>
          <w:color w:val="auto"/>
        </w:rPr>
      </w:pPr>
      <w:r>
        <w:rPr>
          <w:rFonts w:ascii="Times New Roman" w:cs="Times New Roman" w:eastAsia="Times New Roman" w:hAnsi="Times New Roman"/>
          <w:sz w:val="18"/>
          <w:szCs w:val="18"/>
          <w:color w:val="auto"/>
        </w:rPr>
        <w:t>Section 1.01</w:t>
      </w:r>
      <w:r>
        <w:rPr>
          <w:rFonts w:ascii="Times New Roman" w:cs="Times New Roman" w:eastAsia="Times New Roman" w:hAnsi="Times New Roman"/>
          <w:sz w:val="18"/>
          <w:szCs w:val="18"/>
          <w:i w:val="1"/>
          <w:iCs w:val="1"/>
          <w:color w:val="auto"/>
        </w:rPr>
        <w:t>. Definitions.</w:t>
      </w:r>
      <w:r>
        <w:rPr>
          <w:rFonts w:ascii="Times New Roman" w:cs="Times New Roman" w:eastAsia="Times New Roman" w:hAnsi="Times New Roman"/>
          <w:sz w:val="18"/>
          <w:szCs w:val="18"/>
          <w:color w:val="auto"/>
        </w:rPr>
        <w:t xml:space="preserve"> The terms defined in this Section 1.01 (except as herein otherwise expressly provided or unless the context otherwise requires) for all purposes of this Indenture and of any indenture supplemental hereto shall have the respective meanings specified in this Section 1.01. The words “herein,” “hereof,” “hereunder” and words of similar import refer to this Indenture as a whole and not to any particular Article, Section or other subdivision. The terms defined in this Article include the plural as well as the singular.</w:t>
      </w:r>
    </w:p>
    <w:p>
      <w:pPr>
        <w:sectPr>
          <w:pgSz w:w="11900" w:h="16838" w:orient="portrait"/>
          <w:cols w:equalWidth="0" w:num="1">
            <w:col w:w="11000"/>
          </w:cols>
          <w:pgMar w:left="440" w:top="266" w:right="459" w:bottom="1440" w:gutter="0" w:footer="0" w:header="0"/>
        </w:sectPr>
      </w:pPr>
    </w:p>
    <w:bookmarkStart w:id="11" w:name="page12"/>
    <w:bookmarkEnd w:id="1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1% Exception</w:t>
      </w:r>
      <w:r>
        <w:rPr>
          <w:rFonts w:ascii="Times New Roman" w:cs="Times New Roman" w:eastAsia="Times New Roman" w:hAnsi="Times New Roman"/>
          <w:sz w:val="18"/>
          <w:szCs w:val="18"/>
          <w:color w:val="auto"/>
        </w:rPr>
        <w:t>” shall have the meaning specified in Section 14.04(k).</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Interest</w:t>
      </w:r>
      <w:r>
        <w:rPr>
          <w:rFonts w:ascii="Times New Roman" w:cs="Times New Roman" w:eastAsia="Times New Roman" w:hAnsi="Times New Roman"/>
          <w:sz w:val="18"/>
          <w:szCs w:val="18"/>
          <w:color w:val="auto"/>
        </w:rPr>
        <w:t>” means all amounts, if any, payable pursuant to Section 4.06(d), Section 4.06(e) and Section 6.03, as applicable.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Shares</w:t>
      </w:r>
      <w:r>
        <w:rPr>
          <w:rFonts w:ascii="Times New Roman" w:cs="Times New Roman" w:eastAsia="Times New Roman" w:hAnsi="Times New Roman"/>
          <w:sz w:val="18"/>
          <w:szCs w:val="18"/>
          <w:color w:val="auto"/>
        </w:rPr>
        <w:t>” shall have the meaning specified in Section 14.03(a).</w:t>
      </w:r>
    </w:p>
    <w:p>
      <w:pPr>
        <w:spacing w:after="0" w:line="225" w:lineRule="exact"/>
        <w:rPr>
          <w:sz w:val="20"/>
          <w:szCs w:val="20"/>
          <w:color w:val="auto"/>
        </w:rPr>
      </w:pPr>
    </w:p>
    <w:p>
      <w:pPr>
        <w:ind w:right="16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or cause the direction of the management and policies of such Person, directly or indirectly, whether through the ownership of voting securities, by contract or otherwise; and the terms “controlling” and “controlled” have meanings correlative to the foregoing. Notwithstanding anything to the contrary herein, the determination of whether one Person is an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another Person for purposes of this Indenture shall be made based on the facts at the time such determination is made or required to be made, as the case may be, hereunder.</w:t>
      </w:r>
    </w:p>
    <w:p>
      <w:pPr>
        <w:spacing w:after="0" w:line="182"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means, collectively, the following Persons and entities: (i) any investment vehicle, including, any funds, feeder funds or managed accounts, currently, or from time to time after the issue date of the Notes, directly or indirectly managed or advised by a Holder’s investment manager or any of its Affiliates or principals, (ii) any direct or indirect Affiliates of such Holder or any of the foregoing, (iii) any Person acting or who could be deemed to be acting as a Group together with such Holder or any of the foregoing and (iv) any other Persons whose beneficial ownership of the Common Stock would or could be aggregated with such Holder’s and the other Attribution Parties for purposes of Section 13(d) of the Exchange Act. For clarity, the purpose of the foregoing is to subject collectively such Holder and all other Attribution Parties to the Maximum Percentage.</w:t>
      </w:r>
    </w:p>
    <w:p>
      <w:pPr>
        <w:spacing w:after="0" w:line="182" w:lineRule="exact"/>
        <w:rPr>
          <w:sz w:val="20"/>
          <w:szCs w:val="20"/>
          <w:color w:val="auto"/>
        </w:rPr>
      </w:pPr>
    </w:p>
    <w:p>
      <w:pPr>
        <w:ind w:right="5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Bid Solicitation Agent</w:t>
      </w:r>
      <w:r>
        <w:rPr>
          <w:rFonts w:ascii="Times New Roman" w:cs="Times New Roman" w:eastAsia="Times New Roman" w:hAnsi="Times New Roman"/>
          <w:sz w:val="18"/>
          <w:szCs w:val="18"/>
          <w:color w:val="auto"/>
        </w:rPr>
        <w:t>” means the Company or the Person appointed by the Company to solicit bids for the Trading Price of the Notes in accordance with Section 14.01(b)(i). The Company shall initially act as the Bid Solicitation Agent.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of the Company or a committee of such board duly authorized to act for it hereunder.</w:t>
      </w:r>
    </w:p>
    <w:p>
      <w:pPr>
        <w:spacing w:after="0" w:line="225"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Resolution</w:t>
      </w:r>
      <w:r>
        <w:rPr>
          <w:rFonts w:ascii="Times New Roman" w:cs="Times New Roman" w:eastAsia="Times New Roman" w:hAnsi="Times New Roman"/>
          <w:sz w:val="18"/>
          <w:szCs w:val="18"/>
          <w:color w:val="auto"/>
        </w:rPr>
        <w:t>”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 Event</w:t>
      </w:r>
      <w:r>
        <w:rPr>
          <w:rFonts w:ascii="Times New Roman" w:cs="Times New Roman" w:eastAsia="Times New Roman" w:hAnsi="Times New Roman"/>
          <w:sz w:val="18"/>
          <w:szCs w:val="18"/>
          <w:color w:val="auto"/>
        </w:rPr>
        <w:t>” shall have the meaning specified in Section 11.01.</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12" w:name="page13"/>
    <w:bookmarkEnd w:id="12"/>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with respect to any Note, any day other than a Saturday, a Sunday or a day on which the Federal Reserve Bank of New York is authorized or required by law or executive order to close or be closed.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Called Notes</w:t>
      </w:r>
      <w:r>
        <w:rPr>
          <w:rFonts w:ascii="Times New Roman" w:cs="Times New Roman" w:eastAsia="Times New Roman" w:hAnsi="Times New Roman"/>
          <w:sz w:val="18"/>
          <w:szCs w:val="18"/>
          <w:color w:val="auto"/>
        </w:rPr>
        <w:t>” means Notes called for Optional Redemption pursuant to Article 16 or Notes subject to a Deemed Redemption.</w:t>
      </w:r>
    </w:p>
    <w:p>
      <w:pPr>
        <w:spacing w:after="0" w:line="225" w:lineRule="exact"/>
        <w:rPr>
          <w:sz w:val="20"/>
          <w:szCs w:val="20"/>
          <w:color w:val="auto"/>
        </w:rPr>
      </w:pPr>
    </w:p>
    <w:p>
      <w:pPr>
        <w:jc w:val="both"/>
        <w:ind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Stock</w:t>
      </w:r>
      <w:r>
        <w:rPr>
          <w:rFonts w:ascii="Times New Roman" w:cs="Times New Roman" w:eastAsia="Times New Roman" w:hAnsi="Times New Roman"/>
          <w:sz w:val="18"/>
          <w:szCs w:val="18"/>
          <w:color w:val="auto"/>
        </w:rPr>
        <w:t>” means, for any entity, any and all shares, interests, rights to purchase, warrants, options, participations or other equivalents of or interests in (however designated) stock issued by that entity, but shall not include any debt securities convertible into or exchangeable for any securities otherwise constituting Capital Stock pursuant to this definition.</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Settlement</w:t>
      </w:r>
      <w:r>
        <w:rPr>
          <w:rFonts w:ascii="Times New Roman" w:cs="Times New Roman" w:eastAsia="Times New Roman" w:hAnsi="Times New Roman"/>
          <w:sz w:val="18"/>
          <w:szCs w:val="18"/>
          <w:color w:val="auto"/>
        </w:rPr>
        <w:t>” shall have the meaning specified in Section 14.02(a).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Clause A Distribution</w:t>
      </w:r>
      <w:r>
        <w:rPr>
          <w:rFonts w:ascii="Times New Roman" w:cs="Times New Roman" w:eastAsia="Times New Roman" w:hAnsi="Times New Roman"/>
          <w:sz w:val="18"/>
          <w:szCs w:val="18"/>
          <w:color w:val="auto"/>
        </w:rPr>
        <w:t>” shall have the meaning specified in Section 14.04(c).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Clause B Distribution</w:t>
      </w:r>
      <w:r>
        <w:rPr>
          <w:rFonts w:ascii="Times New Roman" w:cs="Times New Roman" w:eastAsia="Times New Roman" w:hAnsi="Times New Roman"/>
          <w:sz w:val="18"/>
          <w:szCs w:val="18"/>
          <w:color w:val="auto"/>
        </w:rPr>
        <w:t>” shall have the meaning specified in Section 14.04(c).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Clause C Distribution</w:t>
      </w:r>
      <w:r>
        <w:rPr>
          <w:rFonts w:ascii="Times New Roman" w:cs="Times New Roman" w:eastAsia="Times New Roman" w:hAnsi="Times New Roman"/>
          <w:sz w:val="18"/>
          <w:szCs w:val="18"/>
          <w:color w:val="auto"/>
        </w:rPr>
        <w:t>” shall have the meaning specified in Section 14.04(c).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close of business</w:t>
      </w:r>
      <w:r>
        <w:rPr>
          <w:rFonts w:ascii="Times New Roman" w:cs="Times New Roman" w:eastAsia="Times New Roman" w:hAnsi="Times New Roman"/>
          <w:sz w:val="18"/>
          <w:szCs w:val="18"/>
          <w:color w:val="auto"/>
        </w:rPr>
        <w:t>” means 5:00 p.m. (New York City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Combination Settlement</w:t>
      </w:r>
      <w:r>
        <w:rPr>
          <w:rFonts w:ascii="Times New Roman" w:cs="Times New Roman" w:eastAsia="Times New Roman" w:hAnsi="Times New Roman"/>
          <w:sz w:val="18"/>
          <w:szCs w:val="18"/>
          <w:color w:val="auto"/>
        </w:rPr>
        <w:t>” shall have the meaning specified in Section 14.02(a).</w:t>
      </w:r>
    </w:p>
    <w:p>
      <w:pPr>
        <w:spacing w:after="0" w:line="22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U.S. Securities and Exchange Commission, as from time to time constituted or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71"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Equity</w:t>
      </w:r>
      <w:r>
        <w:rPr>
          <w:rFonts w:ascii="Times New Roman" w:cs="Times New Roman" w:eastAsia="Times New Roman" w:hAnsi="Times New Roman"/>
          <w:sz w:val="18"/>
          <w:szCs w:val="18"/>
          <w:color w:val="auto"/>
        </w:rPr>
        <w:t>” of any Person means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common stock of the Company, par value $0.0001 per share, at the date of this Indenture, subject to Section 14.07.</w:t>
      </w:r>
    </w:p>
    <w:p>
      <w:pPr>
        <w:spacing w:after="0" w:line="225"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have the meaning specified in the first paragraph of this Indenture, and subject to the provisions of Article 11, shall include its successors and assigns.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Order</w:t>
      </w:r>
      <w:r>
        <w:rPr>
          <w:rFonts w:ascii="Times New Roman" w:cs="Times New Roman" w:eastAsia="Times New Roman" w:hAnsi="Times New Roman"/>
          <w:sz w:val="18"/>
          <w:szCs w:val="18"/>
          <w:color w:val="auto"/>
        </w:rPr>
        <w:t>” means a written order of the Company signed by any of its Officers and delivered to the Trustee.</w:t>
      </w:r>
    </w:p>
    <w:p>
      <w:pPr>
        <w:spacing w:after="0" w:line="225" w:lineRule="exact"/>
        <w:rPr>
          <w:sz w:val="20"/>
          <w:szCs w:val="20"/>
          <w:color w:val="auto"/>
        </w:rPr>
      </w:pPr>
    </w:p>
    <w:p>
      <w:pPr>
        <w:jc w:val="right"/>
        <w:ind w:right="5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Agent</w:t>
      </w:r>
      <w:r>
        <w:rPr>
          <w:rFonts w:ascii="Times New Roman" w:cs="Times New Roman" w:eastAsia="Times New Roman" w:hAnsi="Times New Roman"/>
          <w:sz w:val="18"/>
          <w:szCs w:val="18"/>
          <w:color w:val="auto"/>
        </w:rPr>
        <w:t>” shall have the meaning specified in Section 4.02.</w:t>
      </w:r>
    </w:p>
    <w:p>
      <w:pPr>
        <w:spacing w:after="0" w:line="162" w:lineRule="exact"/>
        <w:rPr>
          <w:sz w:val="20"/>
          <w:szCs w:val="20"/>
          <w:color w:val="auto"/>
        </w:rPr>
      </w:pPr>
    </w:p>
    <w:p>
      <w:pPr>
        <w:jc w:val="right"/>
        <w:ind w:right="544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66" w:right="479" w:bottom="1440" w:gutter="0" w:footer="0" w:header="0"/>
        </w:sectPr>
      </w:pPr>
    </w:p>
    <w:bookmarkStart w:id="13" w:name="page14"/>
    <w:bookmarkEnd w:id="1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Conversion Consideration</w:t>
      </w:r>
      <w:r>
        <w:rPr>
          <w:rFonts w:ascii="Times New Roman" w:cs="Times New Roman" w:eastAsia="Times New Roman" w:hAnsi="Times New Roman"/>
          <w:sz w:val="18"/>
          <w:szCs w:val="18"/>
          <w:color w:val="auto"/>
        </w:rPr>
        <w:t>” shall have the meaning specified in Section 14.12(a).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shall have the meaning specified in Section 14.02(c).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Obligation</w:t>
      </w:r>
      <w:r>
        <w:rPr>
          <w:rFonts w:ascii="Times New Roman" w:cs="Times New Roman" w:eastAsia="Times New Roman" w:hAnsi="Times New Roman"/>
          <w:sz w:val="18"/>
          <w:szCs w:val="18"/>
          <w:color w:val="auto"/>
        </w:rPr>
        <w:t>” shall have the meaning specified in Section 14.01(a).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xml:space="preserve">” means as of any time, $1,000,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Conversion Rate as of such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Rate</w:t>
      </w:r>
      <w:r>
        <w:rPr>
          <w:rFonts w:ascii="Times New Roman" w:cs="Times New Roman" w:eastAsia="Times New Roman" w:hAnsi="Times New Roman"/>
          <w:sz w:val="18"/>
          <w:szCs w:val="18"/>
          <w:color w:val="auto"/>
        </w:rPr>
        <w:t>” shall have the meaning specified in Section 14.01(a).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Event</w:t>
      </w:r>
      <w:r>
        <w:rPr>
          <w:rFonts w:ascii="Times New Roman" w:cs="Times New Roman" w:eastAsia="Times New Roman" w:hAnsi="Times New Roman"/>
          <w:sz w:val="18"/>
          <w:szCs w:val="18"/>
          <w:color w:val="auto"/>
        </w:rPr>
        <w:t>” shall have the meaning specified in Section 14.01(b)(iii).</w:t>
      </w:r>
    </w:p>
    <w:p>
      <w:pPr>
        <w:spacing w:after="0" w:line="22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Trust Office</w:t>
      </w:r>
      <w:r>
        <w:rPr>
          <w:rFonts w:ascii="Times New Roman" w:cs="Times New Roman" w:eastAsia="Times New Roman" w:hAnsi="Times New Roman"/>
          <w:sz w:val="18"/>
          <w:szCs w:val="18"/>
          <w:color w:val="auto"/>
        </w:rPr>
        <w:t>” means the designated office of the Trustee at which at any time this Indenture shall be administered, which office at the date hereof is located at U.S. Bank Trust Company, National Association, 333 Commerce Street, Suite 900, Nashville, Tennessee 37201, Attention: Wally Jones (Syndax Pharmaceuticals, Inc. Administrator), or such other address as the Trustee may designate from time to time by notice to the Holders and the Company, or the designated corporate trust office of any successor trustee (or such other address as such successor trustee may designate from time to time by notice to the Holders and the Company).</w:t>
      </w:r>
    </w:p>
    <w:p>
      <w:pPr>
        <w:spacing w:after="0" w:line="179" w:lineRule="exact"/>
        <w:rPr>
          <w:sz w:val="20"/>
          <w:szCs w:val="20"/>
          <w:color w:val="auto"/>
        </w:rPr>
      </w:pPr>
    </w:p>
    <w:p>
      <w:pPr>
        <w:ind w:right="5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means the Trustee, as custodian for The Depository Trust Company, with respect to the Global Notes, or any successor entity thereto.</w:t>
      </w:r>
    </w:p>
    <w:p>
      <w:pPr>
        <w:spacing w:after="0" w:line="15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Conversion Value</w:t>
      </w:r>
      <w:r>
        <w:rPr>
          <w:rFonts w:ascii="Times New Roman" w:cs="Times New Roman" w:eastAsia="Times New Roman" w:hAnsi="Times New Roman"/>
          <w:sz w:val="18"/>
          <w:szCs w:val="18"/>
          <w:color w:val="auto"/>
        </w:rPr>
        <w:t>” means, for each of the 25 consecutive Trading Days during the relevant Observation Period, one-twenty-fifth (1/25th) of the product of (a) the Conversion Rate on such Trading Day and (b) the Daily VWAP for such Trading Day.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Measurement Value</w:t>
      </w:r>
      <w:r>
        <w:rPr>
          <w:rFonts w:ascii="Times New Roman" w:cs="Times New Roman" w:eastAsia="Times New Roman" w:hAnsi="Times New Roman"/>
          <w:sz w:val="18"/>
          <w:szCs w:val="18"/>
          <w:color w:val="auto"/>
        </w:rPr>
        <w:t xml:space="preserve">” means the Specified Dollar Amount (if any),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25.</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Settlement Amount</w:t>
      </w:r>
      <w:r>
        <w:rPr>
          <w:rFonts w:ascii="Times New Roman" w:cs="Times New Roman" w:eastAsia="Times New Roman" w:hAnsi="Times New Roman"/>
          <w:sz w:val="18"/>
          <w:szCs w:val="18"/>
          <w:color w:val="auto"/>
        </w:rPr>
        <w:t>,” for each of the 25 consecutive Trading Days during the relevant Observation Period, shall consist of:</w:t>
      </w:r>
    </w:p>
    <w:p>
      <w:pPr>
        <w:spacing w:after="0" w:line="121" w:lineRule="exact"/>
        <w:rPr>
          <w:sz w:val="20"/>
          <w:szCs w:val="20"/>
          <w:color w:val="auto"/>
        </w:rPr>
      </w:pPr>
    </w:p>
    <w:p>
      <w:pPr>
        <w:ind w:left="1100" w:hanging="241"/>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 an amount equal to the lesser of (i) the Daily Measurement Value and (ii) the Daily Conversion Value on such Trading Day; and</w:t>
      </w:r>
    </w:p>
    <w:p>
      <w:pPr>
        <w:spacing w:after="0" w:line="117" w:lineRule="exact"/>
        <w:rPr>
          <w:rFonts w:ascii="Times New Roman" w:cs="Times New Roman" w:eastAsia="Times New Roman" w:hAnsi="Times New Roman"/>
          <w:sz w:val="18"/>
          <w:szCs w:val="18"/>
          <w:color w:val="auto"/>
        </w:rPr>
      </w:pPr>
    </w:p>
    <w:p>
      <w:pPr>
        <w:jc w:val="both"/>
        <w:ind w:left="440" w:right="80" w:firstLine="419"/>
        <w:spacing w:after="0" w:line="266" w:lineRule="auto"/>
        <w:tabs>
          <w:tab w:leader="none" w:pos="111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Daily Conversion Value on such Trading Day exceeds the Daily Measurement Value, a number of shares of Common Stock equal to (i) the difference between the Daily Conversion Value on such Trading Day and the Daily Measurement Value,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Daily VWAP for such Trading Day.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14" w:name="page15"/>
    <w:bookmarkEnd w:id="14"/>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Daily VWAP</w:t>
      </w:r>
      <w:r>
        <w:rPr>
          <w:rFonts w:ascii="Times New Roman" w:cs="Times New Roman" w:eastAsia="Times New Roman" w:hAnsi="Times New Roman"/>
          <w:sz w:val="18"/>
          <w:szCs w:val="18"/>
          <w:color w:val="auto"/>
        </w:rPr>
        <w:t>” means, for each of the 25 consecutive Trading Days during the relevant Observation Period, the per share volume-weighted average price as displayed under the heading “Bloomberg VWAP” on Bloomberg page “SNDX&lt;equity&gt;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share of the Common Stock on such Trading Day determined, using a volume-weighted average method, by a nationally recognized independent investment banking firm retained for this purpose by the Company). The “</w:t>
      </w:r>
      <w:r>
        <w:rPr>
          <w:rFonts w:ascii="Times New Roman" w:cs="Times New Roman" w:eastAsia="Times New Roman" w:hAnsi="Times New Roman"/>
          <w:sz w:val="18"/>
          <w:szCs w:val="18"/>
          <w:b w:val="1"/>
          <w:bCs w:val="1"/>
          <w:color w:val="auto"/>
        </w:rPr>
        <w:t>Daily VWAP</w:t>
      </w:r>
      <w:r>
        <w:rPr>
          <w:rFonts w:ascii="Times New Roman" w:cs="Times New Roman" w:eastAsia="Times New Roman" w:hAnsi="Times New Roman"/>
          <w:sz w:val="18"/>
          <w:szCs w:val="18"/>
          <w:color w:val="auto"/>
        </w:rPr>
        <w:t>” shall be determined without regard to after-hours trading or any other trading outside of the regular trading session trading hours.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Deemed Redemption</w:t>
      </w:r>
      <w:r>
        <w:rPr>
          <w:rFonts w:ascii="Times New Roman" w:cs="Times New Roman" w:eastAsia="Times New Roman" w:hAnsi="Times New Roman"/>
          <w:sz w:val="18"/>
          <w:szCs w:val="18"/>
          <w:color w:val="auto"/>
        </w:rPr>
        <w:t>” shall have the meaning specified in Section 14.01(b)(v).</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event that is, or after notice or passage of time, or both, would be, an Event of Default.</w:t>
      </w:r>
    </w:p>
    <w:p>
      <w:pPr>
        <w:spacing w:after="0" w:line="225"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Settlement Method</w:t>
      </w:r>
      <w:r>
        <w:rPr>
          <w:rFonts w:ascii="Times New Roman" w:cs="Times New Roman" w:eastAsia="Times New Roman" w:hAnsi="Times New Roman"/>
          <w:sz w:val="18"/>
          <w:szCs w:val="18"/>
          <w:color w:val="auto"/>
        </w:rPr>
        <w:t>” means, initially, Combination Settlement with a Specified Dollar Amount of $1,000 per $1,000 principal amount of Notes, subject to Section 14.02(a).</w:t>
      </w:r>
    </w:p>
    <w:p>
      <w:pPr>
        <w:spacing w:after="0" w:line="155" w:lineRule="exact"/>
        <w:rPr>
          <w:sz w:val="20"/>
          <w:szCs w:val="20"/>
          <w:color w:val="auto"/>
        </w:rPr>
      </w:pPr>
    </w:p>
    <w:p>
      <w:pPr>
        <w:ind w:right="7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Defaulted Amounts</w:t>
      </w:r>
      <w:r>
        <w:rPr>
          <w:rFonts w:ascii="Times New Roman" w:cs="Times New Roman" w:eastAsia="Times New Roman" w:hAnsi="Times New Roman"/>
          <w:sz w:val="18"/>
          <w:szCs w:val="18"/>
          <w:color w:val="auto"/>
        </w:rPr>
        <w:t>” means any amounts on any Note (including, without limitation, the Redemption Price, the Fundamental Change Repurchase Price, principal and interest) that are payable but are not punctually paid or duly provided for.</w:t>
      </w:r>
    </w:p>
    <w:p>
      <w:pPr>
        <w:spacing w:after="0" w:line="155" w:lineRule="exact"/>
        <w:rPr>
          <w:sz w:val="20"/>
          <w:szCs w:val="20"/>
          <w:color w:val="auto"/>
        </w:rPr>
      </w:pPr>
    </w:p>
    <w:p>
      <w:pPr>
        <w:ind w:right="18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De-Legending Deadline Date</w:t>
      </w:r>
      <w:r>
        <w:rPr>
          <w:rFonts w:ascii="Times New Roman" w:cs="Times New Roman" w:eastAsia="Times New Roman" w:hAnsi="Times New Roman"/>
          <w:sz w:val="18"/>
          <w:szCs w:val="18"/>
          <w:color w:val="auto"/>
        </w:rPr>
        <w:t xml:space="preserve">” means, with respect to any Notes issued pursuant to the Subscription Agreements (or any Notes issued in exchange therefor or in substitution thereof) or any additional Notes issued pursuant to Section 2.10 (or any Notes issued in exchange therefor or in substitution thereof), the 380th day after the last date of original issuance of such Notes or additional Notes, as applicable;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such 380th day is after a Regular Record Date and on or before the corresponding Interest Payment Date, then the “De-Legending Deadline Date” for such Notes will instead be the fifth (5th) Business Day immediately after such Interest Payment Date.</w:t>
      </w:r>
    </w:p>
    <w:p>
      <w:pPr>
        <w:spacing w:after="0" w:line="179"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means, with respect to each Global Note, the Person specified in Section 2.05(c) as the Depositary with respect to such Notes, until a successor shall have been appointed and become such pursuant to the applicable provisions of this Indenture, and thereafter,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shall mean or include such successor.</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Financial Institution</w:t>
      </w:r>
      <w:r>
        <w:rPr>
          <w:rFonts w:ascii="Times New Roman" w:cs="Times New Roman" w:eastAsia="Times New Roman" w:hAnsi="Times New Roman"/>
          <w:sz w:val="18"/>
          <w:szCs w:val="18"/>
          <w:color w:val="auto"/>
        </w:rPr>
        <w:t>” shall have the meaning specified in Section 14.12(a).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Distributed Property</w:t>
      </w:r>
      <w:r>
        <w:rPr>
          <w:rFonts w:ascii="Times New Roman" w:cs="Times New Roman" w:eastAsia="Times New Roman" w:hAnsi="Times New Roman"/>
          <w:sz w:val="18"/>
          <w:szCs w:val="18"/>
          <w:color w:val="auto"/>
        </w:rPr>
        <w:t>” shall have the meaning specified in Section 14.04(c).</w:t>
      </w:r>
    </w:p>
    <w:p>
      <w:pPr>
        <w:spacing w:after="0" w:line="225" w:lineRule="exact"/>
        <w:rPr>
          <w:sz w:val="20"/>
          <w:szCs w:val="20"/>
          <w:color w:val="auto"/>
        </w:rPr>
      </w:pPr>
    </w:p>
    <w:p>
      <w:pPr>
        <w:ind w:right="6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Distribution Compliance Period</w:t>
      </w:r>
      <w:r>
        <w:rPr>
          <w:rFonts w:ascii="Times New Roman" w:cs="Times New Roman" w:eastAsia="Times New Roman" w:hAnsi="Times New Roman"/>
          <w:sz w:val="18"/>
          <w:szCs w:val="18"/>
          <w:color w:val="auto"/>
        </w:rPr>
        <w:t>” means, with respect to any Note issued and sold by the Company pursuant to Regulation S under the Securities Act, the period ending on the date that is six months after the last day of original issuance of such Note.</w:t>
      </w:r>
    </w:p>
    <w:p>
      <w:pPr>
        <w:spacing w:after="0" w:line="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440" w:top="266" w:right="519" w:bottom="1440" w:gutter="0" w:footer="0" w:header="0"/>
        </w:sectPr>
      </w:pPr>
    </w:p>
    <w:bookmarkStart w:id="15" w:name="page16"/>
    <w:bookmarkEnd w:id="15"/>
    <w:p>
      <w:pPr>
        <w:ind w:right="120"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shall have the meaning specified in Section 14.03(c), except that, as used in Section 14.04 and Section 14.05,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first date on which shares of the Common Stock trade on the applicable exchange or in the applicable market, regular way, reflecting the relevant share split or share combination, as applicable. For the avoidance of doubt, any alternative trading convention on the applicable exchange or market in respect of shares of the Common Stock under a separate ticker symbol or CUSIP number will not be considered “regular way” for this purpose.</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shall have the meaning specified in Section 6.01.</w:t>
      </w:r>
    </w:p>
    <w:p>
      <w:pPr>
        <w:spacing w:after="0" w:line="22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Ex-Dividend Date</w:t>
      </w:r>
      <w:r>
        <w:rPr>
          <w:rFonts w:ascii="Times New Roman" w:cs="Times New Roman" w:eastAsia="Times New Roman" w:hAnsi="Times New Roman"/>
          <w:sz w:val="18"/>
          <w:szCs w:val="18"/>
          <w:color w:val="auto"/>
        </w:rPr>
        <w:t>” means the first date on which shares of the Common Stock trade on the applicable exchange or in the applicable market, regular way, without the right to receive the issuance, dividend or distribution in question, from the Company or, if applicable, from the seller of Common Stock on such exchange or market (in the form of due bills or otherwise) as determined by such exchange or market. For the avoidance of doubt, any alternative trading convention on the applicable exchange or market in respect of shares of the Common Stock under a separate ticker symbol or CUSIP number will not be considered “regular way” for this purpose.</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Excess Shares</w:t>
      </w:r>
      <w:r>
        <w:rPr>
          <w:rFonts w:ascii="Times New Roman" w:cs="Times New Roman" w:eastAsia="Times New Roman" w:hAnsi="Times New Roman"/>
          <w:sz w:val="18"/>
          <w:szCs w:val="18"/>
          <w:color w:val="auto"/>
        </w:rPr>
        <w:t>” shall have the meaning specified in Section 14.13.</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Election</w:t>
      </w:r>
      <w:r>
        <w:rPr>
          <w:rFonts w:ascii="Times New Roman" w:cs="Times New Roman" w:eastAsia="Times New Roman" w:hAnsi="Times New Roman"/>
          <w:sz w:val="18"/>
          <w:szCs w:val="18"/>
          <w:color w:val="auto"/>
        </w:rPr>
        <w:t>” shall have the meaning specified in Section 14.12(a).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Exempted Fundamental Change</w:t>
      </w:r>
      <w:r>
        <w:rPr>
          <w:rFonts w:ascii="Times New Roman" w:cs="Times New Roman" w:eastAsia="Times New Roman" w:hAnsi="Times New Roman"/>
          <w:sz w:val="18"/>
          <w:szCs w:val="18"/>
          <w:color w:val="auto"/>
        </w:rPr>
        <w:t>” shall have the meaning specified in Section 15.02(f).</w:t>
      </w:r>
    </w:p>
    <w:p>
      <w:pPr>
        <w:spacing w:after="0" w:line="225"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of Assignment and Transfer</w:t>
      </w:r>
      <w:r>
        <w:rPr>
          <w:rFonts w:ascii="Times New Roman" w:cs="Times New Roman" w:eastAsia="Times New Roman" w:hAnsi="Times New Roman"/>
          <w:sz w:val="18"/>
          <w:szCs w:val="18"/>
          <w:color w:val="auto"/>
        </w:rPr>
        <w:t>” means the “Form of Assignment and Transfer” attached as Attachment 3 to the Form of Note attached hereto as Exhibit A.</w:t>
      </w:r>
    </w:p>
    <w:p>
      <w:pPr>
        <w:spacing w:after="0" w:line="15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of Fundamental Change Repurchase Notice</w:t>
      </w:r>
      <w:r>
        <w:rPr>
          <w:rFonts w:ascii="Times New Roman" w:cs="Times New Roman" w:eastAsia="Times New Roman" w:hAnsi="Times New Roman"/>
          <w:sz w:val="18"/>
          <w:szCs w:val="18"/>
          <w:color w:val="auto"/>
        </w:rPr>
        <w:t>” means the “Form of Fundamental Change Repurchase Notice” attached as Attachment 2 to the Form of Note attached hereto as Exhibit A.</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of Note</w:t>
      </w:r>
      <w:r>
        <w:rPr>
          <w:rFonts w:ascii="Times New Roman" w:cs="Times New Roman" w:eastAsia="Times New Roman" w:hAnsi="Times New Roman"/>
          <w:sz w:val="18"/>
          <w:szCs w:val="18"/>
          <w:color w:val="auto"/>
        </w:rPr>
        <w:t>” means the “Form of Note” attached hereto as Exhibit A.</w:t>
      </w:r>
    </w:p>
    <w:p>
      <w:pPr>
        <w:spacing w:after="0" w:line="225"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of Notice of Conversion</w:t>
      </w:r>
      <w:r>
        <w:rPr>
          <w:rFonts w:ascii="Times New Roman" w:cs="Times New Roman" w:eastAsia="Times New Roman" w:hAnsi="Times New Roman"/>
          <w:sz w:val="18"/>
          <w:szCs w:val="18"/>
          <w:color w:val="auto"/>
        </w:rPr>
        <w:t>” means the “Form of Notice of Conversion” attached as Attachment 1 to the Form of Note attached hereto as Exhibit A.</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Fundamental Change</w:t>
      </w:r>
      <w:r>
        <w:rPr>
          <w:rFonts w:ascii="Times New Roman" w:cs="Times New Roman" w:eastAsia="Times New Roman" w:hAnsi="Times New Roman"/>
          <w:sz w:val="18"/>
          <w:szCs w:val="18"/>
          <w:color w:val="auto"/>
        </w:rPr>
        <w:t>” shall be deemed to have occurred at the time after the Notes are originally issued if any of the following occurs:</w:t>
      </w:r>
    </w:p>
    <w:p>
      <w:pPr>
        <w:spacing w:after="0" w:line="121" w:lineRule="exact"/>
        <w:rPr>
          <w:sz w:val="20"/>
          <w:szCs w:val="20"/>
          <w:color w:val="auto"/>
        </w:rPr>
      </w:pPr>
    </w:p>
    <w:p>
      <w:pPr>
        <w:ind w:right="60" w:firstLine="419"/>
        <w:spacing w:after="0" w:line="253" w:lineRule="auto"/>
        <w:tabs>
          <w:tab w:leader="none" w:pos="66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in connection with transactions described in clause (b) below, a “person” or “group” within the meaning of Section 13(d) of the Exchange Act, other than the Company, its direct or indirect Wholly Owned Subsidiaries and any employee benefit plans of the Company or its Wholly Owned Subsidiaries, has become and files a Schedule TO (or any successor schedule, form or report) or any schedule, form or report under the Exchange Act that discloses that such person or group has become the direct or indirect “beneficial owner,” as defined in Rule 13d-3 under the Exchange Act, of shares of Common Stock representing more than 50% of the voting power of the Common Stock, unless such beneficial ownership arises solely as a result of a revocable proxy delivered in response to a public proxy or consent solicitation made pursuant to the applicable rules and regulations under the Exchange Act and is not also then reportable on Schedule 13D or Schedule 13G (or any successor schedule) under the Exchange Act regardless of whether such a filing has actually been made;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“person” or “group” shall be deemed to be the beneficial owner of any securities tendered pursuant to a tender or exchange offer made by or on behalf of such “person” or “group” until such tendered securities are accepted for purchase or exchange under such offer;</w:t>
      </w:r>
    </w:p>
    <w:p>
      <w:pPr>
        <w:spacing w:after="0" w:line="86" w:lineRule="exact"/>
        <w:rPr>
          <w:rFonts w:ascii="Times New Roman" w:cs="Times New Roman" w:eastAsia="Times New Roman" w:hAnsi="Times New Roman"/>
          <w:sz w:val="18"/>
          <w:szCs w:val="18"/>
          <w:color w:val="auto"/>
        </w:rPr>
      </w:pPr>
    </w:p>
    <w:p>
      <w:pPr>
        <w:ind w:firstLine="419"/>
        <w:spacing w:after="0" w:line="253" w:lineRule="auto"/>
        <w:tabs>
          <w:tab w:leader="none" w:pos="6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consummation of (A) any recapitalization, reclassification or change of the Common Stock (other than a change to par value, or from par value to no par value, or changes resulting from a subdivision or combination) as a result of which the Common Stock would be converted into, or exchanged for, stock, other securities, other property or assets; (B) any share exchange, consolidation or merger of the Company pursuant to which the Common Stock will be converted into cash, securities or other property or assets; or (C) any sale, lease or other transfer in one transaction or a series of transactions of all or substantially all of the consolidated assets of the Company and its Subsidiaries, taken as a whole, to any Person other than one or more of the Company’s direct or indirect Wholly Owned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transaction described in clause (A) or clause (B) in which the holders of all classes of the Company’s Common Equity immediately prior to such transaction own, directly or indirectly, more than 50% of all classes of Common Equity of the continuing or surviving corporation or transferee or the parent thereof immediately after such transaction in substantially the same proportions (relative to each other) as such ownership immediately prior to such transaction shall not be a Fundamental Change pursuant to this clause (b);</w:t>
      </w:r>
    </w:p>
    <w:p>
      <w:pPr>
        <w:spacing w:after="0" w:line="86" w:lineRule="exact"/>
        <w:rPr>
          <w:rFonts w:ascii="Times New Roman" w:cs="Times New Roman" w:eastAsia="Times New Roman" w:hAnsi="Times New Roman"/>
          <w:sz w:val="18"/>
          <w:szCs w:val="18"/>
          <w:color w:val="auto"/>
        </w:rPr>
      </w:pPr>
    </w:p>
    <w:p>
      <w:pPr>
        <w:ind w:left="660" w:hanging="241"/>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Company approve any plan or proposal for the liquidation or dissolution of the Company; or</w:t>
      </w:r>
    </w:p>
    <w:p>
      <w:pPr>
        <w:spacing w:after="0" w:line="117" w:lineRule="exact"/>
        <w:rPr>
          <w:rFonts w:ascii="Times New Roman" w:cs="Times New Roman" w:eastAsia="Times New Roman" w:hAnsi="Times New Roman"/>
          <w:sz w:val="18"/>
          <w:szCs w:val="18"/>
          <w:color w:val="auto"/>
        </w:rPr>
      </w:pPr>
    </w:p>
    <w:p>
      <w:pPr>
        <w:ind w:right="740" w:firstLine="419"/>
        <w:spacing w:after="0" w:line="282" w:lineRule="auto"/>
        <w:tabs>
          <w:tab w:leader="none" w:pos="6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(or other common stock underlying the Notes) ceases to be listed or quoted on any of The New York Stock Exchange, the Nasdaq Global Select Market or the Nasdaq Global Market (or any of their respective successors);</w:t>
      </w:r>
    </w:p>
    <w:p>
      <w:pPr>
        <w:spacing w:after="0" w:line="9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40"/>
          </w:cols>
          <w:pgMar w:left="880" w:top="266" w:right="479" w:bottom="1440" w:gutter="0" w:footer="0" w:header="0"/>
        </w:sectPr>
      </w:pPr>
    </w:p>
    <w:bookmarkStart w:id="17" w:name="page18"/>
    <w:bookmarkEnd w:id="17"/>
    <w:p>
      <w:pPr>
        <w:ind w:left="4" w:right="40"/>
        <w:spacing w:after="0" w:line="267" w:lineRule="auto"/>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a transaction or transactions described in clause (b) above shall not constitute a Fundamental Change, if at least 90%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consideration received or to be received by the common stockholders of the Company, excluding cash payments for fractional shares and cash payments made in respect of dissenters’ appraisal rights, in connection with such transaction or transactions consists of shares of common stock that are listed or quoted on any of The New York Stock Exchange, the Nasdaq Global Select Market or the Nasdaq Global Market (or any of their respective successors) or will be so listed or quoted when issued or exchanged in connection with such transaction or transactions and as a result of such transaction or transactions the Notes become convertible into such consideration, excluding cash payments for fractional shares and cash payments made in respect of dissenters’ appraisal rights (subject to the provisions of Section 14.02(a)). If any transaction in which the Common Stock is replaced by the common stock or other Common Equity of another entity occurs, following completion of any related Make-Whole Fundamental Change Period (or, in the case of a transaction that would have been a Fundamental Change or a Make-Whole Fundamental Change but for the proviso immediately following clause</w:t>
      </w:r>
    </w:p>
    <w:p>
      <w:pPr>
        <w:spacing w:after="0" w:line="7" w:lineRule="exact"/>
        <w:rPr>
          <w:sz w:val="20"/>
          <w:szCs w:val="20"/>
          <w:color w:val="auto"/>
        </w:rPr>
      </w:pPr>
    </w:p>
    <w:p>
      <w:pPr>
        <w:ind w:left="4" w:right="260" w:hanging="4"/>
        <w:spacing w:after="0" w:line="260" w:lineRule="auto"/>
        <w:tabs>
          <w:tab w:leader="none" w:pos="25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definition, following the effective date of such transaction), references to the Company in this definition shall instead be references to such other entity.</w:t>
      </w:r>
    </w:p>
    <w:p>
      <w:pPr>
        <w:spacing w:after="0" w:line="17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Company Notice</w:t>
      </w:r>
      <w:r>
        <w:rPr>
          <w:rFonts w:ascii="Times New Roman" w:cs="Times New Roman" w:eastAsia="Times New Roman" w:hAnsi="Times New Roman"/>
          <w:sz w:val="18"/>
          <w:szCs w:val="18"/>
          <w:color w:val="auto"/>
        </w:rPr>
        <w:t>” shall have the meaning specified in Section 15.02(c).</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Date</w:t>
      </w:r>
      <w:r>
        <w:rPr>
          <w:rFonts w:ascii="Times New Roman" w:cs="Times New Roman" w:eastAsia="Times New Roman" w:hAnsi="Times New Roman"/>
          <w:sz w:val="18"/>
          <w:szCs w:val="18"/>
          <w:color w:val="auto"/>
        </w:rPr>
        <w:t>” shall have the meaning specified in Section 15.02(a).</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Notice</w:t>
      </w:r>
      <w:r>
        <w:rPr>
          <w:rFonts w:ascii="Times New Roman" w:cs="Times New Roman" w:eastAsia="Times New Roman" w:hAnsi="Times New Roman"/>
          <w:sz w:val="18"/>
          <w:szCs w:val="18"/>
          <w:color w:val="auto"/>
        </w:rPr>
        <w:t>” shall have the meaning specified in Section 15.02(b)(i).</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Price</w:t>
      </w:r>
      <w:r>
        <w:rPr>
          <w:rFonts w:ascii="Times New Roman" w:cs="Times New Roman" w:eastAsia="Times New Roman" w:hAnsi="Times New Roman"/>
          <w:sz w:val="18"/>
          <w:szCs w:val="18"/>
          <w:color w:val="auto"/>
        </w:rPr>
        <w:t>” shall have the meaning specified in Section 15.02(a).</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terms “</w:t>
      </w:r>
      <w:r>
        <w:rPr>
          <w:rFonts w:ascii="Times New Roman" w:cs="Times New Roman" w:eastAsia="Times New Roman" w:hAnsi="Times New Roman"/>
          <w:sz w:val="18"/>
          <w:szCs w:val="18"/>
          <w:b w:val="1"/>
          <w:bCs w:val="1"/>
          <w:color w:val="auto"/>
        </w:rPr>
        <w:t>given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mailed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notify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sent</w:t>
      </w:r>
      <w:r>
        <w:rPr>
          <w:rFonts w:ascii="Times New Roman" w:cs="Times New Roman" w:eastAsia="Times New Roman" w:hAnsi="Times New Roman"/>
          <w:sz w:val="18"/>
          <w:szCs w:val="18"/>
          <w:color w:val="auto"/>
        </w:rPr>
        <w:t>” with respect to any notice to be given to a Holder pursuant to this Indenture, shall mean notice</w:t>
      </w:r>
    </w:p>
    <w:p>
      <w:pPr>
        <w:spacing w:after="0" w:line="31" w:lineRule="exact"/>
        <w:rPr>
          <w:sz w:val="20"/>
          <w:szCs w:val="20"/>
          <w:color w:val="auto"/>
        </w:rPr>
      </w:pPr>
    </w:p>
    <w:p>
      <w:pPr>
        <w:ind w:left="4" w:right="160" w:hanging="4"/>
        <w:spacing w:after="0" w:line="253" w:lineRule="auto"/>
        <w:tabs>
          <w:tab w:leader="none" w:pos="25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to the Depositary (or its designee) pursuant to the standing instructions from the Depositary or its designee, including by electronic mail in accordance with accepted practices or applicable procedures at the Depositary (in the case of a Global Note) or (y) mailed to such Holder by first class mail, postage prepaid, at its address as it appears on the Note Register (in the case of a Physical Note), in each case, in accordance with Section 17.03. Notice so “given” shall be deemed to include any notice to be “mailed” or “delivered,” as applicable, under this Indenture.</w:t>
      </w:r>
    </w:p>
    <w:p>
      <w:pPr>
        <w:spacing w:after="0" w:line="18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Global Note</w:t>
      </w:r>
      <w:r>
        <w:rPr>
          <w:rFonts w:ascii="Times New Roman" w:cs="Times New Roman" w:eastAsia="Times New Roman" w:hAnsi="Times New Roman"/>
          <w:sz w:val="18"/>
          <w:szCs w:val="18"/>
          <w:color w:val="auto"/>
        </w:rPr>
        <w:t>” shall have the meaning specified in Section 2.05(b).</w:t>
      </w:r>
    </w:p>
    <w:p>
      <w:pPr>
        <w:spacing w:after="0" w:line="225" w:lineRule="exact"/>
        <w:rPr>
          <w:sz w:val="20"/>
          <w:szCs w:val="20"/>
          <w:color w:val="auto"/>
        </w:rPr>
      </w:pPr>
    </w:p>
    <w:p>
      <w:pPr>
        <w:ind w:left="4"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as applied to any Note, or other similar terms (but excluding the term “beneficial holder”), means any Person in whose name at the time a particular Note is registered on the Note Register.</w:t>
      </w:r>
    </w:p>
    <w:p>
      <w:pPr>
        <w:spacing w:after="0" w:line="155" w:lineRule="exact"/>
        <w:rPr>
          <w:sz w:val="20"/>
          <w:szCs w:val="20"/>
          <w:color w:val="auto"/>
        </w:rPr>
      </w:pPr>
    </w:p>
    <w:p>
      <w:pPr>
        <w:jc w:val="center"/>
        <w:ind w:left="600" w:right="280"/>
        <w:spacing w:after="0" w:line="4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means this instrument as originally executed or, if amended or supplemented as herein provided, as so amended or supplemented. 8</w:t>
      </w:r>
    </w:p>
    <w:p>
      <w:pPr>
        <w:sectPr>
          <w:pgSz w:w="11900" w:h="16838" w:orient="portrait"/>
          <w:cols w:equalWidth="0" w:num="1">
            <w:col w:w="11004"/>
          </w:cols>
          <w:pgMar w:left="436" w:top="268" w:right="459" w:bottom="1440" w:gutter="0" w:footer="0" w:header="0"/>
        </w:sectPr>
      </w:pPr>
    </w:p>
    <w:bookmarkStart w:id="18" w:name="page19"/>
    <w:bookmarkEnd w:id="1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Irrevocable Election</w:t>
      </w:r>
      <w:r>
        <w:rPr>
          <w:rFonts w:ascii="Times New Roman" w:cs="Times New Roman" w:eastAsia="Times New Roman" w:hAnsi="Times New Roman"/>
          <w:sz w:val="18"/>
          <w:szCs w:val="18"/>
          <w:color w:val="auto"/>
        </w:rPr>
        <w:t>” shall have the meaning specified in Section 14.02(a)(iii).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means each June 15 and December 15 of each year, beginning on December 15, 2026.</w:t>
      </w:r>
    </w:p>
    <w:p>
      <w:pPr>
        <w:spacing w:after="0" w:line="225" w:lineRule="exact"/>
        <w:rPr>
          <w:sz w:val="20"/>
          <w:szCs w:val="20"/>
          <w:color w:val="auto"/>
        </w:rPr>
      </w:pPr>
    </w:p>
    <w:p>
      <w:pPr>
        <w:ind w:right="14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last date of original issuance</w:t>
      </w:r>
      <w:r>
        <w:rPr>
          <w:rFonts w:ascii="Times New Roman" w:cs="Times New Roman" w:eastAsia="Times New Roman" w:hAnsi="Times New Roman"/>
          <w:sz w:val="18"/>
          <w:szCs w:val="18"/>
          <w:color w:val="auto"/>
        </w:rPr>
        <w:t>” means (a) with respect to any Notes issued pursuant to the Subscription Agreements, and any Notes issued in exchange therefor or in substitution thereof, the date the Company first issues such Notes; and (b) with respect to any additional Notes issued pursuant to Section 2.10, and any Notes issued in exchange therefor or in substitution thereof, either (i) the later of (x) the date the Company first issues such Notes and (y) the last date any Notes are originally issued as part of the same offering pursuant to the exercise of the option granted to the initial purchaser(s) of such Notes to purchase additional Notes; or (ii) such other date as is specified in an Officer’s Certificate delivered to the Trustee before the original issuance of such Notes.</w:t>
      </w:r>
    </w:p>
    <w:p>
      <w:pPr>
        <w:spacing w:after="0" w:line="18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of the Common Stock (or any other security for which a closing sale price must be determined) on any date means the closing sale price per share (or if no closing sale price is reported, the average of the bid and ask prices or, if more than one in either case, the average of the average bid and the average ask prices) on that date as reported in composite transactions for the principal U.S. national or regional securities exchange on which the Common Stock (or such other security) is traded. If the Common Stock (or such other security) is not listed for trading on a U.S. national or regional securities exchange on the relevant date, the “</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shall be the last quoted bid price for the Common Stock (or such other security) in the over-the-counter market on the relevant date as reported by OTC Markets Group Inc. or a similar organization. If the Common Stock (or such other security) is not so quoted, the “</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shall be the average of the mid-point of the last bid and ask prices for the Common Stock (or such other security) on the relevant date from each of at least three nationally recognized independent investment banking firms selected by the Company for this purpose. The “</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shall be determined without regard to after-hours trading or any other trading outside of regular trading session hours.</w:t>
      </w:r>
    </w:p>
    <w:p>
      <w:pPr>
        <w:spacing w:after="0" w:line="185" w:lineRule="exact"/>
        <w:rPr>
          <w:sz w:val="20"/>
          <w:szCs w:val="20"/>
          <w:color w:val="auto"/>
        </w:rPr>
      </w:pPr>
    </w:p>
    <w:p>
      <w:pPr>
        <w:ind w:right="12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Make-Whole Fundamental Change</w:t>
      </w:r>
      <w:r>
        <w:rPr>
          <w:rFonts w:ascii="Times New Roman" w:cs="Times New Roman" w:eastAsia="Times New Roman" w:hAnsi="Times New Roman"/>
          <w:sz w:val="17"/>
          <w:szCs w:val="17"/>
          <w:color w:val="auto"/>
        </w:rPr>
        <w:t xml:space="preserve">” means any transaction or event that constitutes a Fundamental Change (as defined above and determined after giving effect to any exceptions to or exclusions from such definition, but without regard to the </w:t>
      </w:r>
      <w:r>
        <w:rPr>
          <w:rFonts w:ascii="Times New Roman" w:cs="Times New Roman" w:eastAsia="Times New Roman" w:hAnsi="Times New Roman"/>
          <w:sz w:val="17"/>
          <w:szCs w:val="17"/>
          <w:i w:val="1"/>
          <w:iCs w:val="1"/>
          <w:color w:val="auto"/>
        </w:rPr>
        <w:t>proviso</w:t>
      </w:r>
      <w:r>
        <w:rPr>
          <w:rFonts w:ascii="Times New Roman" w:cs="Times New Roman" w:eastAsia="Times New Roman" w:hAnsi="Times New Roman"/>
          <w:sz w:val="17"/>
          <w:szCs w:val="17"/>
          <w:color w:val="auto"/>
        </w:rPr>
        <w:t xml:space="preserve"> in clause (b) of the definition thereof).</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Make-Whole Fundamental Change Period</w:t>
      </w:r>
      <w:r>
        <w:rPr>
          <w:rFonts w:ascii="Times New Roman" w:cs="Times New Roman" w:eastAsia="Times New Roman" w:hAnsi="Times New Roman"/>
          <w:sz w:val="18"/>
          <w:szCs w:val="18"/>
          <w:color w:val="auto"/>
        </w:rPr>
        <w:t>” shall have the meaning specified in Section 14.03(a).</w:t>
      </w:r>
    </w:p>
    <w:p>
      <w:pPr>
        <w:spacing w:after="0" w:line="225"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 Disruption Event</w:t>
      </w:r>
      <w:r>
        <w:rPr>
          <w:rFonts w:ascii="Times New Roman" w:cs="Times New Roman" w:eastAsia="Times New Roman" w:hAnsi="Times New Roman"/>
          <w:sz w:val="18"/>
          <w:szCs w:val="18"/>
          <w:color w:val="auto"/>
        </w:rPr>
        <w:t>” means, for the purposes of determining amounts due upon conversion (a) a failure by the primary U.S. national or regional securities exchange or market on which the Common Stock is listed or admitted for trading to open for trading during its regular trading session or (b) the occurrence or existence prior to 1:00 p.m., New York City time, on any Scheduled Trading Day for the Common Stock for more than one half-hour period in the aggregate during regular trading hours of any suspension or limitation imposed on trading (by reason of movements in price exceeding limits permitted by the relevant stock exchange or otherwise) in the Common Stock or in any options contracts or futures contracts relating to the Common Stock.</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6" w:right="459" w:bottom="1440" w:gutter="0" w:footer="0" w:header="0"/>
        </w:sectPr>
      </w:pPr>
    </w:p>
    <w:bookmarkStart w:id="19" w:name="page20"/>
    <w:bookmarkEnd w:id="1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means June 15, 2031.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Percentage</w:t>
      </w:r>
      <w:r>
        <w:rPr>
          <w:rFonts w:ascii="Times New Roman" w:cs="Times New Roman" w:eastAsia="Times New Roman" w:hAnsi="Times New Roman"/>
          <w:sz w:val="18"/>
          <w:szCs w:val="18"/>
          <w:color w:val="auto"/>
        </w:rPr>
        <w:t>” shall have the meaning specified in Section 14.13.</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Measurement Period</w:t>
      </w:r>
      <w:r>
        <w:rPr>
          <w:rFonts w:ascii="Times New Roman" w:cs="Times New Roman" w:eastAsia="Times New Roman" w:hAnsi="Times New Roman"/>
          <w:sz w:val="18"/>
          <w:szCs w:val="18"/>
          <w:color w:val="auto"/>
        </w:rPr>
        <w:t>” shall have the meaning specified in Section 14.01(b)(i).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shall have the meaning specified in the first paragraph of the recitals of this Indenture.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 Register</w:t>
      </w:r>
      <w:r>
        <w:rPr>
          <w:rFonts w:ascii="Times New Roman" w:cs="Times New Roman" w:eastAsia="Times New Roman" w:hAnsi="Times New Roman"/>
          <w:sz w:val="18"/>
          <w:szCs w:val="18"/>
          <w:color w:val="auto"/>
        </w:rPr>
        <w:t>” shall have the meaning specified in Section 2.05(a).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 Registrar</w:t>
      </w:r>
      <w:r>
        <w:rPr>
          <w:rFonts w:ascii="Times New Roman" w:cs="Times New Roman" w:eastAsia="Times New Roman" w:hAnsi="Times New Roman"/>
          <w:sz w:val="18"/>
          <w:szCs w:val="18"/>
          <w:color w:val="auto"/>
        </w:rPr>
        <w:t>” shall have the meaning specified in Section 2.05(a).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Conversion</w:t>
      </w:r>
      <w:r>
        <w:rPr>
          <w:rFonts w:ascii="Times New Roman" w:cs="Times New Roman" w:eastAsia="Times New Roman" w:hAnsi="Times New Roman"/>
          <w:sz w:val="18"/>
          <w:szCs w:val="18"/>
          <w:color w:val="auto"/>
        </w:rPr>
        <w:t>” shall have the meaning specified in Section 14.02(b).</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Redemption</w:t>
      </w:r>
      <w:r>
        <w:rPr>
          <w:rFonts w:ascii="Times New Roman" w:cs="Times New Roman" w:eastAsia="Times New Roman" w:hAnsi="Times New Roman"/>
          <w:sz w:val="18"/>
          <w:szCs w:val="18"/>
          <w:color w:val="auto"/>
        </w:rPr>
        <w:t>” shall have the meaning specified in Section 16.02(a).</w:t>
      </w:r>
    </w:p>
    <w:p>
      <w:pPr>
        <w:spacing w:after="0" w:line="225"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Observation Period</w:t>
      </w:r>
      <w:r>
        <w:rPr>
          <w:rFonts w:ascii="Times New Roman" w:cs="Times New Roman" w:eastAsia="Times New Roman" w:hAnsi="Times New Roman"/>
          <w:sz w:val="18"/>
          <w:szCs w:val="18"/>
          <w:color w:val="auto"/>
        </w:rPr>
        <w:t>” with respect to any Note surrendered for conversion means: (i) subject to clause (ii), if the relevant Conversion Date occurs prior to March 15, 2031, the 25 consecutive Trading Day period beginning on, and including, the second Trading Day immediately succeeding such Conversion Date; (ii) with respect to any Called Notes, if the relevant Conversion Date occurs during the related Redemption Period, the 25 consecutive Trading Days beginning on, and including, the 26th Scheduled Trading Day immediately preceding such Redemption Date; and (iii) subject to clause (ii), if the relevant Conversion Date occurs on or after March 15, 2031, the 25 consecutive Trading Days beginning on, and including, the 26th Scheduled Trading Day immediately preceding the Maturity Date.</w:t>
      </w:r>
    </w:p>
    <w:p>
      <w:pPr>
        <w:spacing w:after="0" w:line="182" w:lineRule="exact"/>
        <w:rPr>
          <w:sz w:val="20"/>
          <w:szCs w:val="20"/>
          <w:color w:val="auto"/>
        </w:rPr>
      </w:pPr>
    </w:p>
    <w:p>
      <w:pPr>
        <w:ind w:right="2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with respect to the Company, the Chief Executive Officer, the President, the Chief Financial Officer, the Chief Operating Officer, the Chief Legal Officer, the General Counsel, the Treasurer, the Secretary, Assistant Secretary, any Executive or Senior Vice President or any Vice President (whether or not designated by a number or numbers or word or words added before or after the title “Vice President”).</w:t>
      </w:r>
    </w:p>
    <w:p>
      <w:pPr>
        <w:spacing w:after="0" w:line="171"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 when used with respect to the Company, means a certificate that is delivered to the Trustee and that is signed by any Officer of the Company. Each such certificate shall include the statements provided for in Section 17.05 if and to the extent required by the provisions of such Section. The Officer giving an Officer’s Certificate pursuant to Section 4.08 shall be the principal executive, financial or accounting officer of the Company.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open of business</w:t>
      </w:r>
      <w:r>
        <w:rPr>
          <w:rFonts w:ascii="Times New Roman" w:cs="Times New Roman" w:eastAsia="Times New Roman" w:hAnsi="Times New Roman"/>
          <w:sz w:val="18"/>
          <w:szCs w:val="18"/>
          <w:color w:val="auto"/>
        </w:rPr>
        <w:t>” means 9:00 a.m. (New York City time).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6" w:right="459" w:bottom="1440" w:gutter="0" w:footer="0" w:header="0"/>
        </w:sectPr>
      </w:pPr>
    </w:p>
    <w:bookmarkStart w:id="20" w:name="page21"/>
    <w:bookmarkEnd w:id="20"/>
    <w:p>
      <w:pPr>
        <w:ind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Opinion of Counsel</w:t>
      </w:r>
      <w:r>
        <w:rPr>
          <w:rFonts w:ascii="Times New Roman" w:cs="Times New Roman" w:eastAsia="Times New Roman" w:hAnsi="Times New Roman"/>
          <w:sz w:val="18"/>
          <w:szCs w:val="18"/>
          <w:color w:val="auto"/>
        </w:rPr>
        <w:t>” means an opinion in writing signed by legal counsel, who may be an employee of or counsel to the Company, or other counsel who is reasonably acceptable to the Trustee, which opinion may contain customary exceptions and qualifications as to the matters set forth therein, that is delivered to the Trustee. Each such opinion shall include the statements provided for in Section 17.05 if and to the extent required by the provisions of such Section 17.05.</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Optional Redemption</w:t>
      </w:r>
      <w:r>
        <w:rPr>
          <w:rFonts w:ascii="Times New Roman" w:cs="Times New Roman" w:eastAsia="Times New Roman" w:hAnsi="Times New Roman"/>
          <w:sz w:val="18"/>
          <w:szCs w:val="18"/>
          <w:color w:val="auto"/>
        </w:rPr>
        <w:t>” shall have the meaning specified in Section 16.01.</w:t>
      </w:r>
    </w:p>
    <w:p>
      <w:pPr>
        <w:spacing w:after="0" w:line="225" w:lineRule="exact"/>
        <w:rPr>
          <w:sz w:val="20"/>
          <w:szCs w:val="20"/>
          <w:color w:val="auto"/>
        </w:rPr>
      </w:pPr>
    </w:p>
    <w:p>
      <w:pPr>
        <w:ind w:right="3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outstanding</w:t>
      </w:r>
      <w:r>
        <w:rPr>
          <w:rFonts w:ascii="Times New Roman" w:cs="Times New Roman" w:eastAsia="Times New Roman" w:hAnsi="Times New Roman"/>
          <w:sz w:val="18"/>
          <w:szCs w:val="18"/>
          <w:color w:val="auto"/>
        </w:rPr>
        <w:t>,” when used with reference to Notes, shall, subject to the provisions of Section 8.04, mean, as of any particular time, all Notes authenticated and delivered by the Trustee under this Indenture, except:</w:t>
      </w:r>
    </w:p>
    <w:p>
      <w:pPr>
        <w:spacing w:after="0" w:line="51" w:lineRule="exact"/>
        <w:rPr>
          <w:sz w:val="20"/>
          <w:szCs w:val="20"/>
          <w:color w:val="auto"/>
        </w:rPr>
      </w:pPr>
    </w:p>
    <w:p>
      <w:pPr>
        <w:ind w:left="1100" w:hanging="241"/>
        <w:spacing w:after="0"/>
        <w:tabs>
          <w:tab w:leader="none" w:pos="1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theretofore canceled by the Trustee or accepted by the Trustee for cancellation;</w:t>
      </w:r>
    </w:p>
    <w:p>
      <w:pPr>
        <w:spacing w:after="0" w:line="117"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11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or portions thereof, that have become due and payable and in respect of which monies in the necessary amount shall have been deposited in trust with the Trustee or with any Paying Agent (other than the Company) or shall have been set aside and segregated in trust by the Company (if the Company shall act as its own Paying Agent);</w:t>
      </w:r>
    </w:p>
    <w:p>
      <w:pPr>
        <w:spacing w:after="0" w:line="67"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10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that have been paid pursuant to the second paragraph of Section 2.06 or Notes in lieu of which, or in substitution for which, other Notes shall have been authenticated and delivered pursuant to the terms of Section 2.06 unless proof satisfactory to the Trustee is presented that any such Notes are held by protected purchasers in due course;</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converted pursuant to Article 14 and required to be cancelled pursuant to Section 2.08; and</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redeemed pursuant to Article 16.</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Partial Redemption Limitation</w:t>
      </w:r>
      <w:r>
        <w:rPr>
          <w:rFonts w:ascii="Times New Roman" w:cs="Times New Roman" w:eastAsia="Times New Roman" w:hAnsi="Times New Roman"/>
          <w:sz w:val="18"/>
          <w:szCs w:val="18"/>
          <w:color w:val="auto"/>
        </w:rPr>
        <w:t>” shall have the meaning specified in Section 16.02(d).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shall have the meaning specified in Section 4.02.</w:t>
      </w:r>
    </w:p>
    <w:p>
      <w:pPr>
        <w:spacing w:after="0" w:line="225"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corporation, a limited liability company, an association, a partnership, a joint venture, a joint stock company, a trust, an unincorporated organization or a government or an agency or a political subdivision thereof.</w:t>
      </w:r>
    </w:p>
    <w:p>
      <w:pPr>
        <w:spacing w:after="0" w:line="155" w:lineRule="exact"/>
        <w:rPr>
          <w:sz w:val="20"/>
          <w:szCs w:val="20"/>
          <w:color w:val="auto"/>
        </w:rPr>
      </w:pPr>
    </w:p>
    <w:p>
      <w:pPr>
        <w:ind w:right="5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Physical Notes</w:t>
      </w:r>
      <w:r>
        <w:rPr>
          <w:rFonts w:ascii="Times New Roman" w:cs="Times New Roman" w:eastAsia="Times New Roman" w:hAnsi="Times New Roman"/>
          <w:sz w:val="18"/>
          <w:szCs w:val="18"/>
          <w:color w:val="auto"/>
        </w:rPr>
        <w:t>” means permanent certificated Notes in registered form issued in denominations of $1,000 principal amount and integral multiples thereof.</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Physical Settlement</w:t>
      </w:r>
      <w:r>
        <w:rPr>
          <w:rFonts w:ascii="Times New Roman" w:cs="Times New Roman" w:eastAsia="Times New Roman" w:hAnsi="Times New Roman"/>
          <w:sz w:val="18"/>
          <w:szCs w:val="18"/>
          <w:color w:val="auto"/>
        </w:rPr>
        <w:t>” shall have the meaning specified in Section 14.02(a).</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00"/>
          </w:cols>
          <w:pgMar w:left="440" w:top="266" w:right="559" w:bottom="1440" w:gutter="0" w:footer="0" w:header="0"/>
        </w:sectPr>
      </w:pPr>
    </w:p>
    <w:bookmarkStart w:id="21" w:name="page22"/>
    <w:bookmarkEnd w:id="21"/>
    <w:p>
      <w:pPr>
        <w:ind w:left="4" w:right="340" w:firstLine="440"/>
        <w:spacing w:after="0" w:line="29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Predecessor Note</w:t>
      </w:r>
      <w:r>
        <w:rPr>
          <w:rFonts w:ascii="Times New Roman" w:cs="Times New Roman" w:eastAsia="Times New Roman" w:hAnsi="Times New Roman"/>
          <w:sz w:val="17"/>
          <w:szCs w:val="17"/>
          <w:color w:val="auto"/>
        </w:rPr>
        <w:t>” of any particular Note means every previous Note evidencing all or a portion of the same debt as that evidenced by such particular Note; and, for the purposes of this definition, any Note authenticated and delivered under Section 2.06 in lieu of or in exchange for a mutilated, lost, destroyed or stolen Note shall be deemed to evidence the same debt as the mutilated, lost, destroyed or stolen Note that it replaces.</w:t>
      </w:r>
    </w:p>
    <w:p>
      <w:pPr>
        <w:spacing w:after="0" w:line="153"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Qualified Successor Entity</w:t>
      </w:r>
      <w:r>
        <w:rPr>
          <w:rFonts w:ascii="Times New Roman" w:cs="Times New Roman" w:eastAsia="Times New Roman" w:hAnsi="Times New Roman"/>
          <w:sz w:val="17"/>
          <w:szCs w:val="17"/>
          <w:color w:val="auto"/>
        </w:rPr>
        <w:t>” means, with respect to a Business Combination Event, a corporation; provided, however, that (i) if such Business Combination Event is an Exempted Fundamental Change, then a limited liability company, limited partnership or other similar entity shall also constitute a Qualified Successor Entity with respect to such Business Combination Event; and (ii) a limited liability company or limited partnership that is the resulting, surviving or transferee person of such Business Combination Event shall also constitute a Qualified Successor Entity with respect to such Business Combination Event, if each of the following clauses (1), (2), (3) and (4) is satisfied: (1) either (x) such limited liability company or limited partnership is treated as a corporation or an entity disregarded as separate from a corporation, in each case, for U.S. federal income tax purposes, or (y) the Company has received an opinion of a nationally recognized tax counsel to the effect that such Business Combination Event shall not be treated as an exchange under Section 1001 of the U.S. Internal Revenue Code of 1986, as amended, for Holders or beneficial owners of the Notes;</w:t>
      </w:r>
    </w:p>
    <w:p>
      <w:pPr>
        <w:spacing w:after="0" w:line="4" w:lineRule="exact"/>
        <w:rPr>
          <w:sz w:val="20"/>
          <w:szCs w:val="20"/>
          <w:color w:val="auto"/>
        </w:rPr>
      </w:pPr>
    </w:p>
    <w:p>
      <w:pPr>
        <w:ind w:left="4" w:right="60" w:hanging="4"/>
        <w:spacing w:after="0" w:line="252" w:lineRule="auto"/>
        <w:tabs>
          <w:tab w:leader="none" w:pos="25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limited liability company or limited partnership is a direct or indirect Wholly Owned Subsidiary of a corporation (or other entity treated as a corporation for U.S. federal income tax purposes) duly organized and existing under the laws of the United States of America, any state thereof or the District of Columbia; (3) such Business Combination Event constitutes a Share Exchange Event whose Reference Property consists solely of any combination of U.S. dollars and shares of common stock or other corporate Common Equity interests of a corporation (or other entity treated as a corporation for U.S. federal income tax purposes) described in clause (2); and (4) if such limited liability company or limited partnership is disregarded as separate from its owner for U.S. federal income tax purposes, its regarded owner for those purposes is a corporation (or other entity treated as a corporation for U.S. federal income tax purposes) described in clause (2).</w:t>
      </w:r>
    </w:p>
    <w:p>
      <w:pPr>
        <w:spacing w:after="0" w:line="184" w:lineRule="exact"/>
        <w:rPr>
          <w:sz w:val="20"/>
          <w:szCs w:val="20"/>
          <w:color w:val="auto"/>
        </w:rPr>
      </w:pPr>
    </w:p>
    <w:p>
      <w:pPr>
        <w:ind w:left="4" w:right="6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means, with respect to any dividend, distribution or other transaction or event in which the holders of Common Stock (or other applicable security) have the right to receive any cash, securities or other property or in which the Common Stock (or such other security) is exchanged for or converted into any combination of cash, securities or other property, the date fixed for determination of holders of the Common Stock (or such other security) entitled to receive such cash, securities or other property (whether such date is fixed by the Board of Directors, by statute, by contract or otherwise).</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shall have the meaning specified in Section 16.02(a).</w:t>
      </w:r>
    </w:p>
    <w:p>
      <w:pPr>
        <w:spacing w:after="0" w:line="225" w:lineRule="exact"/>
        <w:rPr>
          <w:sz w:val="20"/>
          <w:szCs w:val="20"/>
          <w:color w:val="auto"/>
        </w:rPr>
      </w:pPr>
    </w:p>
    <w:p>
      <w:pPr>
        <w:ind w:left="4"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Period</w:t>
      </w:r>
      <w:r>
        <w:rPr>
          <w:rFonts w:ascii="Times New Roman" w:cs="Times New Roman" w:eastAsia="Times New Roman" w:hAnsi="Times New Roman"/>
          <w:sz w:val="18"/>
          <w:szCs w:val="18"/>
          <w:color w:val="auto"/>
        </w:rPr>
        <w:t>” means, with respect to any Optional Redemption, the period from, and including, the date on which the Company delivers a Notice of Redemption for such Optional Redemption until the close of business on the second Scheduled Trading Day immediately preceding the related Redemption Date (or, if the Company defaults in the payment of the Redemption Price, until the close of business on the Scheduled Trading Day immediately preceding the date on which the Redemption Price has been paid or duly provided for).</w:t>
      </w:r>
    </w:p>
    <w:p>
      <w:pPr>
        <w:spacing w:after="0" w:line="113"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4"/>
          </w:cols>
          <w:pgMar w:left="436" w:top="266" w:right="499" w:bottom="1440" w:gutter="0" w:footer="0" w:header="0"/>
        </w:sectPr>
      </w:pPr>
    </w:p>
    <w:bookmarkStart w:id="22" w:name="page23"/>
    <w:bookmarkEnd w:id="22"/>
    <w:p>
      <w:pPr>
        <w:ind w:right="100"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xml:space="preserve">” means, for any Notes to be redeemed pursuant to Article 16, 100% of the principal amount of such Notes,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if any, to, but excluding, the Redemption Date (unless the Redemption Date falls after a Regular Record Date but on or prior to the immediately succeeding Interest Payment Date, in which case interest accrued to the Interest Payment Date will be paid by the Company to Holders of record of such Notes as of the close of business on such Regular Record Date on, or at the Company’s election, before such Interest Payment Date, and the Redemption Price will be equal to 100% of the principal amount of such Notes).</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 shall have the meaning specified in Section 14.07(a).</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Regular Record Date</w:t>
      </w:r>
      <w:r>
        <w:rPr>
          <w:rFonts w:ascii="Times New Roman" w:cs="Times New Roman" w:eastAsia="Times New Roman" w:hAnsi="Times New Roman"/>
          <w:sz w:val="18"/>
          <w:szCs w:val="18"/>
          <w:color w:val="auto"/>
        </w:rPr>
        <w:t>,” with respect to any Interest Payment Date, means the June 1 or December 1 (whether or not such day is a Business Day) immediately preceding the applicable June 15 or December 15 Interest Payment Date, respectively.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Reported Outstanding Share Number</w:t>
      </w:r>
      <w:r>
        <w:rPr>
          <w:rFonts w:ascii="Times New Roman" w:cs="Times New Roman" w:eastAsia="Times New Roman" w:hAnsi="Times New Roman"/>
          <w:sz w:val="18"/>
          <w:szCs w:val="18"/>
          <w:color w:val="auto"/>
        </w:rPr>
        <w:t>” shall have the meaning specified in Section 14.13.</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Reporting Event of Default</w:t>
      </w:r>
      <w:r>
        <w:rPr>
          <w:rFonts w:ascii="Times New Roman" w:cs="Times New Roman" w:eastAsia="Times New Roman" w:hAnsi="Times New Roman"/>
          <w:sz w:val="18"/>
          <w:szCs w:val="18"/>
          <w:color w:val="auto"/>
        </w:rPr>
        <w:t>” shall have the meaning specified in Section 6.03.</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Resale Restriction Termination Date</w:t>
      </w:r>
      <w:r>
        <w:rPr>
          <w:rFonts w:ascii="Times New Roman" w:cs="Times New Roman" w:eastAsia="Times New Roman" w:hAnsi="Times New Roman"/>
          <w:sz w:val="18"/>
          <w:szCs w:val="18"/>
          <w:color w:val="auto"/>
        </w:rPr>
        <w:t>” shall have the meaning specified in Section 2.05(c).</w:t>
      </w:r>
    </w:p>
    <w:p>
      <w:pPr>
        <w:spacing w:after="0" w:line="225"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means, when used with respect to the Trustee,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relating to this Indenture is referred because of such person’s knowledge of and familiarity with the particular subject and who, in each case, shall have direct responsibility for the administration of this Indenture.</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Securities</w:t>
      </w:r>
      <w:r>
        <w:rPr>
          <w:rFonts w:ascii="Times New Roman" w:cs="Times New Roman" w:eastAsia="Times New Roman" w:hAnsi="Times New Roman"/>
          <w:sz w:val="18"/>
          <w:szCs w:val="18"/>
          <w:color w:val="auto"/>
        </w:rPr>
        <w:t>” shall have the meaning specified in Section 2.05(c).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Restrictive Notes Legend</w:t>
      </w:r>
      <w:r>
        <w:rPr>
          <w:rFonts w:ascii="Times New Roman" w:cs="Times New Roman" w:eastAsia="Times New Roman" w:hAnsi="Times New Roman"/>
          <w:sz w:val="18"/>
          <w:szCs w:val="18"/>
          <w:color w:val="auto"/>
        </w:rPr>
        <w:t>” shall have the meaning specified in Section 2.05(c).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means Rule 144 as promulgated under the Securities Act.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144A</w:t>
      </w:r>
      <w:r>
        <w:rPr>
          <w:rFonts w:ascii="Times New Roman" w:cs="Times New Roman" w:eastAsia="Times New Roman" w:hAnsi="Times New Roman"/>
          <w:sz w:val="18"/>
          <w:szCs w:val="18"/>
          <w:color w:val="auto"/>
        </w:rPr>
        <w:t>” means Rule 144A as promulgated under the Securities Act.</w:t>
      </w:r>
    </w:p>
    <w:p>
      <w:pPr>
        <w:spacing w:after="0" w:line="22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Scheduled Trading Day</w:t>
      </w:r>
      <w:r>
        <w:rPr>
          <w:rFonts w:ascii="Times New Roman" w:cs="Times New Roman" w:eastAsia="Times New Roman" w:hAnsi="Times New Roman"/>
          <w:sz w:val="18"/>
          <w:szCs w:val="18"/>
          <w:color w:val="auto"/>
        </w:rPr>
        <w:t>” means a day that is scheduled to be a Trading Day on the principal U.S. national or regional securities exchange or market on which the Common Stock is listed or admitted for trading. If the Common Stock is not so listed or admitted for trading, “</w:t>
      </w:r>
      <w:r>
        <w:rPr>
          <w:rFonts w:ascii="Times New Roman" w:cs="Times New Roman" w:eastAsia="Times New Roman" w:hAnsi="Times New Roman"/>
          <w:sz w:val="18"/>
          <w:szCs w:val="18"/>
          <w:b w:val="1"/>
          <w:bCs w:val="1"/>
          <w:color w:val="auto"/>
        </w:rPr>
        <w:t>Scheduled Trading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Day</w:t>
      </w:r>
      <w:r>
        <w:rPr>
          <w:rFonts w:ascii="Times New Roman" w:cs="Times New Roman" w:eastAsia="Times New Roman" w:hAnsi="Times New Roman"/>
          <w:sz w:val="18"/>
          <w:szCs w:val="18"/>
          <w:color w:val="auto"/>
        </w:rPr>
        <w:t>” means a Business Day.</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66" w:right="479" w:bottom="1440" w:gutter="0" w:footer="0" w:header="0"/>
        </w:sectPr>
      </w:pPr>
    </w:p>
    <w:bookmarkStart w:id="23" w:name="page24"/>
    <w:bookmarkEnd w:id="23"/>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Amount</w:t>
      </w:r>
      <w:r>
        <w:rPr>
          <w:rFonts w:ascii="Times New Roman" w:cs="Times New Roman" w:eastAsia="Times New Roman" w:hAnsi="Times New Roman"/>
          <w:sz w:val="18"/>
          <w:szCs w:val="18"/>
          <w:color w:val="auto"/>
        </w:rPr>
        <w:t>” has the meaning specified in Section 14.02(a)(iv).</w:t>
      </w:r>
    </w:p>
    <w:p>
      <w:pPr>
        <w:spacing w:after="0" w:line="225" w:lineRule="exact"/>
        <w:rPr>
          <w:sz w:val="20"/>
          <w:szCs w:val="20"/>
          <w:color w:val="auto"/>
        </w:rPr>
      </w:pPr>
    </w:p>
    <w:p>
      <w:pPr>
        <w:ind w:left="4" w:right="4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Method</w:t>
      </w:r>
      <w:r>
        <w:rPr>
          <w:rFonts w:ascii="Times New Roman" w:cs="Times New Roman" w:eastAsia="Times New Roman" w:hAnsi="Times New Roman"/>
          <w:sz w:val="18"/>
          <w:szCs w:val="18"/>
          <w:color w:val="auto"/>
        </w:rPr>
        <w:t>” means, with respect to any conversion of Notes, Physical Settlement, Cash Settlement or Combination Settlement, as elected (or deemed to have been elected) by the Company.</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Notice</w:t>
      </w:r>
      <w:r>
        <w:rPr>
          <w:rFonts w:ascii="Times New Roman" w:cs="Times New Roman" w:eastAsia="Times New Roman" w:hAnsi="Times New Roman"/>
          <w:sz w:val="18"/>
          <w:szCs w:val="18"/>
          <w:color w:val="auto"/>
        </w:rPr>
        <w:t>” has the meaning specified in Section 14.02(a)(iii).</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 Exchange Event</w:t>
      </w:r>
      <w:r>
        <w:rPr>
          <w:rFonts w:ascii="Times New Roman" w:cs="Times New Roman" w:eastAsia="Times New Roman" w:hAnsi="Times New Roman"/>
          <w:sz w:val="18"/>
          <w:szCs w:val="18"/>
          <w:color w:val="auto"/>
        </w:rPr>
        <w:t>” shall have the meaning specified in Section 14.07(a).</w:t>
      </w:r>
    </w:p>
    <w:p>
      <w:pPr>
        <w:spacing w:after="0" w:line="225" w:lineRule="exact"/>
        <w:rPr>
          <w:sz w:val="20"/>
          <w:szCs w:val="20"/>
          <w:color w:val="auto"/>
        </w:rPr>
      </w:pPr>
    </w:p>
    <w:p>
      <w:pPr>
        <w:ind w:left="4" w:right="16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Significant Subsidiary</w:t>
      </w:r>
      <w:r>
        <w:rPr>
          <w:rFonts w:ascii="Times New Roman" w:cs="Times New Roman" w:eastAsia="Times New Roman" w:hAnsi="Times New Roman"/>
          <w:sz w:val="17"/>
          <w:szCs w:val="17"/>
          <w:color w:val="auto"/>
        </w:rPr>
        <w:t>” means a Subsidiary of the Company that is a “significant subsidiary” as defined in Article 1, Rule 1-02(w)(1) of Regulation S-X promulgated by the Commission (or any successor rule); provided that, in the case of a Subsidiary that meets the criteria of clause (1)</w:t>
      </w:r>
    </w:p>
    <w:p>
      <w:pPr>
        <w:spacing w:after="0" w:line="1" w:lineRule="exact"/>
        <w:rPr>
          <w:sz w:val="20"/>
          <w:szCs w:val="20"/>
          <w:color w:val="auto"/>
        </w:rPr>
      </w:pPr>
    </w:p>
    <w:p>
      <w:pPr>
        <w:ind w:left="4" w:hanging="4"/>
        <w:spacing w:after="0" w:line="252" w:lineRule="auto"/>
        <w:tabs>
          <w:tab w:leader="none" w:pos="31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definition thereof but not clause (1)(i) or (1)(ii) thereof, in each case as such rule is in effect on the date of this Indenture, such Subsidiary shall be deemed not to be a Significant Subsidiary unless the Subsidiary’s income from continuing operations before income taxes (after intercompany eliminations), exclusive of amounts attributable to any noncontrolling interests for the last completed fiscal year prior to the date of such determination exceeds $10,000,000. For the avoidance of doubt, to the extent any such Subsidiary would not be deemed to be a “significant subsidiary” under the relevant definition set forth in Article 1, Rule 1-02(w) of Regulation S-X (or any successor rule) as in effect on the relevant date of determination, such Subsidiary shall not be deemed to be a Significant Subsidiary under this Indenture irrespective of whether such Subsidiary has greater than $10,000,000 in income from continuing operations as described in the immediately preceding sentence.</w:t>
      </w:r>
    </w:p>
    <w:p>
      <w:pPr>
        <w:spacing w:after="0" w:line="184" w:lineRule="exact"/>
        <w:rPr>
          <w:sz w:val="20"/>
          <w:szCs w:val="20"/>
          <w:color w:val="auto"/>
        </w:rPr>
      </w:pPr>
    </w:p>
    <w:p>
      <w:pPr>
        <w:ind w:left="4"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Dollar Amount</w:t>
      </w:r>
      <w:r>
        <w:rPr>
          <w:rFonts w:ascii="Times New Roman" w:cs="Times New Roman" w:eastAsia="Times New Roman" w:hAnsi="Times New Roman"/>
          <w:sz w:val="18"/>
          <w:szCs w:val="18"/>
          <w:color w:val="auto"/>
        </w:rPr>
        <w:t>” means the maximum cash amount per $1,000 principal amount of Notes to be received upon conversion as specified in the Settlement Notice (or deemed specified as provided in Section 14.02(a)(iii)) related to any converted Notes.</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 shall have the meaning specified in Section 14.04(c).</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Price</w:t>
      </w:r>
      <w:r>
        <w:rPr>
          <w:rFonts w:ascii="Times New Roman" w:cs="Times New Roman" w:eastAsia="Times New Roman" w:hAnsi="Times New Roman"/>
          <w:sz w:val="18"/>
          <w:szCs w:val="18"/>
          <w:color w:val="auto"/>
        </w:rPr>
        <w:t>” shall have the meaning specified in Section 14.03(c).</w:t>
      </w:r>
    </w:p>
    <w:p>
      <w:pPr>
        <w:spacing w:after="0" w:line="225" w:lineRule="exact"/>
        <w:rPr>
          <w:sz w:val="20"/>
          <w:szCs w:val="20"/>
          <w:color w:val="auto"/>
        </w:rPr>
      </w:pPr>
    </w:p>
    <w:p>
      <w:pPr>
        <w:ind w:left="4"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Subscription Agreements</w:t>
      </w:r>
      <w:r>
        <w:rPr>
          <w:rFonts w:ascii="Times New Roman" w:cs="Times New Roman" w:eastAsia="Times New Roman" w:hAnsi="Times New Roman"/>
          <w:sz w:val="18"/>
          <w:szCs w:val="18"/>
          <w:color w:val="auto"/>
        </w:rPr>
        <w:t>” means those certain Subscription Agreements, dated June 3, 2026, between the Company and the Investors party thereto.</w:t>
      </w:r>
    </w:p>
    <w:p>
      <w:pPr>
        <w:spacing w:after="0" w:line="155" w:lineRule="exact"/>
        <w:rPr>
          <w:sz w:val="20"/>
          <w:szCs w:val="20"/>
          <w:color w:val="auto"/>
        </w:rPr>
      </w:pPr>
    </w:p>
    <w:p>
      <w:pPr>
        <w:ind w:left="4"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spacing w:after="0" w:line="113"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44"/>
          </w:cols>
          <w:pgMar w:left="436" w:top="266" w:right="519" w:bottom="1440" w:gutter="0" w:footer="0" w:header="0"/>
        </w:sectPr>
      </w:pPr>
    </w:p>
    <w:bookmarkStart w:id="24" w:name="page25"/>
    <w:bookmarkEnd w:id="2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shall have the meaning specified in Section 11.01(a).</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xml:space="preserve">” means, except for determining amounts due upon conversion, a day on which (i) trading in the Common Stock (or other security for which a closing sale price must be determined) generally occurs on the Nasdaq Global Select Market or, if the Common Stock (or such other security) is not then listed on the Nasdaq Global Select Market on the principal other U.S. national or regional securities exchange on which the Common Stock (or such other security) is then listed or, if the Common Stock (or such other security) is not then listed on a U.S. national or regional securities exchange, on the principal other market on which the Common Stock (or such other security) is then traded and (ii) a Last Reported Sale Price for the Common Stock (or closing sale price for such other security) is available on such securities exchange or market;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Common Stock (or such other security) is not so listed or traded,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xml:space="preserve">” means a Business Day;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for purposes of determining amounts due upon conversion only,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day on which (x) there is no Market Disruption Event and (y) trading in the Common Stock generally occurs on the Nasdaq Global Select Market or, if the Common Stock is not then listed on the Nasdaq Global Select Market, on the principal other U.S. national or regional securities exchange on which the Common Stock is then listed or, if the Common Stock is not then listed on a U.S. national or regional securities exchange, on the principal other market on which the Common Stock is then listed or admitted for trading, except that if the Common Stock is not so listed or admitted for trading,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Business Day.</w:t>
      </w:r>
    </w:p>
    <w:p>
      <w:pPr>
        <w:spacing w:after="0" w:line="190"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Price</w:t>
      </w:r>
      <w:r>
        <w:rPr>
          <w:rFonts w:ascii="Times New Roman" w:cs="Times New Roman" w:eastAsia="Times New Roman" w:hAnsi="Times New Roman"/>
          <w:sz w:val="18"/>
          <w:szCs w:val="18"/>
          <w:color w:val="auto"/>
        </w:rPr>
        <w:t xml:space="preserve">” of the Notes on any date of determination means the average of the secondary market bid quotations obtained by the Bid Solicitation Agent for $5,000,000 (or such lesser amount as may then be outstanding) principal amount of Notes at approximately 3:30 p.m., New York City time, on such determination date from three independent nationally recognized securities dealers the Company selects for this purpose;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three such bids cannot reasonably be obtained by the Bid Solicitation Agent but two such bids are obtained, then the average of the two bids shall be used, and if only one such bid can reasonably be obtained by the Bid Solicitation Agent, that one bid shall be used. If, on any determination date, the Bid Solicitation Agent cannot reasonably obtain at least one bid for $5,000,000 (or such lesser amount as may then be outstanding) principal amount of Notes from a nationally recognized securities dealer, then the Trading Price per $1,000 principal amount of Notes on such determination date shall be deemed to be less than 98% of the product of the Last Reported Sale Price of the Common Stock and the Conversion Rate.</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shall have the meaning specified in Section 2.05(c).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Trigger Event</w:t>
      </w:r>
      <w:r>
        <w:rPr>
          <w:rFonts w:ascii="Times New Roman" w:cs="Times New Roman" w:eastAsia="Times New Roman" w:hAnsi="Times New Roman"/>
          <w:sz w:val="18"/>
          <w:szCs w:val="18"/>
          <w:color w:val="auto"/>
        </w:rPr>
        <w:t>” shall have the meaning specified in Section 14.04(c).</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66" w:right="459" w:bottom="1440" w:gutter="0" w:footer="0" w:header="0"/>
        </w:sectPr>
      </w:pPr>
    </w:p>
    <w:bookmarkStart w:id="25" w:name="page26"/>
    <w:bookmarkEnd w:id="25"/>
    <w:p>
      <w:pPr>
        <w:ind w:right="8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Trust Indenture Act</w:t>
      </w:r>
      <w:r>
        <w:rPr>
          <w:rFonts w:ascii="Times New Roman" w:cs="Times New Roman" w:eastAsia="Times New Roman" w:hAnsi="Times New Roman"/>
          <w:sz w:val="18"/>
          <w:szCs w:val="18"/>
          <w:color w:val="auto"/>
        </w:rPr>
        <w:t xml:space="preserve">” means the Trust Indenture Act of 1939, as amended, as it was in force at the date of execution of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event the Trust Indenture Act of 1939 is amended after the date hereof, the term “Trust Indenture Act” shall mean, to the extent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by such amendment, the Trust Indenture Act of 1939, as so amended.</w:t>
      </w:r>
    </w:p>
    <w:p>
      <w:pPr>
        <w:spacing w:after="0" w:line="171" w:lineRule="exact"/>
        <w:rPr>
          <w:sz w:val="20"/>
          <w:szCs w:val="20"/>
          <w:color w:val="auto"/>
        </w:rPr>
      </w:pPr>
    </w:p>
    <w:p>
      <w:pPr>
        <w:ind w:right="40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Trustee</w:t>
      </w:r>
      <w:r>
        <w:rPr>
          <w:rFonts w:ascii="Times New Roman" w:cs="Times New Roman" w:eastAsia="Times New Roman" w:hAnsi="Times New Roman"/>
          <w:sz w:val="17"/>
          <w:szCs w:val="17"/>
          <w:color w:val="auto"/>
        </w:rPr>
        <w:t>” means the Person named as the “</w:t>
      </w:r>
      <w:r>
        <w:rPr>
          <w:rFonts w:ascii="Times New Roman" w:cs="Times New Roman" w:eastAsia="Times New Roman" w:hAnsi="Times New Roman"/>
          <w:sz w:val="17"/>
          <w:szCs w:val="17"/>
          <w:b w:val="1"/>
          <w:bCs w:val="1"/>
          <w:color w:val="auto"/>
        </w:rPr>
        <w:t>Trustee</w:t>
      </w:r>
      <w:r>
        <w:rPr>
          <w:rFonts w:ascii="Times New Roman" w:cs="Times New Roman" w:eastAsia="Times New Roman" w:hAnsi="Times New Roman"/>
          <w:sz w:val="17"/>
          <w:szCs w:val="17"/>
          <w:color w:val="auto"/>
        </w:rPr>
        <w:t>” in the first paragraph of this Indenture until a successor trustee shall have become such pursuant to the applicable provisions of this Indenture, and thereafter “</w:t>
      </w:r>
      <w:r>
        <w:rPr>
          <w:rFonts w:ascii="Times New Roman" w:cs="Times New Roman" w:eastAsia="Times New Roman" w:hAnsi="Times New Roman"/>
          <w:sz w:val="17"/>
          <w:szCs w:val="17"/>
          <w:b w:val="1"/>
          <w:bCs w:val="1"/>
          <w:color w:val="auto"/>
        </w:rPr>
        <w:t>Trustee</w:t>
      </w:r>
      <w:r>
        <w:rPr>
          <w:rFonts w:ascii="Times New Roman" w:cs="Times New Roman" w:eastAsia="Times New Roman" w:hAnsi="Times New Roman"/>
          <w:sz w:val="17"/>
          <w:szCs w:val="17"/>
          <w:color w:val="auto"/>
        </w:rPr>
        <w:t>” shall mean or include each Person who is then a Trustee hereunder.</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 of Reference Property</w:t>
      </w:r>
      <w:r>
        <w:rPr>
          <w:rFonts w:ascii="Times New Roman" w:cs="Times New Roman" w:eastAsia="Times New Roman" w:hAnsi="Times New Roman"/>
          <w:sz w:val="18"/>
          <w:szCs w:val="18"/>
          <w:color w:val="auto"/>
        </w:rPr>
        <w:t>” shall have the meaning specified in Section 14.07(a).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Valuation Period</w:t>
      </w:r>
      <w:r>
        <w:rPr>
          <w:rFonts w:ascii="Times New Roman" w:cs="Times New Roman" w:eastAsia="Times New Roman" w:hAnsi="Times New Roman"/>
          <w:sz w:val="18"/>
          <w:szCs w:val="18"/>
          <w:color w:val="auto"/>
        </w:rPr>
        <w:t>” shall have the meaning specified in Section 14.04(c).</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 Owned Subsidiary</w:t>
      </w:r>
      <w:r>
        <w:rPr>
          <w:rFonts w:ascii="Times New Roman" w:cs="Times New Roman" w:eastAsia="Times New Roman" w:hAnsi="Times New Roman"/>
          <w:sz w:val="18"/>
          <w:szCs w:val="18"/>
          <w:color w:val="auto"/>
        </w:rPr>
        <w:t>” means, with respect to any Person, any Subsidiary of such Person, except that, solely for purposes of this definition, the reference to “more than 50%” in the definition of “Subsidiary” shall be deemed replaced by a reference to “100%,” the calculation of which shall exclude nominal amounts of the voting power of shares of Capital Stock or other interests in the relevant Subsidiary not held by such person to the extent required to satisfy local minority interest requirements outside of the United States.</w:t>
      </w:r>
    </w:p>
    <w:p>
      <w:pPr>
        <w:spacing w:after="0" w:line="178"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Section 1.02</w:t>
      </w:r>
      <w:r>
        <w:rPr>
          <w:rFonts w:ascii="Times New Roman" w:cs="Times New Roman" w:eastAsia="Times New Roman" w:hAnsi="Times New Roman"/>
          <w:sz w:val="18"/>
          <w:szCs w:val="18"/>
          <w:i w:val="1"/>
          <w:iCs w:val="1"/>
          <w:color w:val="auto"/>
        </w:rPr>
        <w:t>. References to Interest.</w:t>
      </w:r>
      <w:r>
        <w:rPr>
          <w:rFonts w:ascii="Times New Roman" w:cs="Times New Roman" w:eastAsia="Times New Roman" w:hAnsi="Times New Roman"/>
          <w:sz w:val="18"/>
          <w:szCs w:val="18"/>
          <w:color w:val="auto"/>
        </w:rPr>
        <w:t xml:space="preserve"> Unless the context otherwise requires, any reference to interest on, or in respect of, any Note in this Indenture shall be deemed to include Additional Interest if, in such context, Additional Interest is, was or would be payable pursuant to any of Section 4.06(d), Section 4.06(e) and Section 6.03 and/or to any interest payable on any Defaulted Amounts as set forth in Section 2.03(c). Unless the context otherwise requires, any express mention of Additional Interest in any provision hereof shall not be construed as excluding Additional Interest in those provisions hereof where such express mention is not made.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SSUE</w:t>
      </w:r>
      <w:r>
        <w:rPr>
          <w:rFonts w:ascii="Times New Roman" w:cs="Times New Roman" w:eastAsia="Times New Roman" w:hAnsi="Times New Roman"/>
          <w:sz w:val="18"/>
          <w:szCs w:val="18"/>
          <w:color w:val="auto"/>
        </w:rPr>
        <w:t>, D</w:t>
      </w:r>
      <w:r>
        <w:rPr>
          <w:rFonts w:ascii="Times New Roman" w:cs="Times New Roman" w:eastAsia="Times New Roman" w:hAnsi="Times New Roman"/>
          <w:sz w:val="14"/>
          <w:szCs w:val="14"/>
          <w:color w:val="auto"/>
        </w:rPr>
        <w:t>ESCRIPTION</w:t>
      </w:r>
      <w:r>
        <w:rPr>
          <w:rFonts w:ascii="Times New Roman" w:cs="Times New Roman" w:eastAsia="Times New Roman" w:hAnsi="Times New Roman"/>
          <w:sz w:val="18"/>
          <w:szCs w:val="18"/>
          <w:color w:val="auto"/>
        </w:rPr>
        <w:t>, E</w:t>
      </w:r>
      <w:r>
        <w:rPr>
          <w:rFonts w:ascii="Times New Roman" w:cs="Times New Roman" w:eastAsia="Times New Roman" w:hAnsi="Times New Roman"/>
          <w:sz w:val="14"/>
          <w:szCs w:val="14"/>
          <w:color w:val="auto"/>
        </w:rPr>
        <w:t>XECUTION</w:t>
      </w:r>
      <w:r>
        <w:rPr>
          <w:rFonts w:ascii="Times New Roman" w:cs="Times New Roman" w:eastAsia="Times New Roman" w:hAnsi="Times New Roman"/>
          <w:sz w:val="18"/>
          <w:szCs w:val="18"/>
          <w:color w:val="auto"/>
        </w:rPr>
        <w:t>, R</w:t>
      </w:r>
      <w:r>
        <w:rPr>
          <w:rFonts w:ascii="Times New Roman" w:cs="Times New Roman" w:eastAsia="Times New Roman" w:hAnsi="Times New Roman"/>
          <w:sz w:val="14"/>
          <w:szCs w:val="14"/>
          <w:color w:val="auto"/>
        </w:rPr>
        <w:t>EGISTRATION AND</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XCHANGE OF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OTES</w:t>
      </w:r>
    </w:p>
    <w:p>
      <w:pPr>
        <w:spacing w:after="0" w:line="205"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Section 2.01</w:t>
      </w:r>
      <w:r>
        <w:rPr>
          <w:rFonts w:ascii="Times New Roman" w:cs="Times New Roman" w:eastAsia="Times New Roman" w:hAnsi="Times New Roman"/>
          <w:sz w:val="18"/>
          <w:szCs w:val="18"/>
          <w:i w:val="1"/>
          <w:iCs w:val="1"/>
          <w:color w:val="auto"/>
        </w:rPr>
        <w:t>. Designation and Amount.</w:t>
      </w:r>
      <w:r>
        <w:rPr>
          <w:rFonts w:ascii="Times New Roman" w:cs="Times New Roman" w:eastAsia="Times New Roman" w:hAnsi="Times New Roman"/>
          <w:sz w:val="18"/>
          <w:szCs w:val="18"/>
          <w:color w:val="auto"/>
        </w:rPr>
        <w:t xml:space="preserve"> The Notes shall be designated as the “2.25% Convertible Senior Notes due 2031.” The aggregate principal amount of Notes that may be authenticated and delivered under this Indenture is initially limited to $250,000,000, subject to Section 2.10 and except for Notes authenticated and delivered upon registration or transfer of, or in exchange for, or in lieu of other Notes to the extent expressly permitted hereunder.</w:t>
      </w:r>
    </w:p>
    <w:p>
      <w:pPr>
        <w:spacing w:after="0" w:line="180"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Section 2.02</w:t>
      </w:r>
      <w:r>
        <w:rPr>
          <w:rFonts w:ascii="Times New Roman" w:cs="Times New Roman" w:eastAsia="Times New Roman" w:hAnsi="Times New Roman"/>
          <w:sz w:val="18"/>
          <w:szCs w:val="18"/>
          <w:i w:val="1"/>
          <w:iCs w:val="1"/>
          <w:color w:val="auto"/>
        </w:rPr>
        <w:t>. Form of Notes.</w:t>
      </w:r>
      <w:r>
        <w:rPr>
          <w:rFonts w:ascii="Times New Roman" w:cs="Times New Roman" w:eastAsia="Times New Roman" w:hAnsi="Times New Roman"/>
          <w:sz w:val="18"/>
          <w:szCs w:val="18"/>
          <w:color w:val="auto"/>
        </w:rPr>
        <w:t xml:space="preserve"> The Notes and the Trustee’s certificate of authentication to be borne by such Notes shall be substantially in the respective forms set forth in Exhibit A, the terms and provisions of which shall constitute, and are hereby expressly incorporated in and made a part of this Indenture. To the extent applicable, the Company and the Trustee, by their execution and delivery of this Indenture, expressly agree to such terms and provisions and to be bound thereby. In the case of any conflict between this Indenture and a Note, the provisions of this Indenture shall control and govern to the extent of such conflict.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440" w:top="266" w:right="439" w:bottom="1440" w:gutter="0" w:footer="0" w:header="0"/>
        </w:sectPr>
      </w:pPr>
    </w:p>
    <w:bookmarkStart w:id="26" w:name="page27"/>
    <w:bookmarkEnd w:id="26"/>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Global Note may be endorsed with or have incorporated in the text thereof such legends or recitals or changes not inconsistent with the provisions of this Indenture as may be required by the Custodian or the Depositary, or as may be required to comply with any applicable law or any regulation thereunder or with the rules and regulations of any securities exchange or automated quotation system upon which the Notes may be listed or traded or designated for issuance or to conform with any usage with respect thereto, or to indicate any special limitations or restrictions to which any particular Notes are subject.</w:t>
      </w:r>
    </w:p>
    <w:p>
      <w:pPr>
        <w:spacing w:after="0" w:line="183"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Any of the Notes may have such letters, numbers or other marks of identification and such notations, legends or endorsements as the Officer executing the same may approve (execution thereof to be conclusive evidence of such approval) and as are not inconsistent with the provisions of this Indenture, or as may be required to comply with any law or with any rule or regulation made pursuant thereto or with any rule or regulation of any securities exchange or automated quotation system on which the Notes may be listed or designated for issuance, or to conform to usage or to indicate any special limitations or restrictions to which any particular Notes are subject.</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Each Global Note shall represent such principal amount of the outstanding Notes as shall be specified therein and shall provide that it shall represent the aggregate principal amount of outstanding Notes from time to time endorsed thereon and that the aggregate principal amount of outstanding Notes represented thereby may from time to time be increased or reduced to reflect redemptions, repurchases, cancellations, conversions, transfers or exchanges permitted hereby. Any endorsement of a Global Note to reflect the amount of any increase or decrease in the amount of outstanding Notes represented thereby shall be made by the Trustee or the Custodian, at the direction of the Trustee, in such manner and upon instructions given by the Holder of such Notes in accordance with this Indenture. Payment of principal (including the Redemption Price and the Fundamental Change Repurchase Price, if applicable) of, and accrued and unpaid interest on, a Global Note shall be made to the Holder of such Note on the date of payment, unless a record date or other means of determining Holders eligible to receive payment is provided for herein.</w:t>
      </w:r>
    </w:p>
    <w:p>
      <w:pPr>
        <w:spacing w:after="0" w:line="190"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Section 2.03</w:t>
      </w:r>
      <w:r>
        <w:rPr>
          <w:rFonts w:ascii="Times New Roman" w:cs="Times New Roman" w:eastAsia="Times New Roman" w:hAnsi="Times New Roman"/>
          <w:sz w:val="18"/>
          <w:szCs w:val="18"/>
          <w:i w:val="1"/>
          <w:iCs w:val="1"/>
          <w:color w:val="auto"/>
        </w:rPr>
        <w:t>. Date and Denomination of Notes; Payments of Interest and Defaulted Amounts.</w:t>
      </w:r>
      <w:r>
        <w:rPr>
          <w:rFonts w:ascii="Times New Roman" w:cs="Times New Roman" w:eastAsia="Times New Roman" w:hAnsi="Times New Roman"/>
          <w:sz w:val="18"/>
          <w:szCs w:val="18"/>
          <w:color w:val="auto"/>
        </w:rPr>
        <w:t xml:space="preserve"> (a) The Notes shall be issuable in registered form without coupons in denominations of $1,000 principal amount and integral multiples thereof. Each Note shall be dated the date of its authentication and shall bear interest from the date specified on the face of such Note. Accrued interest on the Notes shall be computed on the basis of a 360-day year composed of twelve 30-day months and, for partial months, on the basis of the number of days actually elapsed in a 30-day month.</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27" w:name="page28"/>
    <w:bookmarkEnd w:id="27"/>
    <w:p>
      <w:pPr>
        <w:ind w:firstLine="987"/>
        <w:spacing w:after="0" w:line="253" w:lineRule="auto"/>
        <w:tabs>
          <w:tab w:leader="none" w:pos="124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Person in whose name any Note (or its Predecessor Note) is registered on the Note Register at the close of business on any Regular Record Date with respect to any Interest Payment Date shall be entitled to receive the interest payable on such Interest Payment Date. The principal amount of any Note (x) in the case of any Physical Note, shall be payable at the office or agency of the Company maintained by the Company for such purposes in the continental United States of America, which shall initially be the Corporate Trust Office and (y) in the case of any Global Note, shall be payable by wire transfer of immediately available funds to the account of the Depositary or its nominee. The Company shall pay, or cause the Paying Agent to pay, interest (i) on any Physical Notes (A) to Holders holding Physical Notes having an aggregate principal amount of $5,000,000 or less, by check mailed to the Holders at their address as it appears in the Note Register and (B) to Holders holding Physical Notes having an aggregate principal amount of more than $5,000,000, either by check mailed to each such Holder or, upon written application by such a Holder to the Note Registrar not later than the relevant Regular Record Date, by wire transfer in immediately available funds to that Holder’s account within the United States if such Holder has provided the Company, the Trustee or the Paying Agent (if other than the Trustee) with the requisite information necessary to make such wire transfer, which application shall remain in effect until the Holder notifies, in writing, the Note Registrar to the contrary or (ii) on any Global Note by wire transfer of immediately available funds to the account of the Depositary or its nominee.</w:t>
      </w:r>
    </w:p>
    <w:p>
      <w:pPr>
        <w:spacing w:after="0" w:line="189" w:lineRule="exact"/>
        <w:rPr>
          <w:rFonts w:ascii="Times New Roman" w:cs="Times New Roman" w:eastAsia="Times New Roman" w:hAnsi="Times New Roman"/>
          <w:sz w:val="18"/>
          <w:szCs w:val="18"/>
          <w:color w:val="auto"/>
        </w:rPr>
      </w:pPr>
    </w:p>
    <w:p>
      <w:pPr>
        <w:ind w:right="260" w:firstLine="987"/>
        <w:spacing w:after="0" w:line="261" w:lineRule="auto"/>
        <w:tabs>
          <w:tab w:leader="none" w:pos="123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Defaulted Amounts shall forthwith cease to be payable to the Holder on the relevant payment date but shall accrue interest per annum at the rate borne by the Notes, subject to the enforceability thereof under applicable law, from, and including, such relevant payment date, and such Defaulted Amounts together with such interest thereon shall be paid by the Company, at its election in each case, as provided in clause (i) or (ii) below:</w:t>
      </w:r>
    </w:p>
    <w:p>
      <w:pPr>
        <w:spacing w:after="0" w:line="71" w:lineRule="exact"/>
        <w:rPr>
          <w:rFonts w:ascii="Times New Roman" w:cs="Times New Roman" w:eastAsia="Times New Roman" w:hAnsi="Times New Roman"/>
          <w:sz w:val="18"/>
          <w:szCs w:val="18"/>
          <w:color w:val="auto"/>
        </w:rPr>
      </w:pPr>
    </w:p>
    <w:p>
      <w:pPr>
        <w:ind w:left="440" w:right="140" w:firstLine="419"/>
        <w:spacing w:after="0" w:line="269" w:lineRule="auto"/>
        <w:tabs>
          <w:tab w:leader="none" w:pos="1078"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elect to make payment of any Defaulted Amounts to the Persons in whose names the Notes (or their respective Predecessor Notes) are registered at the close of business on a special record date for the payment of such Defaulted Amounts, which shall be fixed in the following manner. The Company shall notify the Trustee in writing of the amount of the Defaulted Amounts proposed to be paid on each Note and the date of the proposed payment (which shall be not less than 25 days after the receipt by the Trustee of such notice, unless the Trustee shall consent to an earlier date), and at the same time the Company shall deposit with the Trustee an amount of money equal to the aggregate amount to be paid in respect of such Defaulted Amounts or shall make arrangements satisfactory to the Trustee for such deposit on or prior to the date of the proposed payment, such money when deposited to be held in trust for the benefit of the Persons entitled to such Defaulted Amounts as in this clause provided. Thereupon the Company shall fix a special record date for the payment of such Defaulted Amounts which shall be not more than 15 days and not less than 10 days prior to the date of the proposed payment, and not less than 10 days after the receipt by the Trustee of the notice of the proposed payment (unless the Trustee shall consent to an earlier date). The Company shall promptly notify the Trustee in writing of such special record date and the Trustee, in the name and at the expense of the Company, shall cause notice of the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28" w:name="page29"/>
    <w:bookmarkEnd w:id="28"/>
    <w:p>
      <w:pPr>
        <w:ind w:left="440"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proposed payment of such Defaulted Amounts and the special record date therefor to be delivered to each Holder not less than 10 days prior to such special record date. Notice of the proposed payment of such Defaulted Amounts and the special record date therefor having been so delivered, such Defaulted Amounts shall be paid to the Persons in whose names the Notes (or their respective Predecessor Notes) are registered at the close of business on such special record date and shall no longer be payable pursuant to the following clause (ii) of this Section 2.03(c).</w:t>
      </w:r>
    </w:p>
    <w:p>
      <w:pPr>
        <w:spacing w:after="0" w:line="72" w:lineRule="exact"/>
        <w:rPr>
          <w:sz w:val="20"/>
          <w:szCs w:val="20"/>
          <w:color w:val="auto"/>
        </w:rPr>
      </w:pPr>
    </w:p>
    <w:p>
      <w:pPr>
        <w:ind w:left="440" w:right="100" w:firstLine="419"/>
        <w:spacing w:after="0" w:line="255" w:lineRule="auto"/>
        <w:tabs>
          <w:tab w:leader="none" w:pos="11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Amounts in any other lawful manner not inconsistent with the requirements of any securities exchange or automated quotation system on which the Notes may be listed or designated for issuance, and upon such notice as may be required by such exchange or automated quotation system, if, after written notice given by the Company to the Trustee of the proposed payment pursuant to this clause, such manner of payment shall be deemed practicable by the Trustee. For the avoidance of doubt, the Company may make payment of any Defaulted Amounts and default interest relating to any amounts due upon conversion of the Notes in a manner other than as provided in Section 2.03(c)(i); provided that such manner would be permitted under the terms of this Indenture if such amounts due upon conversion were not Defaulted Amounts or default interest.</w:t>
      </w:r>
    </w:p>
    <w:p>
      <w:pPr>
        <w:spacing w:after="0" w:line="80" w:lineRule="exact"/>
        <w:rPr>
          <w:rFonts w:ascii="Times New Roman" w:cs="Times New Roman" w:eastAsia="Times New Roman" w:hAnsi="Times New Roman"/>
          <w:sz w:val="18"/>
          <w:szCs w:val="18"/>
          <w:color w:val="auto"/>
        </w:rPr>
      </w:pPr>
    </w:p>
    <w:p>
      <w:pPr>
        <w:ind w:left="440" w:right="280" w:firstLine="419"/>
        <w:spacing w:after="0" w:line="266" w:lineRule="auto"/>
        <w:tabs>
          <w:tab w:leader="none" w:pos="117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at any time be under any duty or responsibility to any Holder of Notes to determine the Defaulted Amounts, or with respect to the nature, extent, or calculation of the amount of Defaulted Amounts owed, or with respect to the method employed in such calculation of the Defaulted Amounts.</w:t>
      </w:r>
    </w:p>
    <w:p>
      <w:pPr>
        <w:spacing w:after="0" w:line="174" w:lineRule="exact"/>
        <w:rPr>
          <w:sz w:val="20"/>
          <w:szCs w:val="20"/>
          <w:color w:val="auto"/>
        </w:rPr>
      </w:pPr>
    </w:p>
    <w:p>
      <w:pPr>
        <w:ind w:right="260" w:firstLine="440"/>
        <w:spacing w:after="0" w:line="267" w:lineRule="auto"/>
        <w:rPr>
          <w:sz w:val="20"/>
          <w:szCs w:val="20"/>
          <w:color w:val="auto"/>
        </w:rPr>
      </w:pPr>
      <w:r>
        <w:rPr>
          <w:rFonts w:ascii="Times New Roman" w:cs="Times New Roman" w:eastAsia="Times New Roman" w:hAnsi="Times New Roman"/>
          <w:sz w:val="18"/>
          <w:szCs w:val="18"/>
          <w:color w:val="auto"/>
        </w:rPr>
        <w:t>Section 2.04</w:t>
      </w:r>
      <w:r>
        <w:rPr>
          <w:rFonts w:ascii="Times New Roman" w:cs="Times New Roman" w:eastAsia="Times New Roman" w:hAnsi="Times New Roman"/>
          <w:sz w:val="18"/>
          <w:szCs w:val="18"/>
          <w:i w:val="1"/>
          <w:iCs w:val="1"/>
          <w:color w:val="auto"/>
        </w:rPr>
        <w:t>. Execution, Authentication and Delivery of Notes.</w:t>
      </w:r>
      <w:r>
        <w:rPr>
          <w:rFonts w:ascii="Times New Roman" w:cs="Times New Roman" w:eastAsia="Times New Roman" w:hAnsi="Times New Roman"/>
          <w:sz w:val="18"/>
          <w:szCs w:val="18"/>
          <w:color w:val="auto"/>
        </w:rPr>
        <w:t xml:space="preserve"> The Notes shall be signed in the name and on behalf of the Company by the manual, facsimile or electronic signature of its Chief Executive Officer, Chief Financial Officer, General Counsel Treasurer or Secretary or any of its Executive or Senior Vice Presidents.</w:t>
      </w:r>
    </w:p>
    <w:p>
      <w:pPr>
        <w:spacing w:after="0" w:line="17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At any time and from time to time after the execution and delivery of this Indenture, the Company may deliver Notes executed by the Company to the Trustee for authentication, together with a Company Order (such Company Order to include the terms of the Notes) for the authentication and delivery of such Notes, and the Trustee in accordance with such Company Order shall authenticate and deliver such Notes, without any further action by the Company hereunder; provided that, subject to Section 17.05, the Trustee shall receive an Officer’s Certificate and an Opinion of Counsel of the Company with respect to the issuance, authentication and delivery of such Notes.</w:t>
      </w:r>
    </w:p>
    <w:p>
      <w:pPr>
        <w:spacing w:after="0" w:line="183"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Only such Notes as shall bear thereon a certificate of authentication substantially in the form set forth on the Form of Note attached as Exhibit A hereto, executed manually by an authorized signatory of the Trustee (or an authenticating agent appointed by the Trustee as provided by Section 17.10), shall be entitled to the benefits of this Indenture or be valid or obligatory for any purpose. Such certificate by the Trustee (or such an authenticating agent) upon any Note executed by the Company shall be conclusive evidence that the Note so authenticated has been duly authenticated and delivered hereunder and that the Holder is entitled to the benefits of this Indenture.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70" w:right="479" w:bottom="1440" w:gutter="0" w:footer="0" w:header="0"/>
        </w:sectPr>
      </w:pPr>
    </w:p>
    <w:bookmarkStart w:id="29" w:name="page30"/>
    <w:bookmarkEnd w:id="29"/>
    <w:p>
      <w:pPr>
        <w:ind w:right="2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case any Officer of the Company who shall have signed any of the Notes shall cease to be such Officer before the Notes so signed shall have been authenticated and delivered by the Trustee, or disposed of by the Company, such Notes nevertheless may be authenticated and delivered or disposed of as though the person who signed such Notes had not ceased to be such Officer of the Company; and any Note may be signed on behalf of the Company by such persons as, at the actual date of the execution of such Note, shall be the Officers of the Company, although at the date of the execution of this Indenture any such person was not such an Officer.</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2.05</w:t>
      </w:r>
      <w:r>
        <w:rPr>
          <w:rFonts w:ascii="Times New Roman" w:cs="Times New Roman" w:eastAsia="Times New Roman" w:hAnsi="Times New Roman"/>
          <w:sz w:val="18"/>
          <w:szCs w:val="18"/>
          <w:i w:val="1"/>
          <w:iCs w:val="1"/>
          <w:color w:val="auto"/>
        </w:rPr>
        <w:t>. Exchange and Registration of Transfer of Notes; Restrictions on Transfer; Depositary.</w:t>
      </w:r>
    </w:p>
    <w:p>
      <w:pPr>
        <w:spacing w:after="0" w:line="119" w:lineRule="exact"/>
        <w:rPr>
          <w:sz w:val="20"/>
          <w:szCs w:val="20"/>
          <w:color w:val="auto"/>
        </w:rPr>
      </w:pPr>
    </w:p>
    <w:p>
      <w:pPr>
        <w:ind w:firstLine="436"/>
        <w:spacing w:after="0" w:line="277" w:lineRule="auto"/>
        <w:tabs>
          <w:tab w:leader="none" w:pos="68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cause to be kept at the Corporate Trust Office a register (the register maintained in such office or in any other office or agency of the Company designated pursuant to Section 4.02, the “</w:t>
      </w:r>
      <w:r>
        <w:rPr>
          <w:rFonts w:ascii="Times New Roman" w:cs="Times New Roman" w:eastAsia="Times New Roman" w:hAnsi="Times New Roman"/>
          <w:sz w:val="17"/>
          <w:szCs w:val="17"/>
          <w:b w:val="1"/>
          <w:bCs w:val="1"/>
          <w:color w:val="auto"/>
        </w:rPr>
        <w:t>Note Register</w:t>
      </w:r>
      <w:r>
        <w:rPr>
          <w:rFonts w:ascii="Times New Roman" w:cs="Times New Roman" w:eastAsia="Times New Roman" w:hAnsi="Times New Roman"/>
          <w:sz w:val="17"/>
          <w:szCs w:val="17"/>
          <w:color w:val="auto"/>
        </w:rPr>
        <w:t>”) in which, subject to such reasonable regulations as it may prescribe, the Company shall provide for the registration of Notes and of transfers of Notes. Such register shall be in written form or in any form capable of being converted into written form within a reasonable period of time. The Trustee is hereby initially appointed the “</w:t>
      </w:r>
      <w:r>
        <w:rPr>
          <w:rFonts w:ascii="Times New Roman" w:cs="Times New Roman" w:eastAsia="Times New Roman" w:hAnsi="Times New Roman"/>
          <w:sz w:val="17"/>
          <w:szCs w:val="17"/>
          <w:b w:val="1"/>
          <w:bCs w:val="1"/>
          <w:color w:val="auto"/>
        </w:rPr>
        <w:t>Note Registrar</w:t>
      </w:r>
      <w:r>
        <w:rPr>
          <w:rFonts w:ascii="Times New Roman" w:cs="Times New Roman" w:eastAsia="Times New Roman" w:hAnsi="Times New Roman"/>
          <w:sz w:val="17"/>
          <w:szCs w:val="17"/>
          <w:color w:val="auto"/>
        </w:rPr>
        <w:t>” for the purpose of registering Notes and transfers of Notes as herein provided. The Company may appoint one or more co-Note Registrars in accordance with Section 4.02.</w:t>
      </w:r>
    </w:p>
    <w:p>
      <w:pPr>
        <w:spacing w:after="0" w:line="168"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Upon surrender for registration of transfer of any Note to the Note Registrar or any co-Note Registrar, and satisfaction of the requirements for such transfer set forth in this Section 2.05, the Company shall execute, and the Trustee, upon receipt of a Company Order, shall authenticate and deliver, in the name of the designated transferee or transferees, one or more new Notes of any authorized denominations and of a like aggregate principal amount and bearing such restrictive legends as may be required by this Indenture.</w:t>
      </w:r>
    </w:p>
    <w:p>
      <w:pPr>
        <w:spacing w:after="0" w:line="180"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Notes may be exchanged for other Notes of any authorized denominations and of a like aggregate principal amount, upon surrender of the Notes to be exchanged at any such office or agency maintained by the Company pursuant to Section 4.02. Whenever any Notes are so surrendered for exchange, the Company shall execute, and the Trustee shall authenticate and deliver, the Notes that the Holder making the exchange is entitled to receive, bearing registration numbers not contemporaneously outstanding.</w:t>
      </w:r>
    </w:p>
    <w:p>
      <w:pPr>
        <w:spacing w:after="0" w:line="180"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All Notes presented or surrendered for registration of transfer or for exchange, repurchase or conversion shall (if so required by the Company, the Trustee, the Note Registrar or any co-Note Registrar) be duly endorsed, or be accompanied by a written instrument or instruments of transfer in form satisfactory to the Company and duly executed, by the Holder thereof or its attorney-in-fact duly authorized in writing.</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30" w:name="page31"/>
    <w:bookmarkEnd w:id="30"/>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service charge shall be imposed by the Company, the Trustee, the Note Registrar, any co-Note Registrar or the Paying Agent for any exchange or registration of transfer of Notes, but the Company may require a Holder to pay a sum sufficient to cover any documentary, stamp or similar issue or transfer tax required in connection therewith as a result of the name of the Holder of new Notes issued upon such exchange or registration of transfer being different from the name of the Holder of the old Notes surrendered for exchange or registration of transfer.</w:t>
      </w:r>
    </w:p>
    <w:p>
      <w:pPr>
        <w:spacing w:after="0" w:line="180" w:lineRule="exact"/>
        <w:rPr>
          <w:sz w:val="20"/>
          <w:szCs w:val="20"/>
          <w:color w:val="auto"/>
        </w:rPr>
      </w:pPr>
    </w:p>
    <w:p>
      <w:pPr>
        <w:ind w:left="4" w:right="20" w:firstLine="440"/>
        <w:spacing w:after="0" w:line="276" w:lineRule="auto"/>
        <w:rPr>
          <w:sz w:val="20"/>
          <w:szCs w:val="20"/>
          <w:color w:val="auto"/>
        </w:rPr>
      </w:pPr>
      <w:r>
        <w:rPr>
          <w:rFonts w:ascii="Times New Roman" w:cs="Times New Roman" w:eastAsia="Times New Roman" w:hAnsi="Times New Roman"/>
          <w:sz w:val="17"/>
          <w:szCs w:val="17"/>
          <w:color w:val="auto"/>
        </w:rPr>
        <w:t>None of the Company, the Trustee, the Note Registrar or any co-Note Registrar shall be required to exchange for other Notes or register a transfer of (i) any Notes surrendered for conversion or, if a portion of any Note is surrendered for conversion, such portion thereof surrendered for conversion,</w:t>
      </w:r>
    </w:p>
    <w:p>
      <w:pPr>
        <w:spacing w:after="0" w:line="1" w:lineRule="exact"/>
        <w:rPr>
          <w:sz w:val="20"/>
          <w:szCs w:val="20"/>
          <w:color w:val="auto"/>
        </w:rPr>
      </w:pPr>
    </w:p>
    <w:p>
      <w:pPr>
        <w:jc w:val="both"/>
        <w:ind w:left="4" w:right="280" w:hanging="4"/>
        <w:spacing w:after="0" w:line="255" w:lineRule="auto"/>
        <w:tabs>
          <w:tab w:leader="none" w:pos="26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Notes, or a portion of any Note, surrendered for required repurchase upon a Fundamental Change (and not validly withdrawn) in accordance with Article 15 or (iii) any Notes selected for Optional Redemption in accordance with Article 16, except the unredeemed portion of any Note being redeemed in part.</w:t>
      </w:r>
    </w:p>
    <w:p>
      <w:pPr>
        <w:spacing w:after="0" w:line="186"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All Notes issued upon any registration of transfer or exchange of Notes in accordance with this Indenture shall be the valid obligations of the Company, evidencing the same debt, and entitled to the same benefits under this Indenture as the Notes surrendered upon such registration of transfer or exchange.</w:t>
      </w:r>
    </w:p>
    <w:p>
      <w:pPr>
        <w:spacing w:after="0" w:line="68" w:lineRule="exact"/>
        <w:rPr>
          <w:sz w:val="20"/>
          <w:szCs w:val="20"/>
          <w:color w:val="auto"/>
        </w:rPr>
      </w:pPr>
    </w:p>
    <w:p>
      <w:pPr>
        <w:ind w:left="4" w:right="20" w:firstLine="436"/>
        <w:spacing w:after="0" w:line="256" w:lineRule="auto"/>
        <w:tabs>
          <w:tab w:leader="none" w:pos="69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the Notes are eligible for book-entry settlement with the Depositary, unless otherwise required by law, subject to the fourth paragraph from the end of Section 2.05(c) all Notes shall be represented by one or more Notes in global form (each, a “</w:t>
      </w:r>
      <w:r>
        <w:rPr>
          <w:rFonts w:ascii="Times New Roman" w:cs="Times New Roman" w:eastAsia="Times New Roman" w:hAnsi="Times New Roman"/>
          <w:sz w:val="18"/>
          <w:szCs w:val="18"/>
          <w:b w:val="1"/>
          <w:bCs w:val="1"/>
          <w:color w:val="auto"/>
        </w:rPr>
        <w:t>Global Note</w:t>
      </w:r>
      <w:r>
        <w:rPr>
          <w:rFonts w:ascii="Times New Roman" w:cs="Times New Roman" w:eastAsia="Times New Roman" w:hAnsi="Times New Roman"/>
          <w:sz w:val="18"/>
          <w:szCs w:val="18"/>
          <w:color w:val="auto"/>
        </w:rPr>
        <w:t>”) registered in the name of the Depositary or the nominee of the Depositary. Each Global Note shall bear the legend required on a Global Note set forth in Exhibit A hereto. The transfer and exchange of beneficial interests in a Global Note that does not involve the issuance of a Physical Note shall be effected through the Depositary (but not the Trustee or the Custodian) in accordance with this Indenture (including the restrictions on transfer set forth herein) and the applicable procedures of the Depositary therefor.</w:t>
      </w:r>
    </w:p>
    <w:p>
      <w:pPr>
        <w:spacing w:after="0" w:line="79" w:lineRule="exact"/>
        <w:rPr>
          <w:rFonts w:ascii="Times New Roman" w:cs="Times New Roman" w:eastAsia="Times New Roman" w:hAnsi="Times New Roman"/>
          <w:sz w:val="18"/>
          <w:szCs w:val="18"/>
          <w:color w:val="auto"/>
        </w:rPr>
      </w:pPr>
    </w:p>
    <w:p>
      <w:pPr>
        <w:ind w:left="4" w:firstLine="436"/>
        <w:spacing w:after="0" w:line="256" w:lineRule="auto"/>
        <w:tabs>
          <w:tab w:leader="none" w:pos="68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Note that bears or is required under this Section 2.05(c) to bear the Restrictive Notes Legend (together with any Common Stock issued upon conversion of the Notes that is required to bear the legend set forth in Section 2.05(d), collectively, the “</w:t>
      </w:r>
      <w:r>
        <w:rPr>
          <w:rFonts w:ascii="Times New Roman" w:cs="Times New Roman" w:eastAsia="Times New Roman" w:hAnsi="Times New Roman"/>
          <w:sz w:val="18"/>
          <w:szCs w:val="18"/>
          <w:b w:val="1"/>
          <w:bCs w:val="1"/>
          <w:color w:val="auto"/>
        </w:rPr>
        <w:t>Restricted Securities</w:t>
      </w:r>
      <w:r>
        <w:rPr>
          <w:rFonts w:ascii="Times New Roman" w:cs="Times New Roman" w:eastAsia="Times New Roman" w:hAnsi="Times New Roman"/>
          <w:sz w:val="18"/>
          <w:szCs w:val="18"/>
          <w:color w:val="auto"/>
        </w:rPr>
        <w:t>”) shall be subject to the restrictions on transfer set forth in this Section 2.05(c) (including the Restrictive Notes Legend set forth below), unless such restrictions on transfer shall be eliminated or otherwise waived by written consent of the Company, and the Holder of each such Restricted Security, by such Holder’s acceptance thereof, agrees to be bound by all such restrictions on transfer. As used in this Section 2.05(c) and Section 2.05(d), the term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encompasses any sale, pledge, transfer or other disposition whatsoever of any Restricted Security.</w:t>
      </w:r>
    </w:p>
    <w:p>
      <w:pPr>
        <w:spacing w:after="0" w:line="12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64"/>
          </w:cols>
          <w:pgMar w:left="436" w:top="270" w:right="499" w:bottom="1440" w:gutter="0" w:footer="0" w:header="0"/>
        </w:sectPr>
      </w:pPr>
    </w:p>
    <w:bookmarkStart w:id="31" w:name="page32"/>
    <w:bookmarkEnd w:id="31"/>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Until the date (the “</w:t>
      </w:r>
      <w:r>
        <w:rPr>
          <w:rFonts w:ascii="Times New Roman" w:cs="Times New Roman" w:eastAsia="Times New Roman" w:hAnsi="Times New Roman"/>
          <w:sz w:val="18"/>
          <w:szCs w:val="18"/>
          <w:b w:val="1"/>
          <w:bCs w:val="1"/>
          <w:color w:val="auto"/>
        </w:rPr>
        <w:t>Resale Restriction Termination Date</w:t>
      </w:r>
      <w:r>
        <w:rPr>
          <w:rFonts w:ascii="Times New Roman" w:cs="Times New Roman" w:eastAsia="Times New Roman" w:hAnsi="Times New Roman"/>
          <w:sz w:val="18"/>
          <w:szCs w:val="18"/>
          <w:color w:val="auto"/>
        </w:rPr>
        <w:t>”) that is the later of (1) the date that is one year after the last date of original issuance of the Notes, or such shorter period of time as permitted by Rule 144 or any successor provision thereto, and (2) such later date, if any, as may be required by applicable law, any certificate evidencing such Note (and all securities issued in exchange therefor or substitution thereof, other than Common Stock, if any, issued upon conversion thereof, which shall bear the legend set forth in Section 2.05(d), if applicable) shall bear a legend in substantially the following form (the “</w:t>
      </w:r>
      <w:r>
        <w:rPr>
          <w:rFonts w:ascii="Times New Roman" w:cs="Times New Roman" w:eastAsia="Times New Roman" w:hAnsi="Times New Roman"/>
          <w:sz w:val="18"/>
          <w:szCs w:val="18"/>
          <w:b w:val="1"/>
          <w:bCs w:val="1"/>
          <w:color w:val="auto"/>
        </w:rPr>
        <w:t>Restrictive Notes Legend</w:t>
      </w:r>
      <w:r>
        <w:rPr>
          <w:rFonts w:ascii="Times New Roman" w:cs="Times New Roman" w:eastAsia="Times New Roman" w:hAnsi="Times New Roman"/>
          <w:sz w:val="18"/>
          <w:szCs w:val="18"/>
          <w:color w:val="auto"/>
        </w:rPr>
        <w:t>”) (unless such Notes have been transferred pursuant to a registration statement that has become or been declared effective under the Securities Act and that continues to be effective at the time of such transfer, or, following the expiration of the Distribution Compliance Period, if applicable, sold pursuant to the exemption from registration provided by Rule 144 or any similar provision then in force under the Securities Act, or unless otherwise agreed by the Company in writing, with notice thereof to the Trustee):</w:t>
      </w:r>
    </w:p>
    <w:p>
      <w:pPr>
        <w:spacing w:after="0" w:line="189"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THIS SECURITY AND THE COMMON STOCK, IF ANY, ISSUABLE UPON CONVERSION OF THIS SECURITY HAVE NOT BEEN REGISTERED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MAY NOT BE OFFERED, SOLD, PLEDGED OR OTHERWISE TRANSFERRED EXCEPT IN ACCORDANCE WITH THE FOLLOWING SENTENCE. BY ITS ACQUISITION HEREOF OR OF A BENEFICIAL INTEREST HEREIN, THE ACQUIRER:</w:t>
      </w:r>
    </w:p>
    <w:p>
      <w:pPr>
        <w:spacing w:after="0" w:line="72" w:lineRule="exact"/>
        <w:rPr>
          <w:sz w:val="20"/>
          <w:szCs w:val="20"/>
          <w:color w:val="auto"/>
        </w:rPr>
      </w:pPr>
    </w:p>
    <w:p>
      <w:pPr>
        <w:ind w:left="440" w:right="160" w:firstLine="419"/>
        <w:spacing w:after="0" w:line="281" w:lineRule="auto"/>
        <w:tabs>
          <w:tab w:leader="none" w:pos="1118"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THAT IT AND ANY ACCOUNT FOR WHICH IT IS ACTING IS (A) A “QUALIFIED INSTITUTIONAL BUYER” (WITHIN THE MEANING OF RULE 144A UNDER THE SECURITIES ACT) OR (B) NOT A U.S. PERSON (AS DEFINED IN RULE 902 UNDER THE SECURITIES ACT) AND IS ACQUIRING THIS SECURITY IN AN OFFSHORE TRANSACTION IN COMPLIANCE WITH REGULATION S, AND THAT IT EXERCISES SOLE INVESTMENT DISCRETION WITH RESPECT TO EACH SUCH ACCOUNT, AND</w:t>
      </w:r>
    </w:p>
    <w:p>
      <w:pPr>
        <w:spacing w:after="0" w:line="52" w:lineRule="exact"/>
        <w:rPr>
          <w:rFonts w:ascii="Times New Roman" w:cs="Times New Roman" w:eastAsia="Times New Roman" w:hAnsi="Times New Roman"/>
          <w:sz w:val="17"/>
          <w:szCs w:val="17"/>
          <w:color w:val="auto"/>
        </w:rPr>
      </w:pPr>
    </w:p>
    <w:p>
      <w:pPr>
        <w:ind w:left="440" w:right="20" w:firstLine="419"/>
        <w:spacing w:after="0" w:line="259" w:lineRule="auto"/>
        <w:tabs>
          <w:tab w:leader="none" w:pos="111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FOR THE BENEFIT OF SYNDAX PHARMACEUTICALS,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THAT IT WILL NOT OFFER, SELL, PLEDGE OR OTHERWISE TRANSFER THIS SECURITY OR ANY BENEFICIAL INTEREST 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w:t>
      </w:r>
    </w:p>
    <w:p>
      <w:pPr>
        <w:spacing w:after="0" w:line="75"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OR ANY SUBSIDIARY THEREOF, OR</w:t>
      </w:r>
    </w:p>
    <w:p>
      <w:pPr>
        <w:spacing w:after="0" w:line="11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REGISTRATION STATEMENT THAT HAS BECOME EFFECTIVE UNDER THE SECURITIES ACT,</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w:t>
      </w:r>
    </w:p>
    <w:p>
      <w:pPr>
        <w:spacing w:after="0" w:line="98" w:lineRule="exact"/>
        <w:rPr>
          <w:rFonts w:ascii="Times New Roman" w:cs="Times New Roman" w:eastAsia="Times New Roman" w:hAnsi="Times New Roman"/>
          <w:sz w:val="18"/>
          <w:szCs w:val="18"/>
          <w:color w:val="auto"/>
        </w:rPr>
      </w:pPr>
    </w:p>
    <w:p>
      <w:pPr>
        <w:ind w:left="980" w:right="40" w:firstLine="408"/>
        <w:spacing w:after="0" w:line="282" w:lineRule="auto"/>
        <w:tabs>
          <w:tab w:leader="none" w:pos="166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PERSON IT REASONABLY BELIEVES TO BE A QUALIFIED INSTITUTIONAL BUYER IN COMPLIANCE WITH RULE 144A UNDER THE SECURITIES ACT,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66" w:right="479" w:bottom="1440" w:gutter="0" w:footer="0" w:header="0"/>
        </w:sectPr>
      </w:pPr>
    </w:p>
    <w:bookmarkStart w:id="32" w:name="page33"/>
    <w:bookmarkEnd w:id="32"/>
    <w:p>
      <w:pPr>
        <w:ind w:left="980" w:right="240" w:firstLine="408"/>
        <w:spacing w:after="0" w:line="282" w:lineRule="auto"/>
        <w:tabs>
          <w:tab w:leader="none" w:pos="167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OUTSIDE THE UNITED STATES, THROUGH OFFERS AND SALES THAT OCCUR OUTSIDE THE UNITED STATES WITHIN THE MEANING OF REGULATION S UNDER THE SECURITIES ACT, OR</w:t>
      </w:r>
    </w:p>
    <w:p>
      <w:pPr>
        <w:spacing w:after="0" w:line="53" w:lineRule="exact"/>
        <w:rPr>
          <w:rFonts w:ascii="Times New Roman" w:cs="Times New Roman" w:eastAsia="Times New Roman" w:hAnsi="Times New Roman"/>
          <w:sz w:val="18"/>
          <w:szCs w:val="18"/>
          <w:color w:val="auto"/>
        </w:rPr>
      </w:pPr>
    </w:p>
    <w:p>
      <w:pPr>
        <w:ind w:left="980" w:right="160" w:firstLine="408"/>
        <w:spacing w:after="0" w:line="266" w:lineRule="auto"/>
        <w:tabs>
          <w:tab w:leader="none" w:pos="165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EXEMPTION FROM REGISTRATION PROVIDED BY RULE 144 UNDER THE SECURITIES ACT (IF AVAILABLE) OR ANY OTHER AVAILABLE EXEMPTION FROM THE REGISTRATION REQUIREMENTS OF THE SECURITIES ACT.</w:t>
      </w:r>
    </w:p>
    <w:p>
      <w:pPr>
        <w:spacing w:after="0" w:line="176" w:lineRule="exact"/>
        <w:rPr>
          <w:sz w:val="20"/>
          <w:szCs w:val="20"/>
          <w:color w:val="auto"/>
        </w:rPr>
      </w:pPr>
    </w:p>
    <w:p>
      <w:pPr>
        <w:jc w:val="both"/>
        <w:ind w:right="140" w:firstLine="440"/>
        <w:spacing w:after="0" w:line="277" w:lineRule="auto"/>
        <w:rPr>
          <w:sz w:val="20"/>
          <w:szCs w:val="20"/>
          <w:color w:val="auto"/>
        </w:rPr>
      </w:pPr>
      <w:r>
        <w:rPr>
          <w:rFonts w:ascii="Times New Roman" w:cs="Times New Roman" w:eastAsia="Times New Roman" w:hAnsi="Times New Roman"/>
          <w:sz w:val="17"/>
          <w:szCs w:val="17"/>
          <w:color w:val="auto"/>
        </w:rPr>
        <w:t>PRIOR TO THE REGISTRATION OF ANY TRANSFER IN ACCORDANCE WITH CLAUSE (2)(E) ABOVE, THE COMPANY AND THE TRUSTEE RESERVE THE RIGHT TO REQUIRE THE DELIVERY OF SUCH LEGAL OPINIONS, CERTIFICATIONS OR OTHER EVIDENCE AS MAY REASONABLY BE REQUIRED IN ORDER FOR THE COMPANY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68"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HEDGING TRANSACTIONS INVOLVING THIS SECURITY AND THE COMMON STOCK, IF ANY, ISSUABLE UPON CONVERSION OF THIS SECURITY MAY NOT BE CONDUCTED UNLESS IN COMPLIANCE WITH THE SECURITIES ACT.</w:t>
      </w:r>
    </w:p>
    <w:p>
      <w:pPr>
        <w:spacing w:after="0" w:line="16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No transfer of any Note prior to the Resale Restriction Termination Date will be registered by the Note Registrar unless the applicable box on the Form of Assignment and Transfer has been checked.</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Any Note (or security issued in exchange or substitution therefor) (i) as to which such restrictions on transfer shall have expired in accordance with their terms, (ii) that has been transferred pursuant to a registration statement that has become effective or been declared effective under the Securities Act and that continues to be effective at the time of such transfer or (iii) that, following the expiration of the Distribution Compliance Period, if applicable, has been sold pursuant to the exemption from registration provided by Rule 144 or any similar provision then in force under the Securities Act, may, upon surrender of such Note for exchange to the Note Registrar in accordance with the provisions of this Section 2.05, be exchanged for a new Note or Notes, of like tenor and aggregate principal amount, which shall not bear the Restrictive Notes Legend required by this Section 2.05(c) and shall not be assigned a restricted CUSIP number. The Company shall be entitled to instruct the Custodian in writing to so surrender any Global Note as to which any of the conditions set forth in clause (i) through (iii) of the immediately preceding sentence have been satisfied, and, upon such instruction, the Custodian shall so surrender such Global Note for exchange; and any new Global Note so exchanged therefor shall not bear the Restrictive Notes Legend specified in this Section 2.05(c) and shall not be assigned a restricted CUSIP number. In addition, the Company may effect the removal of the Restrictive Notes Legend upon the Company’s delivery to the Trustee of written notice to such effect, whereupon the Restrictive Notes Legend set forth above and affixed on any Note shall be</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40"/>
          </w:cols>
          <w:pgMar w:left="440" w:top="270" w:right="519" w:bottom="1440" w:gutter="0" w:footer="0" w:header="0"/>
        </w:sectPr>
      </w:pPr>
    </w:p>
    <w:bookmarkStart w:id="33" w:name="page34"/>
    <w:bookmarkEnd w:id="33"/>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deemed, in accordance with the terms of the certificate representing such Note, to be removed therefrom without further action by the Company, the Trustee, the Holder(s) thereof or any other Person; at such time, such Note shall be deemed to be assigned an unrestricted CUSIP number as provided in the certificate representing such Note, it being understood, including for purposes of Section 4.06(e), that the Depositary of any Global Note may require a mandatory exchange or other process to cause such Global Note to be identified by an unrestricted CUSIP number in the facilities of such Depositary. The Company shall promptly notify the Trustee in writing upon the occurrence of the Resale Restriction Termination Date and promptly after a registration statement, if any, with respect to the Notes or any Common Stock issued upon conversion of the Notes has become or been declared effective under the Securities Act.</w:t>
      </w:r>
    </w:p>
    <w:p>
      <w:pPr>
        <w:spacing w:after="0" w:line="189" w:lineRule="exact"/>
        <w:rPr>
          <w:sz w:val="20"/>
          <w:szCs w:val="20"/>
          <w:color w:val="auto"/>
        </w:rPr>
      </w:pPr>
    </w:p>
    <w:p>
      <w:pPr>
        <w:ind w:right="20" w:firstLine="440"/>
        <w:spacing w:after="0" w:line="281" w:lineRule="auto"/>
        <w:rPr>
          <w:sz w:val="20"/>
          <w:szCs w:val="20"/>
          <w:color w:val="auto"/>
        </w:rPr>
      </w:pPr>
      <w:r>
        <w:rPr>
          <w:rFonts w:ascii="Times New Roman" w:cs="Times New Roman" w:eastAsia="Times New Roman" w:hAnsi="Times New Roman"/>
          <w:sz w:val="17"/>
          <w:szCs w:val="17"/>
          <w:color w:val="auto"/>
        </w:rPr>
        <w:t>Notwithstanding any other provisions of this Indenture (other than the provisions set forth in this Section 2.05(c)), a Global Note may not be transferred as a whole or in part except (i) by the Depositary to a nominee of the Depositary or by a nominee of the Depositary to the Depositary or another nominee of the Depositary or by the Depositary or any such nominee to a successor Depositary or a nominee of such successor Depositary and (ii) for exchange of a Global Note or a portion thereof for one or more Physical Notes in accordance with the second immediately succeeding paragraph.</w:t>
      </w:r>
    </w:p>
    <w:p>
      <w:pPr>
        <w:spacing w:after="0" w:line="164"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The Depositary shall be a clearing agency registered under the Exchange Act. The Company initially appoints The Depository Trust Company to act as Depositary with respect to each Global Note. Initially, each Global Note shall be issued to the Depositary, registered in the name of Cede &amp; Co., as the nominee of the Depositary, and deposited with the Trustee as custodian for Cede &amp; Co.</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If (i) the Depositary notifies the Company at any time that the Depositary is unwilling or unable to continue as depositary for the Global Notes and a successor Depositary is not appointed within 90 days, (ii) the Depositary ceases to be registered as a clearing agency under the Exchange Act and a successor Depositary is not appointed within 90 days or (iii) an Event of Default with respect to the Notes has occurred and is continuing and, subject to the Depositary’s applicable procedures, a beneficial owner of any Note requests that its beneficial interest therein be issued as a Physical Note, the Company shall execute, and the Trustee, upon receipt of an Officer’s Certificate and a Company Order for the authentication and delivery of Notes, shall authenticate and deliver (x) in the case of clause (iii), a Physical Note to such beneficial owner in a principal amount equal to the principal amount of such Note corresponding to such beneficial owner’s beneficial interest and (y) in the case of clause (i) or (ii), Physical Notes to each beneficial owner of the related Global Notes (or a portion thereof) in an aggregate principal amount equal to the aggregate principal amount of such Global Notes in exchange for such Global Notes, and upon delivery of the Global Notes to the Trustee such Global Notes shall be canceled.</w:t>
      </w:r>
    </w:p>
    <w:p>
      <w:pPr>
        <w:spacing w:after="0" w:line="188"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Physical Notes issued in exchange for all or a part of the Global Note pursuant to this Section 2.05(c) shall be registered in such names and in such authorized denominations as the Depositary, pursuant to instructions from its direct or indirect participants or otherwise, or, in the case of clause (iii) of the immediately preceding paragraph, the relevant beneficial owner, shall instruct the Trustee in writing. Upon execution and authentication, the Trustee shall deliver such Physical Notes to the Persons in whose names such Physical Notes are so registered.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34" w:name="page35"/>
    <w:bookmarkEnd w:id="34"/>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such time as all interests in a Global Note have been converted, canceled, repurchased upon a Fundamental Change, redeemed or transferred, such Global Note shall be, upon receipt thereof, canceled by the Trustee in accordance with standing procedures and existing instructions between the Depositary and the Custodian. At any time prior to such cancellation, if any interest in a Global Note is exchanged for Physical Notes, converted, canceled, repurchased upon a Fundamental Change, redeemed or transferred to a transferee who receives Physical Notes therefor or any Physical Note is exchanged or transferred for part of such Global Note, the principal amount of such Global Note shall, in accordance with the standing procedures and instructions existing between the Depositary and the Custodian, be appropriately reduced or increased, as the case may be, and an endorsement shall be made on such Global Note, by the Trustee or the Custodian, at the direction of the Trustee, to reflect such reduction or increase.</w:t>
      </w:r>
    </w:p>
    <w:p>
      <w:pPr>
        <w:spacing w:after="0" w:line="189"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None of the Company, the Trustee or any agent of the Company or the Trustee shall have any responsibility or liability for any act or omission of the Depositary or for the payment of amounts to owners of beneficial interests in a Global Note, for any aspect of the records relating to or payments made on account of those interests by the Depositary, or for maintaining, supervising or reviewing any records of the Depositary relating to those interests.</w:t>
      </w:r>
    </w:p>
    <w:p>
      <w:pPr>
        <w:spacing w:after="0" w:line="180" w:lineRule="exact"/>
        <w:rPr>
          <w:sz w:val="20"/>
          <w:szCs w:val="20"/>
          <w:color w:val="auto"/>
        </w:rPr>
      </w:pPr>
    </w:p>
    <w:p>
      <w:pPr>
        <w:ind w:right="20" w:firstLine="987"/>
        <w:spacing w:after="0" w:line="254" w:lineRule="auto"/>
        <w:tabs>
          <w:tab w:leader="none" w:pos="124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Resale Restriction Termination Date, any stock certificate representing Common Stock issued upon conversion of a Note shall bear a legend in substantially the following form (unless such Common Stock has been transferred pursuant to a registration statement that has become or been declared effective under the Securities Act and that continues to be effective at the time of such transfer, or, following the expiration of the Distribution Compliance Period, if applicable, pursuant to the exemption from registration provided by Rule 144 or any similar provision then in force under the Securities Act, or such Common Stock has been issued upon conversion of a Note that has been transferred pursuant to a registration statement that has become or been declared effective under the Securities Act and that continues to be effective at the time of such transfer, or, following the expiration of the Distribution Compliance Period, if applicable, pursuant to the exemption from registration provided by Rule 144 or any similar provision then in force under the Securities Act, or unless otherwise agreed by the Company with written notice thereof to the Trustee and any transfer agent for the Common Stock):</w:t>
      </w:r>
    </w:p>
    <w:p>
      <w:pPr>
        <w:spacing w:after="0" w:line="184"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THIS SECURITY HAS NOT BEEN REGISTERED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MAY NOT BE OFFERED, SOLD, PLEDGED OR OTHERWISE TRANSFERRED EXCEPT IN ACCORDANCE WITH THE FOLLOWING SENTENCE. BY ITS ACQUISITION HEREOF OR OF A BENEFICIAL INTEREST HEREIN, THE ACQUIRER:</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35" w:name="page36"/>
    <w:bookmarkEnd w:id="35"/>
    <w:p>
      <w:pPr>
        <w:jc w:val="both"/>
        <w:ind w:left="440" w:right="120" w:firstLine="419"/>
        <w:spacing w:after="0" w:line="281" w:lineRule="auto"/>
        <w:tabs>
          <w:tab w:leader="none" w:pos="1118"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REPRESENTS THAT IT AND ANY ACCOUNT FOR WHICH IT IS ACTING IS (A) A “QUALIFIED INSTITUTIONAL BUYER” (WITHIN THE MEANING OF RULE 144A UNDER THE SECURITIES ACT) OR (B) NOT A U.S. PERSON (AS DEFINED IN RULE 902 UNDER THE SECURITIES ACT) AND IS ACQUIRING THIS SECURITY IN AN OFFSHORE TRANSACTION IN COMPLIANCE WITH REGULATION S, AND THAT IT EXERCISES SOLE INVESTMENT DISCRETION WITH RESPECT TO EACH SUCH ACCOUNT, AND</w:t>
      </w:r>
    </w:p>
    <w:p>
      <w:pPr>
        <w:spacing w:after="0" w:line="52" w:lineRule="exact"/>
        <w:rPr>
          <w:rFonts w:ascii="Times New Roman" w:cs="Times New Roman" w:eastAsia="Times New Roman" w:hAnsi="Times New Roman"/>
          <w:sz w:val="17"/>
          <w:szCs w:val="17"/>
          <w:color w:val="auto"/>
        </w:rPr>
      </w:pPr>
    </w:p>
    <w:p>
      <w:pPr>
        <w:ind w:left="440" w:right="280" w:firstLine="419"/>
        <w:spacing w:after="0" w:line="257" w:lineRule="auto"/>
        <w:tabs>
          <w:tab w:leader="none" w:pos="110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FOR THE BENEFIT OF SYNDAX PHARMACEUTICALS,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THAT IT WILL NOT OFFER, SELL, PLEDGE OR OTHERWISE TRANSFER THIS SECURITY OR ANY BENEFICIAL INTEREST HEREIN PRIOR TO THE DATE THAT IS THE LATER OF (X) ONE YEAR AFTER THE LAST ORIGINAL ISSUE DATE OF THE SERIES OF NOTES UPON THE CONVERSION OF WHICH THIS SECURITY WAS ISSUED OR SUCH SHORTER PERIOD OF TIME AS PERMITTED BY RULE 144 UNDER THE SECURITIES ACT OR ANY SUCCESSOR PROVISION THERETO AND (Y) SUCH LATER DATE, IF ANY, AS MAY BE REQUIRED BY APPLICABLE LAW, EXCEPT:</w:t>
      </w:r>
    </w:p>
    <w:p>
      <w:pPr>
        <w:spacing w:after="0" w:line="78"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OR ANY SUBSIDIARY THEREOF, OR</w:t>
      </w:r>
    </w:p>
    <w:p>
      <w:pPr>
        <w:spacing w:after="0" w:line="11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REGISTRATION STATEMENT THAT HAS BECOME EFFECTIVE UNDER THE SECURITIES ACT,</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w:t>
      </w:r>
    </w:p>
    <w:p>
      <w:pPr>
        <w:spacing w:after="0" w:line="98" w:lineRule="exact"/>
        <w:rPr>
          <w:rFonts w:ascii="Times New Roman" w:cs="Times New Roman" w:eastAsia="Times New Roman" w:hAnsi="Times New Roman"/>
          <w:sz w:val="18"/>
          <w:szCs w:val="18"/>
          <w:color w:val="auto"/>
        </w:rPr>
      </w:pPr>
    </w:p>
    <w:p>
      <w:pPr>
        <w:ind w:left="980" w:firstLine="408"/>
        <w:spacing w:after="0" w:line="282" w:lineRule="auto"/>
        <w:tabs>
          <w:tab w:leader="none" w:pos="166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PERSON IT REASONABLY BELIEVES TO BE A QUALIFIED INSTITUTIONAL BUYER IN COMPLIANCE WITH RULE 144A UNDER THE SECURITIES ACT, OR</w:t>
      </w:r>
    </w:p>
    <w:p>
      <w:pPr>
        <w:spacing w:after="0" w:line="53" w:lineRule="exact"/>
        <w:rPr>
          <w:rFonts w:ascii="Times New Roman" w:cs="Times New Roman" w:eastAsia="Times New Roman" w:hAnsi="Times New Roman"/>
          <w:sz w:val="18"/>
          <w:szCs w:val="18"/>
          <w:color w:val="auto"/>
        </w:rPr>
      </w:pPr>
    </w:p>
    <w:p>
      <w:pPr>
        <w:ind w:left="980" w:right="240" w:firstLine="408"/>
        <w:spacing w:after="0" w:line="282" w:lineRule="auto"/>
        <w:tabs>
          <w:tab w:leader="none" w:pos="167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OUTSIDE THE UNITED STATES, THROUGH OFFERS AND SALES THAT OCCUR OUTSIDE THE UNITED STATES WITHIN THE MEANING OF REGULATION S UNDER THE SECURITIES ACT, OR</w:t>
      </w:r>
    </w:p>
    <w:p>
      <w:pPr>
        <w:spacing w:after="0" w:line="53" w:lineRule="exact"/>
        <w:rPr>
          <w:rFonts w:ascii="Times New Roman" w:cs="Times New Roman" w:eastAsia="Times New Roman" w:hAnsi="Times New Roman"/>
          <w:sz w:val="18"/>
          <w:szCs w:val="18"/>
          <w:color w:val="auto"/>
        </w:rPr>
      </w:pPr>
    </w:p>
    <w:p>
      <w:pPr>
        <w:ind w:left="980" w:right="280" w:firstLine="408"/>
        <w:spacing w:after="0" w:line="266" w:lineRule="auto"/>
        <w:tabs>
          <w:tab w:leader="none" w:pos="165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EXEMPTION FROM REGISTRATION PROVIDED BY RULE 144 (IF AVAILABLE) UNDER THE SECURITIES ACT OR ANY OTHER AVAILABLE EXEMPTION FROM THE REGISTRATION REQUIREMENTS OF THE SECURITIES ACT.</w:t>
      </w:r>
    </w:p>
    <w:p>
      <w:pPr>
        <w:spacing w:after="0" w:line="176"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PRIOR TO THE REGISTRATION OF ANY TRANSFER IN ACCORDANCE WITH CLAUSE (2)(E) ABOVE, THE COMPANY AND THE TRANSFER AGENT FOR THE COMPANY’S COMMON STOCK RESERVE THE RIGHT TO REQUIRE THE DELIVERY OF SUCH LEGAL OPINIONS, CERTIFICATIONS OR OTHER EVIDENCE AS MAY REASONABLY BE REQUIRED IN ORDER FOR THE COMPANY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40"/>
          </w:cols>
          <w:pgMar w:left="440" w:top="270" w:right="519" w:bottom="1440" w:gutter="0" w:footer="0" w:header="0"/>
        </w:sectPr>
      </w:pPr>
    </w:p>
    <w:bookmarkStart w:id="36" w:name="page37"/>
    <w:bookmarkEnd w:id="36"/>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HEDGING TRANSACTIONS INVOLVING THIS SECURITY MAY NOT BE CONDUCTED UNLESS IN COMPLIANCE WITH THE SECURITIES ACT.</w:t>
      </w:r>
    </w:p>
    <w:p>
      <w:pPr>
        <w:spacing w:after="0" w:line="16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Any such Common Stock (i) as to which such restrictions on transfer shall have expired in accordance with their terms, (ii) that, following the expiration of the Distribution Compliance Period, if applicable, has been transferred pursuant to a registration statement that has become or been declared effective under the Securities Act and that continues to be effective at the time of such transfer or (iii) that has been sold pursuant to the exemption from registration provided by Rule 144 or any similar provision then in force under the Securities Act, may, upon surrender of the certificates representing such shares of Common Stock for exchange in accordance with the procedures of the transfer agent for the Common Stock, be exchanged for a new certificate or certificates for a like aggregate number of shares of Common Stock, which shall not bear the restrictive legend required by this Section 2.05(d).</w:t>
      </w:r>
    </w:p>
    <w:p>
      <w:pPr>
        <w:spacing w:after="0" w:line="18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Note (including any transfers between or among Depositary participants or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75" w:lineRule="exact"/>
        <w:rPr>
          <w:sz w:val="20"/>
          <w:szCs w:val="20"/>
          <w:color w:val="auto"/>
        </w:rPr>
      </w:pPr>
    </w:p>
    <w:p>
      <w:pPr>
        <w:ind w:right="40" w:firstLine="436"/>
        <w:spacing w:after="0" w:line="258" w:lineRule="auto"/>
        <w:tabs>
          <w:tab w:leader="none" w:pos="6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Note or restricted Common Stock issued upon the conversion or exchange of a Note that is repurchased or owned by the Company or any Affiliate of the Company (or any Person who was an Affiliate of the Company at any time during the three months immediately preceding) may not be resold by the Company or such Affiliate (or such Person, as the case may be) unless registered under the Securities Act or resold pursuant to an exemption from the registration requirements of the Securities Act in a transaction that results in such Note or Common Stock, as the case may be, no longer being a “restricted security” (as defined under Rule 144).</w:t>
      </w:r>
    </w:p>
    <w:p>
      <w:pPr>
        <w:spacing w:after="0" w:line="75" w:lineRule="exact"/>
        <w:rPr>
          <w:rFonts w:ascii="Times New Roman" w:cs="Times New Roman" w:eastAsia="Times New Roman" w:hAnsi="Times New Roman"/>
          <w:sz w:val="18"/>
          <w:szCs w:val="18"/>
          <w:color w:val="auto"/>
        </w:rPr>
      </w:pPr>
    </w:p>
    <w:p>
      <w:pPr>
        <w:ind w:right="60" w:firstLine="436"/>
        <w:spacing w:after="0" w:line="255" w:lineRule="auto"/>
        <w:tabs>
          <w:tab w:leader="none" w:pos="66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during the Distribution Compliance Period, the Company may refuse to register any transfer of the Notes (or any shares of Common Stock issuable upon conversion thereof) not made in accordance with the provisions of Regulation S under the Securities Act (§§ 230.901 through 230.905)), pursuant to registration under the Securities Act, or pursuant to an available exemption from registration; provided, however, that if foreign law prevents the Company from refusing to register securities transfers, the Notes (or any shares of Common Stock issuable upon conversion thereof) shall include the restrictive legends required by Section 2.05(c) and Section 2.05(d) to prevent any transfer of the Notes (or any shares of Common Stock issuable upon conversion thereof) not made in accordance with the provisions of Regulation S under the Securities Act.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0"/>
          </w:cols>
          <w:pgMar w:left="440" w:top="270" w:right="479" w:bottom="1440" w:gutter="0" w:footer="0" w:header="0"/>
        </w:sectPr>
      </w:pPr>
    </w:p>
    <w:bookmarkStart w:id="37" w:name="page38"/>
    <w:bookmarkEnd w:id="37"/>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2.06</w:t>
      </w:r>
      <w:r>
        <w:rPr>
          <w:rFonts w:ascii="Times New Roman" w:cs="Times New Roman" w:eastAsia="Times New Roman" w:hAnsi="Times New Roman"/>
          <w:sz w:val="18"/>
          <w:szCs w:val="18"/>
          <w:i w:val="1"/>
          <w:iCs w:val="1"/>
          <w:color w:val="auto"/>
        </w:rPr>
        <w:t>. Mutilated, Destroyed, Lost or Stolen Notes.</w:t>
      </w:r>
      <w:r>
        <w:rPr>
          <w:rFonts w:ascii="Times New Roman" w:cs="Times New Roman" w:eastAsia="Times New Roman" w:hAnsi="Times New Roman"/>
          <w:sz w:val="18"/>
          <w:szCs w:val="18"/>
          <w:color w:val="auto"/>
        </w:rPr>
        <w:t xml:space="preserve"> In case any Note shall become mutilated or be destroyed, lost or stolen, the Company in its discretion may execute, and upon its written request the Trustee or an authenticating agent appointed by the Trustee shall authenticate and deliver, a new Note, bearing a registration number not contemporaneously outstanding, in exchange and substitution for the mutilated Note, or in lieu of and in substitution for the Note so destroyed, lost or stolen. In every case the applicant for a substituted Note shall furnish to the Company, to the Trustee and, if applicable, to such authenticating agent such security or indemnity as may be required by them to save each of them harmless from any loss, claim, liability, cost or expense caused by or connected with such substitution, and, in every case of destruction, loss or theft, the applicant shall also furnish to the Company, to the Trustee and, if applicable, to such authenticating agent evidence to their satisfaction of the destruction, loss or theft of such Note and of the ownership thereof.</w:t>
      </w:r>
    </w:p>
    <w:p>
      <w:pPr>
        <w:spacing w:after="0" w:line="187"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The Trustee or such authenticating agent may authenticate any such substituted Note and deliver the same upon the receipt of such security or indemnity as the Trustee, the Company and, if applicable, such authenticating agent may require. No service charge shall be imposed by the Company, the Trustee, the Note Registrar, any co-Note Registrar or the Paying Agent upon the issuance of any substitute Note, but the Company may require a Holder to pay a sum sufficient to cover any documentary, stamp or similar issue or transfer tax required in connection therewith as a result of the name of the Holder of the new substitute Note being different from the name of the Holder of the old Note that became mutilated or was destroyed, lost or stolen. In case any Note that has matured or is about to mature or has been surrendered for required repurchase upon a Fundamental Change or is about to be converted in accordance with Article 14 shall become mutilated or be destroyed, lost or stolen, the Company may, in its sole discretion, instead of issuing a substitute Note, pay or authorize the payment of or convert or authorize the conversion of the same (without surrender thereof except in the case of a mutilated Note), as the case may be, if the applicant for such payment or conversion shall furnish to the Company, to the Trustee and, if applicable, to such authenticating agent such security or indemnity as may be required by them to save each of them harmless for any loss, claim, liability, cost or expense caused by or connected with such substitution, and, in every case of destruction, loss or theft, evidence satisfactory to the Company, the Trustee and, if applicable, any Paying Agent or Conversion Agent evidence of their satisfaction of the destruction, loss or theft of such Note and of the ownership thereof.</w:t>
      </w:r>
    </w:p>
    <w:p>
      <w:pPr>
        <w:spacing w:after="0" w:line="18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Every substitute Note issued pursuant to the provisions of this Section 2.06 by virtue of the fact that any Note is destroyed, lost or stolen shall constitute an additional contractual obligation of the Company, whether or not the destroyed, lost or stolen Note shall be found at any time, and shall be entitled to all the benefits of (but shall be subject to all the limitations set forth in) this Indenture equally and proportionately with any and all other Notes duly issued hereunder. To the extent permitted by law, all Notes shall be held and owned upon the express condition that the foregoing provisions are exclusive with respect to the replacement, payment,</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20"/>
          </w:cols>
          <w:pgMar w:left="440" w:top="268" w:right="539" w:bottom="1440" w:gutter="0" w:footer="0" w:header="0"/>
        </w:sectPr>
      </w:pPr>
    </w:p>
    <w:bookmarkStart w:id="38" w:name="page39"/>
    <w:bookmarkEnd w:id="38"/>
    <w:p>
      <w:pPr>
        <w:ind w:right="3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redemption, conversion or repurchase of mutilated, destroyed, lost or stolen Notes and shall preclude any and all other rights or remedies notwithstanding any law or statute existing or hereafter enacted to the contrary with respect to the replacement, payment, redemption, conversion or repurchase of negotiable instruments or other securities without their surrender.</w:t>
      </w:r>
    </w:p>
    <w:p>
      <w:pPr>
        <w:spacing w:after="0" w:line="174"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Section 2.07</w:t>
      </w:r>
      <w:r>
        <w:rPr>
          <w:rFonts w:ascii="Times New Roman" w:cs="Times New Roman" w:eastAsia="Times New Roman" w:hAnsi="Times New Roman"/>
          <w:sz w:val="18"/>
          <w:szCs w:val="18"/>
          <w:i w:val="1"/>
          <w:iCs w:val="1"/>
          <w:color w:val="auto"/>
        </w:rPr>
        <w:t>. Temporary Notes.</w:t>
      </w:r>
      <w:r>
        <w:rPr>
          <w:rFonts w:ascii="Times New Roman" w:cs="Times New Roman" w:eastAsia="Times New Roman" w:hAnsi="Times New Roman"/>
          <w:sz w:val="18"/>
          <w:szCs w:val="18"/>
          <w:color w:val="auto"/>
        </w:rPr>
        <w:t xml:space="preserve"> Pending the preparation of Physical Notes, the Company may execute and the Trustee or an authenticating agent appointed by the Trustee shall, upon written request of the Company, authenticate and deliver temporary Notes (printed or lithographed). Temporary Notes shall be issuable in any authorized denomination, and substantially in the form of the Physical Notes but with such omissions, insertions and variations as may be appropriate for temporary Notes, all as may be determined by the Company. Every such temporary Note shall be executed by the Company and authenticated by the Trustee or such authenticating agent upon the same conditions and in substantially the same manner, and with the same effect, as the Physical Notes. Without unreasonable delay, the Company shall execute and deliver to the Trustee or such authenticating agent Physical Notes (other than any Global Note) and thereupon any or all temporary Notes (other than any Global Note) may be surrendered in exchange therefor, at each office or agency maintained by the Company pursuant to Section 4.02 and the Trustee or such authenticating agent shall authenticate and deliver in exchange for such temporary Notes an equal aggregate principal amount of Physical Notes. Such exchange shall be made by the Company at its own expense and without any charge therefor. Until so exchanged, the temporary Notes shall in all respects be entitled to the same benefits and subject to the same limitations under this Indenture as Physical Notes authenticated and delivered hereunder.</w:t>
      </w:r>
    </w:p>
    <w:p>
      <w:pPr>
        <w:spacing w:after="0" w:line="19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Section 2.08</w:t>
      </w:r>
      <w:r>
        <w:rPr>
          <w:rFonts w:ascii="Times New Roman" w:cs="Times New Roman" w:eastAsia="Times New Roman" w:hAnsi="Times New Roman"/>
          <w:sz w:val="18"/>
          <w:szCs w:val="18"/>
          <w:i w:val="1"/>
          <w:iCs w:val="1"/>
          <w:color w:val="auto"/>
        </w:rPr>
        <w:t>. Cancellation of Notes Paid, Converted, Etc.</w:t>
      </w:r>
      <w:r>
        <w:rPr>
          <w:rFonts w:ascii="Times New Roman" w:cs="Times New Roman" w:eastAsia="Times New Roman" w:hAnsi="Times New Roman"/>
          <w:sz w:val="18"/>
          <w:szCs w:val="18"/>
          <w:color w:val="auto"/>
        </w:rPr>
        <w:t xml:space="preserve"> The Company shall cause all Notes surrendered for the purpose of payment at maturity, repurchase upon a Fundamental Change pursuant to Section 15.02, redemption, registration of transfer or exchange or conversion (other than any Notes exchanged pursuant to Section 14.12), if surrendered to the Company or any of its agents or Subsidiaries, to be surrendered to the Trustee for cancellation. All Notes delivered to the Trustee shall be canceled promptly by it in accordance with its customary procedures upon written request by the Company. Except for any Notes surrendered for registration of transfer or exchange, or as otherwise expressly permitted by any of the provisions of this Indenture, no Notes shall be authenticated in exchange for any Notes surrendered to the Trustee for cancellation. The Trustee shall dispose of canceled Notes in accordance with its customary procedures and, after such disposition, shall deliver evidence of such disposition to the Company, at the Company’s written request in a Company Order.</w:t>
      </w:r>
    </w:p>
    <w:p>
      <w:pPr>
        <w:spacing w:after="0" w:line="185" w:lineRule="exact"/>
        <w:rPr>
          <w:sz w:val="20"/>
          <w:szCs w:val="20"/>
          <w:color w:val="auto"/>
        </w:rPr>
      </w:pPr>
    </w:p>
    <w:p>
      <w:pPr>
        <w:ind w:right="40" w:firstLine="440"/>
        <w:spacing w:after="0" w:line="277" w:lineRule="auto"/>
        <w:rPr>
          <w:sz w:val="20"/>
          <w:szCs w:val="20"/>
          <w:color w:val="auto"/>
        </w:rPr>
      </w:pPr>
      <w:r>
        <w:rPr>
          <w:rFonts w:ascii="Times New Roman" w:cs="Times New Roman" w:eastAsia="Times New Roman" w:hAnsi="Times New Roman"/>
          <w:sz w:val="17"/>
          <w:szCs w:val="17"/>
          <w:color w:val="auto"/>
        </w:rPr>
        <w:t>Section 2.09</w:t>
      </w:r>
      <w:r>
        <w:rPr>
          <w:rFonts w:ascii="Times New Roman" w:cs="Times New Roman" w:eastAsia="Times New Roman" w:hAnsi="Times New Roman"/>
          <w:sz w:val="17"/>
          <w:szCs w:val="17"/>
          <w:i w:val="1"/>
          <w:iCs w:val="1"/>
          <w:color w:val="auto"/>
        </w:rPr>
        <w:t>. CUSIP Numbers.</w:t>
      </w:r>
      <w:r>
        <w:rPr>
          <w:rFonts w:ascii="Times New Roman" w:cs="Times New Roman" w:eastAsia="Times New Roman" w:hAnsi="Times New Roman"/>
          <w:sz w:val="17"/>
          <w:szCs w:val="17"/>
          <w:color w:val="auto"/>
        </w:rPr>
        <w:t xml:space="preserve"> The Company in issuing the Notes may use “CUSIP” numbers (if then generally in use), and, if so, the Trustee shall use “CUSIP” numbers in all notices issued to Holders as a convenience to such Holders;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Trustee shall have no liability for any defect in the “CUSIP” numbers as they appear on any Note, notice or elsewhere, and,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xml:space="preserve"> that any such notice may state that no representation is made as to the correctness of such numbers either as printed on the Notes or on such notice and that reliance may be placed only on the other identification numbers printed on the Notes. The Company shall promptly notify the Trustee in writing of any change in the “CUSIP” numbers.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39" w:name="page40"/>
    <w:bookmarkEnd w:id="39"/>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2.10</w:t>
      </w:r>
      <w:r>
        <w:rPr>
          <w:rFonts w:ascii="Times New Roman" w:cs="Times New Roman" w:eastAsia="Times New Roman" w:hAnsi="Times New Roman"/>
          <w:sz w:val="18"/>
          <w:szCs w:val="18"/>
          <w:i w:val="1"/>
          <w:iCs w:val="1"/>
          <w:color w:val="auto"/>
        </w:rPr>
        <w:t>. Additional Notes; Repurchases.</w:t>
      </w:r>
      <w:r>
        <w:rPr>
          <w:rFonts w:ascii="Times New Roman" w:cs="Times New Roman" w:eastAsia="Times New Roman" w:hAnsi="Times New Roman"/>
          <w:sz w:val="18"/>
          <w:szCs w:val="18"/>
          <w:color w:val="auto"/>
        </w:rPr>
        <w:t xml:space="preserve"> The Company may, without the consent of, or notice to, the Holders and notwithstanding Section 2.01, reopen this Indenture and issue additional Notes hereunder with the same terms as the Notes initially issued hereunder (other than differences in the issue date, the issue price, interest accrued prior to the issue date of such additional Notes and, if applicable, restrictions on transfer in respect of such additional Notes) in an unlimited aggregate principal 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such additional Notes are not fungible with the Notes initially issued hereunder for U.S. federal income tax or securities law purposes, such additional Notes shall have one or more separate CUSIP numbers. Prior to the issuance of any such additional Notes, the Company shall deliver to the Trustee a Company Order, an Officer’s Certificate and an Opinion of Counsel, such Officer’s Certificate and Opinion of Counsel to cover such matters, in addition to those required by Section 17.05, as the Trustee shall reasonably request. In addition, the Company may, to the extent permitted by law, and directly or indirectly (regardless of whether such Notes are surrendered to the Company), repurchase Notes in the open market or otherwise, whether by the Company or its Subsidiaries or through a privately negotiated transaction or public tender or exchange offer or through counterparties to private agreements, including by cash-settled swaps or other derivatives, in each case, without the consent of or notice to the Holders of the Notes. The Company may, at its option and to the extent permitted by applicable law, reissue, resell or surrender to the Trustee for cancellation any Notes that it may repurchase, in the case of a reissuance or resale, so long as such Notes do not constitute “restricted securities” (as defined under Rule 144) upon such reissuance or resale;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such reissued or resold Notes are not fungible with the Notes initially issued hereunder for U.S. federal income tax or securities law purposes, such reissued or resold Notes shall have one or more separate CUSIP numbers. Any Notes that the Company may repurchase shall be considered outstanding for all purposes under this Indenture (other than, at any time when such Notes are owned by the Company, by any Subsidiary thereof or by any Affiliate of the Company or any Subsidiary thereof, as set forth in Section 8.04) unless and until such time as the Company surrenders them to the Trustee for cancellation and, upon receipt of a Company Order, the Trustee shall cancel all Notes so surrendered.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ATISFACTION AND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ISCHARGE</w:t>
      </w:r>
    </w:p>
    <w:p>
      <w:pPr>
        <w:spacing w:after="0" w:line="20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Section 3.01</w:t>
      </w:r>
      <w:r>
        <w:rPr>
          <w:rFonts w:ascii="Times New Roman" w:cs="Times New Roman" w:eastAsia="Times New Roman" w:hAnsi="Times New Roman"/>
          <w:sz w:val="18"/>
          <w:szCs w:val="18"/>
          <w:i w:val="1"/>
          <w:iCs w:val="1"/>
          <w:color w:val="auto"/>
        </w:rPr>
        <w:t>. Satisfaction and Discharge.</w:t>
      </w:r>
      <w:r>
        <w:rPr>
          <w:rFonts w:ascii="Times New Roman" w:cs="Times New Roman" w:eastAsia="Times New Roman" w:hAnsi="Times New Roman"/>
          <w:sz w:val="18"/>
          <w:szCs w:val="18"/>
          <w:color w:val="auto"/>
        </w:rPr>
        <w:t xml:space="preserve"> (a) This Indenture and the Notes shall cease to be of further effect when (i) all Notes theretofore authenticated and delivered (other than (x) Notes which have been destroyed, lost or stolen and which have been replaced, paid or converted as provided in Section 2.06 and (y) Notes for whose payment money has heretofore been deposited in trust or segregated and held in trust by the Company and thereafter repaid to the Company or discharged from such trust, as provided in Section 4.04(d)) have been delivered to the Trustee for cancellation; or (ii) the Company has deposited with the Trustee or delivered to</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68" w:right="459" w:bottom="1440" w:gutter="0" w:footer="0" w:header="0"/>
        </w:sectPr>
      </w:pPr>
    </w:p>
    <w:bookmarkStart w:id="40" w:name="page41"/>
    <w:bookmarkEnd w:id="40"/>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Holders, as applicable, after the Notes have become due and payable, whether on the Maturity Date, any Redemption Date, any Fundamental Change Repurchase Date, upon conversion or otherwise, cash or cash and/or shares of Common Stock, solely to satisfy the Company’s Conversion Obligation, sufficient to pay all of the outstanding Notes and all other sums due and payable under this Indenture or the Notes by the Company; and (b) the Trustee upon request of the Company contained in an Officer’s Certificate and at the expense of the Company, shall execute such instruments reasonably requested by the Company acknowledging satisfaction and discharge of this Indenture, when the Company has delivered to the Trustee an Officer’s Certificate and an Opinion of Counsel, each stating that all conditions precedent herein provided for relating to the satisfaction and discharge of this Indenture have been complied with. Notwithstanding the satisfaction and discharge of this Indenture or the earlier resignation or removal of the Trustee, the obligations of the Company to the Trustee under Section 7.06 shall survive.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ARTICULAR</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OVENANTS OF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w:t>
      </w:r>
    </w:p>
    <w:p>
      <w:pPr>
        <w:spacing w:after="0" w:line="205" w:lineRule="exact"/>
        <w:rPr>
          <w:sz w:val="20"/>
          <w:szCs w:val="20"/>
          <w:color w:val="auto"/>
        </w:rPr>
      </w:pPr>
    </w:p>
    <w:p>
      <w:pPr>
        <w:ind w:right="100" w:firstLine="440"/>
        <w:spacing w:after="0" w:line="267" w:lineRule="auto"/>
        <w:rPr>
          <w:sz w:val="20"/>
          <w:szCs w:val="20"/>
          <w:color w:val="auto"/>
        </w:rPr>
      </w:pPr>
      <w:r>
        <w:rPr>
          <w:rFonts w:ascii="Times New Roman" w:cs="Times New Roman" w:eastAsia="Times New Roman" w:hAnsi="Times New Roman"/>
          <w:sz w:val="18"/>
          <w:szCs w:val="18"/>
          <w:color w:val="auto"/>
        </w:rPr>
        <w:t>Section 4.01</w:t>
      </w:r>
      <w:r>
        <w:rPr>
          <w:rFonts w:ascii="Times New Roman" w:cs="Times New Roman" w:eastAsia="Times New Roman" w:hAnsi="Times New Roman"/>
          <w:sz w:val="18"/>
          <w:szCs w:val="18"/>
          <w:i w:val="1"/>
          <w:iCs w:val="1"/>
          <w:color w:val="auto"/>
        </w:rPr>
        <w:t>. Payment of Principal and Interest.</w:t>
      </w:r>
      <w:r>
        <w:rPr>
          <w:rFonts w:ascii="Times New Roman" w:cs="Times New Roman" w:eastAsia="Times New Roman" w:hAnsi="Times New Roman"/>
          <w:sz w:val="18"/>
          <w:szCs w:val="18"/>
          <w:color w:val="auto"/>
        </w:rPr>
        <w:t xml:space="preserve"> The Company covenants and agrees that it will cause to be paid the principal (including the Redemption Price and the Fundamental Change Repurchase Price, if applicable) of, and accrued and unpaid interest on, each of the Notes at the places, at the respective times and in the manner provided herein and in the Notes.</w:t>
      </w:r>
    </w:p>
    <w:p>
      <w:pPr>
        <w:spacing w:after="0" w:line="175" w:lineRule="exact"/>
        <w:rPr>
          <w:sz w:val="20"/>
          <w:szCs w:val="20"/>
          <w:color w:val="auto"/>
        </w:rPr>
      </w:pPr>
    </w:p>
    <w:p>
      <w:pPr>
        <w:ind w:right="40" w:firstLine="440"/>
        <w:spacing w:after="0" w:line="281" w:lineRule="auto"/>
        <w:rPr>
          <w:sz w:val="20"/>
          <w:szCs w:val="20"/>
          <w:color w:val="auto"/>
        </w:rPr>
      </w:pPr>
      <w:r>
        <w:rPr>
          <w:rFonts w:ascii="Times New Roman" w:cs="Times New Roman" w:eastAsia="Times New Roman" w:hAnsi="Times New Roman"/>
          <w:sz w:val="17"/>
          <w:szCs w:val="17"/>
          <w:color w:val="auto"/>
        </w:rPr>
        <w:t>Any applicable withholding taxes (including backup withholding) may be withheld from payments of interest and payments upon conversion, redemption, repurchase or maturity of the Notes, or if any withholding taxes (including backup withholding) are paid on behalf of a Holder or beneficial owner, those withholding taxes may be withheld from or set off against payments of cash or Common Stock, if any, payable on the Notes (or, in some circumstances, any payments on the Common Stock) or sales proceeds payable to, or other funds or assets of, the Holder or beneficial owner.</w:t>
      </w:r>
    </w:p>
    <w:p>
      <w:pPr>
        <w:spacing w:after="0" w:line="162" w:lineRule="exact"/>
        <w:rPr>
          <w:sz w:val="20"/>
          <w:szCs w:val="20"/>
          <w:color w:val="auto"/>
        </w:rPr>
      </w:pPr>
    </w:p>
    <w:p>
      <w:pPr>
        <w:ind w:firstLine="440"/>
        <w:spacing w:after="0" w:line="275" w:lineRule="auto"/>
        <w:rPr>
          <w:sz w:val="20"/>
          <w:szCs w:val="20"/>
          <w:color w:val="auto"/>
        </w:rPr>
      </w:pPr>
      <w:r>
        <w:rPr>
          <w:rFonts w:ascii="Times New Roman" w:cs="Times New Roman" w:eastAsia="Times New Roman" w:hAnsi="Times New Roman"/>
          <w:sz w:val="17"/>
          <w:szCs w:val="17"/>
          <w:color w:val="auto"/>
        </w:rPr>
        <w:t>Section 4.02</w:t>
      </w:r>
      <w:r>
        <w:rPr>
          <w:rFonts w:ascii="Times New Roman" w:cs="Times New Roman" w:eastAsia="Times New Roman" w:hAnsi="Times New Roman"/>
          <w:sz w:val="17"/>
          <w:szCs w:val="17"/>
          <w:i w:val="1"/>
          <w:iCs w:val="1"/>
          <w:color w:val="auto"/>
        </w:rPr>
        <w:t>. Maintenance of Office or Agency.</w:t>
      </w:r>
      <w:r>
        <w:rPr>
          <w:rFonts w:ascii="Times New Roman" w:cs="Times New Roman" w:eastAsia="Times New Roman" w:hAnsi="Times New Roman"/>
          <w:sz w:val="17"/>
          <w:szCs w:val="17"/>
          <w:color w:val="auto"/>
        </w:rPr>
        <w:t xml:space="preserve"> The Company will maintain in the continental United States of America an office or agency where the Notes may be surrendered for registration of transfer or exchange or for presentation for payment or repurchase (“</w:t>
      </w:r>
      <w:r>
        <w:rPr>
          <w:rFonts w:ascii="Times New Roman" w:cs="Times New Roman" w:eastAsia="Times New Roman" w:hAnsi="Times New Roman"/>
          <w:sz w:val="17"/>
          <w:szCs w:val="17"/>
          <w:b w:val="1"/>
          <w:bCs w:val="1"/>
          <w:color w:val="auto"/>
        </w:rPr>
        <w:t>Paying Agent</w:t>
      </w:r>
      <w:r>
        <w:rPr>
          <w:rFonts w:ascii="Times New Roman" w:cs="Times New Roman" w:eastAsia="Times New Roman" w:hAnsi="Times New Roman"/>
          <w:sz w:val="17"/>
          <w:szCs w:val="17"/>
          <w:color w:val="auto"/>
        </w:rPr>
        <w:t>”) or for conversion (“</w:t>
      </w:r>
      <w:r>
        <w:rPr>
          <w:rFonts w:ascii="Times New Roman" w:cs="Times New Roman" w:eastAsia="Times New Roman" w:hAnsi="Times New Roman"/>
          <w:sz w:val="17"/>
          <w:szCs w:val="17"/>
          <w:b w:val="1"/>
          <w:bCs w:val="1"/>
          <w:color w:val="auto"/>
        </w:rPr>
        <w:t>Conversion Agent</w:t>
      </w:r>
      <w:r>
        <w:rPr>
          <w:rFonts w:ascii="Times New Roman" w:cs="Times New Roman" w:eastAsia="Times New Roman" w:hAnsi="Times New Roman"/>
          <w:sz w:val="17"/>
          <w:szCs w:val="17"/>
          <w:color w:val="auto"/>
        </w:rPr>
        <w:t>”) and where notices and demands to or upon the Company in respect of the Notes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or the office or agency of the Trustee in the continental United States of America.</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41" w:name="page42"/>
    <w:bookmarkEnd w:id="41"/>
    <w:p>
      <w:pPr>
        <w:ind w:right="20" w:firstLine="44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may also from time to time designate as co-Note Registrars one or more other offices or agencies where the Notes may be presented or surrendered for any or all such purposes and may from time to time rescind such designations;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 such designation or rescission shall in any manner relieve the Company of its obligation to maintain an office or agency in the continental United States of America for such purposes. The Company will give prompt written notice to the Trustee of any such designation or rescission and of any change in the location of any such other office or agency. The terms “</w:t>
      </w:r>
      <w:r>
        <w:rPr>
          <w:rFonts w:ascii="Times New Roman" w:cs="Times New Roman" w:eastAsia="Times New Roman" w:hAnsi="Times New Roman"/>
          <w:sz w:val="17"/>
          <w:szCs w:val="17"/>
          <w:b w:val="1"/>
          <w:bCs w:val="1"/>
          <w:color w:val="auto"/>
        </w:rPr>
        <w:t>Paying Agent</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Conversion Agent</w:t>
      </w:r>
      <w:r>
        <w:rPr>
          <w:rFonts w:ascii="Times New Roman" w:cs="Times New Roman" w:eastAsia="Times New Roman" w:hAnsi="Times New Roman"/>
          <w:sz w:val="17"/>
          <w:szCs w:val="17"/>
          <w:color w:val="auto"/>
        </w:rPr>
        <w:t>” include any such additional or other offices or agencies, as applicable.</w:t>
      </w:r>
    </w:p>
    <w:p>
      <w:pPr>
        <w:spacing w:after="0" w:line="168"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 Company hereby initially designates the Trustee as the Paying Agent, Note Registrar, Custodian and Conversion Agent and the Corporate Trust Office as the office or agency in the continental United States of America, where Notes may be surrendered for registration of transfer or exchange or for presentation for payment or repurchase or for conversion and where notices and demands to or upon the Company in respect of the Notes and this Indenture may be served; provided that the Corporate Trust Office shall not be a place for service of legal process for the Company.</w:t>
      </w:r>
    </w:p>
    <w:p>
      <w:pPr>
        <w:spacing w:after="0" w:line="178" w:lineRule="exact"/>
        <w:rPr>
          <w:sz w:val="20"/>
          <w:szCs w:val="20"/>
          <w:color w:val="auto"/>
        </w:rPr>
      </w:pPr>
    </w:p>
    <w:p>
      <w:pPr>
        <w:ind w:right="380" w:firstLine="440"/>
        <w:spacing w:after="0" w:line="284" w:lineRule="auto"/>
        <w:rPr>
          <w:sz w:val="20"/>
          <w:szCs w:val="20"/>
          <w:color w:val="auto"/>
        </w:rPr>
      </w:pPr>
      <w:r>
        <w:rPr>
          <w:rFonts w:ascii="Times New Roman" w:cs="Times New Roman" w:eastAsia="Times New Roman" w:hAnsi="Times New Roman"/>
          <w:sz w:val="18"/>
          <w:szCs w:val="18"/>
          <w:color w:val="auto"/>
        </w:rPr>
        <w:t>Section 4.03</w:t>
      </w:r>
      <w:r>
        <w:rPr>
          <w:rFonts w:ascii="Times New Roman" w:cs="Times New Roman" w:eastAsia="Times New Roman" w:hAnsi="Times New Roman"/>
          <w:sz w:val="18"/>
          <w:szCs w:val="18"/>
          <w:i w:val="1"/>
          <w:iCs w:val="1"/>
          <w:color w:val="auto"/>
        </w:rPr>
        <w:t>. Appointments to Fill Vacancies in Trustee’s Office.</w:t>
      </w:r>
      <w:r>
        <w:rPr>
          <w:rFonts w:ascii="Times New Roman" w:cs="Times New Roman" w:eastAsia="Times New Roman" w:hAnsi="Times New Roman"/>
          <w:sz w:val="18"/>
          <w:szCs w:val="18"/>
          <w:color w:val="auto"/>
        </w:rPr>
        <w:t xml:space="preserve"> The Company, whenever necessary to avoid or fill a vacancy in the office of Trustee, will appoint, in the manner provided in Section 7.09, a Trustee, so that there shall at all times be a Trustee hereunder.</w:t>
      </w:r>
    </w:p>
    <w:p>
      <w:pPr>
        <w:spacing w:after="0" w:line="158"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8"/>
          <w:szCs w:val="18"/>
          <w:color w:val="auto"/>
        </w:rPr>
        <w:t>Section 4.04</w:t>
      </w:r>
      <w:r>
        <w:rPr>
          <w:rFonts w:ascii="Times New Roman" w:cs="Times New Roman" w:eastAsia="Times New Roman" w:hAnsi="Times New Roman"/>
          <w:sz w:val="18"/>
          <w:szCs w:val="18"/>
          <w:i w:val="1"/>
          <w:iCs w:val="1"/>
          <w:color w:val="auto"/>
        </w:rPr>
        <w:t>. Provisions as to Paying Agent.</w:t>
      </w:r>
      <w:r>
        <w:rPr>
          <w:rFonts w:ascii="Times New Roman" w:cs="Times New Roman" w:eastAsia="Times New Roman" w:hAnsi="Times New Roman"/>
          <w:sz w:val="18"/>
          <w:szCs w:val="18"/>
          <w:color w:val="auto"/>
        </w:rPr>
        <w:t xml:space="preserve"> (a) If the Company shall appoint a Paying Agent other than the Trustee, the Company will cause such Paying Agent to execute and deliver to the Trustee an instrument in which such agent shall agree with the Trustee, subject to the provisions of this Section 4.04:</w:t>
      </w:r>
    </w:p>
    <w:p>
      <w:pPr>
        <w:spacing w:after="0" w:line="67" w:lineRule="exact"/>
        <w:rPr>
          <w:sz w:val="20"/>
          <w:szCs w:val="20"/>
          <w:color w:val="auto"/>
        </w:rPr>
      </w:pPr>
    </w:p>
    <w:p>
      <w:pPr>
        <w:ind w:left="440" w:right="180" w:firstLine="419"/>
        <w:spacing w:after="0" w:line="282" w:lineRule="auto"/>
        <w:tabs>
          <w:tab w:leader="none" w:pos="107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hold all sums held by it as such agent for the payment of the principal (including the Redemption Price and the Fundamental Change Repurchase Price, if applicable) of, and accrued and unpaid interest on, the Notes in trust for the benefit of the Holders;</w:t>
      </w:r>
    </w:p>
    <w:p>
      <w:pPr>
        <w:spacing w:after="0" w:line="53"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12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give the Trustee prompt written notice of any failure by the Company to make any payment of the principal (including the Redemption Price and the Fundamental Change Repurchase Price, if applicable) of, and accrued and unpaid interest on, the Notes when the same shall be due and payable; and</w:t>
      </w:r>
    </w:p>
    <w:p>
      <w:pPr>
        <w:spacing w:after="0" w:line="67"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7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at any time during the continuance of an Event of Default, upon request of the Trustee, it will forthwith pay to the Trustee all sums so held in trust.</w:t>
      </w:r>
    </w:p>
    <w:p>
      <w:pPr>
        <w:spacing w:after="0" w:line="162"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Company shall, on or before each due date of the principal (including the Redemption Price and the Fundamental Change Repurchase Price, if applicable) of, or accrued and unpaid interest on, the Notes, deposit with the Paying Agent a sum sufficient to pay such principal (including the Redemption Price and the Fundamental Change Repurchase Price, if applicable) or accrued and unpaid interest, and (unless such Paying Agent is the Trustee) the Company will promptly notify the Trustee in writing of any failure to take such 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deposit is made on the due date, such deposit must be received by the Paying Agent by 11:00 a.m., New York City time, on such date.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42" w:name="page43"/>
    <w:bookmarkEnd w:id="42"/>
    <w:p>
      <w:pPr>
        <w:ind w:right="140" w:firstLine="436"/>
        <w:spacing w:after="0" w:line="256" w:lineRule="auto"/>
        <w:tabs>
          <w:tab w:leader="none" w:pos="6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Company shall act as its own Paying Agent, it will, on or before each due date of the principal (including the Redemption Price and the Fundamental Change Repurchase Price, if applicable) of, and accrued and unpaid interest on, the Notes, set aside, segregate and hold in trust for the benefit of the Holders of the Notes a sum sufficient to pay such principal (including the Redemption Price and the Fundamental Change Repurchase Price, if applicable) and accrued and unpaid interest so becoming due and will promptly notify the Trustee in writing of any failure to take such action and of any failure by the Company to make any payment of the principal (including the Redemption Price and the Fundamental Change Repurchase Price, if applicable) of, or accrued and unpaid interest on, the Notes when the same shall become due and payable.</w:t>
      </w:r>
    </w:p>
    <w:p>
      <w:pPr>
        <w:spacing w:after="0" w:line="79" w:lineRule="exact"/>
        <w:rPr>
          <w:rFonts w:ascii="Times New Roman" w:cs="Times New Roman" w:eastAsia="Times New Roman" w:hAnsi="Times New Roman"/>
          <w:sz w:val="18"/>
          <w:szCs w:val="18"/>
          <w:color w:val="auto"/>
        </w:rPr>
      </w:pPr>
    </w:p>
    <w:p>
      <w:pPr>
        <w:ind w:right="80" w:firstLine="436"/>
        <w:spacing w:after="0" w:line="258" w:lineRule="auto"/>
        <w:tabs>
          <w:tab w:leader="none" w:pos="6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Section 4.04 to the contrary notwithstanding, the Company may, at any time, for the purpose of obtaining a satisfaction and discharge of this Indenture, or for any other reason, pay, cause to be paid or deliver to the Trustee all sums or amounts held in trust by the Company or any Paying Agent hereunder as required by this Section 4.04, such sums or amounts to be held by the Trustee upon the trusts herein contained and upon such payment or delivery by the Company or any Paying Agent to the Trustee, the Company or such Paying Agent shall be released from all further liability but only with respect to such sums or amounts.</w:t>
      </w:r>
    </w:p>
    <w:p>
      <w:pPr>
        <w:spacing w:after="0" w:line="75"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escheatment laws, any money and shares of Common Stock deposited with the Trustee or any Paying Agent, or then held by the Company, in trust for the payment of the principal (including the Redemption Price and the Fundamental Change Repurchase Price, if applicable) of, accrued and unpaid interest on and the consideration due upon conversion of any Note and remaining unclaimed for two years after such principal (including the Redemption Price and the Fundamental Change Repurchase Price, if applicable), interest or consideration due upon conversion has become due and payable shall be paid to the Company on request of the Company contained in an Officer’s Certificate, or (if then held by the Company) shall be discharged from such trust; and the Holder of such Note shall thereafter, as an unsecured general creditor, look only to the Company for payment thereof, and all liability of the Trustee or such Paying Agent with respect to such trust money and shares of Common Stock, and all liability of the Company as trustee thereof, shall thereupon cease.</w:t>
      </w:r>
    </w:p>
    <w:p>
      <w:pPr>
        <w:spacing w:after="0" w:line="83"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Event of Default pursuant to Section 6.01(i) or (j), the Trustee shall automatically be Paying Agent for the Notes.</w:t>
      </w:r>
    </w:p>
    <w:p>
      <w:pPr>
        <w:spacing w:after="0" w:line="223" w:lineRule="exact"/>
        <w:rPr>
          <w:sz w:val="20"/>
          <w:szCs w:val="20"/>
          <w:color w:val="auto"/>
        </w:rPr>
      </w:pPr>
    </w:p>
    <w:p>
      <w:pPr>
        <w:ind w:right="20" w:firstLine="440"/>
        <w:spacing w:after="0" w:line="284" w:lineRule="auto"/>
        <w:rPr>
          <w:sz w:val="20"/>
          <w:szCs w:val="20"/>
          <w:color w:val="auto"/>
        </w:rPr>
      </w:pPr>
      <w:r>
        <w:rPr>
          <w:rFonts w:ascii="Times New Roman" w:cs="Times New Roman" w:eastAsia="Times New Roman" w:hAnsi="Times New Roman"/>
          <w:sz w:val="18"/>
          <w:szCs w:val="18"/>
          <w:color w:val="auto"/>
        </w:rPr>
        <w:t>Section 4.05</w:t>
      </w:r>
      <w:r>
        <w:rPr>
          <w:rFonts w:ascii="Times New Roman" w:cs="Times New Roman" w:eastAsia="Times New Roman" w:hAnsi="Times New Roman"/>
          <w:sz w:val="18"/>
          <w:szCs w:val="18"/>
          <w:i w:val="1"/>
          <w:iCs w:val="1"/>
          <w:color w:val="auto"/>
        </w:rPr>
        <w:t>. Existence.</w:t>
      </w:r>
      <w:r>
        <w:rPr>
          <w:rFonts w:ascii="Times New Roman" w:cs="Times New Roman" w:eastAsia="Times New Roman" w:hAnsi="Times New Roman"/>
          <w:sz w:val="18"/>
          <w:szCs w:val="18"/>
          <w:color w:val="auto"/>
        </w:rPr>
        <w:t xml:space="preserve"> Subject to Article 11, the Company shall do or cause to be done all things necessary to preserve and keep in full force and effect its corporate existence.</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43" w:name="page44"/>
    <w:bookmarkEnd w:id="43"/>
    <w:p>
      <w:pPr>
        <w:ind w:right="40"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4.06</w:t>
      </w:r>
      <w:r>
        <w:rPr>
          <w:rFonts w:ascii="Times New Roman" w:cs="Times New Roman" w:eastAsia="Times New Roman" w:hAnsi="Times New Roman"/>
          <w:sz w:val="18"/>
          <w:szCs w:val="18"/>
          <w:i w:val="1"/>
          <w:iCs w:val="1"/>
          <w:color w:val="auto"/>
        </w:rPr>
        <w:t>. Rule 144A Information Requirement and Annual Reports.</w:t>
      </w:r>
      <w:r>
        <w:rPr>
          <w:rFonts w:ascii="Times New Roman" w:cs="Times New Roman" w:eastAsia="Times New Roman" w:hAnsi="Times New Roman"/>
          <w:sz w:val="18"/>
          <w:szCs w:val="18"/>
          <w:color w:val="auto"/>
        </w:rPr>
        <w:t xml:space="preserve"> (a) At any time the Company is not subject to Section 13 or 15(d) of the Exchange Act, the Company shall, so long as any of the Notes or any shares of Common Stock issuable upon conversion thereof shall, at such time, constitute “restricted securities” within the meaning of Rule 144(a)(3) under the Securities Act, promptly provide to the Trustee and, upon written request, any Holder, beneficial owner or prospective purchaser of such Notes or any shares of Common Stock issuable upon conversion of such Notes, the information required to be delivered pursuant to Rule 144A(d)(4) under the Securities Act to facilitate the resale of such Notes or shares of Common Stock pursuant to Rule 144A.</w:t>
      </w:r>
    </w:p>
    <w:p>
      <w:pPr>
        <w:spacing w:after="0" w:line="76" w:lineRule="exact"/>
        <w:rPr>
          <w:sz w:val="20"/>
          <w:szCs w:val="20"/>
          <w:color w:val="auto"/>
        </w:rPr>
      </w:pPr>
    </w:p>
    <w:p>
      <w:pPr>
        <w:ind w:right="20" w:firstLine="436"/>
        <w:spacing w:after="0" w:line="254" w:lineRule="auto"/>
        <w:tabs>
          <w:tab w:leader="none" w:pos="6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file with the Trustee, within 15 days after the same are required to be filed with the Commission, copies of any annual or quarterly reports (on Form 10-K or Form 10-Q or any respective successor form) that the Company is required to file with the Commission pursuant to Section 13 or 15(d) of the Exchange Act (excluding any such information, documents or reports, or portions thereof, subject to confidential treatment and any correspondence with the Commission, and after giving effect to any grace period provided by Rule 12b-25 under the Exchange Act (or any successor thereto), which grace period, for the avoidance of doubt, shall be deemed applicable whether or not the Company checks the box in the relevant Rule 12b-25 filing indicating that the Company expects to file such report within the applicable Rule 12b-25 grace period). Any such document or report that the Company files with the Commission via the Commission’s EDGAR system (or any successor system) shall be deemed to be filed with the Trustee for purposes of this Section 4.06(b) at the time such documents are filed via the EDGAR system (or such successor), it being understood that the Trustee shall not be responsible for determining whether such filings have been made.</w:t>
      </w:r>
    </w:p>
    <w:p>
      <w:pPr>
        <w:spacing w:after="0" w:line="80" w:lineRule="exact"/>
        <w:rPr>
          <w:rFonts w:ascii="Times New Roman" w:cs="Times New Roman" w:eastAsia="Times New Roman" w:hAnsi="Times New Roman"/>
          <w:sz w:val="18"/>
          <w:szCs w:val="18"/>
          <w:color w:val="auto"/>
        </w:rPr>
      </w:pPr>
    </w:p>
    <w:p>
      <w:pPr>
        <w:jc w:val="both"/>
        <w:ind w:right="40" w:firstLine="436"/>
        <w:spacing w:after="0" w:line="261" w:lineRule="auto"/>
        <w:tabs>
          <w:tab w:leader="none" w:pos="68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the reports, information and documents described in subsection (b) above to the Trustee is for informational purposes only, and the information and the Trustee’s receipt of such shall not constitute actual or constructive notice of any information contained therein or determinable from information contained therein, including the Company’s compliance with any of its covenants hereunder (as to which the Trustee is entitled to conclusively rely on an Officer’s Certificate).</w:t>
      </w:r>
    </w:p>
    <w:p>
      <w:pPr>
        <w:spacing w:after="0" w:line="71"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during the six-month period beginning on, and including, the date that is six months after the last date of original issuance of the Notes, the Company fails to timely file any document or report that it is required to file with the Commission pursuant to Section 13 or 15(d) of the Exchange Act, as applicable (other than current reports on Form 8-K and after giving effect to all applicable grace periods thereunder (including any grace period provided by Rule 12b-25 (or any successor rule), which grace period for the avoidance of doubt, shall be deemed applicable whether or not the Company checks the box in the relevant Rule 12b-25 filing indicating that the Company expects to file such report within the applicable Rule 12b-25 grace period), or the Notes are not otherwise freely tradable pursuant to Rule 144 by Holders other than the Company’s Affiliates or Holders that were the Company’s Affiliates at any time during the three months immediately preceding (as a result of restrictions pursuant to U.S. securities laws or the terms of this Indenture or the Notes), the Company shall pay Additional Interest on the Notes. Such Additional Interest shall accrue on the Notes at the rate of 0.50% per annum of the principal amount of the Notes outstanding for each day during such period for which the Company’s failure to file has occurred and is continuing or the Notes are not otherwise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68" w:right="459" w:bottom="1440" w:gutter="0" w:footer="0" w:header="0"/>
        </w:sectPr>
      </w:pPr>
    </w:p>
    <w:bookmarkStart w:id="44" w:name="page45"/>
    <w:bookmarkEnd w:id="44"/>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freely tradable pursuant to Rule 144 by Holders other than the Company’s Affiliates (or Holders that were the Company’s Affiliates at any time during the three months immediately preceding) without restrictions pursuant to U.S. securities laws or the terms of this Indenture or the Notes. As used in this Section 4.06(d), documents or reports that the Company is required to “file” with the Commission pursuant to Section 13 or 15(d) of the Exchange Act does not include documents or reports that the Company furnishes to the Commission pursuant to Section 13 or 15(d) of the Exchange Act. For purposes of this Section 4.06(d), the phrase “restrictions pursuant to U.S. securities laws or the terms of this Indenture or the Notes” shall not include, for the avoidance of doubt, the assignment of a restricted CUSIP number or the existence of the Restrictive Notes Legend on Notes in compliance with Section 2.05(c), in either case, during the six-month period described in this Section 4.06(d).</w:t>
      </w:r>
    </w:p>
    <w:p>
      <w:pPr>
        <w:spacing w:after="0" w:line="81" w:lineRule="exact"/>
        <w:rPr>
          <w:sz w:val="20"/>
          <w:szCs w:val="20"/>
          <w:color w:val="auto"/>
        </w:rPr>
      </w:pPr>
    </w:p>
    <w:p>
      <w:pPr>
        <w:ind w:firstLine="436"/>
        <w:spacing w:after="0" w:line="243" w:lineRule="auto"/>
        <w:tabs>
          <w:tab w:leader="none" w:pos="68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and for so long as, the Restrictive Notes Legend on the Notes specified in Section 2.05(c) has not been removed, the Notes are assigned a restricted CUSIP number or the Notes are not otherwise freely tradable pursuant to Rule 144 by Holders other than the Company’s Affiliates or Holders that were the Company’s Affiliates at any time during the three months immediately preceding (without restrictions pursuant to U.S. securities laws or the terms of this Indenture or the Notes) as of the De-legending Deadline Date, the Company shall pay Additional Interest on the Notes at a rate equal to 0.50% per annum of the principal amount of Notes outstanding until the Restrictive Notes Legend on the Notes has been removed in accordance with Section 2.05(c), the Notes are assigned an unrestricted CUSIP number and the Notes are freely tradable pursuant to Rule 144 by Holders other than the Company’s Affiliates (or Holders that were the Company’s Affiliates at any time during the three months immediately preceding) without restrictions pursuant to U.S. securities laws or the terms of this Indenture or the Notes;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Additional Interest shall accrue or be owed pursuant to this Section 4.06(e) until the fifteenth Business Day following written notification to the Company by the Trustee (at the direction of any Holder) or any Holder or beneficial owner of the Notes requesting that the Company comply with its obligations described in this Section 4.06(e) (which notice may be given at any time after the 330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after the last date of original issuance of the Notes), it being understood and agreed that in no event shall Additional Interest accrue or be owed pursuant to this Section 4.06(e) for any period prior to the applicable De-Legending Deadline Date.</w:t>
      </w:r>
    </w:p>
    <w:p>
      <w:pPr>
        <w:spacing w:after="0" w:line="92" w:lineRule="exact"/>
        <w:rPr>
          <w:rFonts w:ascii="Times New Roman" w:cs="Times New Roman" w:eastAsia="Times New Roman" w:hAnsi="Times New Roman"/>
          <w:sz w:val="18"/>
          <w:szCs w:val="18"/>
          <w:color w:val="auto"/>
        </w:rPr>
      </w:pPr>
    </w:p>
    <w:p>
      <w:pPr>
        <w:ind w:right="60" w:firstLine="436"/>
        <w:spacing w:after="0" w:line="26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Additional Interest will be payable in arrears on each Interest Payment Date following accrual in the same manner as regular interest on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Additional Interest begins to accrue pursuant to Section 4.06(d) on or after the fifth Business Day prior to a Regular Record Date and prior to the open of business on the corresponding Interest Payment Date, the Additional Interest that accrues during such period will be due on the Interest Payment Date next succeeding such corresponding Interest Payment Date, and no interest shall accrue in respect of such delay.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45" w:name="page46"/>
    <w:bookmarkEnd w:id="45"/>
    <w:p>
      <w:pPr>
        <w:ind w:right="40" w:firstLine="436"/>
        <w:spacing w:after="0" w:line="254" w:lineRule="auto"/>
        <w:tabs>
          <w:tab w:leader="none" w:pos="6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to the immediately succeeding sentence, the Additional Interest that is payable in accordance with Section 4.06(d) or Section 4.06(e) shall be in addition to, and not in lieu of, any Additional Interest that may be payable as a result of the Company’s election pursuant to Section 6.03. However, in no event shall Additional Interest payable for the Company’s failure to comply with its obligations to timely file any document or report that the Company is required to file with the Commission pursuant to Section 13 or 15(d) of the Exchange Act, as applicable (other than current reports on Form 8-K and after giving effect to all applicable grace periods thereunder), as set forth in Section 4.06(d), together with any Additional Interest that may accrue at the Company’s election as a result of the Company’s failure to comply with its reporting obligations pursuant to Section 6.03, accrue at a rate in excess of 0.50% per annum pursuant to this Indenture, regardless of the number of events or circumstances giving rise to the requirement to pay such Additional Interest.</w:t>
      </w:r>
    </w:p>
    <w:p>
      <w:pPr>
        <w:spacing w:after="0" w:line="83" w:lineRule="exact"/>
        <w:rPr>
          <w:rFonts w:ascii="Times New Roman" w:cs="Times New Roman" w:eastAsia="Times New Roman" w:hAnsi="Times New Roman"/>
          <w:sz w:val="18"/>
          <w:szCs w:val="18"/>
          <w:color w:val="auto"/>
        </w:rPr>
      </w:pPr>
    </w:p>
    <w:p>
      <w:pPr>
        <w:ind w:right="100" w:firstLine="436"/>
        <w:spacing w:after="0" w:line="258" w:lineRule="auto"/>
        <w:tabs>
          <w:tab w:leader="none" w:pos="6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Additional Interest is payable by the Company pursuant to Section 4.06(d) or Section 4.06(e), the Company shall deliver to the Trustee an Officer’s Certificate to that effect stating (i) the amount of such Additional Interest that is payable and (ii) the date on which such Additional Interest is payable. Unless and until a Responsible Officer of the Trustee receives at the Corporate Trust Office such Officer’s Certificate, the Trustee may conclusively assume without inquiry that no such Additional Interest is payable. If the Company has paid Additional Interest directly to the Persons entitled to it, the Company shall deliver to the Trustee an Officer’s Certificate setting forth the particulars of such payment.</w:t>
      </w:r>
    </w:p>
    <w:p>
      <w:pPr>
        <w:spacing w:after="0" w:line="18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Section 4.07</w:t>
      </w:r>
      <w:r>
        <w:rPr>
          <w:rFonts w:ascii="Times New Roman" w:cs="Times New Roman" w:eastAsia="Times New Roman" w:hAnsi="Times New Roman"/>
          <w:sz w:val="18"/>
          <w:szCs w:val="18"/>
          <w:i w:val="1"/>
          <w:iCs w:val="1"/>
          <w:color w:val="auto"/>
        </w:rPr>
        <w:t>. Stay, Extension and Usury Laws.</w:t>
      </w:r>
      <w:r>
        <w:rPr>
          <w:rFonts w:ascii="Times New Roman" w:cs="Times New Roman" w:eastAsia="Times New Roman" w:hAnsi="Times New Roman"/>
          <w:sz w:val="18"/>
          <w:szCs w:val="18"/>
          <w:color w:val="auto"/>
        </w:rPr>
        <w:t xml:space="preserve"> The Company covenants (to the extent that it may lawfully do so) that it shall not at any time insist upon, plead, or in any manner whatsoever claim or take the benefit or advantage of, any stay, extension or usury law or other law that would prohibit or forgive the Company from paying all or any portion of the principal of or interest on the Notes as contemplated herein, wherever enacted, now or at any time hereafter in force, or that may affect the covenants or the performance of this Indenture;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had been enacted.</w:t>
      </w:r>
    </w:p>
    <w:p>
      <w:pPr>
        <w:spacing w:after="0" w:line="183"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Section 4.08</w:t>
      </w:r>
      <w:r>
        <w:rPr>
          <w:rFonts w:ascii="Times New Roman" w:cs="Times New Roman" w:eastAsia="Times New Roman" w:hAnsi="Times New Roman"/>
          <w:sz w:val="18"/>
          <w:szCs w:val="18"/>
          <w:i w:val="1"/>
          <w:iCs w:val="1"/>
          <w:color w:val="auto"/>
        </w:rPr>
        <w:t>. Compliance Certificate; Statements as to Defaults.</w:t>
      </w:r>
      <w:r>
        <w:rPr>
          <w:rFonts w:ascii="Times New Roman" w:cs="Times New Roman" w:eastAsia="Times New Roman" w:hAnsi="Times New Roman"/>
          <w:sz w:val="18"/>
          <w:szCs w:val="18"/>
          <w:color w:val="auto"/>
        </w:rPr>
        <w:t xml:space="preserve"> The Company shall deliver to the Trustee within 120 days after the end of each fiscal year of the Company (beginning with the fiscal year ending on December 31, 2026) an Officer’s Certificate stating whether the signers thereof have knowledge of any Default or Event of Default that occurred during the previous year and, if so, specifying each such Default or Event of Default and the nature thereof.</w:t>
      </w:r>
    </w:p>
    <w:p>
      <w:pPr>
        <w:spacing w:after="0" w:line="182"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In addition, the Company shall deliver to the Trustee, within 30 days after the Company obtains knowledge of the occurrence of any Event of Default or Default, an Officer’s Certificate setting forth the details of such Event of Default or Default, its status and the action that the Company is taking or proposing to take in respect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is not required to deliver such notice if such Event of Default or Default has been cured or is no longer continuing.</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60"/>
          </w:cols>
          <w:pgMar w:left="440" w:top="270" w:right="499" w:bottom="1440" w:gutter="0" w:footer="0" w:header="0"/>
        </w:sectPr>
      </w:pPr>
    </w:p>
    <w:bookmarkStart w:id="46" w:name="page47"/>
    <w:bookmarkEnd w:id="46"/>
    <w:p>
      <w:pPr>
        <w:ind w:right="20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4.09</w:t>
      </w:r>
      <w:r>
        <w:rPr>
          <w:rFonts w:ascii="Times New Roman" w:cs="Times New Roman" w:eastAsia="Times New Roman" w:hAnsi="Times New Roman"/>
          <w:sz w:val="18"/>
          <w:szCs w:val="18"/>
          <w:i w:val="1"/>
          <w:iCs w:val="1"/>
          <w:color w:val="auto"/>
        </w:rPr>
        <w:t>. Further Instruments and Acts.</w:t>
      </w:r>
      <w:r>
        <w:rPr>
          <w:rFonts w:ascii="Times New Roman" w:cs="Times New Roman" w:eastAsia="Times New Roman" w:hAnsi="Times New Roman"/>
          <w:sz w:val="18"/>
          <w:szCs w:val="18"/>
          <w:color w:val="auto"/>
        </w:rPr>
        <w:t xml:space="preserve"> Upon request of the Trustee, the Company will execute and deliver such further instruments and do such further acts as may be reasonably necessary or proper to carry out more effectively the purposes of this Indenture.</w:t>
      </w: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4"/>
          <w:szCs w:val="14"/>
          <w:color w:val="auto"/>
        </w:rPr>
        <w:t>ISTS OF</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OLDERS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EPORTS BY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 AND THE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RUSTEE</w:t>
      </w:r>
    </w:p>
    <w:p>
      <w:pPr>
        <w:spacing w:after="0" w:line="20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Section 5.01</w:t>
      </w:r>
      <w:r>
        <w:rPr>
          <w:rFonts w:ascii="Times New Roman" w:cs="Times New Roman" w:eastAsia="Times New Roman" w:hAnsi="Times New Roman"/>
          <w:sz w:val="18"/>
          <w:szCs w:val="18"/>
          <w:i w:val="1"/>
          <w:iCs w:val="1"/>
          <w:color w:val="auto"/>
        </w:rPr>
        <w:t>. Lists of Holders.</w:t>
      </w:r>
      <w:r>
        <w:rPr>
          <w:rFonts w:ascii="Times New Roman" w:cs="Times New Roman" w:eastAsia="Times New Roman" w:hAnsi="Times New Roman"/>
          <w:sz w:val="18"/>
          <w:szCs w:val="18"/>
          <w:color w:val="auto"/>
        </w:rPr>
        <w:t xml:space="preserve"> The Company covenants and agrees that it will furnish or cause to be furnished to the Trustee, semi-annually, not more than 15 days after each June 1 and December 1 in each year beginning with December 1, 2026, and at such other times as the Trustee may request in writing, within 30 days after receipt by the Company of any such request (or such lesser time as the Trustee may reasonably request in order to enable it to timely provide any notice to be provided by it hereunder), a list in such form as the Trustee may reasonably require of the names and addresses of the Holders as of a date not more than 15 days (or such other date as the Trustee may reasonably request in order to so provide any such notices) prior to the time such information is furnished, except that no such list need be furnished so long as the Trustee is acting as Note Registrar.</w:t>
      </w:r>
    </w:p>
    <w:p>
      <w:pPr>
        <w:spacing w:after="0" w:line="18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Section 5.02</w:t>
      </w:r>
      <w:r>
        <w:rPr>
          <w:rFonts w:ascii="Times New Roman" w:cs="Times New Roman" w:eastAsia="Times New Roman" w:hAnsi="Times New Roman"/>
          <w:sz w:val="18"/>
          <w:szCs w:val="18"/>
          <w:i w:val="1"/>
          <w:iCs w:val="1"/>
          <w:color w:val="auto"/>
        </w:rPr>
        <w:t>. Preservation and Disclosure of Lists.</w:t>
      </w:r>
      <w:r>
        <w:rPr>
          <w:rFonts w:ascii="Times New Roman" w:cs="Times New Roman" w:eastAsia="Times New Roman" w:hAnsi="Times New Roman"/>
          <w:sz w:val="18"/>
          <w:szCs w:val="18"/>
          <w:color w:val="auto"/>
        </w:rPr>
        <w:t xml:space="preserve"> The Trustee shall preserve, in as current a form as is reasonably practicable, all information as to the names and addresses of the Holders contained in the most recent list furnished to it as provided in Section 5.01 or maintained by the Trustee in its capacity as Note Registrar, if so acting. The Trustee may dispose of any list furnished to it as provided in Section 5.01 upon receipt of a new list so furnished.</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6</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EFAULTS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EMEDIES</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6.01</w:t>
      </w:r>
      <w:r>
        <w:rPr>
          <w:rFonts w:ascii="Times New Roman" w:cs="Times New Roman" w:eastAsia="Times New Roman" w:hAnsi="Times New Roman"/>
          <w:sz w:val="18"/>
          <w:szCs w:val="18"/>
          <w:i w:val="1"/>
          <w:iCs w:val="1"/>
          <w:color w:val="auto"/>
        </w:rPr>
        <w:t>. Events of Default.</w:t>
      </w:r>
      <w:r>
        <w:rPr>
          <w:rFonts w:ascii="Times New Roman" w:cs="Times New Roman" w:eastAsia="Times New Roman" w:hAnsi="Times New Roman"/>
          <w:sz w:val="18"/>
          <w:szCs w:val="18"/>
          <w:color w:val="auto"/>
        </w:rPr>
        <w:t xml:space="preserve"> Each of the following events shall be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with respect to the Notes:</w:t>
      </w:r>
    </w:p>
    <w:p>
      <w:pPr>
        <w:spacing w:after="0" w:line="121" w:lineRule="exact"/>
        <w:rPr>
          <w:sz w:val="20"/>
          <w:szCs w:val="20"/>
          <w:color w:val="auto"/>
        </w:rPr>
      </w:pPr>
    </w:p>
    <w:p>
      <w:pPr>
        <w:ind w:left="680" w:hanging="244"/>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any payment of interest on any Note when due and payable, and the default continues for a period of 30 days;</w:t>
      </w:r>
    </w:p>
    <w:p>
      <w:pPr>
        <w:spacing w:after="0" w:line="117" w:lineRule="exact"/>
        <w:rPr>
          <w:rFonts w:ascii="Times New Roman" w:cs="Times New Roman" w:eastAsia="Times New Roman" w:hAnsi="Times New Roman"/>
          <w:sz w:val="18"/>
          <w:szCs w:val="18"/>
          <w:color w:val="auto"/>
        </w:rPr>
      </w:pPr>
    </w:p>
    <w:p>
      <w:pPr>
        <w:ind w:right="260" w:firstLine="436"/>
        <w:spacing w:after="0" w:line="282" w:lineRule="auto"/>
        <w:tabs>
          <w:tab w:leader="none" w:pos="6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Note when due and payable on the Maturity Date, upon Optional Redemption, upon any required repurchase, upon declaration of acceleration or otherwise;</w:t>
      </w:r>
    </w:p>
    <w:p>
      <w:pPr>
        <w:spacing w:after="0" w:line="53" w:lineRule="exact"/>
        <w:rPr>
          <w:rFonts w:ascii="Times New Roman" w:cs="Times New Roman" w:eastAsia="Times New Roman" w:hAnsi="Times New Roman"/>
          <w:sz w:val="18"/>
          <w:szCs w:val="18"/>
          <w:color w:val="auto"/>
        </w:rPr>
      </w:pPr>
    </w:p>
    <w:p>
      <w:pPr>
        <w:ind w:right="500" w:firstLine="436"/>
        <w:spacing w:after="0" w:line="282" w:lineRule="auto"/>
        <w:tabs>
          <w:tab w:leader="none" w:pos="68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comply with its obligation to convert the Notes in accordance with this Indenture upon exercise of a Holder’s conversion right and such failure continues for three Business Days;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80"/>
          </w:cols>
          <w:pgMar w:left="440" w:top="268" w:right="479" w:bottom="1440" w:gutter="0" w:footer="0" w:header="0"/>
        </w:sectPr>
      </w:pPr>
    </w:p>
    <w:bookmarkStart w:id="47" w:name="page48"/>
    <w:bookmarkEnd w:id="47"/>
    <w:p>
      <w:pPr>
        <w:ind w:right="120" w:firstLine="436"/>
        <w:spacing w:after="0" w:line="261" w:lineRule="auto"/>
        <w:tabs>
          <w:tab w:leader="none" w:pos="6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failure by the Company to give (i) a Fundamental Change Company Notice in accordance with Section 15.02(c) or notice of a Make-Whole Fundamental Change in accordance with Section 14.03(b), in either case, when due and such failure continues for two Business Days, or (ii) notice of a specified corporate transaction or event in accordance with Section 14.01(b)(ii) or 14.01(b)(iii) when due and such failure continues for one Business Day;</w:t>
      </w:r>
    </w:p>
    <w:p>
      <w:pPr>
        <w:spacing w:after="0" w:line="71"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comply with its obligations under Article 11;</w:t>
      </w:r>
    </w:p>
    <w:p>
      <w:pPr>
        <w:spacing w:after="0" w:line="117" w:lineRule="exact"/>
        <w:rPr>
          <w:rFonts w:ascii="Times New Roman" w:cs="Times New Roman" w:eastAsia="Times New Roman" w:hAnsi="Times New Roman"/>
          <w:sz w:val="18"/>
          <w:szCs w:val="18"/>
          <w:color w:val="auto"/>
        </w:rPr>
      </w:pPr>
    </w:p>
    <w:p>
      <w:pPr>
        <w:ind w:right="220" w:firstLine="436"/>
        <w:spacing w:after="0" w:line="282" w:lineRule="auto"/>
        <w:tabs>
          <w:tab w:leader="none" w:pos="66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for 60 days after written notice from the Trustee or the Holders of at least 25% in principal amount of the Notes then outstanding has been received by the Company to comply with any of its other agreements contained in the Notes or this Indenture;</w:t>
      </w:r>
    </w:p>
    <w:p>
      <w:pPr>
        <w:spacing w:after="0" w:line="53" w:lineRule="exact"/>
        <w:rPr>
          <w:rFonts w:ascii="Times New Roman" w:cs="Times New Roman" w:eastAsia="Times New Roman" w:hAnsi="Times New Roman"/>
          <w:sz w:val="18"/>
          <w:szCs w:val="18"/>
          <w:color w:val="auto"/>
        </w:rPr>
      </w:pPr>
    </w:p>
    <w:p>
      <w:pPr>
        <w:ind w:right="20" w:firstLine="436"/>
        <w:spacing w:after="0" w:line="254" w:lineRule="auto"/>
        <w:tabs>
          <w:tab w:leader="none" w:pos="6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by the Company or any Significant Subsidiary of the Company with respect to any mortgage, agreement or other instrument under which there may be outstanding, or by which there may be secured or evidenced, any indebtedness for money borrowed with a principal amount in excess of $25,000,000 (or its foreign currency equivalent) in the aggregate of the Company and/or any such Significant Subsidiary, whether such indebtedness now exists or shall hereafter be created (i) resulting in such indebtedness becoming or being declared due and payable prior to its stated maturity date or (ii) constituting a failure to pay the principal of any such debt when due and payable (after the expiration of all applicable grace periods) at its stated maturity, upon required repurchase, upon declaration of acceleration or otherwise, and in the cases of clauses (i) and (ii), such acceleration shall not have been rescinded or annulled or such failure to pay or default shall not have been cured or waived, or such indebtedness is not paid or discharged, as the case may be, within 45 days after written notice to the Company by the Trustee or to the Company and the Trustee by Holders of at least 25% in aggregate principal amount of Notes then outstanding in accordance with this Indenture;</w:t>
      </w:r>
    </w:p>
    <w:p>
      <w:pPr>
        <w:spacing w:after="0" w:line="80" w:lineRule="exact"/>
        <w:rPr>
          <w:rFonts w:ascii="Times New Roman" w:cs="Times New Roman" w:eastAsia="Times New Roman" w:hAnsi="Times New Roman"/>
          <w:sz w:val="18"/>
          <w:szCs w:val="18"/>
          <w:color w:val="auto"/>
        </w:rPr>
      </w:pPr>
    </w:p>
    <w:p>
      <w:pPr>
        <w:jc w:val="both"/>
        <w:ind w:right="20" w:firstLine="436"/>
        <w:spacing w:after="0" w:line="261" w:lineRule="auto"/>
        <w:tabs>
          <w:tab w:leader="none" w:pos="6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final judgment or judgments for the payment of $25,000,000 (or its foreign currency equivalent) or more (excluding any amounts covered by insurance) in the aggregate rendered against the Company or any of its Significant Subsidiaries, which judgment is not discharged, bonded, paid, waived or stayed within 60 days after (i) the date on which the right to appeal thereof has expired if no such appeal has commenced, or (ii) the date on which all rights to appeal have been extinguished; or</w:t>
      </w:r>
    </w:p>
    <w:p>
      <w:pPr>
        <w:spacing w:after="0" w:line="71" w:lineRule="exact"/>
        <w:rPr>
          <w:rFonts w:ascii="Times New Roman" w:cs="Times New Roman" w:eastAsia="Times New Roman" w:hAnsi="Times New Roman"/>
          <w:sz w:val="18"/>
          <w:szCs w:val="18"/>
          <w:color w:val="auto"/>
        </w:rPr>
      </w:pPr>
    </w:p>
    <w:p>
      <w:pPr>
        <w:ind w:firstLine="436"/>
        <w:spacing w:after="0" w:line="25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Significant Subsidiary shall commence a voluntary case or other proceeding seeking liquidation, reorganization or other relief with respect to the Company or any such Significant Subsidiary or its debts under any bankruptcy, insolvency or other similar law now or hereafter in effect or seeking the appointment of a trustee, receiver, liquidator, custodian or other similar official of the Company or any such Significant Subsidiary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20"/>
          </w:cols>
          <w:pgMar w:left="440" w:top="270" w:right="439" w:bottom="1440" w:gutter="0" w:footer="0" w:header="0"/>
        </w:sectPr>
      </w:pPr>
    </w:p>
    <w:bookmarkStart w:id="48" w:name="page49"/>
    <w:bookmarkEnd w:id="48"/>
    <w:p>
      <w:pPr>
        <w:ind w:left="660" w:hanging="224"/>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 involuntary case or other proceeding shall be commenced against the Company or any Significant Subsidiary seeking liquidation,</w:t>
      </w:r>
    </w:p>
    <w:p>
      <w:pPr>
        <w:spacing w:after="0" w:line="27" w:lineRule="exact"/>
        <w:rPr>
          <w:rFonts w:ascii="Times New Roman" w:cs="Times New Roman" w:eastAsia="Times New Roman" w:hAnsi="Times New Roman"/>
          <w:sz w:val="18"/>
          <w:szCs w:val="18"/>
          <w:color w:val="auto"/>
        </w:rPr>
      </w:pPr>
    </w:p>
    <w:p>
      <w:pPr>
        <w:ind w:right="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reorganization or other relief with respect to the Company or such Significant Subsidiary or its debts under any bankruptcy, insolvency or other similar law now or hereafter in effect or seeking the appointment of a trustee, receiver, liquidator, custodian or other similar official of the Company or such Significant Subsidiary or any substantial part of its property, and such involuntary case or other proceeding shall remain undismissed and unstayed for a period of 60 consecutive days.</w:t>
      </w:r>
    </w:p>
    <w:p>
      <w:pPr>
        <w:spacing w:after="0" w:line="18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i w:val="1"/>
          <w:iCs w:val="1"/>
          <w:color w:val="auto"/>
        </w:rPr>
        <w:t>Acceleration; Rescission and Annulment</w:t>
      </w:r>
      <w:r>
        <w:rPr>
          <w:rFonts w:ascii="Times New Roman" w:cs="Times New Roman" w:eastAsia="Times New Roman" w:hAnsi="Times New Roman"/>
          <w:sz w:val="18"/>
          <w:szCs w:val="18"/>
          <w:color w:val="auto"/>
        </w:rPr>
        <w:t>. If one or more Events of Default shall have occurred and be continuing, then, and in each and every such case (other than an Event of Default specified in Section 6.01(i) or Section 6.01(j) with respect to the Company), unless the principal of, and accrued and unpaid interest, on, all of the Notes shall have already become due and payable, either the Trustee or the Holders of at least 25% in aggregate principal amount of the Notes then outstanding determined in accordance with Section 8.04, by notice in writing to the Company (and to the Trustee if given by Holders), may declare 100% of the principal of, and accrued and unpaid interest, if any, on, all the outstanding Notes to be due and payable immediately, and upon any such declaration the same shall become and shall automatically be immediately due and payable, anything contained in this Indenture or in the Notes to the contrary notwithstanding. If an Event of Default specified in Section 6.01(i) or Section 6.01(j) with respect to the Company occurs and is continuing, 100% of the principal of, and accrued and unpaid interest, if any, on, all Notes shall become and shall automatically be immediately due and payable.</w:t>
      </w:r>
    </w:p>
    <w:p>
      <w:pPr>
        <w:spacing w:after="0" w:line="19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immediately preceding paragraph, however, is subject to the conditions that if, at any time after the principal of the Notes shall have been so declared due and payable, and before any judgment or decree for the payment of the monies due shall have been obtained or entered as hereinafter provided, and if (1) rescission would not conflict with any judgment or decree of a court of competent jurisdiction and (2) any and all existing Events of Default under this Indenture (including, for the avoidance of doubt, the failure to pay interest, if any, due and payable on any Defaulted Amounts), other than the nonpayment of the principal of and accrued and unpaid interest, if any, on Notes that shall have become due solely by such acceleration, shall have been cured or waived pursuant to Section 6.09, then and in every such case the Holders of a majority in aggregate principal amount of the Notes then outstanding, by written notice to the Company and to the Trustee, may waive all Defaults or Events of Default with respect to the Notes and rescind and annul such declaration and its consequences and such Default shall cease to exist, and any Event of Default arising therefrom shall be deemed to have been cured for every purpose of this Indenture; but no such waiver or rescission and annulment shall extend to or shall affect any subsequent Default or Event of Default, or shall impair any right consequent thereon.</w:t>
      </w:r>
    </w:p>
    <w:p>
      <w:pPr>
        <w:spacing w:after="0" w:line="194"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For the avoidance of doubt, and without limiting the manner in which any Default or Event of Default can be cured: (i) a failure by the Company to send a notice in accordance with this Indenture and any related Default (or Event of Default) shall be deemed cured and shall cease to continue upon delivery of such notice to the applicable recipient; (ii) if the Company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70" w:right="459" w:bottom="1440" w:gutter="0" w:footer="0" w:header="0"/>
        </w:sectPr>
      </w:pPr>
    </w:p>
    <w:bookmarkStart w:id="49" w:name="page50"/>
    <w:bookmarkEnd w:id="49"/>
    <w:p>
      <w:pPr>
        <w:ind w:left="4" w:right="14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fails to make any payment of principal of or interest on the Notes (or delivery of any other consideration in respect thereof) when due, such Default (or Event of Default) shall be deemed cured and shall cease to continue upon the making of such payment or delivery, as applicable, together with any accrued interest thereon, if applicable; and (iii) a Reporting Event of Default shall be deemed cured and shall cease to continue at such time as the Company files the applicable report or reports that gave rise to such Reporting Event of Default (it being understood that any report that the Company files with the Commission through the EDGAR system (or any successor thereto) will be deemed to be filed with the Trustee at the time such report is so filed via the EDGAR system (or such successor)); provided that, for the avoidance of doubt, (x) the cure of any Event of Default shall not invalidate any acceleration of the Notes on account of such Event of Default that was properly effected prior to such time as such Event of Default was cured and</w:t>
      </w:r>
    </w:p>
    <w:p>
      <w:pPr>
        <w:spacing w:after="0" w:line="2" w:lineRule="exact"/>
        <w:rPr>
          <w:sz w:val="20"/>
          <w:szCs w:val="20"/>
          <w:color w:val="auto"/>
        </w:rPr>
      </w:pPr>
    </w:p>
    <w:p>
      <w:pPr>
        <w:ind w:left="4" w:right="160" w:hanging="4"/>
        <w:spacing w:after="0" w:line="255" w:lineRule="auto"/>
        <w:tabs>
          <w:tab w:leader="none" w:pos="25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cure of any Reporting Event of Default shall not affect the Company’s obligation to pay any Additional Interest that accrues prior to the time of such cure. In addition, if an Event of Default is cured or waived before any related notice of acceleration is delivered, such Event of Default shall be deemed cured and the Notes shall not be subject to acceleration on account of such Event of Default.</w:t>
      </w:r>
    </w:p>
    <w:p>
      <w:pPr>
        <w:spacing w:after="0" w:line="18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i w:val="1"/>
          <w:iCs w:val="1"/>
          <w:color w:val="auto"/>
        </w:rPr>
        <w:t>Additional Interest</w:t>
      </w:r>
      <w:r>
        <w:rPr>
          <w:rFonts w:ascii="Times New Roman" w:cs="Times New Roman" w:eastAsia="Times New Roman" w:hAnsi="Times New Roman"/>
          <w:sz w:val="18"/>
          <w:szCs w:val="18"/>
          <w:color w:val="auto"/>
        </w:rPr>
        <w:t>. Notwithstanding anything in this Indenture or in the Notes to the contrary, to the extent the Company elects, the</w:t>
      </w:r>
    </w:p>
    <w:p>
      <w:pPr>
        <w:spacing w:after="0" w:line="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sole remedy for an Event of Default relating to the Company’s failure to comply with its obligations as set forth in Section 4.06(b) (such default, 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Reporting Event of Default</w:t>
      </w:r>
      <w:r>
        <w:rPr>
          <w:rFonts w:ascii="Times New Roman" w:cs="Times New Roman" w:eastAsia="Times New Roman" w:hAnsi="Times New Roman"/>
          <w:sz w:val="18"/>
          <w:szCs w:val="18"/>
          <w:color w:val="auto"/>
        </w:rPr>
        <w:t>”) shall, for the first 365 days after the occurrence of such an Event of Default, consist exclusively of the right to receive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Additional Interest on the Notes at a rate equal to (x) 0.25% per annum of the principal amount of the Notes outstanding for each day that such Event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Default is continuing during the first 180 days after the occurrence of such Event of Default and (y) 0.50% per annum of the principal amount of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Notes outstanding from the 181st day to, and including, the 365th day following the occurrence of such Event of Default, as long as such Event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Default is continuing. Subject to the last paragraph of this Section 6.03, Additional Interest payable pursuant to this Section 6.03 shall be in addition to,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 in lieu of, any Additional Interest payable pursuant to Section 4.06(d) or Section 4.06(e). If the Company so elects, such Additional Interest shall be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payable in the same manner and on the same dates as the stated interest payable on the Notes; provided that if Additional Interest begins to accrue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pursuant to this Section 6.03 on or after the close of business on the fifth Business Day prior to a Regular Record Date and prior to the open of business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on the corresponding Interest Payment Date, the Additional Interest that accrues during such period will be due on the Interest Payment Date next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succeeding such corresponding Interest Payment Date, and no interest shall accrue in respect of such delay. On the 366th day after such Event of Default</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(if the Event of Default relating to the Company’s failure to comply with its obligations as set forth in Section 4.06(b) is not cured or waived prior to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such 366th day), the Notes shall be immediately subject to acceleration as provided in Section 6.02. The provisions of this paragraph will not affect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rights of Holders in the event of the occurrence of any Event of Default other than the Company’s failure to comply with its obligations as set forth in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Section 4.06(b). In the event the Company does not elect to pay Additional Interest following an Event of Default in accordance with this Section 6.03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or the Company elected to make such payment but does not pay the Additional Interest when due, the Notes shall be immediately subject to acceleration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provided in Section 6.02 as a result of the Event of Default pursuant to Section 6.01(f) if such Event of Default is then continuing.</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4"/>
          </w:cols>
          <w:pgMar w:left="436" w:top="270" w:right="459" w:bottom="1440" w:gutter="0" w:footer="0" w:header="0"/>
        </w:sectPr>
      </w:pPr>
    </w:p>
    <w:bookmarkStart w:id="50" w:name="page51"/>
    <w:bookmarkEnd w:id="50"/>
    <w:p>
      <w:pPr>
        <w:ind w:right="80" w:firstLine="44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order to elect to pay Additional Interest as the sole remedy during the first 365 days after the occurrence of any Event of Default relating to the Company’s failure to comply with its obligations as set forth in Section 4.06(b) in accordance with the immediately preceding paragraph, the Company must notify all Holders of the Notes, the Trustee and the Paying Agent (if other than the Trustee) in writing of such election prior to the beginning of such 365-day period. Upon the failure to timely give such notice, the Notes shall be immediately subject to acceleration as provided in Section 6.02.</w:t>
      </w:r>
    </w:p>
    <w:p>
      <w:pPr>
        <w:spacing w:after="0" w:line="164" w:lineRule="exact"/>
        <w:rPr>
          <w:sz w:val="20"/>
          <w:szCs w:val="20"/>
          <w:color w:val="auto"/>
        </w:rPr>
      </w:pPr>
    </w:p>
    <w:p>
      <w:pPr>
        <w:ind w:right="40" w:firstLine="440"/>
        <w:spacing w:after="0" w:line="277" w:lineRule="auto"/>
        <w:rPr>
          <w:sz w:val="20"/>
          <w:szCs w:val="20"/>
          <w:color w:val="auto"/>
        </w:rPr>
      </w:pPr>
      <w:r>
        <w:rPr>
          <w:rFonts w:ascii="Times New Roman" w:cs="Times New Roman" w:eastAsia="Times New Roman" w:hAnsi="Times New Roman"/>
          <w:sz w:val="17"/>
          <w:szCs w:val="17"/>
          <w:color w:val="auto"/>
        </w:rPr>
        <w:t>In no event shall Additional Interest payable at the Company’s election for failure to comply with its obligations as set forth in Section 4.06(b) as set forth in this Section 6.03, together with any Additional Interest that may accrue as a result of the Company’s failure to timely file any document or report that the Company is required to file with the Commission pursuant to Section 13 or 15(d) of the Exchange Act, as applicable (other than current reports on Form 8-K and after giving effect to all applicable grace periods thereunder), pursuant to Section 4.06(d), accrue at a rate in excess of 0.50% per annum pursuant to this Indenture, regardless of the number of events or circumstances giving rise to the requirement to pay such Additional Interest.</w:t>
      </w:r>
    </w:p>
    <w:p>
      <w:pPr>
        <w:spacing w:after="0" w:line="16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Section 6.04</w:t>
      </w:r>
      <w:r>
        <w:rPr>
          <w:rFonts w:ascii="Times New Roman" w:cs="Times New Roman" w:eastAsia="Times New Roman" w:hAnsi="Times New Roman"/>
          <w:sz w:val="18"/>
          <w:szCs w:val="18"/>
          <w:i w:val="1"/>
          <w:iCs w:val="1"/>
          <w:color w:val="auto"/>
        </w:rPr>
        <w:t>. Payments of Notes on Default; Suit Therefor.</w:t>
      </w:r>
      <w:r>
        <w:rPr>
          <w:rFonts w:ascii="Times New Roman" w:cs="Times New Roman" w:eastAsia="Times New Roman" w:hAnsi="Times New Roman"/>
          <w:sz w:val="18"/>
          <w:szCs w:val="18"/>
          <w:color w:val="auto"/>
        </w:rPr>
        <w:t xml:space="preserve"> If an Event of Default described in clause (a) or (b) of Section 6.01 shall have occurred and be continuing, the Company shall, upon demand of the Trustee, pay to the Trustee, for the benefit of the Holders of the Notes, the whole amount then due and payable on the Notes for principal and interest, if any, with interest on any overdue principal and interest at the rate borne by the Notes at such time and, in addition thereto, such further amount as shall be sufficient to cover any amounts due to the Trustee under Section 7.06. If the Company shall fail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the Notes and collect the moneys adjudged or decreed to be payable in the manner provided by law out of the property of the Company or any other obligor upon the Notes, wherever situated.</w:t>
      </w:r>
    </w:p>
    <w:p>
      <w:pPr>
        <w:spacing w:after="0" w:line="187"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In the event there shall be pending proceedings for the bankruptcy or for the reorganization of the Company or any other obligor on the Notes under Title 11 of the United States Code, or any other applicable law, or in case a receiver, assignee or trustee in bankruptcy or reorganization, liquidator, sequestrator or similar official shall have been appointed for or taken possession of the Company or such other obligor, the property of the Company or such other obligor, or in the event of any other judicial proceedings relative to the Company or such other obligor upon the Notes, or to the creditors or property of the Company or such other obligor, the Trustee, irrespective of whether the principal of the Notes shall then be due and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70" w:right="459" w:bottom="1440" w:gutter="0" w:footer="0" w:header="0"/>
        </w:sectPr>
      </w:pPr>
    </w:p>
    <w:bookmarkStart w:id="51" w:name="page52"/>
    <w:bookmarkEnd w:id="51"/>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payable as therein expressed or by declaration or otherwise and irrespective of whether the Trustee shall have made any demand pursuant to the provisions of this Section 6.04, shall be entitled and empowered, by intervention in such proceedings or otherwise, to file and prove a claim or claims for the whole amount of principal and accrued and unpaid interest, if any, in respect of the Notes, and, in case of any judicial proceedings, to file such proofs of claim and other papers or documents and to take such other actions as it may deem necessary or advisable in order to have the claims of the Trustee (including any claim for the reasonable compensation, expenses, disbursements and advances of the Trustee, its agents and counsel) and of the Holders allowed in such judicial proceedings relative to the Company or any other obligor on the Notes, its or their creditors, or its or their property, and to collect and receive any monies or other property payable or deliverable on any such claims, and to distribute the same after the deduction of any amounts due to the Trustee under Section 7.06; and any receiver, assignee or trustee in bankruptcy or reorganization, liquidator, custodian or similar official is hereby authorized by each of the Holders to make such payments to the Trustee, as administrative expenses, and, in the event that the Trustee shall consent to the making of such payments directly to the Holders, to pay to the Trustee any amount due it for reasonable compensation, expenses, advances and disbursements, including agents and counsel fees and expenses, and including any other amounts due to the Trustee under Section 7.06, incurred by it up to the date of such distribution. To the extent that such payment of reasonable compensation, expenses, advances and disbursements out of the estate in any such proceedings shall be denied for any reason, payment of the same shall be secured by a lien on, and shall be paid out of, any and all distributions, dividends, monies, securities and other property that the Holders of the Notes may be entitled to receive in such proceedings, whether in liquidation or under any plan of reorganization or arrangement or otherwise.</w:t>
      </w:r>
    </w:p>
    <w:p>
      <w:pPr>
        <w:spacing w:after="0" w:line="196"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Nothing herein contained shall be deemed to authorize the Trustee to authorize or consent to or accept or adopt on behalf of any Holder any plan of reorganization, arrangement, adjustment or composition affecting such Holder or the rights of any Holder thereof, or to authorize the Trustee to vote in respect of the claim of any Holder in any such proceeding.</w:t>
      </w:r>
    </w:p>
    <w:p>
      <w:pPr>
        <w:spacing w:after="0" w:line="176" w:lineRule="exact"/>
        <w:rPr>
          <w:sz w:val="20"/>
          <w:szCs w:val="20"/>
          <w:color w:val="auto"/>
        </w:rPr>
      </w:pPr>
    </w:p>
    <w:p>
      <w:pPr>
        <w:ind w:right="60" w:firstLine="440"/>
        <w:spacing w:after="0" w:line="281" w:lineRule="auto"/>
        <w:rPr>
          <w:sz w:val="20"/>
          <w:szCs w:val="20"/>
          <w:color w:val="auto"/>
        </w:rPr>
      </w:pPr>
      <w:r>
        <w:rPr>
          <w:rFonts w:ascii="Times New Roman" w:cs="Times New Roman" w:eastAsia="Times New Roman" w:hAnsi="Times New Roman"/>
          <w:sz w:val="17"/>
          <w:szCs w:val="17"/>
          <w:color w:val="auto"/>
        </w:rPr>
        <w:t>All rights of action and of asserting claims under this Indenture, or under any of the Notes, may be enforced by the Trustee without the possession of any of the Notes, or the production thereof at any trial or other proceeding relative thereto, and any such suit or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Notes.</w:t>
      </w:r>
    </w:p>
    <w:p>
      <w:pPr>
        <w:spacing w:after="0" w:line="164"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In any proceedings brought by the Trustee (and in any proceedings involving the interpretation of any provision of this Indenture to which the Trustee shall be a party) the Trustee shall be held to represent all the Holders of the Notes, and it shall not be necessary to make any Holders of the Notes party to any such proceedings.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70" w:right="459" w:bottom="1440" w:gutter="0" w:footer="0" w:header="0"/>
        </w:sectPr>
      </w:pPr>
    </w:p>
    <w:bookmarkStart w:id="52" w:name="page53"/>
    <w:bookmarkEnd w:id="52"/>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case the Trustee shall have proceeded to enforce any right under this Indenture and such proceedings shall have been discontinued or abandoned because of any waiver pursuant to Section 6.09 or any rescission and annulment pursuant to Section 6.02 or for any other reason or shall have been determined adversely to the Trustee, then and in every such case the Company, the Holders and the Trustee shall, subject to any determination in such proceeding, be restored respectively to their several positions and rights hereunder, and all rights, remedies and powers of the Company, the Holders and the Trustee shall continue as though no such proceeding had been instituted.</w:t>
      </w:r>
    </w:p>
    <w:p>
      <w:pPr>
        <w:spacing w:after="0" w:line="181" w:lineRule="exact"/>
        <w:rPr>
          <w:sz w:val="20"/>
          <w:szCs w:val="20"/>
          <w:color w:val="auto"/>
        </w:rPr>
      </w:pPr>
    </w:p>
    <w:p>
      <w:pPr>
        <w:ind w:right="120" w:firstLine="440"/>
        <w:spacing w:after="0" w:line="267" w:lineRule="auto"/>
        <w:rPr>
          <w:sz w:val="20"/>
          <w:szCs w:val="20"/>
          <w:color w:val="auto"/>
        </w:rPr>
      </w:pPr>
      <w:r>
        <w:rPr>
          <w:rFonts w:ascii="Times New Roman" w:cs="Times New Roman" w:eastAsia="Times New Roman" w:hAnsi="Times New Roman"/>
          <w:sz w:val="18"/>
          <w:szCs w:val="18"/>
          <w:color w:val="auto"/>
        </w:rPr>
        <w:t>Section 6.05</w:t>
      </w:r>
      <w:r>
        <w:rPr>
          <w:rFonts w:ascii="Times New Roman" w:cs="Times New Roman" w:eastAsia="Times New Roman" w:hAnsi="Times New Roman"/>
          <w:sz w:val="18"/>
          <w:szCs w:val="18"/>
          <w:i w:val="1"/>
          <w:iCs w:val="1"/>
          <w:color w:val="auto"/>
        </w:rPr>
        <w:t>. Application of Monies Collected by Trustee.</w:t>
      </w:r>
      <w:r>
        <w:rPr>
          <w:rFonts w:ascii="Times New Roman" w:cs="Times New Roman" w:eastAsia="Times New Roman" w:hAnsi="Times New Roman"/>
          <w:sz w:val="18"/>
          <w:szCs w:val="18"/>
          <w:color w:val="auto"/>
        </w:rPr>
        <w:t xml:space="preserve"> Any monies or property collected by the Trustee pursuant to this Article 6 with respect to the Notes shall be applied in the following order, at the date or dates fixed by the Trustee for the distribution of such monies, or property, upon presentation of the several Notes, and stamping thereon the payment, if only partially paid, and upon surrender thereof, if fully paid:</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to the payment of all amounts due the Trustee in all of its capacities under this Indenture;</w:t>
      </w:r>
    </w:p>
    <w:p>
      <w:pPr>
        <w:spacing w:after="0" w:line="225"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in case the principal of the outstanding Notes shall not have become due and be unpaid, to the payment of interest on, and any cash due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conversion of, the Notes in default in the order of the date due of the payments of such interest and cash due upon conversion, as the case may be, with interest (to the extent that such interest is payable on such Notes and has been collected by the Trustee) upon such overdue payments at the rate borne by the Notes then payable on such Notes at such time, such payments to be made ratably to the Persons entitled thereto;</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Third</w:t>
      </w:r>
      <w:r>
        <w:rPr>
          <w:rFonts w:ascii="Times New Roman" w:cs="Times New Roman" w:eastAsia="Times New Roman" w:hAnsi="Times New Roman"/>
          <w:sz w:val="18"/>
          <w:szCs w:val="18"/>
          <w:color w:val="auto"/>
        </w:rPr>
        <w:t>, in case the principal of the outstanding Notes shall have become due, by declaration or otherwise, and be unpaid to the payment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whole amount (including, if applicable, the payment of the Redemption Price and the Fundamental Change Repurchase Price and any cash due upon conversion) then owing and unpaid upon the Notes for principal and interest, if any, with interest on the overdue principal and, to the extent that such interest has been collected by the Trustee, upon overdue installments of interest at the rate borne by the Notes at such time, and in case such monies shall be insufficient to pay in full the whole amounts so due and unpaid upon the Notes, then to the payment of such principal (including, if applicable, the Redemption Price and the Fundamental Change Repurchase Price and any cash due upon conversion) and interest without preference or priority of principal over interest, or of interest over principal or of any installment of interest over any other installment of interest, or of any Note over any other Note, ratably to the aggregate of such principal (including, if applicable, the Redemption Price and the Fundamental Change Repurchase Price and any cash due upon conversion) and accrued and unpaid interest; and</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Fourth</w:t>
      </w:r>
      <w:r>
        <w:rPr>
          <w:rFonts w:ascii="Times New Roman" w:cs="Times New Roman" w:eastAsia="Times New Roman" w:hAnsi="Times New Roman"/>
          <w:sz w:val="18"/>
          <w:szCs w:val="18"/>
          <w:color w:val="auto"/>
        </w:rPr>
        <w:t>, to the payment of the remainder, if any, to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70" w:right="459" w:bottom="1440" w:gutter="0" w:footer="0" w:header="0"/>
        </w:sectPr>
      </w:pPr>
    </w:p>
    <w:bookmarkStart w:id="53" w:name="page54"/>
    <w:bookmarkEnd w:id="53"/>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6.06</w:t>
      </w:r>
      <w:r>
        <w:rPr>
          <w:rFonts w:ascii="Times New Roman" w:cs="Times New Roman" w:eastAsia="Times New Roman" w:hAnsi="Times New Roman"/>
          <w:sz w:val="18"/>
          <w:szCs w:val="18"/>
          <w:i w:val="1"/>
          <w:iCs w:val="1"/>
          <w:color w:val="auto"/>
        </w:rPr>
        <w:t>. Proceedings by Holders.</w:t>
      </w:r>
      <w:r>
        <w:rPr>
          <w:rFonts w:ascii="Times New Roman" w:cs="Times New Roman" w:eastAsia="Times New Roman" w:hAnsi="Times New Roman"/>
          <w:sz w:val="18"/>
          <w:szCs w:val="18"/>
          <w:color w:val="auto"/>
        </w:rPr>
        <w:t xml:space="preserve"> Except to enforce the right to receive payment of principal (including, if applicable, the Redemption Price and the Fundamental Change Repurchase Price) or interest when due, or the right to receive payment or delivery of the consideration due upon conversion, no Holder of any Note shall have any right by virtue of or by availing of any provision of this Indenture or the Notes to institute any suit, action or proceeding in equity or at law upon or under or with respect to this Indenture, or for the appointment of a receiver, trustee, liquidator, custodian or other similar official, or for any other remedy hereunder, unless:</w:t>
      </w:r>
    </w:p>
    <w:p>
      <w:pPr>
        <w:spacing w:after="0" w:line="77" w:lineRule="exact"/>
        <w:rPr>
          <w:sz w:val="20"/>
          <w:szCs w:val="20"/>
          <w:color w:val="auto"/>
        </w:rPr>
      </w:pPr>
    </w:p>
    <w:p>
      <w:pPr>
        <w:ind w:left="680" w:hanging="244"/>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previously shall have given to the Trustee written notice of an Event of Default and of the continuance thereof, as herein provided;</w:t>
      </w:r>
    </w:p>
    <w:p>
      <w:pPr>
        <w:spacing w:after="0" w:line="117" w:lineRule="exact"/>
        <w:rPr>
          <w:rFonts w:ascii="Times New Roman" w:cs="Times New Roman" w:eastAsia="Times New Roman" w:hAnsi="Times New Roman"/>
          <w:sz w:val="18"/>
          <w:szCs w:val="18"/>
          <w:color w:val="auto"/>
        </w:rPr>
      </w:pPr>
    </w:p>
    <w:p>
      <w:pPr>
        <w:ind w:right="520" w:firstLine="436"/>
        <w:spacing w:after="0" w:line="282" w:lineRule="auto"/>
        <w:tabs>
          <w:tab w:leader="none" w:pos="6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at least 25% in aggregate principal amount of the Notes then outstanding shall have made written request upon the Trustee to institute such action, suit or proceeding in its own name as Trustee hereunder;</w:t>
      </w:r>
    </w:p>
    <w:p>
      <w:pPr>
        <w:spacing w:after="0" w:line="53" w:lineRule="exact"/>
        <w:rPr>
          <w:rFonts w:ascii="Times New Roman" w:cs="Times New Roman" w:eastAsia="Times New Roman" w:hAnsi="Times New Roman"/>
          <w:sz w:val="18"/>
          <w:szCs w:val="18"/>
          <w:color w:val="auto"/>
        </w:rPr>
      </w:pPr>
    </w:p>
    <w:p>
      <w:pPr>
        <w:ind w:right="180" w:firstLine="436"/>
        <w:spacing w:after="0" w:line="282" w:lineRule="auto"/>
        <w:tabs>
          <w:tab w:leader="none" w:pos="6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shall have offered, and, if requested, provided to the Trustee such security or indemnity reasonably satisfactory to it against any loss, claim, liability or expense to be incurred therein or thereby;</w:t>
      </w:r>
    </w:p>
    <w:p>
      <w:pPr>
        <w:spacing w:after="0" w:line="53" w:lineRule="exact"/>
        <w:rPr>
          <w:rFonts w:ascii="Times New Roman" w:cs="Times New Roman" w:eastAsia="Times New Roman" w:hAnsi="Times New Roman"/>
          <w:sz w:val="18"/>
          <w:szCs w:val="18"/>
          <w:color w:val="auto"/>
        </w:rPr>
      </w:pPr>
    </w:p>
    <w:p>
      <w:pPr>
        <w:ind w:right="300" w:firstLine="436"/>
        <w:spacing w:after="0" w:line="282" w:lineRule="auto"/>
        <w:tabs>
          <w:tab w:leader="none" w:pos="6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60 days after its receipt of such notice, request and offer, or provision, of such security or indemnity, shall have neglected or refused to institute any such action, suit or proceeding; and</w:t>
      </w:r>
    </w:p>
    <w:p>
      <w:pPr>
        <w:spacing w:after="0" w:line="53" w:lineRule="exact"/>
        <w:rPr>
          <w:rFonts w:ascii="Times New Roman" w:cs="Times New Roman" w:eastAsia="Times New Roman" w:hAnsi="Times New Roman"/>
          <w:sz w:val="18"/>
          <w:szCs w:val="18"/>
          <w:color w:val="auto"/>
        </w:rPr>
      </w:pPr>
    </w:p>
    <w:p>
      <w:pPr>
        <w:ind w:firstLine="436"/>
        <w:spacing w:after="0" w:line="282" w:lineRule="auto"/>
        <w:tabs>
          <w:tab w:leader="none" w:pos="6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that, in the opinion of the Trustee, is inconsistent with such written request shall have been given to the Trustee by the Holders of a majority of the aggregate principal amount of the Notes then outstanding within such 60-day period pursuant to Section 6.09,</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it being understood and intended, and being expressly covenanted by the taker and Holder of every Note with every other taker and Holder and the Trustee that no one or more Holders shall have any right in any manner whatever by virtue of or by availing of any provision of this Indenture to affect, disturb or prejudice the rights of any other Holder, or to obtain or seek to obtain priority over or preference to any other such Holder (it being understood that the Trustee does not have an affirmative duty to ascertain whether or not such actions or forbearances are unduly prejudicial to such Holder), or to enforce any right under this Indenture, except in the manner herein provided and for the equal, ratable and common benefit of all Holders (except as otherwise provided herein). For the protection and enforcement of this Section 6.06, each and every Holder and the Trustee shall be entitled to such relief as can be given either at law or in equity.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20"/>
          </w:cols>
          <w:pgMar w:left="440" w:top="268" w:right="439" w:bottom="1440" w:gutter="0" w:footer="0" w:header="0"/>
        </w:sectPr>
      </w:pPr>
    </w:p>
    <w:bookmarkStart w:id="54" w:name="page55"/>
    <w:bookmarkEnd w:id="54"/>
    <w:p>
      <w:pPr>
        <w:jc w:val="both"/>
        <w:ind w:left="4" w:right="400" w:firstLine="44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 other provision of this Indenture and any provision of any Note, each Holder shall have the right to receive payment or delivery, as the case may be, of (x) the principal (including the Redemption Price and the Fundamental Change Repurchase Price, if applicable) of,</w:t>
      </w:r>
    </w:p>
    <w:p>
      <w:pPr>
        <w:spacing w:after="0" w:line="1" w:lineRule="exact"/>
        <w:rPr>
          <w:sz w:val="20"/>
          <w:szCs w:val="20"/>
          <w:color w:val="auto"/>
        </w:rPr>
      </w:pPr>
    </w:p>
    <w:p>
      <w:pPr>
        <w:ind w:left="4" w:hanging="4"/>
        <w:spacing w:after="0" w:line="260" w:lineRule="auto"/>
        <w:tabs>
          <w:tab w:leader="none" w:pos="25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and unpaid interest, if any, on, and (z) the consideration due upon conversion of, such Note, on or after the respective due dates expressed or provided for in such Note or in this Indenture, or to institute suit for the enforcement of any such payment or delivery, as the case may be.</w:t>
      </w:r>
    </w:p>
    <w:p>
      <w:pPr>
        <w:spacing w:after="0" w:line="179" w:lineRule="exact"/>
        <w:rPr>
          <w:sz w:val="20"/>
          <w:szCs w:val="20"/>
          <w:color w:val="auto"/>
        </w:rPr>
      </w:pPr>
    </w:p>
    <w:p>
      <w:pPr>
        <w:ind w:left="4" w:right="80" w:firstLine="440"/>
        <w:spacing w:after="0" w:line="258" w:lineRule="auto"/>
        <w:rPr>
          <w:sz w:val="20"/>
          <w:szCs w:val="20"/>
          <w:color w:val="auto"/>
        </w:rPr>
      </w:pPr>
      <w:r>
        <w:rPr>
          <w:rFonts w:ascii="Times New Roman" w:cs="Times New Roman" w:eastAsia="Times New Roman" w:hAnsi="Times New Roman"/>
          <w:sz w:val="18"/>
          <w:szCs w:val="18"/>
          <w:color w:val="auto"/>
        </w:rPr>
        <w:t>Section 6.07</w:t>
      </w:r>
      <w:r>
        <w:rPr>
          <w:rFonts w:ascii="Times New Roman" w:cs="Times New Roman" w:eastAsia="Times New Roman" w:hAnsi="Times New Roman"/>
          <w:sz w:val="18"/>
          <w:szCs w:val="18"/>
          <w:i w:val="1"/>
          <w:iCs w:val="1"/>
          <w:color w:val="auto"/>
        </w:rPr>
        <w:t>. Proceedings by Trustee.</w:t>
      </w:r>
      <w:r>
        <w:rPr>
          <w:rFonts w:ascii="Times New Roman" w:cs="Times New Roman" w:eastAsia="Times New Roman" w:hAnsi="Times New Roman"/>
          <w:sz w:val="18"/>
          <w:szCs w:val="18"/>
          <w:color w:val="auto"/>
        </w:rPr>
        <w:t xml:space="preserve"> In case of an Event of Default, the Trustee may in its discretion proceed to protect and enforce the rights vested in it by this Indenture by such appropriate judicial proceedings as are necessary to protect and enforce any of such rights, either by suit in equity or by action at law or by proceeding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83"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Section 6.08</w:t>
      </w:r>
      <w:r>
        <w:rPr>
          <w:rFonts w:ascii="Times New Roman" w:cs="Times New Roman" w:eastAsia="Times New Roman" w:hAnsi="Times New Roman"/>
          <w:sz w:val="18"/>
          <w:szCs w:val="18"/>
          <w:i w:val="1"/>
          <w:iCs w:val="1"/>
          <w:color w:val="auto"/>
        </w:rPr>
        <w:t>. Remedies Cumulative and Continuing.</w:t>
      </w:r>
      <w:r>
        <w:rPr>
          <w:rFonts w:ascii="Times New Roman" w:cs="Times New Roman" w:eastAsia="Times New Roman" w:hAnsi="Times New Roman"/>
          <w:sz w:val="18"/>
          <w:szCs w:val="18"/>
          <w:color w:val="auto"/>
        </w:rPr>
        <w:t xml:space="preserve"> Except as provided in the last paragraph of Section 2.06, all powers and remedies given by this Article 6 to the Trustee or to the Holders shall, to the extent permitted by law, be deemed cumulative and not exclusive of any thereof or of any other powers and remedies available to the Trustee or the Holders of the Notes, by judicial proceedings or otherwise, to enforce the performance or observance of the covenants and agreements contained in this Indenture, and no delay or omission of the Trustee or of any Holder of any of the Notes to exercise any right or power accruing upon any Default or Event of Default shall impair any such right or power, or shall be construed to be a waiver of any such Default or Event of Default or any acquiescence therein; and, subject to the provisions of Section 6.06, every power and remedy given by this Article 6 or by law to the Trustee or to the Holders may be exercised from time to time, and as often as shall be deemed expedient, by the Trustee or by the Holders.</w:t>
      </w:r>
    </w:p>
    <w:p>
      <w:pPr>
        <w:spacing w:after="0" w:line="185"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Section 6.09</w:t>
      </w:r>
      <w:r>
        <w:rPr>
          <w:rFonts w:ascii="Times New Roman" w:cs="Times New Roman" w:eastAsia="Times New Roman" w:hAnsi="Times New Roman"/>
          <w:sz w:val="18"/>
          <w:szCs w:val="18"/>
          <w:i w:val="1"/>
          <w:iCs w:val="1"/>
          <w:color w:val="auto"/>
        </w:rPr>
        <w:t>. Direction of Proceedings and Waiver of Defaults by Majority of Holders.</w:t>
      </w:r>
      <w:r>
        <w:rPr>
          <w:rFonts w:ascii="Times New Roman" w:cs="Times New Roman" w:eastAsia="Times New Roman" w:hAnsi="Times New Roman"/>
          <w:sz w:val="18"/>
          <w:szCs w:val="18"/>
          <w:color w:val="auto"/>
        </w:rPr>
        <w:t xml:space="preserve"> The Holders of a majority of the aggregate principal amount of the Notes at the time outstanding determined in accordance with Section 8.04 shall have the right to direct the time, method and place of conducting any proceeding for any remedy available to the Trustee or exercising any trust or power conferred on the Trustee with respect to the Notes; provided, however, that (a) such direction shall not be in conflict with any rule of law or with this Indenture, and (b) the Trustee may take any other action deemed proper by the Trustee and that is not inconsistent with such direction. The Trustee may refuse to follow any direction that it determines is unduly prejudicial to the rights of any other Holder (it being understood that the Trustee shall not have an affirmative duty to ascertain whether or not any such direction is unduly prejudicial to any other Holder) or that would involve the Trustee in personal liability. The Holders of a majority in aggregate principal amount of the Notes at the time outstanding determined in accordance with Section 8.04 may on behalf of the Holders of all of the Notes waive any past Default or Event of Default hereunder and its consequences (including, for the avoidance of doubt, any acceleration as a result of such Default or Event of Default) except any continuing defaults relating to (i) a default in the payment of accrued and unpaid interest, if any, on, or the principal (including any Redemption Price and any Fundamental Change Repurchase Price) of, the Notes when due that has not been cured pursuant to the provisions of Section 6.01, (ii) a failure by the Company to</w:t>
      </w:r>
    </w:p>
    <w:p>
      <w:pPr>
        <w:spacing w:after="0" w:line="12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64"/>
          </w:cols>
          <w:pgMar w:left="436" w:top="270" w:right="499" w:bottom="1440" w:gutter="0" w:footer="0" w:header="0"/>
        </w:sectPr>
      </w:pPr>
    </w:p>
    <w:bookmarkStart w:id="55" w:name="page56"/>
    <w:bookmarkEnd w:id="55"/>
    <w:p>
      <w:pPr>
        <w:ind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 or deliver, as the case may be, the consideration due upon conversion of the Notes or (iii) a default in respect of a covenant or provision hereof which under Article 10 cannot be modified or amended without the consent of each Holder of an outstanding Note affected. Upon any such waiver the Company, the Trustee and the Holders of the Notes shall be restored to their former positions and rights hereunder; but no such waiver shall extend to any subsequent or other Default or Event of Default or impair any right consequent thereon. Whenever any Default or Event of Default hereunder shall have been waived as permitted by this Section 6.09, said Default or Event of Default shall for all purposes of the Notes and this Indenture be deemed to have been cured and to be not continuing; but no such waiver shall extend to any subsequent or other Default or Event of Default or impair any right consequent thereon.</w:t>
      </w:r>
    </w:p>
    <w:p>
      <w:pPr>
        <w:spacing w:after="0" w:line="187" w:lineRule="exact"/>
        <w:rPr>
          <w:sz w:val="20"/>
          <w:szCs w:val="20"/>
          <w:color w:val="auto"/>
        </w:rPr>
      </w:pPr>
    </w:p>
    <w:p>
      <w:pPr>
        <w:ind w:right="100" w:firstLine="440"/>
        <w:spacing w:after="0" w:line="257" w:lineRule="auto"/>
        <w:rPr>
          <w:sz w:val="20"/>
          <w:szCs w:val="20"/>
          <w:color w:val="auto"/>
        </w:rPr>
      </w:pPr>
      <w:r>
        <w:rPr>
          <w:rFonts w:ascii="Times New Roman" w:cs="Times New Roman" w:eastAsia="Times New Roman" w:hAnsi="Times New Roman"/>
          <w:sz w:val="18"/>
          <w:szCs w:val="18"/>
          <w:color w:val="auto"/>
        </w:rPr>
        <w:t>Section 6.10</w:t>
      </w:r>
      <w:r>
        <w:rPr>
          <w:rFonts w:ascii="Times New Roman" w:cs="Times New Roman" w:eastAsia="Times New Roman" w:hAnsi="Times New Roman"/>
          <w:sz w:val="18"/>
          <w:szCs w:val="18"/>
          <w:i w:val="1"/>
          <w:iCs w:val="1"/>
          <w:color w:val="auto"/>
        </w:rPr>
        <w:t>. Notice of Defaults.</w:t>
      </w:r>
      <w:r>
        <w:rPr>
          <w:rFonts w:ascii="Times New Roman" w:cs="Times New Roman" w:eastAsia="Times New Roman" w:hAnsi="Times New Roman"/>
          <w:sz w:val="18"/>
          <w:szCs w:val="18"/>
          <w:color w:val="auto"/>
        </w:rPr>
        <w:t xml:space="preserve"> The Trustee shall, within 90 days after a Responsible Officer obtains actual knowledge of the occurrence of a Default that is then continuing, deliver to all Holders notice of all Defaults actually known to a Responsible Officer, unless such Defaults shall have been cured or waived before the giving of such notice; provided that, except in the case of a Default in the payment of the principal of (including the Redemption Price and the Fundamental Change Repurchase Price, if applicable), or accrued and unpaid interest on, any of the Notes or a Default in the payment or delivery of the consideration due upon conversion, the Trustee shall be protected in withholding such notice if and so long as it determines that the withholding of such notice is in the interests of the Holders.</w:t>
      </w:r>
    </w:p>
    <w:p>
      <w:pPr>
        <w:spacing w:after="0" w:line="18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Section 6.11</w:t>
      </w:r>
      <w:r>
        <w:rPr>
          <w:rFonts w:ascii="Times New Roman" w:cs="Times New Roman" w:eastAsia="Times New Roman" w:hAnsi="Times New Roman"/>
          <w:sz w:val="18"/>
          <w:szCs w:val="18"/>
          <w:i w:val="1"/>
          <w:iCs w:val="1"/>
          <w:color w:val="auto"/>
        </w:rPr>
        <w:t>. Undertaking to Pay Costs.</w:t>
      </w:r>
      <w:r>
        <w:rPr>
          <w:rFonts w:ascii="Times New Roman" w:cs="Times New Roman" w:eastAsia="Times New Roman" w:hAnsi="Times New Roman"/>
          <w:sz w:val="18"/>
          <w:szCs w:val="18"/>
          <w:color w:val="auto"/>
        </w:rPr>
        <w:t xml:space="preserve"> All parties to this Indenture agree, and each Holder of any Note by its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provisions of this</w:t>
      </w:r>
    </w:p>
    <w:p>
      <w:pPr>
        <w:spacing w:after="0" w:line="1"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Section 6.11 (to the extent permitted by law) shall not apply to any suit instituted by the Trustee, to any suit instituted by any Holder, or group of Holders, holding in the aggregate more than 10% in principal amount of the Notes at the time outstanding determined in accordance with Section 8.04, or to any suit instituted by any Holder for the enforcement of the payment of the principal of or accrued and unpaid interest, if any, on any Note (including, but not limited to, the Redemption Price and the Fundamental Change Repurchase Price, if applicable) on or after the due date expressed or provided for in such Note or to any suit for the enforcement of the right to convert any Note, or receive the consideration due upon conversion, in accordance with the provisions of Article 14.</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0"/>
          </w:cols>
          <w:pgMar w:left="440" w:top="270" w:right="45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7</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ONCERNING THE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RUSTEE</w:t>
      </w:r>
    </w:p>
    <w:p>
      <w:pPr>
        <w:spacing w:after="0" w:line="205"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Section 7.01</w:t>
      </w:r>
      <w:r>
        <w:rPr>
          <w:rFonts w:ascii="Times New Roman" w:cs="Times New Roman" w:eastAsia="Times New Roman" w:hAnsi="Times New Roman"/>
          <w:sz w:val="18"/>
          <w:szCs w:val="18"/>
          <w:i w:val="1"/>
          <w:iCs w:val="1"/>
          <w:color w:val="auto"/>
        </w:rPr>
        <w:t>. Duties and Responsibilities of Trustee.</w:t>
      </w:r>
      <w:r>
        <w:rPr>
          <w:rFonts w:ascii="Times New Roman" w:cs="Times New Roman" w:eastAsia="Times New Roman" w:hAnsi="Times New Roman"/>
          <w:sz w:val="18"/>
          <w:szCs w:val="18"/>
          <w:color w:val="auto"/>
        </w:rPr>
        <w:t xml:space="preserve"> The Trustee, prior to the occurrence of an Event of Default and after the curing or waiver of all Events of Default that may have occurred, undertakes to perform such duties and only such duties as are specifically set forth in this Indenture. In the event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 Event of Default occurs and is continuing, the Trustee will be under no obligation to exercise any of the rights or powers under this Indenture at the request or direction of any of the Holders unless such Holders have offered, and if requested, provided, to the Trustee indemnity or security satisfactory to it against any loss, claim, liability or expense that might be incurred by it in compliance with such request or direction.</w:t>
      </w:r>
    </w:p>
    <w:p>
      <w:pPr>
        <w:spacing w:after="0" w:line="18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No provision of this Indenture shall be construed to relieve the Trustee from liability for its own grossly negligent action, its own grossly negligent failure to act or its own willful misconduct, except that:</w:t>
      </w:r>
    </w:p>
    <w:p>
      <w:pPr>
        <w:spacing w:after="0" w:line="54" w:lineRule="exact"/>
        <w:rPr>
          <w:sz w:val="20"/>
          <w:szCs w:val="20"/>
          <w:color w:val="auto"/>
        </w:rPr>
      </w:pPr>
    </w:p>
    <w:p>
      <w:pPr>
        <w:ind w:left="680" w:hanging="244"/>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occurrence of an Event of Default and after the curing or waiving of all Events of Default that may have occurred:</w:t>
      </w:r>
    </w:p>
    <w:p>
      <w:pPr>
        <w:spacing w:after="0" w:line="117" w:lineRule="exact"/>
        <w:rPr>
          <w:rFonts w:ascii="Times New Roman" w:cs="Times New Roman" w:eastAsia="Times New Roman" w:hAnsi="Times New Roman"/>
          <w:sz w:val="18"/>
          <w:szCs w:val="18"/>
          <w:color w:val="auto"/>
        </w:rPr>
      </w:pPr>
    </w:p>
    <w:p>
      <w:pPr>
        <w:ind w:left="440" w:right="160" w:firstLine="419"/>
        <w:spacing w:after="0" w:line="266" w:lineRule="auto"/>
        <w:tabs>
          <w:tab w:leader="none" w:pos="107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and obligations of the Trustee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67" w:lineRule="exact"/>
        <w:rPr>
          <w:rFonts w:ascii="Times New Roman" w:cs="Times New Roman" w:eastAsia="Times New Roman" w:hAnsi="Times New Roman"/>
          <w:sz w:val="18"/>
          <w:szCs w:val="18"/>
          <w:color w:val="auto"/>
        </w:rPr>
      </w:pPr>
    </w:p>
    <w:p>
      <w:pPr>
        <w:ind w:left="440" w:right="220" w:firstLine="419"/>
        <w:spacing w:after="0" w:line="258" w:lineRule="auto"/>
        <w:tabs>
          <w:tab w:leader="none" w:pos="112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and willful misconduct on the part of the Trustee, the Trustee may, as to the truth of the statements and the correctness of the opinions expressed therein, conclusively rely upon any certificates or opinions furnished to the Trustee and conforming to the requirements of this Indenture; but, in the case of any such certificates or opinions that by any provisions hereof are specifically required to be furnished to the Trustee, the Trustee shall be under a duty to examine the same to determine whether or not they conform to the requirements of this Indenture (but need not confirm or investigate the accuracy of any mathematical calculations or other facts stated therein);</w:t>
      </w:r>
    </w:p>
    <w:p>
      <w:pPr>
        <w:spacing w:after="0" w:line="75" w:lineRule="exact"/>
        <w:rPr>
          <w:rFonts w:ascii="Times New Roman" w:cs="Times New Roman" w:eastAsia="Times New Roman" w:hAnsi="Times New Roman"/>
          <w:sz w:val="18"/>
          <w:szCs w:val="18"/>
          <w:color w:val="auto"/>
        </w:rPr>
      </w:pPr>
    </w:p>
    <w:p>
      <w:pPr>
        <w:ind w:right="140" w:firstLine="436"/>
        <w:spacing w:after="0" w:line="282" w:lineRule="auto"/>
        <w:tabs>
          <w:tab w:leader="none" w:pos="6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or Officers of the Trustee, unless it shall be proved that the Trustee was grossly negligent in ascertaining the pertinent facts;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440" w:top="270" w:right="459" w:bottom="1440" w:gutter="0" w:footer="0" w:header="0"/>
        </w:sectPr>
      </w:pPr>
    </w:p>
    <w:bookmarkStart w:id="57" w:name="page58"/>
    <w:bookmarkEnd w:id="57"/>
    <w:p>
      <w:pPr>
        <w:ind w:right="100" w:firstLine="436"/>
        <w:spacing w:after="0" w:line="261" w:lineRule="auto"/>
        <w:tabs>
          <w:tab w:leader="none" w:pos="6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shall not be liable with respect to any action taken or omitted to be taken by it in good faith in accordance with the direction of the Holders of not less than a majority of the aggregate principal amount of the Notes at the time outstanding determined as provided in Section 8.04 relating to the time, method and place of conducting any proceeding for any remedy available to the Trustee, or exercising any trust or power conferred upon the Trustee, under this Indenture;</w:t>
      </w:r>
    </w:p>
    <w:p>
      <w:pPr>
        <w:spacing w:after="0" w:line="71" w:lineRule="exact"/>
        <w:rPr>
          <w:rFonts w:ascii="Times New Roman" w:cs="Times New Roman" w:eastAsia="Times New Roman" w:hAnsi="Times New Roman"/>
          <w:sz w:val="18"/>
          <w:szCs w:val="18"/>
          <w:color w:val="auto"/>
        </w:rPr>
      </w:pPr>
    </w:p>
    <w:p>
      <w:pPr>
        <w:ind w:right="20" w:firstLine="436"/>
        <w:spacing w:after="0" w:line="282" w:lineRule="auto"/>
        <w:tabs>
          <w:tab w:leader="none" w:pos="6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therein provided, every provision of this Indenture relating to the conduct or affecting the liability of, or affording protection to, the Trustee shall be subject to the provisions of this Section;</w:t>
      </w:r>
    </w:p>
    <w:p>
      <w:pPr>
        <w:spacing w:after="0" w:line="53" w:lineRule="exact"/>
        <w:rPr>
          <w:rFonts w:ascii="Times New Roman" w:cs="Times New Roman" w:eastAsia="Times New Roman" w:hAnsi="Times New Roman"/>
          <w:sz w:val="18"/>
          <w:szCs w:val="18"/>
          <w:color w:val="auto"/>
        </w:rPr>
      </w:pPr>
    </w:p>
    <w:p>
      <w:pPr>
        <w:ind w:right="40" w:firstLine="436"/>
        <w:spacing w:after="0" w:line="282" w:lineRule="auto"/>
        <w:tabs>
          <w:tab w:leader="none" w:pos="6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in respect of any payment (as to the correctness of amount, entitlement to receive or any other matters relating to payment) or notice effected by the Company or any Paying Agent or any records maintained by any co-Note Registrar with respect to the Notes;</w:t>
      </w:r>
    </w:p>
    <w:p>
      <w:pPr>
        <w:spacing w:after="0" w:line="53" w:lineRule="exact"/>
        <w:rPr>
          <w:rFonts w:ascii="Times New Roman" w:cs="Times New Roman" w:eastAsia="Times New Roman" w:hAnsi="Times New Roman"/>
          <w:sz w:val="18"/>
          <w:szCs w:val="18"/>
          <w:color w:val="auto"/>
        </w:rPr>
      </w:pPr>
    </w:p>
    <w:p>
      <w:pPr>
        <w:jc w:val="both"/>
        <w:ind w:right="200" w:firstLine="436"/>
        <w:spacing w:after="0" w:line="266" w:lineRule="auto"/>
        <w:tabs>
          <w:tab w:leader="none" w:pos="66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party fails to deliver a notice relating to an event the fact of which, pursuant to this Indenture, requires notice to be sent to the Trustee, the Trustee may conclusively rely on its failure to receive such notice as reason to act as if no such event occurred, unless a Responsible Officer of the Trustee had actual knowledge of such event;</w:t>
      </w:r>
    </w:p>
    <w:p>
      <w:pPr>
        <w:spacing w:after="0" w:line="6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required to give any bond or surety in respect of the execution of the trusts and powers under this Indenture;</w:t>
      </w:r>
    </w:p>
    <w:p>
      <w:pPr>
        <w:spacing w:after="0" w:line="117"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written investment direction from the Company, all cash received by the Trustee shall be placed in a non-interest bearing trust account, and in no event shall the Trustee be liable for the selection of investments or for investment losses incurred thereon or for losses, fees, taxes or other charges incurred as a result of the liquidation of any such investment prior to its maturity date or the failure of the party directing such investments prior to its maturity date or the failure of the party directing such investment to provide timely written investment direction, and the Trustee shall have no obligation to invest or reinvest any amounts held hereunder in the absence of such written investment direction from the Company; and</w:t>
      </w:r>
    </w:p>
    <w:p>
      <w:pPr>
        <w:spacing w:after="0" w:line="75" w:lineRule="exact"/>
        <w:rPr>
          <w:rFonts w:ascii="Times New Roman" w:cs="Times New Roman" w:eastAsia="Times New Roman" w:hAnsi="Times New Roman"/>
          <w:sz w:val="18"/>
          <w:szCs w:val="18"/>
          <w:color w:val="auto"/>
        </w:rPr>
      </w:pPr>
    </w:p>
    <w:p>
      <w:pPr>
        <w:jc w:val="both"/>
        <w:ind w:right="280" w:firstLine="436"/>
        <w:spacing w:after="0" w:line="266"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Trustee is also acting as Custodian, Note Registrar, Paying Agent, Conversion Agent, Bid Solicitation Agent or transfer agent hereunder, the rights and protections afforded to the Trustee pursuant to this Article 7 shall also be afforded to such Custodian, Note Registrar, Paying Agent, Conversion Agent, Bid Solicitation Agent or transfer agent.</w:t>
      </w:r>
    </w:p>
    <w:p>
      <w:pPr>
        <w:spacing w:after="0" w:line="176" w:lineRule="exact"/>
        <w:rPr>
          <w:sz w:val="20"/>
          <w:szCs w:val="20"/>
          <w:color w:val="auto"/>
        </w:rPr>
      </w:pPr>
    </w:p>
    <w:p>
      <w:pPr>
        <w:ind w:right="220" w:firstLine="440"/>
        <w:spacing w:after="0" w:line="289" w:lineRule="auto"/>
        <w:rPr>
          <w:sz w:val="20"/>
          <w:szCs w:val="20"/>
          <w:color w:val="auto"/>
        </w:rPr>
      </w:pPr>
      <w:r>
        <w:rPr>
          <w:rFonts w:ascii="Times New Roman" w:cs="Times New Roman" w:eastAsia="Times New Roman" w:hAnsi="Times New Roman"/>
          <w:sz w:val="17"/>
          <w:szCs w:val="17"/>
          <w:color w:val="auto"/>
        </w:rPr>
        <w:t>None of the provisions contained in this Indenture shall require the Trustee to expend or risk its own funds or otherwise incur personal financial liability in the performance of any of its duties or in the exercise of any of its rights or powers. Prior to taking any action under this Indenture, the Trustee shall receive indemnification or security satisfactory to it against any loss, liability or expense caused by taking or not taking such action.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0"/>
          </w:cols>
          <w:pgMar w:left="440" w:top="270" w:right="459" w:bottom="1440" w:gutter="0" w:footer="0" w:header="0"/>
        </w:sectPr>
      </w:pPr>
    </w:p>
    <w:bookmarkStart w:id="58" w:name="page59"/>
    <w:bookmarkEnd w:id="5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7.02</w:t>
      </w:r>
      <w:r>
        <w:rPr>
          <w:rFonts w:ascii="Times New Roman" w:cs="Times New Roman" w:eastAsia="Times New Roman" w:hAnsi="Times New Roman"/>
          <w:sz w:val="18"/>
          <w:szCs w:val="18"/>
          <w:i w:val="1"/>
          <w:iCs w:val="1"/>
          <w:color w:val="auto"/>
        </w:rPr>
        <w:t>. Reliance on Documents, Opinions, Etc.</w:t>
      </w:r>
      <w:r>
        <w:rPr>
          <w:rFonts w:ascii="Times New Roman" w:cs="Times New Roman" w:eastAsia="Times New Roman" w:hAnsi="Times New Roman"/>
          <w:sz w:val="18"/>
          <w:szCs w:val="18"/>
          <w:color w:val="auto"/>
        </w:rPr>
        <w:t xml:space="preserve"> Except as otherwise provided in Section 7.01:</w:t>
      </w:r>
    </w:p>
    <w:p>
      <w:pPr>
        <w:spacing w:after="0" w:line="119" w:lineRule="exact"/>
        <w:rPr>
          <w:sz w:val="20"/>
          <w:szCs w:val="20"/>
          <w:color w:val="auto"/>
        </w:rPr>
      </w:pPr>
    </w:p>
    <w:p>
      <w:pPr>
        <w:ind w:right="80" w:firstLine="436"/>
        <w:spacing w:after="0" w:line="266" w:lineRule="auto"/>
        <w:tabs>
          <w:tab w:leader="none" w:pos="68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and shall be fully protected in acting or refraining from acting upon any resolution, certificate, statement, instrument, opinion, report, notice, request, consent, order, bond, note, coupon or other paper or document believed by it in good faith to be genuine and to have been signed or presented by the proper party or parties;</w:t>
      </w:r>
    </w:p>
    <w:p>
      <w:pPr>
        <w:spacing w:after="0" w:line="67" w:lineRule="exact"/>
        <w:rPr>
          <w:rFonts w:ascii="Times New Roman" w:cs="Times New Roman" w:eastAsia="Times New Roman" w:hAnsi="Times New Roman"/>
          <w:sz w:val="18"/>
          <w:szCs w:val="18"/>
          <w:color w:val="auto"/>
        </w:rPr>
      </w:pPr>
    </w:p>
    <w:p>
      <w:pPr>
        <w:ind w:right="280" w:firstLine="436"/>
        <w:spacing w:after="0" w:line="266" w:lineRule="auto"/>
        <w:tabs>
          <w:tab w:leader="none" w:pos="6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direction, order or demand of the Company mentioned herein shall be sufficiently evidenced by an Officer’s Certificate (unless other evidence in respect thereof be herein specifically prescribed); and any Board Resolution may be evidenced to the Trustee by a copy thereof certified by the Secretary or an Assistant Secretary of the Company;</w:t>
      </w:r>
    </w:p>
    <w:p>
      <w:pPr>
        <w:spacing w:after="0" w:line="67" w:lineRule="exact"/>
        <w:rPr>
          <w:rFonts w:ascii="Times New Roman" w:cs="Times New Roman" w:eastAsia="Times New Roman" w:hAnsi="Times New Roman"/>
          <w:sz w:val="18"/>
          <w:szCs w:val="18"/>
          <w:color w:val="auto"/>
        </w:rPr>
      </w:pPr>
    </w:p>
    <w:p>
      <w:pPr>
        <w:ind w:right="100" w:firstLine="436"/>
        <w:spacing w:after="0" w:line="266" w:lineRule="auto"/>
        <w:tabs>
          <w:tab w:leader="none" w:pos="68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gross negligence or willful misconduct on its part, conclusively rely upon an Officer’s Certificate;</w:t>
      </w:r>
    </w:p>
    <w:p>
      <w:pPr>
        <w:spacing w:after="0" w:line="67" w:lineRule="exact"/>
        <w:rPr>
          <w:rFonts w:ascii="Times New Roman" w:cs="Times New Roman" w:eastAsia="Times New Roman" w:hAnsi="Times New Roman"/>
          <w:sz w:val="18"/>
          <w:szCs w:val="18"/>
          <w:color w:val="auto"/>
        </w:rPr>
      </w:pPr>
    </w:p>
    <w:p>
      <w:pPr>
        <w:ind w:right="20" w:firstLine="436"/>
        <w:spacing w:after="0" w:line="266" w:lineRule="auto"/>
        <w:tabs>
          <w:tab w:leader="none" w:pos="6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of its selection, and require an Opinion of Counsel and any advice of such counsel or Opinion of Counsel shall be full and complete authorization and protection in respect of any action taken or omitted by it hereunder in good faith and in accordance with such advice or Opinion of Counsel;</w:t>
      </w:r>
    </w:p>
    <w:p>
      <w:pPr>
        <w:spacing w:after="0" w:line="67" w:lineRule="exact"/>
        <w:rPr>
          <w:rFonts w:ascii="Times New Roman" w:cs="Times New Roman" w:eastAsia="Times New Roman" w:hAnsi="Times New Roman"/>
          <w:sz w:val="18"/>
          <w:szCs w:val="18"/>
          <w:color w:val="auto"/>
        </w:rPr>
      </w:pPr>
    </w:p>
    <w:p>
      <w:pPr>
        <w:ind w:right="160" w:firstLine="436"/>
        <w:spacing w:after="0" w:line="258" w:lineRule="auto"/>
        <w:tabs>
          <w:tab w:leader="none" w:pos="68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direction, consent, order, bond, debenture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expense of the Company and shall incur no liability of any kind by reason of such inquiry or investigation;</w:t>
      </w:r>
    </w:p>
    <w:p>
      <w:pPr>
        <w:spacing w:after="0" w:line="75"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execute any of the trusts or powers hereunder or perform any duties hereunder either directly or by or through agents,</w:t>
      </w:r>
    </w:p>
    <w:p>
      <w:pPr>
        <w:spacing w:after="0" w:line="27"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custodians, nominees or attorneys and the Trustee shall not be responsible for any misconduct or negligence on the part of any agent, custodian, nominee or attorney appointed by it with due care hereunder;</w:t>
      </w:r>
    </w:p>
    <w:p>
      <w:pPr>
        <w:spacing w:after="0" w:line="7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permissive rights of the Trustee enumerated herein shall not be construed as duties;</w:t>
      </w:r>
    </w:p>
    <w:p>
      <w:pPr>
        <w:spacing w:after="0" w:line="117" w:lineRule="exact"/>
        <w:rPr>
          <w:rFonts w:ascii="Times New Roman" w:cs="Times New Roman" w:eastAsia="Times New Roman" w:hAnsi="Times New Roman"/>
          <w:sz w:val="18"/>
          <w:szCs w:val="18"/>
          <w:color w:val="auto"/>
        </w:rPr>
      </w:pPr>
    </w:p>
    <w:p>
      <w:pPr>
        <w:ind w:right="100" w:firstLine="436"/>
        <w:spacing w:after="0" w:line="266" w:lineRule="auto"/>
        <w:tabs>
          <w:tab w:leader="none" w:pos="6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request that the Company deliver an Officer’s Certificate setting forth the names of the individuals and/or titles of officers authorized at such times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20"/>
          </w:cols>
          <w:pgMar w:left="440" w:top="268" w:right="439" w:bottom="1440" w:gutter="0" w:footer="0" w:header="0"/>
        </w:sectPr>
      </w:pPr>
    </w:p>
    <w:bookmarkStart w:id="59" w:name="page60"/>
    <w:bookmarkEnd w:id="59"/>
    <w:p>
      <w:pPr>
        <w:ind w:right="80" w:firstLine="436"/>
        <w:spacing w:after="0" w:line="258"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the Trustee nor any of its directors, officers, employees, agents, or affiliates shall be responsible for nor have any duty to monitor the performance or any action of the Company, or its directors, members, officers, agents, affiliates, or employees, nor shall they have any liability in connection with the malfeasance or nonfeasance by such parties. The Trustee shall not be responsible for any inaccuracy in the information obtained from the Company or for any inaccuracy or omission in the records which may result from such information or any failure by the Trustee to perform its duties or set forth herein as a result of any inaccuracy or incompleteness; and</w:t>
      </w:r>
    </w:p>
    <w:p>
      <w:pPr>
        <w:spacing w:after="0" w:line="75"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have no obligation to monitor the terms of the Subscription Agreements or any Person’s compliance therewith.</w:t>
      </w:r>
    </w:p>
    <w:p>
      <w:pPr>
        <w:spacing w:after="0" w:line="225"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In no event shall the Trustee be liable for any special, indirect, punitive, or consequential loss or damage of any kind whatsoever (including but not limited to lost profits), even if the Trustee has been advised of the likelihood of such loss or damage and regardless of the form of action. The Trustee shall not be charged with knowledge of any Default or Event of Default with respect to the Notes, unless either (1) a Responsible Officer shall have actual knowledge of such Default or Event of Default or (2) written notice of such Default or Event of Default shall have been received by a Responsible Officer of the Trustee from the Company or from any Holder.</w:t>
      </w:r>
    </w:p>
    <w:p>
      <w:pPr>
        <w:spacing w:after="0" w:line="181"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Section 7.03</w:t>
      </w:r>
      <w:r>
        <w:rPr>
          <w:rFonts w:ascii="Times New Roman" w:cs="Times New Roman" w:eastAsia="Times New Roman" w:hAnsi="Times New Roman"/>
          <w:sz w:val="18"/>
          <w:szCs w:val="18"/>
          <w:i w:val="1"/>
          <w:iCs w:val="1"/>
          <w:color w:val="auto"/>
        </w:rPr>
        <w:t>. No Responsibility for Recitals, Etc..</w:t>
      </w:r>
      <w:r>
        <w:rPr>
          <w:rFonts w:ascii="Times New Roman" w:cs="Times New Roman" w:eastAsia="Times New Roman" w:hAnsi="Times New Roman"/>
          <w:sz w:val="18"/>
          <w:szCs w:val="18"/>
          <w:color w:val="auto"/>
        </w:rPr>
        <w:t xml:space="preserve"> The recitals contained herein and in the Notes (except in the Trustee’s certificate of authentication) shall be taken as the statements of the Company, and the Trustee assumes no responsibility for the correctness of the same. The Trustee makes no representations as to the validity or sufficiency of this Indenture or of the Notes. The Trustee shall not be accountable for the use or application by the Company of any Notes or the proceeds of any Notes authenticated and delivered by the Trustee in conformity with the provisions of this Indenture.</w:t>
      </w:r>
    </w:p>
    <w:p>
      <w:pPr>
        <w:spacing w:after="0" w:line="183" w:lineRule="exact"/>
        <w:rPr>
          <w:sz w:val="20"/>
          <w:szCs w:val="20"/>
          <w:color w:val="auto"/>
        </w:rPr>
      </w:pPr>
    </w:p>
    <w:p>
      <w:pPr>
        <w:jc w:val="both"/>
        <w:ind w:right="360" w:firstLine="440"/>
        <w:spacing w:after="0" w:line="261" w:lineRule="auto"/>
        <w:rPr>
          <w:sz w:val="20"/>
          <w:szCs w:val="20"/>
          <w:color w:val="auto"/>
        </w:rPr>
      </w:pPr>
      <w:r>
        <w:rPr>
          <w:rFonts w:ascii="Times New Roman" w:cs="Times New Roman" w:eastAsia="Times New Roman" w:hAnsi="Times New Roman"/>
          <w:sz w:val="18"/>
          <w:szCs w:val="18"/>
          <w:color w:val="auto"/>
        </w:rPr>
        <w:t>Section 7.04</w:t>
      </w:r>
      <w:r>
        <w:rPr>
          <w:rFonts w:ascii="Times New Roman" w:cs="Times New Roman" w:eastAsia="Times New Roman" w:hAnsi="Times New Roman"/>
          <w:sz w:val="18"/>
          <w:szCs w:val="18"/>
          <w:i w:val="1"/>
          <w:iCs w:val="1"/>
          <w:color w:val="auto"/>
        </w:rPr>
        <w:t>. Trustee, Paying Agents, Conversion Agents, Bid Solicitation Agent or Note Registrar May Own Notes.</w:t>
      </w:r>
      <w:r>
        <w:rPr>
          <w:rFonts w:ascii="Times New Roman" w:cs="Times New Roman" w:eastAsia="Times New Roman" w:hAnsi="Times New Roman"/>
          <w:sz w:val="18"/>
          <w:szCs w:val="18"/>
          <w:color w:val="auto"/>
        </w:rPr>
        <w:t xml:space="preserve"> The Trustee, any Paying Agent, any Conversion Agent, Bid Solicitation Agent (if other than the Company or any Affiliate thereof) or Note Registrar, in its individual or any other capacity, may become the owner or pledgee of Notes with the same rights it would have if it were not the Trustee, Paying Agent, Conversion Agent, Bid Solicitation Agent or Note Registrar.</w:t>
      </w:r>
    </w:p>
    <w:p>
      <w:pPr>
        <w:spacing w:after="0" w:line="180"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7"/>
          <w:szCs w:val="17"/>
          <w:color w:val="auto"/>
        </w:rPr>
        <w:t>Section 7.05</w:t>
      </w:r>
      <w:r>
        <w:rPr>
          <w:rFonts w:ascii="Times New Roman" w:cs="Times New Roman" w:eastAsia="Times New Roman" w:hAnsi="Times New Roman"/>
          <w:sz w:val="17"/>
          <w:szCs w:val="17"/>
          <w:i w:val="1"/>
          <w:iCs w:val="1"/>
          <w:color w:val="auto"/>
        </w:rPr>
        <w:t>. Monies and Shares of Common Stock to Be Held in Trust.</w:t>
      </w:r>
      <w:r>
        <w:rPr>
          <w:rFonts w:ascii="Times New Roman" w:cs="Times New Roman" w:eastAsia="Times New Roman" w:hAnsi="Times New Roman"/>
          <w:sz w:val="17"/>
          <w:szCs w:val="17"/>
          <w:color w:val="auto"/>
        </w:rPr>
        <w:t xml:space="preserve"> All monies and shares of Common Stock received by the Trustee shall, until used or applied as herein provided, be held in trust for the purposes for which they were received. Money and shares of Common Stock held by the Trustee in trust hereunder need not be segregated from other funds except to the extent required by law. The Trustee shall be under no liability for interest on any money or shares of Common Stock received by it hereunder except as may be agreed from time to time by the Company and the Trustee.</w:t>
      </w:r>
    </w:p>
    <w:p>
      <w:pPr>
        <w:spacing w:after="0" w:line="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80"/>
          </w:cols>
          <w:pgMar w:left="440" w:top="270" w:right="479" w:bottom="1440" w:gutter="0" w:footer="0" w:header="0"/>
        </w:sectPr>
      </w:pPr>
    </w:p>
    <w:bookmarkStart w:id="60" w:name="page61"/>
    <w:bookmarkEnd w:id="60"/>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7.06</w:t>
      </w:r>
      <w:r>
        <w:rPr>
          <w:rFonts w:ascii="Times New Roman" w:cs="Times New Roman" w:eastAsia="Times New Roman" w:hAnsi="Times New Roman"/>
          <w:sz w:val="18"/>
          <w:szCs w:val="18"/>
          <w:i w:val="1"/>
          <w:iCs w:val="1"/>
          <w:color w:val="auto"/>
        </w:rPr>
        <w:t>. Compensation and Expenses of Trustee.</w:t>
      </w:r>
      <w:r>
        <w:rPr>
          <w:rFonts w:ascii="Times New Roman" w:cs="Times New Roman" w:eastAsia="Times New Roman" w:hAnsi="Times New Roman"/>
          <w:sz w:val="18"/>
          <w:szCs w:val="18"/>
          <w:color w:val="auto"/>
        </w:rPr>
        <w:t xml:space="preserve"> The Company covenants and agrees to pay to the Trustee from time to time and the Trustee shall receive such compensation for all services rendered by it hereunder in any capacity (which shall not be limited by any provision of law in regard to the compensation of a trustee of an express trust) as previously and mutually agreed to in writing between the Trustee and the Company, and the Company will pay or reimburse the Trustee upon its request for all reasonable expenses, disbursements and advances reasonably incurred or made by the Trustee in accordance with any of the provisions of this Indenture in any capacity thereunder (including the reasonable compensation and the expenses and disbursements of its agents and counsel and of all Persons not regularly in its employ) except any such expense, disbursement or advance as shall have been caused by its gross negligence or willful misconduct. The Company also covenants to indemnify the Trustee or any predecessor Trustee in any capacity under this Indenture and any other document or transaction entered into in connection herewith and its agents and any authenticating agent for, and to hold them harmless against, any loss, claim, damage, liability or expense incurred without gross negligence or willful misconduct on the part of the Trustee, its officers, directors, agents or employees, or such agent or authenticating agent, as the case may be, and arising out of or in connection with the acceptance or administration of this Indenture or in any other capacity hereunder and the enforcement of this Indenture (including this Section 7.06), including the costs and expenses of defending themselves against any claim of liability in the premises. The obligations of the Company under this Section 7.06 to compensate or indemnify the Trustee and to pay or reimburse the Trustee for expenses, disbursements and advances shall be secured by a senior claim to which the Notes are hereby made subordinate on all money or property held or collected by the Trustee, except, subject to the effect of Section 6.05, funds held in trust herewith for the benefit of the Holders of particular Notes, and, for the avoidance of doubt, such claim shall not be extended in a manner that would conflict with the Company’s obligations to its other creditors. The Trustee’s right to receive payment of any amounts due under this Section 7.06 shall not be subordinate to any other liability or indebtedness of the Company. The obligation of the Company under this Section 7.06 shall survive the satisfaction and discharge of this Indenture and the earlier resignation or removal of the Trustee. The Company need not pay for any settlement made without its consent, which consent shall not be unreasonably withheld. The indemnification provided in this Section 7.06 shall extend to the officers, directors, agents and employees of the Trustee.</w:t>
      </w:r>
    </w:p>
    <w:p>
      <w:pPr>
        <w:spacing w:after="0" w:line="191"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Without prejudice to any other rights available to the Trustee under applicable law, when the Trustee and its agents and any authenticating agent incur expenses or render services after an Event of Default specified in Section 6.01(i) or Section 6.01(j) occurs, the expenses and the compensation for the services are intended to constitute expenses of administration under any bankruptcy, insolvency or similar laws.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60"/>
          </w:cols>
          <w:pgMar w:left="440" w:top="268" w:right="499" w:bottom="1440" w:gutter="0" w:footer="0" w:header="0"/>
        </w:sectPr>
      </w:pPr>
    </w:p>
    <w:bookmarkStart w:id="61" w:name="page62"/>
    <w:bookmarkEnd w:id="61"/>
    <w:p>
      <w:pPr>
        <w:ind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7.07</w:t>
      </w:r>
      <w:r>
        <w:rPr>
          <w:rFonts w:ascii="Times New Roman" w:cs="Times New Roman" w:eastAsia="Times New Roman" w:hAnsi="Times New Roman"/>
          <w:sz w:val="18"/>
          <w:szCs w:val="18"/>
          <w:i w:val="1"/>
          <w:iCs w:val="1"/>
          <w:color w:val="auto"/>
        </w:rPr>
        <w:t>. Officer’s Certificate as Evidence.</w:t>
      </w:r>
      <w:r>
        <w:rPr>
          <w:rFonts w:ascii="Times New Roman" w:cs="Times New Roman" w:eastAsia="Times New Roman" w:hAnsi="Times New Roman"/>
          <w:sz w:val="18"/>
          <w:szCs w:val="18"/>
          <w:color w:val="auto"/>
        </w:rPr>
        <w:t xml:space="preserve"> Except as otherwise provided in Section 7.01, whenever in the administration of the provisions of this Indenture the Trustee shall deem it necessary or desirable that a matter be proved or established prior to taking or omitting any action hereunder, such matter (unless other evidence in respect thereof be herein specifically prescribed) may, in the absence of gross negligence or willful misconduct on the part of the Trustee, be deemed to be conclusively proved and established by an Officer’s Certificate delivered to the Trustee, and such Officer’s Certificate, in the absence of gross negligence or willful misconduct on the part of the Trustee, shall be full warrant to the Trustee for any action taken or omitted by it under the provisions of this Indenture upon the faith thereof.</w:t>
      </w:r>
    </w:p>
    <w:p>
      <w:pPr>
        <w:spacing w:after="0" w:line="182"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Section 7.08</w:t>
      </w:r>
      <w:r>
        <w:rPr>
          <w:rFonts w:ascii="Times New Roman" w:cs="Times New Roman" w:eastAsia="Times New Roman" w:hAnsi="Times New Roman"/>
          <w:sz w:val="18"/>
          <w:szCs w:val="18"/>
          <w:i w:val="1"/>
          <w:iCs w:val="1"/>
          <w:color w:val="auto"/>
        </w:rPr>
        <w:t>. Eligibility of Trustee.</w:t>
      </w:r>
      <w:r>
        <w:rPr>
          <w:rFonts w:ascii="Times New Roman" w:cs="Times New Roman" w:eastAsia="Times New Roman" w:hAnsi="Times New Roman"/>
          <w:sz w:val="18"/>
          <w:szCs w:val="18"/>
          <w:color w:val="auto"/>
        </w:rPr>
        <w:t xml:space="preserve"> There shall at all times be a Trustee hereunder which shall be a Person that is eligible pursuant to the Trust Indenture Act (as if the Trust Indenture Act were applicable hereto) to act as such and has a combined capital and surplus of at least $50,000,000. If such Person publishes reports of condition at least annually, pursuant to law or to the requirements of any supervising or examining authority, then for the purposes of this Section, the combined capital and surplus of such Person shall be deemed to be its combined capital and surplus as set forth in its most recent report of condition so published. If at any time the Trustee shall cease to be eligible in accordance with the provisions of this Section, it shall resign promptly in the manner and with the effect hereinafter specified in this Article.</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7.09</w:t>
      </w:r>
      <w:r>
        <w:rPr>
          <w:rFonts w:ascii="Times New Roman" w:cs="Times New Roman" w:eastAsia="Times New Roman" w:hAnsi="Times New Roman"/>
          <w:sz w:val="18"/>
          <w:szCs w:val="18"/>
          <w:i w:val="1"/>
          <w:iCs w:val="1"/>
          <w:color w:val="auto"/>
        </w:rPr>
        <w:t>. Resignation or Removal of Trustee.</w:t>
      </w:r>
    </w:p>
    <w:p>
      <w:pPr>
        <w:spacing w:after="0" w:line="119" w:lineRule="exact"/>
        <w:rPr>
          <w:sz w:val="20"/>
          <w:szCs w:val="20"/>
          <w:color w:val="auto"/>
        </w:rPr>
      </w:pPr>
    </w:p>
    <w:p>
      <w:pPr>
        <w:ind w:right="20" w:firstLine="436"/>
        <w:spacing w:after="0" w:line="254" w:lineRule="auto"/>
        <w:tabs>
          <w:tab w:leader="none" w:pos="68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at any time resign by giving written notice of such resignation to the Company and by delivering notice thereof to the Holders. Upon receiving such notice of resignation, the Company shall promptly appoint a successor trustee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45 days after the giving of such notice of resignation to the Holders, the resigning Trustee may, upon ten Business Days’ notice to the Company and the Holders, petition any court of competent jurisdiction, at the expense of the Company, for the appointment of a successor trustee, or any Holder who has been a bona fide Holder of a Note or Notes for at least six months (or since the date of this Indenture) may, subject to the provisions of Section 6.11, on behalf of himself or herself and all others similarly situated, petition any such court for the appointment of a successor trustee. Such court may thereupon, after such notice, if any, as it may deem proper and prescribe, appoint a successor trustee.</w:t>
      </w:r>
    </w:p>
    <w:p>
      <w:pPr>
        <w:spacing w:after="0" w:line="80"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at any time any of the following shall occur:</w:t>
      </w:r>
    </w:p>
    <w:p>
      <w:pPr>
        <w:spacing w:after="0" w:line="117" w:lineRule="exact"/>
        <w:rPr>
          <w:rFonts w:ascii="Times New Roman" w:cs="Times New Roman" w:eastAsia="Times New Roman" w:hAnsi="Times New Roman"/>
          <w:sz w:val="18"/>
          <w:szCs w:val="18"/>
          <w:color w:val="auto"/>
        </w:rPr>
      </w:pPr>
    </w:p>
    <w:p>
      <w:pPr>
        <w:ind w:left="440" w:right="580" w:firstLine="419"/>
        <w:spacing w:after="0" w:line="282" w:lineRule="auto"/>
        <w:tabs>
          <w:tab w:leader="none" w:pos="107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cease to be eligible in accordance with the provisions of Section 7.08 and shall fail to resign after written request therefor by the Company or by any such Holder, or</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66" w:lineRule="auto"/>
        <w:tabs>
          <w:tab w:leader="none" w:pos="112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0"/>
          </w:cols>
          <w:pgMar w:left="440" w:top="268" w:right="459" w:bottom="1440" w:gutter="0" w:footer="0" w:header="0"/>
        </w:sectPr>
      </w:pPr>
    </w:p>
    <w:bookmarkStart w:id="62" w:name="page63"/>
    <w:bookmarkEnd w:id="62"/>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then, in either case, the Company may by a Board Resolution remove the Trustee and appoint a successor trustee by written instrument, in duplicate, executed by order of the Board of Directors, one copy of which instrument shall be delivered to the Trustee so removed and one copy to the successor trustee, or, subject to the provisions of Section 6.11, any Holder who has been a bona fide Holder of a Note or Notes for at least six months (or since the date of this Indenture) may, on behalf of himself or herself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79" w:lineRule="exact"/>
        <w:rPr>
          <w:sz w:val="20"/>
          <w:szCs w:val="20"/>
          <w:color w:val="auto"/>
        </w:rPr>
      </w:pPr>
    </w:p>
    <w:p>
      <w:pPr>
        <w:ind w:right="140" w:firstLine="436"/>
        <w:spacing w:after="0" w:line="281" w:lineRule="auto"/>
        <w:tabs>
          <w:tab w:leader="none" w:pos="68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a majority in aggregate principal amount of the Notes at the time outstanding, as determined in accordance with Section 8.04, may at any time remove the Trustee and nominate a successor trustee that shall be deemed appointed as successor trustee unless within ten days after notice to the Company of such nomination the Company objects thereto, in which case the Trustee so removed or any Holder, upon the terms and conditions and otherwise as in Section 7.09(a) provided, may petition any court of competent jurisdiction for an appointment of a successor trustee.</w:t>
      </w:r>
    </w:p>
    <w:p>
      <w:pPr>
        <w:spacing w:after="0" w:line="56" w:lineRule="exact"/>
        <w:rPr>
          <w:rFonts w:ascii="Times New Roman" w:cs="Times New Roman" w:eastAsia="Times New Roman" w:hAnsi="Times New Roman"/>
          <w:sz w:val="17"/>
          <w:szCs w:val="17"/>
          <w:color w:val="auto"/>
        </w:rPr>
      </w:pPr>
    </w:p>
    <w:p>
      <w:pPr>
        <w:ind w:right="200" w:firstLine="436"/>
        <w:spacing w:after="0" w:line="282" w:lineRule="auto"/>
        <w:tabs>
          <w:tab w:leader="none" w:pos="6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resignation or removal of the Trustee and appointment of a successor trustee pursuant to any of the provisions of this Section 7.09 shall become effective upon acceptance of appointment by the successor trustee as provided in Section 7.10.</w:t>
      </w:r>
    </w:p>
    <w:p>
      <w:pPr>
        <w:spacing w:after="0" w:line="16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Section 7.10</w:t>
      </w:r>
      <w:r>
        <w:rPr>
          <w:rFonts w:ascii="Times New Roman" w:cs="Times New Roman" w:eastAsia="Times New Roman" w:hAnsi="Times New Roman"/>
          <w:sz w:val="18"/>
          <w:szCs w:val="18"/>
          <w:i w:val="1"/>
          <w:iCs w:val="1"/>
          <w:color w:val="auto"/>
        </w:rPr>
        <w:t>. Acceptance by Successor Trustee.</w:t>
      </w:r>
      <w:r>
        <w:rPr>
          <w:rFonts w:ascii="Times New Roman" w:cs="Times New Roman" w:eastAsia="Times New Roman" w:hAnsi="Times New Roman"/>
          <w:sz w:val="18"/>
          <w:szCs w:val="18"/>
          <w:color w:val="auto"/>
        </w:rPr>
        <w:t xml:space="preserve"> Any successor trustee appointed as provided in Section 7.09 shall execute, acknowledge and deliver to the Company and to its predecessor trustee an instrument accepting such appointment hereunder, and thereupon the resignation or removal of the predecessor trustee shall become effective and such successor trustee, without any further act, deed or conveyance, shall become vested with all the rights, powers, duties and obligations of its predecessor hereunder, with like effect as if originally named as Trustee herein; but, nevertheless, on the written request of the Company or of the successor trustee, the trustee ceasing to act shall, upon payment of any amounts then due it pursuant to the provisions of Section 7.06, execute and deliver an instrument transferring to such successor trustee all the rights and powers of the trustee so ceasing to act. Upon request of any such successor trustee, the Company shall execute any and all instruments in writing for more fully and certainly vesting in and confirming to such successor trustee all such rights and powers. Any trustee ceasing to act shall, nevertheless, retain a senior claim to which the Notes are hereby made subordinate on all money or property held or collected by such trustee as such, except for funds held in trust for the benefit of Holders of particular Notes, to secure any amounts then due it pursuant to the provisions of Section 7.06.</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980"/>
          </w:cols>
          <w:pgMar w:left="440" w:top="270" w:right="479" w:bottom="1440" w:gutter="0" w:footer="0" w:header="0"/>
        </w:sectPr>
      </w:pPr>
    </w:p>
    <w:bookmarkStart w:id="63" w:name="page64"/>
    <w:bookmarkEnd w:id="63"/>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successor trustee shall accept appointment as provided in this Section 7.10 unless at the time of such acceptance such successor trustee shall be eligible under the provisions of Section 7.08.</w:t>
      </w:r>
    </w:p>
    <w:p>
      <w:pPr>
        <w:spacing w:after="0" w:line="162"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Upon acceptance of appointment by a successor trustee as provided in this Section 7.10, each of the Company and the successor trustee, at the written direction and at the expense of the Company shall deliver or cause to be delivered notice of the succession of such trustee hereunder to the Holders. If the Company fails to deliver such notice within ten days after acceptance of appointment by the successor trustee, the successor trustee shall cause such notice to be delivered at the expense of the Company.</w:t>
      </w:r>
    </w:p>
    <w:p>
      <w:pPr>
        <w:spacing w:after="0" w:line="178"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8"/>
          <w:szCs w:val="18"/>
          <w:color w:val="auto"/>
        </w:rPr>
        <w:t>Section 7.11</w:t>
      </w:r>
      <w:r>
        <w:rPr>
          <w:rFonts w:ascii="Times New Roman" w:cs="Times New Roman" w:eastAsia="Times New Roman" w:hAnsi="Times New Roman"/>
          <w:sz w:val="18"/>
          <w:szCs w:val="18"/>
          <w:i w:val="1"/>
          <w:iCs w:val="1"/>
          <w:color w:val="auto"/>
        </w:rPr>
        <w:t>. Succession by Merger, Etc..</w:t>
      </w:r>
      <w:r>
        <w:rPr>
          <w:rFonts w:ascii="Times New Roman" w:cs="Times New Roman" w:eastAsia="Times New Roman" w:hAnsi="Times New Roman"/>
          <w:sz w:val="18"/>
          <w:szCs w:val="18"/>
          <w:color w:val="auto"/>
        </w:rPr>
        <w:t xml:space="preserve"> Any organization or other entity into which the Trustee may be merged or converted or with which it may be consolidated, or any organization or other entity resulting from any merger, conversion or consolidation to which the Trustee shall be a party, or any organization or other entity succeeding to all or substantially all of the corporate trust business of the Trustee (including the administration of this Indenture), shall be the successor to the Trustee hereunder without the execution or filing of any paper or any further act on the part of any of the parties 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any organization or other entity succeeding to all or substantially all of the corporate trust business of the Trustee such organization or other entity shall be eligible under the provisions of Section 7.08.</w:t>
      </w:r>
    </w:p>
    <w:p>
      <w:pPr>
        <w:spacing w:after="0" w:line="184"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In case at the time such successor to the Trustee shall succeed to the trusts created by this Indenture, any of the Notes shall have been authenticated but not delivered, any such successor to the Trustee may adopt the certificate of authentication of any predecessor trustee or authenticating agent appointed by such predecessor trustee, and deliver such Notes so authenticated; and in case at that time any of the Notes shall not have been authenticated, any successor to the Trustee or an authenticating agent appointed by such successor trustee may authenticate such Notes either in the name of any predecessor trustee hereunder or in the name of the successor trustee; and in all such cases such certificates shall have the full force which it is anywhere in the Notes or in this Indenture provided that the certificate of the Trustee shall have;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right to adopt the certificate of authentication of any predecessor trustee or to authenticate Notes in the name of any predecessor trustee shall apply only to its successor or successors by merger, conversion or consolidation.</w:t>
      </w:r>
    </w:p>
    <w:p>
      <w:pPr>
        <w:spacing w:after="0" w:line="190" w:lineRule="exact"/>
        <w:rPr>
          <w:sz w:val="20"/>
          <w:szCs w:val="20"/>
          <w:color w:val="auto"/>
        </w:rPr>
      </w:pPr>
    </w:p>
    <w:p>
      <w:pPr>
        <w:ind w:right="100" w:firstLine="440"/>
        <w:spacing w:after="0" w:line="257" w:lineRule="auto"/>
        <w:rPr>
          <w:sz w:val="20"/>
          <w:szCs w:val="20"/>
          <w:color w:val="auto"/>
        </w:rPr>
      </w:pPr>
      <w:r>
        <w:rPr>
          <w:rFonts w:ascii="Times New Roman" w:cs="Times New Roman" w:eastAsia="Times New Roman" w:hAnsi="Times New Roman"/>
          <w:sz w:val="18"/>
          <w:szCs w:val="18"/>
          <w:color w:val="auto"/>
        </w:rPr>
        <w:t>Section 7.12</w:t>
      </w:r>
      <w:r>
        <w:rPr>
          <w:rFonts w:ascii="Times New Roman" w:cs="Times New Roman" w:eastAsia="Times New Roman" w:hAnsi="Times New Roman"/>
          <w:sz w:val="18"/>
          <w:szCs w:val="18"/>
          <w:i w:val="1"/>
          <w:iCs w:val="1"/>
          <w:color w:val="auto"/>
        </w:rPr>
        <w:t>. Trustee’s Application for Instructions from the Company.</w:t>
      </w:r>
      <w:r>
        <w:rPr>
          <w:rFonts w:ascii="Times New Roman" w:cs="Times New Roman" w:eastAsia="Times New Roman" w:hAnsi="Times New Roman"/>
          <w:sz w:val="18"/>
          <w:szCs w:val="18"/>
          <w:color w:val="auto"/>
        </w:rPr>
        <w:t xml:space="preserve"> Any application by the Trustee for written instructions from the Company (other than with regard to any action proposed to be taken or omitted to be taken by the Trustee that affects the rights of the Holders of the Notes under this Indenture) may, at the option of the Trustee, set forth in writing any action proposed to be taken or omitted by the Trustee under this Indenture and the date on and/or after which such action shall be taken or such omission shall be effective. The Trustee shall not be liable to the Company for any action taken by, or omission of, the Trustee in accordance with a proposal included in such application on or after the date specified in such application (which date shall not be less than three Business Days after the date any Officer that the Company has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20"/>
          </w:cols>
          <w:pgMar w:left="440" w:top="270" w:right="439" w:bottom="1440" w:gutter="0" w:footer="0" w:header="0"/>
        </w:sectPr>
      </w:pPr>
    </w:p>
    <w:bookmarkStart w:id="64" w:name="page65"/>
    <w:bookmarkEnd w:id="64"/>
    <w:p>
      <w:pPr>
        <w:ind w:left="4" w:right="3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indicated to the Trustee should receive such application actually receives such application, unless any such Officer shall have consented in writing to any earlier date), unless, prior to taking any such action (or the effective date in the case of any omission), the Trustee shall have received written instructions in accordance with this Indenture in response to such application specifying the action to be taken or omitted.</w:t>
      </w:r>
    </w:p>
    <w:p>
      <w:pPr>
        <w:spacing w:after="0" w:line="3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8</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ONCERNING THE</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OLDERS</w:t>
      </w:r>
    </w:p>
    <w:p>
      <w:pPr>
        <w:spacing w:after="0" w:line="205" w:lineRule="exact"/>
        <w:rPr>
          <w:sz w:val="20"/>
          <w:szCs w:val="20"/>
          <w:color w:val="auto"/>
        </w:rPr>
      </w:pPr>
    </w:p>
    <w:p>
      <w:pPr>
        <w:jc w:val="both"/>
        <w:ind w:left="4" w:right="220" w:firstLine="440"/>
        <w:spacing w:after="0" w:line="273" w:lineRule="auto"/>
        <w:rPr>
          <w:sz w:val="20"/>
          <w:szCs w:val="20"/>
          <w:color w:val="auto"/>
        </w:rPr>
      </w:pPr>
      <w:r>
        <w:rPr>
          <w:rFonts w:ascii="Times New Roman" w:cs="Times New Roman" w:eastAsia="Times New Roman" w:hAnsi="Times New Roman"/>
          <w:sz w:val="17"/>
          <w:szCs w:val="17"/>
          <w:color w:val="auto"/>
        </w:rPr>
        <w:t>Section 8.01</w:t>
      </w:r>
      <w:r>
        <w:rPr>
          <w:rFonts w:ascii="Times New Roman" w:cs="Times New Roman" w:eastAsia="Times New Roman" w:hAnsi="Times New Roman"/>
          <w:sz w:val="17"/>
          <w:szCs w:val="17"/>
          <w:i w:val="1"/>
          <w:iCs w:val="1"/>
          <w:color w:val="auto"/>
        </w:rPr>
        <w:t>. Action by Holders.</w:t>
      </w:r>
      <w:r>
        <w:rPr>
          <w:rFonts w:ascii="Times New Roman" w:cs="Times New Roman" w:eastAsia="Times New Roman" w:hAnsi="Times New Roman"/>
          <w:sz w:val="17"/>
          <w:szCs w:val="17"/>
          <w:color w:val="auto"/>
        </w:rPr>
        <w:t xml:space="preserve"> Whenever in this Indenture it is provided that the Holders of a specified percentage of the aggregate principal amount of the Notes may take any action (including the making of any demand or request, the giving of any notice, consent or waiver or the taking of any other action), the fact that at the time of taking any such action, the Holders of such specified percentage have joined therein may be evidenced</w:t>
      </w:r>
    </w:p>
    <w:p>
      <w:pPr>
        <w:spacing w:after="0" w:line="1" w:lineRule="exact"/>
        <w:rPr>
          <w:sz w:val="20"/>
          <w:szCs w:val="20"/>
          <w:color w:val="auto"/>
        </w:rPr>
      </w:pPr>
    </w:p>
    <w:p>
      <w:pPr>
        <w:ind w:left="4" w:right="40" w:hanging="4"/>
        <w:spacing w:after="0" w:line="252" w:lineRule="auto"/>
        <w:tabs>
          <w:tab w:leader="none" w:pos="24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instrument or any number of instruments of similar tenor executed by Holders in person or by agent or proxy appointed in writing, or (b) by the record of the Holders voting in favor thereof at any meeting of Holders duly called and held in accordance with the provisions of Article 9, or (c) by a combination of such instrument or instruments and any such record of such a meeting of Holders. Whenever the Company or the Trustee solicits the taking of any action by the Holders of the Notes, the Company or the Trustee may, but shall not be required to, fix in advance of such solicitation, a date as the record date for determining Holders entitled to take such action. The record date if one is selected shall be not more than fifteen days prior to the date of commencement of solicitation of such action.</w:t>
      </w:r>
    </w:p>
    <w:p>
      <w:pPr>
        <w:spacing w:after="0" w:line="188" w:lineRule="exact"/>
        <w:rPr>
          <w:sz w:val="20"/>
          <w:szCs w:val="20"/>
          <w:color w:val="auto"/>
        </w:rPr>
      </w:pPr>
    </w:p>
    <w:p>
      <w:pPr>
        <w:jc w:val="both"/>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Section 8.02</w:t>
      </w:r>
      <w:r>
        <w:rPr>
          <w:rFonts w:ascii="Times New Roman" w:cs="Times New Roman" w:eastAsia="Times New Roman" w:hAnsi="Times New Roman"/>
          <w:sz w:val="18"/>
          <w:szCs w:val="18"/>
          <w:i w:val="1"/>
          <w:iCs w:val="1"/>
          <w:color w:val="auto"/>
        </w:rPr>
        <w:t>. Proof of Execution by Holders.</w:t>
      </w:r>
      <w:r>
        <w:rPr>
          <w:rFonts w:ascii="Times New Roman" w:cs="Times New Roman" w:eastAsia="Times New Roman" w:hAnsi="Times New Roman"/>
          <w:sz w:val="18"/>
          <w:szCs w:val="18"/>
          <w:color w:val="auto"/>
        </w:rPr>
        <w:t xml:space="preserve"> Subject to the provisions of Section 7.01, Section 7.02 and Section 9.05, proof of the execution of any instrument or writing by a Holder or its agent or proxy shall be sufficient if made in accordance with such reasonable rules and regulations as may be prescribed by the Trustee or in such manner as shall be satisfactory to the Trustee. The holding of Notes shall be proved by the Note Register or by a certificate of the Note Registrar. The record of any Holders’ meeting shall be proved in the manner provided in Section 9.06.</w:t>
      </w:r>
    </w:p>
    <w:p>
      <w:pPr>
        <w:spacing w:after="0" w:line="180"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Section 8.03</w:t>
      </w:r>
      <w:r>
        <w:rPr>
          <w:rFonts w:ascii="Times New Roman" w:cs="Times New Roman" w:eastAsia="Times New Roman" w:hAnsi="Times New Roman"/>
          <w:sz w:val="18"/>
          <w:szCs w:val="18"/>
          <w:i w:val="1"/>
          <w:iCs w:val="1"/>
          <w:color w:val="auto"/>
        </w:rPr>
        <w:t>. Who Are Deemed Absolute Owners.</w:t>
      </w:r>
      <w:r>
        <w:rPr>
          <w:rFonts w:ascii="Times New Roman" w:cs="Times New Roman" w:eastAsia="Times New Roman" w:hAnsi="Times New Roman"/>
          <w:sz w:val="18"/>
          <w:szCs w:val="18"/>
          <w:color w:val="auto"/>
        </w:rPr>
        <w:t xml:space="preserve"> The Company, the Trustee, any authenticating agent, any Paying Agent, any Conversion Agent and any Note Registrar may deem the Person in whose name a Note shall be registered upon the Note Register to be, and may treat it as, the absolute owner of such Note (whether or not such Note shall be overdue and notwithstanding any notation of ownership or other writing thereon made by any Person other than the Company or any Note Registrar) for the purpose of receiving payment of or on account of the principal (including any Redemption Price and any Fundamental Change Repurchase Price) of and (subject to Section 2.03) accrued and unpaid interest on such Note, for conversion of such Note and for all other purposes under this Indenture; and neither the Company nor the Trustee nor any Paying Agent nor any Conversion Agent nor any Note Registrar shall be affected nor incur any liability by any notice to the contrary. The sole registered holder of a</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4"/>
          </w:cols>
          <w:pgMar w:left="436" w:top="270" w:right="459" w:bottom="1440" w:gutter="0" w:footer="0" w:header="0"/>
        </w:sectPr>
      </w:pPr>
    </w:p>
    <w:bookmarkStart w:id="65" w:name="page66"/>
    <w:bookmarkEnd w:id="65"/>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Global Note shall be the Depositary or its nominee. All such payments or deliveries so made to any Holder for the time being, or upon its order, shall be valid, and, to the extent of the sums or shares of Common Stock so paid or delivered, effectual to satisfy and discharge the liability for monies payable or shares deliverable upon any such Note. Notwithstanding anything to the contrary in this Indenture or the Notes, any holder of a beneficial interest in a Global Note may directly enforce against the Company, without the consent, solicitation, proxy, authorization or any other action of the Depositary or any other Person (x) such holder’s right to convert a Note in which it holds such beneficial interest on account of a Deemed Redemption pursuant to Section 14.01(b)(v), and (y) such holder’s right to exchange such beneficial interest for a Note in certificated form in accordance with the provisions of this Indenture following an Event of Default.</w:t>
      </w:r>
    </w:p>
    <w:p>
      <w:pPr>
        <w:spacing w:after="0" w:line="187"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Section 8.04</w:t>
      </w:r>
      <w:r>
        <w:rPr>
          <w:rFonts w:ascii="Times New Roman" w:cs="Times New Roman" w:eastAsia="Times New Roman" w:hAnsi="Times New Roman"/>
          <w:sz w:val="18"/>
          <w:szCs w:val="18"/>
          <w:i w:val="1"/>
          <w:iCs w:val="1"/>
          <w:color w:val="auto"/>
        </w:rPr>
        <w:t>. Company-Owned Notes Disregarded.</w:t>
      </w:r>
      <w:r>
        <w:rPr>
          <w:rFonts w:ascii="Times New Roman" w:cs="Times New Roman" w:eastAsia="Times New Roman" w:hAnsi="Times New Roman"/>
          <w:sz w:val="18"/>
          <w:szCs w:val="18"/>
          <w:color w:val="auto"/>
        </w:rPr>
        <w:t xml:space="preserve"> In determining whether the Holders of the requisite aggregate principal amount of Notes have concurred in any direction, consent, waiver or other action under this Indenture, Notes that are owned by the Company, by any Subsidiary thereof or by any Affiliate of the Company or any Subsidiary thereof shall be disregarded and deemed not to be outstanding for the purpose of any such determination;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purposes of determining whether the Trustee shall be protected in relying on any such direction, consent, waiver or other action only Notes that a Responsible Officer actually knows are so owned shall be so disregarded. Notes so owned that have been pledged in good faith may be regarded as outstanding for the purposes of this Section 8.04 if the pledgee shall establish to the satisfaction of the Trustee the pledgee’s right to so act with respect to such Notes and that the pledgee is not the Company, a Subsidiary thereof or an Affiliate of the Company or a Subsidiary thereof. In the case of a dispute as to such right, any decision by the Trustee taken upon the advice of counsel shall be full protection to the Trustee. Upon request of the Trustee, the Company shall furnish to the Trustee promptly an Officer’s Certificate listing and identifying all Notes, if any, known by the Company to be owned or held by or for the account of any of the above described Persons; and, subject to Section 7.01, the Trustee shall be entitled to accept such Officer’s Certificate as conclusive evidence of the facts therein set forth and of the fact that all Notes not listed therein are outstanding for the purpose of any such determination.</w:t>
      </w:r>
    </w:p>
    <w:p>
      <w:pPr>
        <w:spacing w:after="0" w:line="19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Section 8.05</w:t>
      </w:r>
      <w:r>
        <w:rPr>
          <w:rFonts w:ascii="Times New Roman" w:cs="Times New Roman" w:eastAsia="Times New Roman" w:hAnsi="Times New Roman"/>
          <w:sz w:val="18"/>
          <w:szCs w:val="18"/>
          <w:i w:val="1"/>
          <w:iCs w:val="1"/>
          <w:color w:val="auto"/>
        </w:rPr>
        <w:t>. Revocation of Consents; Future Holders Bound.</w:t>
      </w:r>
      <w:r>
        <w:rPr>
          <w:rFonts w:ascii="Times New Roman" w:cs="Times New Roman" w:eastAsia="Times New Roman" w:hAnsi="Times New Roman"/>
          <w:sz w:val="18"/>
          <w:szCs w:val="18"/>
          <w:color w:val="auto"/>
        </w:rPr>
        <w:t xml:space="preserve"> At any time prior to (but not after) the evidencing to the Trustee, as provided in Section 8.01, of the taking of any action by the Holders of the percentage of the aggregate principal amount of the Notes specified in this Indenture in connection with such action, any Holder of a Note that is shown by the evidence to be included in the Notes the Holders of which have consented to such action may, by filing written notice with the Trustee at its Corporate Trust Office and upon proof of holding as provided in Section 8.02, revoke such action so far as concerns such Note. Except as aforesaid, any such action taken by the Holder of any Note shall be conclusive and binding upon such Holder and upon all future Holders and owners of such Note and of any Notes issued in exchange or substitution therefor or upon registration of transfer thereof, irrespective of whether any notation in regard thereto is made upon such Note or any Note issued in exchange or substitution therefor or upon registration of transfer thereof.</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80"/>
          </w:cols>
          <w:pgMar w:left="440" w:top="270" w:right="479" w:bottom="1440" w:gutter="0" w:footer="0" w:header="0"/>
        </w:sectPr>
      </w:pPr>
    </w:p>
    <w:bookmarkStart w:id="66" w:name="page67"/>
    <w:bookmarkEnd w:id="66"/>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9</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H</w:t>
      </w:r>
      <w:r>
        <w:rPr>
          <w:rFonts w:ascii="Times New Roman" w:cs="Times New Roman" w:eastAsia="Times New Roman" w:hAnsi="Times New Roman"/>
          <w:sz w:val="14"/>
          <w:szCs w:val="14"/>
          <w:color w:val="auto"/>
        </w:rPr>
        <w:t>OLDERS</w:t>
      </w:r>
      <w:r>
        <w:rPr>
          <w:rFonts w:ascii="Times New Roman" w:cs="Times New Roman" w:eastAsia="Times New Roman" w:hAnsi="Times New Roman"/>
          <w:sz w:val="18"/>
          <w:szCs w:val="18"/>
          <w:color w:val="auto"/>
        </w:rPr>
        <w:t>’ M</w:t>
      </w:r>
      <w:r>
        <w:rPr>
          <w:rFonts w:ascii="Times New Roman" w:cs="Times New Roman" w:eastAsia="Times New Roman" w:hAnsi="Times New Roman"/>
          <w:sz w:val="14"/>
          <w:szCs w:val="14"/>
          <w:color w:val="auto"/>
        </w:rPr>
        <w:t>EETINGS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9.01</w:t>
      </w:r>
      <w:r>
        <w:rPr>
          <w:rFonts w:ascii="Times New Roman" w:cs="Times New Roman" w:eastAsia="Times New Roman" w:hAnsi="Times New Roman"/>
          <w:sz w:val="18"/>
          <w:szCs w:val="18"/>
          <w:i w:val="1"/>
          <w:iCs w:val="1"/>
          <w:color w:val="auto"/>
        </w:rPr>
        <w:t>. Purpose of Meetings.</w:t>
      </w:r>
      <w:r>
        <w:rPr>
          <w:rFonts w:ascii="Times New Roman" w:cs="Times New Roman" w:eastAsia="Times New Roman" w:hAnsi="Times New Roman"/>
          <w:sz w:val="18"/>
          <w:szCs w:val="18"/>
          <w:color w:val="auto"/>
        </w:rPr>
        <w:t xml:space="preserve"> A meeting of Holders may be called at any time and from time to time pursuant to the provisions of this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9 for any of the following purposes:</w:t>
      </w:r>
    </w:p>
    <w:p>
      <w:pPr>
        <w:spacing w:after="0" w:line="99" w:lineRule="exact"/>
        <w:rPr>
          <w:sz w:val="20"/>
          <w:szCs w:val="20"/>
          <w:color w:val="auto"/>
        </w:rPr>
      </w:pPr>
    </w:p>
    <w:p>
      <w:pPr>
        <w:jc w:val="both"/>
        <w:ind w:right="80" w:firstLine="436"/>
        <w:spacing w:after="0" w:line="266" w:lineRule="auto"/>
        <w:tabs>
          <w:tab w:leader="none" w:pos="68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any notice to the Company or to the Trustee or to give any directions to the Trustee permitted under this Indenture, or to consent to the waiving of any Default or Event of Default hereunder (in each case, as permitted under this Indenture) and its consequences, or to take any other action authorized to be taken by Holders pursuant to any of the provisions of Article 6;</w:t>
      </w:r>
    </w:p>
    <w:p>
      <w:pPr>
        <w:spacing w:after="0" w:line="6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the Trustee and nominate a successor trustee pursuant to the provisions of Article 7;</w:t>
      </w:r>
    </w:p>
    <w:p>
      <w:pPr>
        <w:spacing w:after="0" w:line="117"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consent to the execution of an indenture or indentures supplemental hereto pursuant to the provisions of Section 10.02; or</w:t>
      </w:r>
    </w:p>
    <w:p>
      <w:pPr>
        <w:spacing w:after="0" w:line="117" w:lineRule="exact"/>
        <w:rPr>
          <w:rFonts w:ascii="Times New Roman" w:cs="Times New Roman" w:eastAsia="Times New Roman" w:hAnsi="Times New Roman"/>
          <w:sz w:val="18"/>
          <w:szCs w:val="18"/>
          <w:color w:val="auto"/>
        </w:rPr>
      </w:pPr>
    </w:p>
    <w:p>
      <w:pPr>
        <w:ind w:right="160" w:firstLine="436"/>
        <w:spacing w:after="0" w:line="282" w:lineRule="auto"/>
        <w:tabs>
          <w:tab w:leader="none" w:pos="6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any other action authorized to be taken by or on behalf of the Holders of any specified aggregate principal amount of the Notes under any other provision of this Indenture or under applicable law.</w:t>
      </w:r>
    </w:p>
    <w:p>
      <w:pPr>
        <w:spacing w:after="0" w:line="160"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Section 9.02</w:t>
      </w:r>
      <w:r>
        <w:rPr>
          <w:rFonts w:ascii="Times New Roman" w:cs="Times New Roman" w:eastAsia="Times New Roman" w:hAnsi="Times New Roman"/>
          <w:sz w:val="18"/>
          <w:szCs w:val="18"/>
          <w:i w:val="1"/>
          <w:iCs w:val="1"/>
          <w:color w:val="auto"/>
        </w:rPr>
        <w:t>. Call of Meetings by Trustee.</w:t>
      </w:r>
      <w:r>
        <w:rPr>
          <w:rFonts w:ascii="Times New Roman" w:cs="Times New Roman" w:eastAsia="Times New Roman" w:hAnsi="Times New Roman"/>
          <w:sz w:val="18"/>
          <w:szCs w:val="18"/>
          <w:color w:val="auto"/>
        </w:rPr>
        <w:t xml:space="preserve"> The Trustee may at any time call a meeting of Holders to take any action specified in Section 9.01, to be held at such time and at such place as the Trustee shall determine. Notice of every meeting of the Holders, setting forth the time and the place of such meeting and in general terms the action proposed to be taken at such meeting and the establishment of any record date pursuant to Section 8.01, shall be delivered to Holders of such Notes. Such notice shall also be delivered to the Company. Such notices shall be delivered not less than 20 nor more than 90 days prior to the date fixed for the meeting.</w:t>
      </w:r>
    </w:p>
    <w:p>
      <w:pPr>
        <w:spacing w:after="0" w:line="185"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Any meeting of Holders shall be valid without notice if the Holders of all Notes then outstanding are present in person or by proxy or if notice is waived before or after the meeting by the Holders of all Notes then outstanding, and if the Company and the Trustee are either present by duly authorized representatives or have, before or after the meeting, waived notice.</w:t>
      </w:r>
    </w:p>
    <w:p>
      <w:pPr>
        <w:spacing w:after="0" w:line="174"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Section 9.03</w:t>
      </w:r>
      <w:r>
        <w:rPr>
          <w:rFonts w:ascii="Times New Roman" w:cs="Times New Roman" w:eastAsia="Times New Roman" w:hAnsi="Times New Roman"/>
          <w:sz w:val="18"/>
          <w:szCs w:val="18"/>
          <w:i w:val="1"/>
          <w:iCs w:val="1"/>
          <w:color w:val="auto"/>
        </w:rPr>
        <w:t>. Call of Meetings by Company or Holders.</w:t>
      </w:r>
      <w:r>
        <w:rPr>
          <w:rFonts w:ascii="Times New Roman" w:cs="Times New Roman" w:eastAsia="Times New Roman" w:hAnsi="Times New Roman"/>
          <w:sz w:val="18"/>
          <w:szCs w:val="18"/>
          <w:color w:val="auto"/>
        </w:rPr>
        <w:t xml:space="preserve"> In case at any time the Company, pursuant to a Board Resolution, or the Holders of at least 10% of the aggregate principal amount of the Notes then outstanding, shall have requested the Trustee to call a meeting of Holders, by written request setting forth in reasonable detail the action proposed to be taken at the meeting, and the Trustee shall not have delivered the notice of such meeting within 20 days after receipt of such request, then the Company or such Holders may determine the time and the place for such meeting and may call such meeting to take any action authorized in Section 9.01, by delivering notice thereof as provided in Section 9.02.</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80"/>
          </w:cols>
          <w:pgMar w:left="440" w:top="270" w:right="479" w:bottom="1440" w:gutter="0" w:footer="0" w:header="0"/>
        </w:sectPr>
      </w:pPr>
    </w:p>
    <w:bookmarkStart w:id="67" w:name="page68"/>
    <w:bookmarkEnd w:id="67"/>
    <w:p>
      <w:pPr>
        <w:jc w:val="both"/>
        <w:ind w:right="20" w:firstLine="44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9.04</w:t>
      </w:r>
      <w:r>
        <w:rPr>
          <w:rFonts w:ascii="Times New Roman" w:cs="Times New Roman" w:eastAsia="Times New Roman" w:hAnsi="Times New Roman"/>
          <w:sz w:val="17"/>
          <w:szCs w:val="17"/>
          <w:i w:val="1"/>
          <w:iCs w:val="1"/>
          <w:color w:val="auto"/>
        </w:rPr>
        <w:t>. Qualifications for Voting.</w:t>
      </w:r>
      <w:r>
        <w:rPr>
          <w:rFonts w:ascii="Times New Roman" w:cs="Times New Roman" w:eastAsia="Times New Roman" w:hAnsi="Times New Roman"/>
          <w:sz w:val="17"/>
          <w:szCs w:val="17"/>
          <w:color w:val="auto"/>
        </w:rPr>
        <w:t xml:space="preserve"> To be entitled to vote at any meeting of Holders a Person shall (a) be a Holder of one or more Notes on the record date pertaining to such meeting or (b) be a Person appointed by an instrument in writing as proxy by a Holder of one or more Notes on the record date pertaining to such meeting. The only Persons who shall be entitled to be present or to speak at any meeting of Holders shall be the Persons entitled to vote at such meeting and their counsel and any representatives of the Trustee and its counsel and any representatives of the Company and its counsel.</w:t>
      </w:r>
    </w:p>
    <w:p>
      <w:pPr>
        <w:spacing w:after="0" w:line="164"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Section 9.05</w:t>
      </w:r>
      <w:r>
        <w:rPr>
          <w:rFonts w:ascii="Times New Roman" w:cs="Times New Roman" w:eastAsia="Times New Roman" w:hAnsi="Times New Roman"/>
          <w:sz w:val="18"/>
          <w:szCs w:val="18"/>
          <w:i w:val="1"/>
          <w:iCs w:val="1"/>
          <w:color w:val="auto"/>
        </w:rPr>
        <w:t>. Regulations.</w:t>
      </w:r>
      <w:r>
        <w:rPr>
          <w:rFonts w:ascii="Times New Roman" w:cs="Times New Roman" w:eastAsia="Times New Roman" w:hAnsi="Times New Roman"/>
          <w:sz w:val="18"/>
          <w:szCs w:val="18"/>
          <w:color w:val="auto"/>
        </w:rPr>
        <w:t xml:space="preserve"> Notwithstanding any other provisions of this Indenture, the Trustee may make such reasonable regulations as it may deem advisable for any meeting of Holders, in regard to proof of the holding of Notes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w:t>
      </w:r>
    </w:p>
    <w:p>
      <w:pPr>
        <w:spacing w:after="0" w:line="182" w:lineRule="exact"/>
        <w:rPr>
          <w:sz w:val="20"/>
          <w:szCs w:val="20"/>
          <w:color w:val="auto"/>
        </w:rPr>
      </w:pPr>
    </w:p>
    <w:p>
      <w:pPr>
        <w:jc w:val="both"/>
        <w:ind w:right="320" w:firstLine="440"/>
        <w:spacing w:after="0" w:line="261" w:lineRule="auto"/>
        <w:rPr>
          <w:sz w:val="20"/>
          <w:szCs w:val="20"/>
          <w:color w:val="auto"/>
        </w:rPr>
      </w:pPr>
      <w:r>
        <w:rPr>
          <w:rFonts w:ascii="Times New Roman" w:cs="Times New Roman" w:eastAsia="Times New Roman" w:hAnsi="Times New Roman"/>
          <w:sz w:val="18"/>
          <w:szCs w:val="18"/>
          <w:color w:val="auto"/>
        </w:rPr>
        <w:t>The Trustee shall, by an instrument in writing, appoint a temporary chairman of the meeting, unless the meeting shall have been called by the Company or by Holders as provided in Section 9.03, in which case the Company or the Holders calling the meeting, as the case may be, shall in like manner appoint a temporary chairman. A permanent chairman and a permanent secretary of the meeting shall be elected by vote of the Holders of a majority in aggregate principal amount of the outstanding Notes represented at the meeting and entitled to vote at the meeting.</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Subject to the provisions of Section 8.04, at any meeting of Holders each Holder or proxyholder shall be entitled to one vote for each $1,000 principal amount of Notes held or represented by him or her;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vote shall be cast or counted at any meeting in respect of any Note challenged as not outstanding and ruled by the chairman of the meeting to be not outstanding. The chairman of the meeting shall have no right to vote other than by virtue of Notes held by it or instruments in writing as aforesaid duly designating it as the proxy to vote on behalf of other Holders. Any meeting of Holders duly called pursuant to the provisions of Section 9.02 or Section 9.03 may be adjourned from time to time by the Holders of a majority of the aggregate principal amount of Notes represented at the meeting, whether or not constituting a quorum, and the meeting may be held as so adjourned without further notice.</w:t>
      </w:r>
    </w:p>
    <w:p>
      <w:pPr>
        <w:spacing w:after="0" w:line="18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Section 9.06</w:t>
      </w:r>
      <w:r>
        <w:rPr>
          <w:rFonts w:ascii="Times New Roman" w:cs="Times New Roman" w:eastAsia="Times New Roman" w:hAnsi="Times New Roman"/>
          <w:sz w:val="18"/>
          <w:szCs w:val="18"/>
          <w:i w:val="1"/>
          <w:iCs w:val="1"/>
          <w:color w:val="auto"/>
        </w:rPr>
        <w:t>. Voting.</w:t>
      </w:r>
      <w:r>
        <w:rPr>
          <w:rFonts w:ascii="Times New Roman" w:cs="Times New Roman" w:eastAsia="Times New Roman" w:hAnsi="Times New Roman"/>
          <w:sz w:val="18"/>
          <w:szCs w:val="18"/>
          <w:color w:val="auto"/>
        </w:rPr>
        <w:t xml:space="preserve"> The vote upon any resolution submitted to any meeting of Holders shall be by written ballot on which shall be subscribed the signatures of the Holders or of their representatives by proxy and the outstanding aggregate principal amount of the Notes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0"/>
          </w:cols>
          <w:pgMar w:left="440" w:top="268" w:right="459" w:bottom="1440" w:gutter="0" w:footer="0" w:header="0"/>
        </w:sectPr>
      </w:pPr>
    </w:p>
    <w:bookmarkStart w:id="68" w:name="page69"/>
    <w:bookmarkEnd w:id="68"/>
    <w:p>
      <w:pPr>
        <w:ind w:right="3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meeting and showing that said notice was delivered as provided in Section 9.02. The record shall show the aggregate principal amount of the Notes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 the latter to have attached thereto the ballots voted at the meeting.</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record so signed and verified shall be conclusive evidence of the matters therein stated.</w:t>
      </w:r>
    </w:p>
    <w:p>
      <w:pPr>
        <w:spacing w:after="0" w:line="223"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8"/>
          <w:szCs w:val="18"/>
          <w:color w:val="auto"/>
        </w:rPr>
        <w:t>Section 9.07</w:t>
      </w:r>
      <w:r>
        <w:rPr>
          <w:rFonts w:ascii="Times New Roman" w:cs="Times New Roman" w:eastAsia="Times New Roman" w:hAnsi="Times New Roman"/>
          <w:sz w:val="18"/>
          <w:szCs w:val="18"/>
          <w:i w:val="1"/>
          <w:iCs w:val="1"/>
          <w:color w:val="auto"/>
        </w:rPr>
        <w:t>. No Delay of Rights by Meeting.</w:t>
      </w:r>
      <w:r>
        <w:rPr>
          <w:rFonts w:ascii="Times New Roman" w:cs="Times New Roman" w:eastAsia="Times New Roman" w:hAnsi="Times New Roman"/>
          <w:sz w:val="18"/>
          <w:szCs w:val="18"/>
          <w:color w:val="auto"/>
        </w:rPr>
        <w:t xml:space="preserve"> Nothing contained in this Article 9 shall be deemed or construed to authorize or permit, by reason of any call of a meeting of Holders or any rights expressly or impliedly conferred hereunder to make such call, any hindrance or delay in the exercise of any right or rights conferred upon or reserved to the Trustee or to the Holders under any of the provisions of this Indenture or of the Notes.</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10</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UPPLEMENTAL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NDENTURES</w:t>
      </w:r>
    </w:p>
    <w:p>
      <w:pPr>
        <w:spacing w:after="0" w:line="205" w:lineRule="exact"/>
        <w:rPr>
          <w:sz w:val="20"/>
          <w:szCs w:val="20"/>
          <w:color w:val="auto"/>
        </w:rPr>
      </w:pPr>
    </w:p>
    <w:p>
      <w:pPr>
        <w:ind w:right="40" w:firstLine="440"/>
        <w:spacing w:after="0" w:line="284" w:lineRule="auto"/>
        <w:rPr>
          <w:sz w:val="20"/>
          <w:szCs w:val="20"/>
          <w:color w:val="auto"/>
        </w:rPr>
      </w:pPr>
      <w:r>
        <w:rPr>
          <w:rFonts w:ascii="Times New Roman" w:cs="Times New Roman" w:eastAsia="Times New Roman" w:hAnsi="Times New Roman"/>
          <w:sz w:val="18"/>
          <w:szCs w:val="18"/>
          <w:color w:val="auto"/>
        </w:rPr>
        <w:t>Section 10.01</w:t>
      </w:r>
      <w:r>
        <w:rPr>
          <w:rFonts w:ascii="Times New Roman" w:cs="Times New Roman" w:eastAsia="Times New Roman" w:hAnsi="Times New Roman"/>
          <w:sz w:val="18"/>
          <w:szCs w:val="18"/>
          <w:i w:val="1"/>
          <w:iCs w:val="1"/>
          <w:color w:val="auto"/>
        </w:rPr>
        <w:t>. Supplemental Indentures Without Consent of Holders.</w:t>
      </w:r>
      <w:r>
        <w:rPr>
          <w:rFonts w:ascii="Times New Roman" w:cs="Times New Roman" w:eastAsia="Times New Roman" w:hAnsi="Times New Roman"/>
          <w:sz w:val="18"/>
          <w:szCs w:val="18"/>
          <w:color w:val="auto"/>
        </w:rPr>
        <w:t xml:space="preserve"> The Company and the Trustee, at the Company’s expense, may from time to time and at any time enter into an indenture or indentures supplemental hereto for one or more of the following purposes:</w:t>
      </w:r>
    </w:p>
    <w:p>
      <w:pPr>
        <w:spacing w:after="0" w:line="52" w:lineRule="exact"/>
        <w:rPr>
          <w:sz w:val="20"/>
          <w:szCs w:val="20"/>
          <w:color w:val="auto"/>
        </w:rPr>
      </w:pPr>
    </w:p>
    <w:p>
      <w:pPr>
        <w:ind w:left="680" w:hanging="244"/>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omission, defect or inconsistency;</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by a Successor Entity of the obligations of the Company under this Indenture pursuant to Article 11;</w:t>
      </w:r>
    </w:p>
    <w:p>
      <w:pPr>
        <w:spacing w:after="0" w:line="117"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the Notes;</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Notes;</w:t>
      </w:r>
    </w:p>
    <w:p>
      <w:pPr>
        <w:spacing w:after="0" w:line="117" w:lineRule="exact"/>
        <w:rPr>
          <w:rFonts w:ascii="Times New Roman" w:cs="Times New Roman" w:eastAsia="Times New Roman" w:hAnsi="Times New Roman"/>
          <w:sz w:val="18"/>
          <w:szCs w:val="18"/>
          <w:color w:val="auto"/>
        </w:rPr>
      </w:pPr>
    </w:p>
    <w:p>
      <w:pPr>
        <w:ind w:right="80" w:firstLine="436"/>
        <w:spacing w:after="0" w:line="282" w:lineRule="auto"/>
        <w:tabs>
          <w:tab w:leader="none" w:pos="68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or Events of Default of the Company for the benefit of the Holders or surrender any right or power conferred upon the Company;</w:t>
      </w:r>
    </w:p>
    <w:p>
      <w:pPr>
        <w:spacing w:after="0" w:line="53" w:lineRule="exact"/>
        <w:rPr>
          <w:rFonts w:ascii="Times New Roman" w:cs="Times New Roman" w:eastAsia="Times New Roman" w:hAnsi="Times New Roman"/>
          <w:sz w:val="18"/>
          <w:szCs w:val="18"/>
          <w:color w:val="auto"/>
        </w:rPr>
      </w:pPr>
    </w:p>
    <w:p>
      <w:pPr>
        <w:ind w:right="720" w:firstLine="436"/>
        <w:spacing w:after="0" w:line="282" w:lineRule="auto"/>
        <w:tabs>
          <w:tab w:leader="none" w:pos="66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in any respect, as certified by the Company in an Officer’s Certificate;</w:t>
      </w:r>
    </w:p>
    <w:p>
      <w:pPr>
        <w:spacing w:after="0" w:line="53" w:lineRule="exact"/>
        <w:rPr>
          <w:rFonts w:ascii="Times New Roman" w:cs="Times New Roman" w:eastAsia="Times New Roman" w:hAnsi="Times New Roman"/>
          <w:sz w:val="18"/>
          <w:szCs w:val="18"/>
          <w:color w:val="auto"/>
        </w:rPr>
      </w:pPr>
    </w:p>
    <w:p>
      <w:pPr>
        <w:ind w:right="200" w:firstLine="436"/>
        <w:spacing w:after="0" w:line="282" w:lineRule="auto"/>
        <w:tabs>
          <w:tab w:leader="none" w:pos="6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Share Exchange Event, to provide that the Notes are convertible into Reference Property, subject to the provisions of Section 14.02, and make such related changes to the terms of the Notes to the extent expressly required by Section 14.07;</w:t>
      </w:r>
    </w:p>
    <w:p>
      <w:pPr>
        <w:spacing w:after="0" w:line="5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80"/>
          </w:cols>
          <w:pgMar w:left="440" w:top="270" w:right="479" w:bottom="1440" w:gutter="0" w:footer="0" w:header="0"/>
        </w:sectPr>
      </w:pPr>
    </w:p>
    <w:bookmarkStart w:id="69" w:name="page70"/>
    <w:bookmarkEnd w:id="69"/>
    <w:p>
      <w:pPr>
        <w:ind w:right="680" w:firstLine="436"/>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comply with the rules of any applicable Depositary, including The Depository Trust Company, so long as such amendment does not adversely affect the rights of any Holder in any material respect;</w:t>
      </w:r>
    </w:p>
    <w:p>
      <w:pPr>
        <w:spacing w:after="0" w:line="53"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a successor trustee with respect to the Notes;</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the Conversion Rate as provided in this Indenture;</w:t>
      </w:r>
    </w:p>
    <w:p>
      <w:pPr>
        <w:spacing w:after="0" w:line="117" w:lineRule="exact"/>
        <w:rPr>
          <w:rFonts w:ascii="Times New Roman" w:cs="Times New Roman" w:eastAsia="Times New Roman" w:hAnsi="Times New Roman"/>
          <w:sz w:val="18"/>
          <w:szCs w:val="18"/>
          <w:color w:val="auto"/>
        </w:rPr>
      </w:pPr>
    </w:p>
    <w:p>
      <w:pPr>
        <w:ind w:firstLine="436"/>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acceptance of appointment by a successor Trustee, Note Registrar, Paying Agent, Bid Solicitation Agent or Conversion Agent to facilitate the administration of the trusts under this Indenture by more than one trustee; or</w:t>
      </w:r>
    </w:p>
    <w:p>
      <w:pPr>
        <w:spacing w:after="0" w:line="53" w:lineRule="exact"/>
        <w:rPr>
          <w:rFonts w:ascii="Times New Roman" w:cs="Times New Roman" w:eastAsia="Times New Roman" w:hAnsi="Times New Roman"/>
          <w:sz w:val="18"/>
          <w:szCs w:val="18"/>
          <w:color w:val="auto"/>
        </w:rPr>
      </w:pPr>
    </w:p>
    <w:p>
      <w:pPr>
        <w:ind w:right="260" w:firstLine="436"/>
        <w:spacing w:after="0" w:line="266" w:lineRule="auto"/>
        <w:tabs>
          <w:tab w:leader="none" w:pos="74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irrevocably elect a Settlement Method or a Specified Dollar Amount, or eliminate the Company’s right to elect a Settlement Method (including at the Company’s option upon an Irrevocable Election);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election or elimination shall affect any Settlement Method theretofore elected (or deemed to be elected) with respect to any Note pursuant to the provisions of Article 14.</w:t>
      </w:r>
    </w:p>
    <w:p>
      <w:pPr>
        <w:spacing w:after="0" w:line="176" w:lineRule="exact"/>
        <w:rPr>
          <w:sz w:val="20"/>
          <w:szCs w:val="20"/>
          <w:color w:val="auto"/>
        </w:rPr>
      </w:pPr>
    </w:p>
    <w:p>
      <w:pPr>
        <w:ind w:right="80" w:firstLine="440"/>
        <w:spacing w:after="0" w:line="289" w:lineRule="auto"/>
        <w:rPr>
          <w:sz w:val="20"/>
          <w:szCs w:val="20"/>
          <w:color w:val="auto"/>
        </w:rPr>
      </w:pPr>
      <w:r>
        <w:rPr>
          <w:rFonts w:ascii="Times New Roman" w:cs="Times New Roman" w:eastAsia="Times New Roman" w:hAnsi="Times New Roman"/>
          <w:sz w:val="17"/>
          <w:szCs w:val="17"/>
          <w:color w:val="auto"/>
        </w:rPr>
        <w:t>Upon the written request of the Company, the Trustee is hereby authorized to join with the Company in the execution of any such supplemental indenture and to make any further appropriate agreements and stipulations that may be therein contained, but the Trustee shall not be obligated to, but may in its discretion, enter into any supplemental indenture that affects the Trustee’s own rights, duties or immunities under this Indenture or otherwise.</w:t>
      </w:r>
    </w:p>
    <w:p>
      <w:pPr>
        <w:spacing w:after="0" w:line="158"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Any supplemental indenture authorized by the provisions of this Section 10.01 may be executed by the Company and the Trustee without the consent of the Holders of any of the Notes at the time outstanding, notwithstanding any of the provisions of Section 10.02.</w:t>
      </w:r>
    </w:p>
    <w:p>
      <w:pPr>
        <w:spacing w:after="0" w:line="160"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Section 10.02</w:t>
      </w:r>
      <w:r>
        <w:rPr>
          <w:rFonts w:ascii="Times New Roman" w:cs="Times New Roman" w:eastAsia="Times New Roman" w:hAnsi="Times New Roman"/>
          <w:sz w:val="18"/>
          <w:szCs w:val="18"/>
          <w:i w:val="1"/>
          <w:iCs w:val="1"/>
          <w:color w:val="auto"/>
        </w:rPr>
        <w:t>. Supplemental Indentures with Consent of Holders.</w:t>
      </w:r>
      <w:r>
        <w:rPr>
          <w:rFonts w:ascii="Times New Roman" w:cs="Times New Roman" w:eastAsia="Times New Roman" w:hAnsi="Times New Roman"/>
          <w:sz w:val="18"/>
          <w:szCs w:val="18"/>
          <w:color w:val="auto"/>
        </w:rPr>
        <w:t xml:space="preserve"> With the consent (evidenced as provided in Article 8) of the Holders of at least a majority of the aggregate principal amount of the Notes then outstanding (determined in accordance with Article 8 and including, without limitation, consents obtained in connection with a repurchase of, or tender or exchange offer for, Notes), the Company and the Trustee, at the Company’s expense, may from time to time and at any time enter into an indenture or indentures supplemental hereto for the purpose of adding any provisions to or changing in any manner or eliminating any of the provisions of this Indenture, the Notes or any supplemental indenture or of modifying in any manner the rights of the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without the consent of each Holder of an outstanding Note affected, no such supplemental indenture shall:</w:t>
      </w:r>
    </w:p>
    <w:p>
      <w:pPr>
        <w:spacing w:after="0" w:line="76" w:lineRule="exact"/>
        <w:rPr>
          <w:sz w:val="20"/>
          <w:szCs w:val="20"/>
          <w:color w:val="auto"/>
        </w:rPr>
      </w:pPr>
    </w:p>
    <w:p>
      <w:pPr>
        <w:ind w:left="680" w:hanging="244"/>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Notes whose Holders must consent to an amendment;</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stated time for payment of interest on any Note;</w:t>
      </w:r>
    </w:p>
    <w:p>
      <w:pPr>
        <w:spacing w:after="0" w:line="117"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or extend the Maturity Date of any Note;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0"/>
          </w:cols>
          <w:pgMar w:left="440" w:top="270" w:right="459" w:bottom="1440" w:gutter="0" w:footer="0" w:header="0"/>
        </w:sectPr>
      </w:pPr>
    </w:p>
    <w:bookmarkStart w:id="70" w:name="page71"/>
    <w:bookmarkEnd w:id="70"/>
    <w:p>
      <w:pPr>
        <w:ind w:left="700" w:hanging="264"/>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required by this Indenture, make any change that adversely affects the conversion rights of any Notes;</w:t>
      </w:r>
    </w:p>
    <w:p>
      <w:pPr>
        <w:spacing w:after="0" w:line="117" w:lineRule="exact"/>
        <w:rPr>
          <w:rFonts w:ascii="Times New Roman" w:cs="Times New Roman" w:eastAsia="Times New Roman" w:hAnsi="Times New Roman"/>
          <w:sz w:val="18"/>
          <w:szCs w:val="18"/>
          <w:color w:val="auto"/>
        </w:rPr>
      </w:pPr>
    </w:p>
    <w:p>
      <w:pPr>
        <w:jc w:val="both"/>
        <w:ind w:right="300" w:firstLine="436"/>
        <w:spacing w:after="0" w:line="266" w:lineRule="auto"/>
        <w:tabs>
          <w:tab w:leader="none" w:pos="68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Redemption Price or the Fundamental Change Repurchase Price of any Note or amend or modify in any manner adverse to the Holders the Company’s obligation to make such payments, whether through an amendment or waiver of provisions in the covenants, definitions or otherwise;</w:t>
      </w:r>
    </w:p>
    <w:p>
      <w:pPr>
        <w:spacing w:after="0" w:line="67"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Note payable in a currency, or at a place of payment, other than that stated in the Note;</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ranking of the Notes; or</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this Article 10 that requires each Holder’s consent or in the waiver provisions in Section 6.02 or Section 6.09.</w:t>
      </w:r>
    </w:p>
    <w:p>
      <w:pPr>
        <w:spacing w:after="0" w:line="225" w:lineRule="exact"/>
        <w:rPr>
          <w:sz w:val="20"/>
          <w:szCs w:val="20"/>
          <w:color w:val="auto"/>
        </w:rPr>
      </w:pPr>
    </w:p>
    <w:p>
      <w:pPr>
        <w:jc w:val="both"/>
        <w:ind w:right="60" w:firstLine="440"/>
        <w:spacing w:after="0" w:line="261" w:lineRule="auto"/>
        <w:rPr>
          <w:sz w:val="20"/>
          <w:szCs w:val="20"/>
          <w:color w:val="auto"/>
        </w:rPr>
      </w:pPr>
      <w:r>
        <w:rPr>
          <w:rFonts w:ascii="Times New Roman" w:cs="Times New Roman" w:eastAsia="Times New Roman" w:hAnsi="Times New Roman"/>
          <w:sz w:val="18"/>
          <w:szCs w:val="18"/>
          <w:color w:val="auto"/>
        </w:rPr>
        <w:t>Upon the written request of the Company, and upon the filing with the Trustee of evidence of the consent of Holders as aforesaid and subject to Section 10.05,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180"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Holders do not need under this Section 10.02 to approve the particular form of any proposed supplemental indenture. It shall be sufficient if such Holders approve the substance thereof. After any supplemental indenture under Section 10.01 or this Section 10.02 becomes effective, the Company shall deliver to the Holders a notice briefly describing such supplemental indenture. However, the failure to give such notice to all the Holders, or any defect in the notice, will not impair or affect the validity of the supplemental indenture.</w:t>
      </w:r>
    </w:p>
    <w:p>
      <w:pPr>
        <w:spacing w:after="0" w:line="178"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Section 10.03</w:t>
      </w:r>
      <w:r>
        <w:rPr>
          <w:rFonts w:ascii="Times New Roman" w:cs="Times New Roman" w:eastAsia="Times New Roman" w:hAnsi="Times New Roman"/>
          <w:sz w:val="18"/>
          <w:szCs w:val="18"/>
          <w:i w:val="1"/>
          <w:iCs w:val="1"/>
          <w:color w:val="auto"/>
        </w:rPr>
        <w:t>. Effect of Supplemental Indentures.</w:t>
      </w:r>
      <w:r>
        <w:rPr>
          <w:rFonts w:ascii="Times New Roman" w:cs="Times New Roman" w:eastAsia="Times New Roman" w:hAnsi="Times New Roman"/>
          <w:sz w:val="18"/>
          <w:szCs w:val="18"/>
          <w:color w:val="auto"/>
        </w:rPr>
        <w:t xml:space="preserve"> Upon the execution of any supplemental indenture pursuant to the provisions of this Article 10, this Indenture shall be and be deemed to be modified and amended in accordance therewith and the respective rights, limitation of rights, obligations, duties, indemnities, privileges, and immunities under this Indenture of the Trustee, the Company and the Holders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83"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Section 10.04</w:t>
      </w:r>
      <w:r>
        <w:rPr>
          <w:rFonts w:ascii="Times New Roman" w:cs="Times New Roman" w:eastAsia="Times New Roman" w:hAnsi="Times New Roman"/>
          <w:sz w:val="18"/>
          <w:szCs w:val="18"/>
          <w:i w:val="1"/>
          <w:iCs w:val="1"/>
          <w:color w:val="auto"/>
        </w:rPr>
        <w:t>. Notation on Notes.</w:t>
      </w:r>
      <w:r>
        <w:rPr>
          <w:rFonts w:ascii="Times New Roman" w:cs="Times New Roman" w:eastAsia="Times New Roman" w:hAnsi="Times New Roman"/>
          <w:sz w:val="18"/>
          <w:szCs w:val="18"/>
          <w:color w:val="auto"/>
        </w:rPr>
        <w:t xml:space="preserve"> Notes authenticated and delivered after the execution of any supplemental indenture pursuant to the provisions of this Article 10 may, at the Company’s expense, bear a notation in form approved by the Trustee as to any matter provided for in such supplemental indenture. If the Company or the Trustee shall so determine, new Notes so modified as to conform, in the opinion of the Trustee and the Company, to any modification of this Indenture contained in any such supplemental indenture may, at the Company’s expense, be prepared and executed by the Company, authenticated by the Trustee (or an authenticating agent duly appointed by the Trustee pursuant to Section 17.10) and delivered in exchange for the Notes then outstanding, upon surrender of such Notes then outstanding.</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900"/>
          </w:cols>
          <w:pgMar w:left="440" w:top="270" w:right="559" w:bottom="1440" w:gutter="0" w:footer="0" w:header="0"/>
        </w:sectPr>
      </w:pPr>
    </w:p>
    <w:bookmarkStart w:id="71" w:name="page72"/>
    <w:bookmarkEnd w:id="71"/>
    <w:p>
      <w:pPr>
        <w:ind w:right="60"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10.05</w:t>
      </w:r>
      <w:r>
        <w:rPr>
          <w:rFonts w:ascii="Times New Roman" w:cs="Times New Roman" w:eastAsia="Times New Roman" w:hAnsi="Times New Roman"/>
          <w:sz w:val="18"/>
          <w:szCs w:val="18"/>
          <w:i w:val="1"/>
          <w:iCs w:val="1"/>
          <w:color w:val="auto"/>
        </w:rPr>
        <w:t>. Evidence of Compliance of Supplemental Indenture to Be Furnished to the Trustee.</w:t>
      </w:r>
      <w:r>
        <w:rPr>
          <w:rFonts w:ascii="Times New Roman" w:cs="Times New Roman" w:eastAsia="Times New Roman" w:hAnsi="Times New Roman"/>
          <w:sz w:val="18"/>
          <w:szCs w:val="18"/>
          <w:color w:val="auto"/>
        </w:rPr>
        <w:t xml:space="preserve"> In addition to the documents required by Section 17.05, the Trustee shall receive an Officer’s Certificate and an Opinion of Counsel as conclusive evidence that any supplemental indenture executed pursuant hereto complies with the requirements of this Article 10 and is permitted or authorized by this Indenture; such Opinion of Counsel to include a customary legal opinion stating that such supplemental indenture is the valid and binding obligation of the Company, subject to customary exceptions and qualifications. The Trustee shall have no responsibility for determining whether any amendment or supplemental indenture will or may have an adverse effect on any Holder.</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11</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ONSOLIDATION</w:t>
      </w:r>
      <w:r>
        <w:rPr>
          <w:rFonts w:ascii="Times New Roman" w:cs="Times New Roman" w:eastAsia="Times New Roman" w:hAnsi="Times New Roman"/>
          <w:sz w:val="18"/>
          <w:szCs w:val="18"/>
          <w:color w:val="auto"/>
        </w:rPr>
        <w:t>, M</w:t>
      </w:r>
      <w:r>
        <w:rPr>
          <w:rFonts w:ascii="Times New Roman" w:cs="Times New Roman" w:eastAsia="Times New Roman" w:hAnsi="Times New Roman"/>
          <w:sz w:val="14"/>
          <w:szCs w:val="14"/>
          <w:color w:val="auto"/>
        </w:rPr>
        <w:t>ERGER</w:t>
      </w:r>
      <w:r>
        <w:rPr>
          <w:rFonts w:ascii="Times New Roman" w:cs="Times New Roman" w:eastAsia="Times New Roman" w:hAnsi="Times New Roman"/>
          <w:sz w:val="18"/>
          <w:szCs w:val="18"/>
          <w:color w:val="auto"/>
        </w:rPr>
        <w:t>, S</w:t>
      </w:r>
      <w:r>
        <w:rPr>
          <w:rFonts w:ascii="Times New Roman" w:cs="Times New Roman" w:eastAsia="Times New Roman" w:hAnsi="Times New Roman"/>
          <w:sz w:val="14"/>
          <w:szCs w:val="14"/>
          <w:color w:val="auto"/>
        </w:rPr>
        <w:t>ALE</w:t>
      </w:r>
      <w:r>
        <w:rPr>
          <w:rFonts w:ascii="Times New Roman" w:cs="Times New Roman" w:eastAsia="Times New Roman" w:hAnsi="Times New Roman"/>
          <w:sz w:val="18"/>
          <w:szCs w:val="18"/>
          <w:color w:val="auto"/>
        </w:rPr>
        <w:t>, C</w:t>
      </w:r>
      <w:r>
        <w:rPr>
          <w:rFonts w:ascii="Times New Roman" w:cs="Times New Roman" w:eastAsia="Times New Roman" w:hAnsi="Times New Roman"/>
          <w:sz w:val="14"/>
          <w:szCs w:val="14"/>
          <w:color w:val="auto"/>
        </w:rPr>
        <w:t>ONVEYANCE AND</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EASE</w:t>
      </w:r>
    </w:p>
    <w:p>
      <w:pPr>
        <w:spacing w:after="0" w:line="205"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Section 11.01</w:t>
      </w:r>
      <w:r>
        <w:rPr>
          <w:rFonts w:ascii="Times New Roman" w:cs="Times New Roman" w:eastAsia="Times New Roman" w:hAnsi="Times New Roman"/>
          <w:sz w:val="18"/>
          <w:szCs w:val="18"/>
          <w:i w:val="1"/>
          <w:iCs w:val="1"/>
          <w:color w:val="auto"/>
        </w:rPr>
        <w:t>. Company May Consolidate, Etc. on Certain Terms.</w:t>
      </w:r>
      <w:r>
        <w:rPr>
          <w:rFonts w:ascii="Times New Roman" w:cs="Times New Roman" w:eastAsia="Times New Roman" w:hAnsi="Times New Roman"/>
          <w:sz w:val="18"/>
          <w:szCs w:val="18"/>
          <w:color w:val="auto"/>
        </w:rPr>
        <w:t xml:space="preserve"> Subject to the provisions of Section 11.02, the Company shall not consolidate with, merge with or into, or sell, convey, transfer or lease all or substantially all of the consolidated properties and assets of the Company and its Subsidiaries, taken as a whole, to another Person (other than any such sale, conveyance, transfer or lease to one or more of the Company’s direct or indirect Wholly Owned Subsidiaries) (each, a “</w:t>
      </w:r>
      <w:r>
        <w:rPr>
          <w:rFonts w:ascii="Times New Roman" w:cs="Times New Roman" w:eastAsia="Times New Roman" w:hAnsi="Times New Roman"/>
          <w:sz w:val="18"/>
          <w:szCs w:val="18"/>
          <w:b w:val="1"/>
          <w:bCs w:val="1"/>
          <w:color w:val="auto"/>
        </w:rPr>
        <w:t>Business Combination Event</w:t>
      </w:r>
      <w:r>
        <w:rPr>
          <w:rFonts w:ascii="Times New Roman" w:cs="Times New Roman" w:eastAsia="Times New Roman" w:hAnsi="Times New Roman"/>
          <w:sz w:val="18"/>
          <w:szCs w:val="18"/>
          <w:color w:val="auto"/>
        </w:rPr>
        <w:t>”) unless:</w:t>
      </w:r>
    </w:p>
    <w:p>
      <w:pPr>
        <w:spacing w:after="0" w:line="70" w:lineRule="exact"/>
        <w:rPr>
          <w:sz w:val="20"/>
          <w:szCs w:val="20"/>
          <w:color w:val="auto"/>
        </w:rPr>
      </w:pPr>
    </w:p>
    <w:p>
      <w:pPr>
        <w:ind w:right="20" w:firstLine="436"/>
        <w:spacing w:after="0" w:line="268" w:lineRule="auto"/>
        <w:tabs>
          <w:tab w:leader="none" w:pos="68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resulting, surviving or transferee Person (the “</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if not the Company, shall be a Qualified Successor Entity organized and existing under the laws of the United States of America, any state thereof or the District of Columbia, and the Successor Entity (if not the Company) shall expressly assume, by supplemental indenture all of the obligations of the Company under the Notes and this Indenture; and</w:t>
      </w:r>
    </w:p>
    <w:p>
      <w:pPr>
        <w:spacing w:after="0" w:line="66" w:lineRule="exact"/>
        <w:rPr>
          <w:rFonts w:ascii="Times New Roman" w:cs="Times New Roman" w:eastAsia="Times New Roman" w:hAnsi="Times New Roman"/>
          <w:sz w:val="18"/>
          <w:szCs w:val="18"/>
          <w:color w:val="auto"/>
        </w:rPr>
      </w:pPr>
    </w:p>
    <w:p>
      <w:pPr>
        <w:ind w:right="300" w:firstLine="436"/>
        <w:spacing w:after="0" w:line="282" w:lineRule="auto"/>
        <w:tabs>
          <w:tab w:leader="none" w:pos="69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Business Combination Event, no Default or Event of Default shall have occurred and be continuing under this Indenture.</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For purposes of this Section 11.01, the sale, conveyance, transfer or lease of all or substantially all of the properties and assets of one or more Subsidiaries of the Company to another Person, which properties and assets, if held by the Company instead of such Subsidiaries, would constitute all or substantially all of the consolidated properties and assets of the Company and its Subsidiaries, taken as a whole, shall be deemed to be the sale, conveyance, transfer or lease of all or substantially all of the consolidated properties and assets of the Company and its Subsidiaries, taken as a whole, to another Person.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80"/>
          </w:cols>
          <w:pgMar w:left="440" w:top="268" w:right="479" w:bottom="1440" w:gutter="0" w:footer="0" w:header="0"/>
        </w:sectPr>
      </w:pPr>
    </w:p>
    <w:bookmarkStart w:id="72" w:name="page73"/>
    <w:bookmarkEnd w:id="72"/>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11.02</w:t>
      </w:r>
      <w:r>
        <w:rPr>
          <w:rFonts w:ascii="Times New Roman" w:cs="Times New Roman" w:eastAsia="Times New Roman" w:hAnsi="Times New Roman"/>
          <w:sz w:val="18"/>
          <w:szCs w:val="18"/>
          <w:i w:val="1"/>
          <w:iCs w:val="1"/>
          <w:color w:val="auto"/>
        </w:rPr>
        <w:t>. Successor Entity to Be Substituted.</w:t>
      </w:r>
      <w:r>
        <w:rPr>
          <w:rFonts w:ascii="Times New Roman" w:cs="Times New Roman" w:eastAsia="Times New Roman" w:hAnsi="Times New Roman"/>
          <w:sz w:val="18"/>
          <w:szCs w:val="18"/>
          <w:color w:val="auto"/>
        </w:rPr>
        <w:t xml:space="preserve"> In case of any such Business Combination Event and upon the assumption by the Successor Entity (if other than the Company), by supplemental indenture, executed and delivered to the Trustee and satisfactory in form to the Trustee, of the due and punctual payment of the principal of and accrued and unpaid interest on all of the Notes, the due and punctual delivery or payment, as the case may be, of any consideration due upon conversion of the Notes and the due and punctual performance of all of the covenants and conditions of this Indenture to be performed by the Company, such Successor Entity (if not the Company) shall succeed to and, except in the case of a lease of all or substantially all of the consolidated properties and assets of the Company and its Subsidiaries, taken as a whole, shall be substituted for the Company, with the same effect as if it had been named herein as the party of the first part, and may thereafter exercise every right and power of the Company under this Indenture. Such Successor Entity thereupon may cause to be signed, and may issue either in its own name or in the name of the Company any or all of the Notes issuable hereunder which theretofore shall not have been signed by the Company and delivered to the Trustee; and, upon the order of such Successor Entity instead of the Company and subject to all the terms, conditions and limitations in this Indenture prescribed, the Trustee shall authenticate and shall deliver, or cause to be authenticated and delivered, any Notes that previously shall have been signed and delivered by the Officers of the Company to the Trustee for authentication, and any Notes that such Successor Entity thereafter shall cause to be signed and delivered to the Trustee for that purpose. All the Notes so issued shall in all respects have the same legal rank and benefit under this Indenture as the Notes theretofore or thereafter issued in accordance with the terms of this Indenture as though all of such Notes had been issued at the date of the execution hereof. In the event of any Business Combination Event (but not in the case of a lease), upon compliance with this Article 11 the Person named as the “Company” in the first paragraph of this Indenture (or any successor that shall thereafter have become such in the manner prescribed in this Article 11) may be dissolved, wound up and liquidated at any time thereafter and, except in the case of a lease, such Person shall be released from its liabilities as obligor and maker of the Notes and from its obligations under this Indenture and the Notes.</w:t>
      </w:r>
    </w:p>
    <w:p>
      <w:pPr>
        <w:spacing w:after="0" w:line="194"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In case of any Business Combination Event, such changes in phraseology and form (but not in substance) may be made in the Notes thereafter to be issued as may be appropriate.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MMUNITY OF</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NCORPORATORS</w:t>
      </w:r>
      <w:r>
        <w:rPr>
          <w:rFonts w:ascii="Times New Roman" w:cs="Times New Roman" w:eastAsia="Times New Roman" w:hAnsi="Times New Roman"/>
          <w:sz w:val="18"/>
          <w:szCs w:val="18"/>
          <w:color w:val="auto"/>
        </w:rPr>
        <w:t>, S</w:t>
      </w:r>
      <w:r>
        <w:rPr>
          <w:rFonts w:ascii="Times New Roman" w:cs="Times New Roman" w:eastAsia="Times New Roman" w:hAnsi="Times New Roman"/>
          <w:sz w:val="14"/>
          <w:szCs w:val="14"/>
          <w:color w:val="auto"/>
        </w:rPr>
        <w:t>TOCKHOLDERS</w:t>
      </w:r>
      <w:r>
        <w:rPr>
          <w:rFonts w:ascii="Times New Roman" w:cs="Times New Roman" w:eastAsia="Times New Roman" w:hAnsi="Times New Roman"/>
          <w:sz w:val="18"/>
          <w:szCs w:val="18"/>
          <w:color w:val="auto"/>
        </w:rPr>
        <w:t>, O</w:t>
      </w:r>
      <w:r>
        <w:rPr>
          <w:rFonts w:ascii="Times New Roman" w:cs="Times New Roman" w:eastAsia="Times New Roman" w:hAnsi="Times New Roman"/>
          <w:sz w:val="14"/>
          <w:szCs w:val="14"/>
          <w:color w:val="auto"/>
        </w:rPr>
        <w:t>FFICERS AND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IRECTORS</w:t>
      </w:r>
    </w:p>
    <w:p>
      <w:pPr>
        <w:spacing w:after="0" w:line="20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Section 12.01</w:t>
      </w:r>
      <w:r>
        <w:rPr>
          <w:rFonts w:ascii="Times New Roman" w:cs="Times New Roman" w:eastAsia="Times New Roman" w:hAnsi="Times New Roman"/>
          <w:sz w:val="18"/>
          <w:szCs w:val="18"/>
          <w:i w:val="1"/>
          <w:iCs w:val="1"/>
          <w:color w:val="auto"/>
        </w:rPr>
        <w:t>. Indenture and Notes Solely Corporate Obligations.</w:t>
      </w:r>
      <w:r>
        <w:rPr>
          <w:rFonts w:ascii="Times New Roman" w:cs="Times New Roman" w:eastAsia="Times New Roman" w:hAnsi="Times New Roman"/>
          <w:sz w:val="18"/>
          <w:szCs w:val="18"/>
          <w:color w:val="auto"/>
        </w:rPr>
        <w:t xml:space="preserve"> No recourse for the payment of the principal of or accrued and unpaid interest on any Note, nor for any claim based thereon or otherwise in respect thereof, and no recourse under or upon any obligation, covenant or agreement of the Company in this Indenture or in any supplemental indenture or in any Note, nor because of the creation of any indebtedness represented thereby, shall be had against any incorporator, stockholder, employee, agent, Officer or director or Subsidiary, as such, past, present or future, of the Company or of any successor entity, either directly or through the Company or any successor entity,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Notes.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0"/>
          </w:cols>
          <w:pgMar w:left="440" w:top="268" w:right="45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13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NTENTIONALLY</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MITTED</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ONVERSION OF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OTES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14.01</w:t>
      </w:r>
      <w:r>
        <w:rPr>
          <w:rFonts w:ascii="Times New Roman" w:cs="Times New Roman" w:eastAsia="Times New Roman" w:hAnsi="Times New Roman"/>
          <w:sz w:val="18"/>
          <w:szCs w:val="18"/>
          <w:i w:val="1"/>
          <w:iCs w:val="1"/>
          <w:color w:val="auto"/>
        </w:rPr>
        <w:t>. Conversion Privilege.</w:t>
      </w:r>
    </w:p>
    <w:p>
      <w:pPr>
        <w:spacing w:after="0" w:line="119" w:lineRule="exact"/>
        <w:rPr>
          <w:sz w:val="20"/>
          <w:szCs w:val="20"/>
          <w:color w:val="auto"/>
        </w:rPr>
      </w:pPr>
    </w:p>
    <w:p>
      <w:pPr>
        <w:ind w:right="220" w:firstLine="436"/>
        <w:spacing w:after="0" w:line="254" w:lineRule="auto"/>
        <w:tabs>
          <w:tab w:leader="none" w:pos="68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and upon compliance with the provisions of this Article 14, each Holder of a Note shall have the right, at such Holder’s option, to convert all or any portion (if the portion to be converted is $1,000 principal amount or an integral multiple thereof) of such Note (i) subject to satisfaction of the conditions described in Section 14.01(b), at any time prior to the close of business on the Business Day immediately preceding March 15, 2031 under the circumstances and during the periods set forth in Section 14.01(b), and (ii) regardless of the conditions described in Section 14.01(b), on or after March 15, 2031 and prior to the close of business on the second Scheduled Trading Day immediately preceding the Maturity Date, in each case, at an initial conversion rate of 40.3894 shares of Common Stock (subject to adjustment as provided in this Article 14, the “</w:t>
      </w:r>
      <w:r>
        <w:rPr>
          <w:rFonts w:ascii="Times New Roman" w:cs="Times New Roman" w:eastAsia="Times New Roman" w:hAnsi="Times New Roman"/>
          <w:sz w:val="18"/>
          <w:szCs w:val="18"/>
          <w:b w:val="1"/>
          <w:bCs w:val="1"/>
          <w:color w:val="auto"/>
        </w:rPr>
        <w:t>Conversion Rate</w:t>
      </w:r>
      <w:r>
        <w:rPr>
          <w:rFonts w:ascii="Times New Roman" w:cs="Times New Roman" w:eastAsia="Times New Roman" w:hAnsi="Times New Roman"/>
          <w:sz w:val="18"/>
          <w:szCs w:val="18"/>
          <w:color w:val="auto"/>
        </w:rPr>
        <w:t>”) per $1,000 principal amount of Notes (subject to, and in accordance with, the settlement provisions of Section 14.02, the “</w:t>
      </w:r>
      <w:r>
        <w:rPr>
          <w:rFonts w:ascii="Times New Roman" w:cs="Times New Roman" w:eastAsia="Times New Roman" w:hAnsi="Times New Roman"/>
          <w:sz w:val="18"/>
          <w:szCs w:val="18"/>
          <w:b w:val="1"/>
          <w:bCs w:val="1"/>
          <w:color w:val="auto"/>
        </w:rPr>
        <w:t>Conversion Obligation</w:t>
      </w:r>
      <w:r>
        <w:rPr>
          <w:rFonts w:ascii="Times New Roman" w:cs="Times New Roman" w:eastAsia="Times New Roman" w:hAnsi="Times New Roman"/>
          <w:sz w:val="18"/>
          <w:szCs w:val="18"/>
          <w:color w:val="auto"/>
        </w:rPr>
        <w:t>”). The Trustee shall have no obligation to make any determination as to whether any of the conditions described in Section 14.01(b) have been satisfied.</w:t>
      </w:r>
    </w:p>
    <w:p>
      <w:pPr>
        <w:spacing w:after="0" w:line="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w:t>
      </w:r>
    </w:p>
    <w:p>
      <w:pPr>
        <w:spacing w:after="0" w:line="117" w:lineRule="exact"/>
        <w:rPr>
          <w:sz w:val="20"/>
          <w:szCs w:val="20"/>
          <w:color w:val="auto"/>
        </w:rPr>
      </w:pPr>
    </w:p>
    <w:p>
      <w:pPr>
        <w:ind w:left="440" w:firstLine="419"/>
        <w:spacing w:after="0" w:line="254" w:lineRule="auto"/>
        <w:tabs>
          <w:tab w:leader="none" w:pos="107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close of business on the Business Day immediately preceding March 15, 2031, a Holder may surrender all or any portion of its Notes for conversion at any time during the five Business Day period immediately after any ten consecutive Trading Day period (the “</w:t>
      </w:r>
      <w:r>
        <w:rPr>
          <w:rFonts w:ascii="Times New Roman" w:cs="Times New Roman" w:eastAsia="Times New Roman" w:hAnsi="Times New Roman"/>
          <w:sz w:val="18"/>
          <w:szCs w:val="18"/>
          <w:b w:val="1"/>
          <w:bCs w:val="1"/>
          <w:color w:val="auto"/>
        </w:rPr>
        <w:t>Measurement Period</w:t>
      </w:r>
      <w:r>
        <w:rPr>
          <w:rFonts w:ascii="Times New Roman" w:cs="Times New Roman" w:eastAsia="Times New Roman" w:hAnsi="Times New Roman"/>
          <w:sz w:val="18"/>
          <w:szCs w:val="18"/>
          <w:color w:val="auto"/>
        </w:rPr>
        <w:t>”) in which the Trading Price per $1,000 principal amount of Notes, as determined following a request by a Holder of Notes in accordance with this subsection (b)(i), for each Trading Day of the Measurement Period was less than 98% of the product of the Last Reported Sale Price of the Common Stock on each such Trading Day and the Conversion Rate on each such Trading Day. The Trading Prices shall be determined by the Bid Solicitation Agent pursuant to this subsection (b)(i) and the definition of Trading Price set forth in this Indenture. The Bid Solicitation Agent (if other than the Company) shall have no obligation to determine the Trading Price per $1,000 principal amount of Notes unless the Company has requested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0"/>
          </w:cols>
          <w:pgMar w:left="440" w:top="270" w:right="459" w:bottom="1440" w:gutter="0" w:footer="0" w:header="0"/>
        </w:sectPr>
      </w:pPr>
    </w:p>
    <w:bookmarkStart w:id="74" w:name="page75"/>
    <w:bookmarkEnd w:id="74"/>
    <w:p>
      <w:pPr>
        <w:ind w:left="4" w:right="12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determination, and the Company shall have no obligation to make such request (or, if the Company is acting as Bid Solicitation Agent, the Company shall have no obligation to determine the Trading Price per $1,000 principal amount of Notes) unless a Holder or Holders of at least $5,000,000 (or such lesser amount as may then be outstanding) aggregate principal amount of Notes provides the Company with reasonable evidence that the Trading Price per $1,000 principal amount of Notes on any Trading Day would be less than 98% of the product of the Last Reported Sale Price of the Common Stock on such Trading Day and the Conversion Rate on such Trading Day, at which time the Company shall instruct three independent nationally recognized securities dealers to deliver bids and instruct the Bid Solicitation Agent (if other than the Company) to determine, or if the Company is acting as Bid Solicitation Agent, the Company shall determine, the Trading Price per $1,000 principal amount of Notes beginning on the next Trading Day and on each successive Trading Day until the Trading Price per $1,000 principal amount of Notes is greater than or equal to 98% of the product of the Last Reported Sale Price of the Common Stock and the Conversion Rate. If</w:t>
      </w:r>
    </w:p>
    <w:p>
      <w:pPr>
        <w:spacing w:after="0" w:line="5" w:lineRule="exact"/>
        <w:rPr>
          <w:sz w:val="20"/>
          <w:szCs w:val="20"/>
          <w:color w:val="auto"/>
        </w:rPr>
      </w:pPr>
    </w:p>
    <w:p>
      <w:pPr>
        <w:ind w:left="4" w:hanging="4"/>
        <w:spacing w:after="0" w:line="251" w:lineRule="auto"/>
        <w:tabs>
          <w:tab w:leader="none" w:pos="25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acting as Bid Solicitation Agent, and the Company does not, when the Company is required to, instruct the Bid Solicitation Agent to determine the Trading Price per $1,000 principal amount of Notes when obligated as provided in the preceding sentence, or if the Company gives such instruction to the Bid Solicitation Agent and the Bid Solicitation Agent fails to make such determination, or (y) the Company is acting as Bid Solicitation Agent and the Company fails to make such determination when obligated as provided in the preceding sentence, then, in either case, the Trading Price per $1,000 principal amount of Notes on any date shall be deemed to be less than 98% of the product of the Last Reported Sale Price of the Common Stock and the Conversion Rate on each Trading Day of such failure. If the Trading Price condition set forth above has been met, the Company shall so notify the Holders, the Trustee and the Conversion Agent (if other than the Trustee) in writing. Any such determination shall be conclusive absent manifest error. If, at any time after the Trading Price condition set forth above has been met, the Trading Price per $1,000 principal amount of Notes is greater than or equal to 98% of the product of the Last Reported Sale Price of the Common Stock and the Conversion Rate for such date, the Company shall so notify the Holders, the Trustee and the Conversion Agent (if other than the Trustee) in writing and thereafter neither the Company nor the Bid Solicitation Agent (if other than the Company) shall be required to solicit bids (or determine the Trading Price of the Notes as set forth in this Indenture) again unless a new Holder request is made as provided in this subsection (b)(i).</w:t>
      </w:r>
    </w:p>
    <w:p>
      <w:pPr>
        <w:spacing w:after="0" w:line="83"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prior to the close of business on the Business Day immediately preceding March 15, 2031, the Company elects to:</w:t>
      </w:r>
    </w:p>
    <w:p>
      <w:pPr>
        <w:spacing w:after="0" w:line="117" w:lineRule="exact"/>
        <w:rPr>
          <w:rFonts w:ascii="Times New Roman" w:cs="Times New Roman" w:eastAsia="Times New Roman" w:hAnsi="Times New Roman"/>
          <w:sz w:val="18"/>
          <w:szCs w:val="18"/>
          <w:color w:val="auto"/>
        </w:rPr>
      </w:pPr>
    </w:p>
    <w:p>
      <w:pPr>
        <w:ind w:left="544" w:firstLine="408"/>
        <w:spacing w:after="0" w:line="258" w:lineRule="auto"/>
        <w:tabs>
          <w:tab w:leader="none" w:pos="1239"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to all or substantially all holders of the Common Stock any rights, options or warrants (other than in connection with a stockholder rights plan prior to the separation of such rights from the Common Stock) entitling them, for a period of not more than 60 calendar days after the announcement date of such distribution, to subscribe for or purchase shares of the Common Stock at a price per share that is less than the average of the Last Reported Sale Prices of the Common Stock for the 10 consecutive Trading Day period ending on, and including, the Trading Day immediately preceding the date of announcement of such distribution; or</w:t>
      </w:r>
    </w:p>
    <w:p>
      <w:pPr>
        <w:spacing w:after="0" w:line="116"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564"/>
          </w:cols>
          <w:pgMar w:left="876" w:top="270" w:right="459" w:bottom="1440" w:gutter="0" w:footer="0" w:header="0"/>
        </w:sectPr>
      </w:pPr>
    </w:p>
    <w:bookmarkStart w:id="75" w:name="page76"/>
    <w:bookmarkEnd w:id="75"/>
    <w:p>
      <w:pPr>
        <w:jc w:val="both"/>
        <w:ind w:left="980" w:right="20" w:firstLine="408"/>
        <w:spacing w:after="0" w:line="261" w:lineRule="auto"/>
        <w:tabs>
          <w:tab w:leader="none" w:pos="166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distribute to all or substantially all holders of the Common Stock the Company’s assets, securities or rights to purchase securities of the Company (other than in connection with a stockholder rights plan prior to separation of such rights from the Common Stock), which distribution has a per share value, as reasonably determined by the Company in good faith, exceeding 10% of the Last Reported Sale Price of the Common Stock on the Trading Day preceding the date of announcement for such distribution,</w:t>
      </w:r>
    </w:p>
    <w:p>
      <w:pPr>
        <w:spacing w:after="0" w:line="18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then, in either case, the Company shall notify all Holders of the Notes, the Trustee and the Conversion Agent (if other than the Trustee) in writing at least 31 Scheduled Trading Days prior to the Ex-Dividend Date for such distribution (or, if later in the case of any such separation of rights issued pursuant to a stockholder rights plan, as soon as reasonably practicable after the Company becomes aware that such separation or triggering event has occurred or will occur);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the Company is then otherwise permitted to settle conversions of Notes by Physical Settlement (and, for the avoidance of doubt, has not irrevocably elected another Settlement Method for conversions of Notes), then the Company may instead elect to provide such notice at least five Scheduled Trading Days prior to such Ex-Dividend Date, in which case the Company shall be required to settle all conversions of Notes with a Conversion Date occurring during the period on or after the date the Company provides such notice and before such Ex-Dividend Date (or, if earlier, the date the Company announces that such issuance or distribution will not take place) by Physical Settlement, and the Company shall describe the same in such notice. Once the Company has given such notice, a Holder may surrender all or any portion of its Notes for conversion at any time until the earlier of (1) the close of business on the Business Day immediately preceding the Ex-Dividend Date for such distribution and (2) the Company’s announcement that such distribution will not take place, in each case, even if the Notes are not otherwise convertible at such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Holders may not convert their Notes pursuant to this subsection (b)(ii) if they participate, at the same time and upon the same terms as holders of the Common Stock and solely as a result of holding the Notes, in any of the transactions described in clause (A) or (B) of this subsection (b)(ii) without having to convert their Notes as if they held a number of shares of Common Stock equal to the applicable Conversion Rate as of the Record Date for such distribution,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principal amount (expressed in thousands) of Notes held by such Holder.</w:t>
      </w:r>
    </w:p>
    <w:p>
      <w:pPr>
        <w:spacing w:after="0" w:line="88" w:lineRule="exact"/>
        <w:rPr>
          <w:sz w:val="20"/>
          <w:szCs w:val="20"/>
          <w:color w:val="auto"/>
        </w:rPr>
      </w:pPr>
    </w:p>
    <w:p>
      <w:pPr>
        <w:ind w:left="440" w:firstLine="419"/>
        <w:spacing w:after="0" w:line="261" w:lineRule="auto"/>
        <w:tabs>
          <w:tab w:leader="none" w:pos="117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a transaction or event that constitutes a Fundamental Change or a Make-Whole Fundamental Change occurs prior to the close of business on the Business Day immediately preceding March 15, 2031, regardless of whether a Holder has the right to require the Company to repurchase the Notes pursuant to Section 15.02, or (B) the Company is a party to a Share Exchange Event (other than a Share Exchange Event that is solely for the purpose of changing the Company’s jurisdiction of organization that (x)</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0"/>
          </w:cols>
          <w:pgMar w:left="440" w:top="270" w:right="459" w:bottom="1440" w:gutter="0" w:footer="0" w:header="0"/>
        </w:sectPr>
      </w:pPr>
    </w:p>
    <w:bookmarkStart w:id="76" w:name="page77"/>
    <w:bookmarkEnd w:id="76"/>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does not constitute a Fundamental Change or a Make-Whole Fundamental Change and (y) results in a reclassification, conversion or exchange of outstanding shares of Common Stock solely into shares of common stock of the surviving entity and such common stock becomes Reference Property for the Notes) that occurs prior to the close of business on the Business Day immediately preceding March 15, 2031 (each such Fundamental Change, Make-Whole Fundamental Change or Share Exchange Event, a “</w:t>
      </w:r>
      <w:r>
        <w:rPr>
          <w:rFonts w:ascii="Times New Roman" w:cs="Times New Roman" w:eastAsia="Times New Roman" w:hAnsi="Times New Roman"/>
          <w:sz w:val="18"/>
          <w:szCs w:val="18"/>
          <w:b w:val="1"/>
          <w:bCs w:val="1"/>
          <w:color w:val="auto"/>
        </w:rPr>
        <w:t>Corporate Event</w:t>
      </w:r>
      <w:r>
        <w:rPr>
          <w:rFonts w:ascii="Times New Roman" w:cs="Times New Roman" w:eastAsia="Times New Roman" w:hAnsi="Times New Roman"/>
          <w:sz w:val="18"/>
          <w:szCs w:val="18"/>
          <w:color w:val="auto"/>
        </w:rPr>
        <w:t>”), all or any portion of a Holder’s Notes may be surrendered for conversion at any time from and after the effective date of such Corporate Event to, and including, the earlier of (x) the close of business on the 35th Trading Day after the effective date of the Corporate Event (or, if the Company gives notice after the effective date of such Corporate Event, the close of business on the 35th Trading Day after the date the Company gives notice of such Corporate Event) or, if such Corporate Event also constitutes a Fundamental Change (other than an Exempted Fundamental Change), until the close of business on the Business Day immediately preceding the related Fundamental Change Repurchase Date and (y) the close of business on the second Scheduled Trading Day immediately preceding the Maturity Date. The Company shall notify Holders, the Trustee and the Conversion Agent (if other than the Trustee) in writing as promptly as practicable following the effective date of such Corporate Event, but in no event later than one Business Day after the effective date of such Corporate Event.</w:t>
      </w:r>
    </w:p>
    <w:p>
      <w:pPr>
        <w:spacing w:after="0" w:line="82" w:lineRule="exact"/>
        <w:rPr>
          <w:sz w:val="20"/>
          <w:szCs w:val="20"/>
          <w:color w:val="auto"/>
        </w:rPr>
      </w:pPr>
    </w:p>
    <w:p>
      <w:pPr>
        <w:ind w:right="60" w:firstLine="419"/>
        <w:spacing w:after="0" w:line="258" w:lineRule="auto"/>
        <w:tabs>
          <w:tab w:leader="none" w:pos="72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close of business on the Business Day immediately preceding March 15, 2031, a Holder may surrender all or any portion of its Notes for conversion at any time during any calendar quarter commencing after the calendar quarter ending on September 30, 2026 (and only during such calendar quarter), if the Last Reported Sale Price of the Common Stock for at least 20 Trading Days (whether or not consecutive) during the period of 30 consecutive Trading Days ending on, and including, the last Trading Day of the immediately preceding calendar quarter is greater than or equal to 130% of the Conversion Price on each applicable Trading Day.</w:t>
      </w:r>
    </w:p>
    <w:p>
      <w:pPr>
        <w:spacing w:after="0" w:line="75" w:lineRule="exact"/>
        <w:rPr>
          <w:rFonts w:ascii="Times New Roman" w:cs="Times New Roman" w:eastAsia="Times New Roman" w:hAnsi="Times New Roman"/>
          <w:sz w:val="18"/>
          <w:szCs w:val="18"/>
          <w:color w:val="auto"/>
        </w:rPr>
      </w:pPr>
    </w:p>
    <w:p>
      <w:pPr>
        <w:ind w:firstLine="419"/>
        <w:spacing w:after="0" w:line="254" w:lineRule="auto"/>
        <w:tabs>
          <w:tab w:leader="none" w:pos="67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any Notes for Optional Redemption pursuant to Article 16, then a Holder may surrender all or any portion of its Called Notes for conversion at any time prior to the close of business on the second Scheduled Trading Day immediately preceding the Redemption Date, even if the Called Notes are not otherwise convertible at such time. After that time, the right to convert such Called Notes on account of the Company’s delivery of a Notice of Redemption shall expire, unless the Company defaults in the payment of the Redemption Price, in which case a Holder of Called Notes may convert all or a portion of its Called Notes until the close of business on the Scheduled Trading Day immediately preceding the date on which the Redemption Price has been paid or duly provided for. If the Company elects to redeem fewer than all of the outstanding Notes pursuant to Article 16, and the Holder of any Note (or any owner of a beneficial interest in any Global Note) is reasonably not able to determine, prior to the close of business on the 29th Scheduled Trading Day immediately preceding the relevant Redemption Date (or if, as permitted by Section 16.02(a), the Company</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560"/>
          </w:cols>
          <w:pgMar w:left="880" w:top="270" w:right="459" w:bottom="1440" w:gutter="0" w:footer="0" w:header="0"/>
        </w:sectPr>
      </w:pPr>
    </w:p>
    <w:bookmarkStart w:id="77" w:name="page78"/>
    <w:bookmarkEnd w:id="77"/>
    <w:p>
      <w:pPr>
        <w:ind w:left="420" w:right="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delivers a Notice of Redemption not less than 15 calendar days nor more than 50 Scheduled Trading Days prior to the related Redemption Date, then prior to close of business on the 14th calendar day immediately before the relevant Redemption Date), whether such Note or beneficial interest, as applicable, is to be redeemed pursuant to such Optional Redemption (and, as a result thereof, convertible on account of the related Notice of Redemption in accordance with the provisions of this Indenture), then such Holder or owner, as applicable, will be entitled to convert such Note or beneficial interest, as applicable, at any time during the related Redemption Period, and each such conversion will be deemed to be of a Note called for Optional Redemption, and such Note or beneficial interest will be deemed called for Optional Redemption solely for the purposes of such conversion (“</w:t>
      </w:r>
      <w:r>
        <w:rPr>
          <w:rFonts w:ascii="Times New Roman" w:cs="Times New Roman" w:eastAsia="Times New Roman" w:hAnsi="Times New Roman"/>
          <w:sz w:val="18"/>
          <w:szCs w:val="18"/>
          <w:b w:val="1"/>
          <w:bCs w:val="1"/>
          <w:color w:val="auto"/>
        </w:rPr>
        <w:t>Deemed Redemption</w:t>
      </w:r>
      <w:r>
        <w:rPr>
          <w:rFonts w:ascii="Times New Roman" w:cs="Times New Roman" w:eastAsia="Times New Roman" w:hAnsi="Times New Roman"/>
          <w:sz w:val="18"/>
          <w:szCs w:val="18"/>
          <w:color w:val="auto"/>
        </w:rPr>
        <w:t>”). If a Holder elects to convert Called Notes during the related Redemption Period, such conversion will be deemed “in connection with” the relevant Notice of Redemption pursuant to Section 14.03(a), and the Company will, under certain circumstances, increase the Conversion Rate for such Called Notes pursuant to Section 14.03. Accordingly, if the Company elects to redeem fewer than all of the outstanding Notes pursuant to Article 16, Holders of the Notes that are not Called Notes shall not be entitled to convert such Notes pursuant to this Section 14.01(b)(v) and shall not be entitled to an increase in the Conversion Rate on account of the Notice of Redemption for conversions of such Notes during the related Redemption Period, even if such Notes are otherwise convertible pursuant to any other provision of this Section 14.01(b).</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Section 14.02</w:t>
      </w:r>
      <w:r>
        <w:rPr>
          <w:rFonts w:ascii="Times New Roman" w:cs="Times New Roman" w:eastAsia="Times New Roman" w:hAnsi="Times New Roman"/>
          <w:sz w:val="18"/>
          <w:szCs w:val="18"/>
          <w:i w:val="1"/>
          <w:iCs w:val="1"/>
          <w:color w:val="auto"/>
        </w:rPr>
        <w:t>. Conversion Procedure; Settlement Upon Conversion.</w:t>
      </w:r>
    </w:p>
    <w:p>
      <w:pPr>
        <w:spacing w:after="0" w:line="119" w:lineRule="exact"/>
        <w:rPr>
          <w:sz w:val="20"/>
          <w:szCs w:val="20"/>
          <w:color w:val="auto"/>
        </w:rPr>
      </w:pPr>
    </w:p>
    <w:p>
      <w:pPr>
        <w:ind w:left="-20" w:firstLine="436"/>
        <w:spacing w:after="0" w:line="256" w:lineRule="auto"/>
        <w:tabs>
          <w:tab w:leader="none" w:pos="66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this Section 14.02, Section 14.03(b) and Section 14.07(a), upon conversion of any Note, the Company shall satisfy its Conversion Obligation by paying or delivering, as the case may be, to the converting Holder, in respect of each $1,000 principal amount of Notes being converted, cash (“</w:t>
      </w:r>
      <w:r>
        <w:rPr>
          <w:rFonts w:ascii="Times New Roman" w:cs="Times New Roman" w:eastAsia="Times New Roman" w:hAnsi="Times New Roman"/>
          <w:sz w:val="18"/>
          <w:szCs w:val="18"/>
          <w:b w:val="1"/>
          <w:bCs w:val="1"/>
          <w:color w:val="auto"/>
        </w:rPr>
        <w:t>Cash Settlement</w:t>
      </w:r>
      <w:r>
        <w:rPr>
          <w:rFonts w:ascii="Times New Roman" w:cs="Times New Roman" w:eastAsia="Times New Roman" w:hAnsi="Times New Roman"/>
          <w:sz w:val="18"/>
          <w:szCs w:val="18"/>
          <w:color w:val="auto"/>
        </w:rPr>
        <w:t>”), shares of Common Stock, together with cash, if applicable, in lieu of delivering any fractional share of Common Stock in accordance with subsection (j) of this Section 14.02 (“</w:t>
      </w:r>
      <w:r>
        <w:rPr>
          <w:rFonts w:ascii="Times New Roman" w:cs="Times New Roman" w:eastAsia="Times New Roman" w:hAnsi="Times New Roman"/>
          <w:sz w:val="18"/>
          <w:szCs w:val="18"/>
          <w:b w:val="1"/>
          <w:bCs w:val="1"/>
          <w:color w:val="auto"/>
        </w:rPr>
        <w:t>Physical Settlement</w:t>
      </w:r>
      <w:r>
        <w:rPr>
          <w:rFonts w:ascii="Times New Roman" w:cs="Times New Roman" w:eastAsia="Times New Roman" w:hAnsi="Times New Roman"/>
          <w:sz w:val="18"/>
          <w:szCs w:val="18"/>
          <w:color w:val="auto"/>
        </w:rPr>
        <w:t>”) or a combination of cash and shares of Common Stock, together with cash, if applicable, in lieu of delivering any fractional share of Common Stock in accordance with subsection (j) of this Section 14.02 (“</w:t>
      </w:r>
      <w:r>
        <w:rPr>
          <w:rFonts w:ascii="Times New Roman" w:cs="Times New Roman" w:eastAsia="Times New Roman" w:hAnsi="Times New Roman"/>
          <w:sz w:val="18"/>
          <w:szCs w:val="18"/>
          <w:b w:val="1"/>
          <w:bCs w:val="1"/>
          <w:color w:val="auto"/>
        </w:rPr>
        <w:t>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Settlement</w:t>
      </w:r>
      <w:r>
        <w:rPr>
          <w:rFonts w:ascii="Times New Roman" w:cs="Times New Roman" w:eastAsia="Times New Roman" w:hAnsi="Times New Roman"/>
          <w:sz w:val="18"/>
          <w:szCs w:val="18"/>
          <w:color w:val="auto"/>
        </w:rPr>
        <w:t>”), at its election, as set forth in this Section 14.02.</w:t>
      </w:r>
    </w:p>
    <w:p>
      <w:pPr>
        <w:spacing w:after="0" w:line="79" w:lineRule="exact"/>
        <w:rPr>
          <w:rFonts w:ascii="Times New Roman" w:cs="Times New Roman" w:eastAsia="Times New Roman" w:hAnsi="Times New Roman"/>
          <w:sz w:val="18"/>
          <w:szCs w:val="18"/>
          <w:color w:val="auto"/>
        </w:rPr>
      </w:pPr>
    </w:p>
    <w:p>
      <w:pPr>
        <w:ind w:left="420" w:right="580" w:firstLine="419"/>
        <w:spacing w:after="0" w:line="312" w:lineRule="auto"/>
        <w:tabs>
          <w:tab w:leader="none" w:pos="1058"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conversions of Called Notes for which the relevant Conversion Date occurs during the related Redemption Period, and all conversions for which the relevant Conversion Date occurs on or after March 15, 2031, shall be settled using the same Settlement Method.</w:t>
      </w:r>
    </w:p>
    <w:p>
      <w:pPr>
        <w:spacing w:after="0" w:line="31" w:lineRule="exact"/>
        <w:rPr>
          <w:rFonts w:ascii="Times New Roman" w:cs="Times New Roman" w:eastAsia="Times New Roman" w:hAnsi="Times New Roman"/>
          <w:sz w:val="17"/>
          <w:szCs w:val="17"/>
          <w:color w:val="auto"/>
        </w:rPr>
      </w:pPr>
    </w:p>
    <w:p>
      <w:pPr>
        <w:ind w:left="420" w:right="60" w:firstLine="419"/>
        <w:spacing w:after="0" w:line="266" w:lineRule="auto"/>
        <w:tabs>
          <w:tab w:leader="none" w:pos="1108"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any conversions of Called Notes for which the relevant Conversion Date occurs during the related Redemption Period, and any conversions for which the relevant Conversion Date occurs on or after March 15, 2031, and except to the extent the Company has irrevocably elected Physical Settlement pursuant to Section 14.01(b)(ii) in a notice as described in such Section or has previously made an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980"/>
          </w:cols>
          <w:pgMar w:left="460" w:top="270" w:right="459" w:bottom="1440" w:gutter="0" w:footer="0" w:header="0"/>
        </w:sectPr>
      </w:pPr>
    </w:p>
    <w:bookmarkStart w:id="78" w:name="page79"/>
    <w:bookmarkEnd w:id="78"/>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Irrevocable Election with respect to all subsequent conversions of Notes pursuant to the second paragraph of Section 14.02(a)(iii), the Company shall use the same Settlement Method for all conversions with the same Conversion Date, but the Company shall not have any obligation to use the same Settlement Method with respect to conversions with different Conversion Dates.</w:t>
      </w:r>
    </w:p>
    <w:p>
      <w:pPr>
        <w:spacing w:after="0" w:line="68" w:lineRule="exact"/>
        <w:rPr>
          <w:sz w:val="20"/>
          <w:szCs w:val="20"/>
          <w:color w:val="auto"/>
        </w:rPr>
      </w:pPr>
    </w:p>
    <w:p>
      <w:pPr>
        <w:ind w:firstLine="419"/>
        <w:spacing w:after="0" w:line="252" w:lineRule="auto"/>
        <w:tabs>
          <w:tab w:leader="none" w:pos="73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respect of any Conversion Date (or any conversions of Called Notes for which the relevant Conversion Date occurs during the related Redemption Period, or any conversions for which the relevant Conversion Date occurs on or after March 15, 2031 or for which the Company has irrevocably elected Physical Settlement pursuant to Section 14.01(b)(ii) in a notice as described in such Section), the Company elects to deliver a notice (the “</w:t>
      </w:r>
      <w:r>
        <w:rPr>
          <w:rFonts w:ascii="Times New Roman" w:cs="Times New Roman" w:eastAsia="Times New Roman" w:hAnsi="Times New Roman"/>
          <w:sz w:val="18"/>
          <w:szCs w:val="18"/>
          <w:b w:val="1"/>
          <w:bCs w:val="1"/>
          <w:color w:val="auto"/>
        </w:rPr>
        <w:t>Settlement Notice</w:t>
      </w:r>
      <w:r>
        <w:rPr>
          <w:rFonts w:ascii="Times New Roman" w:cs="Times New Roman" w:eastAsia="Times New Roman" w:hAnsi="Times New Roman"/>
          <w:sz w:val="18"/>
          <w:szCs w:val="18"/>
          <w:color w:val="auto"/>
        </w:rPr>
        <w:t>”) of the relevant Settlement Method in respect of such Conversion Date (or such period, as the case may be), the Company shall deliver such Settlement Notice to converting Holders, the Trustee and the Conversion Agent (if other than the Trustee) no later than the close of business on the Trading Day immediately following the relevant Conversion Date (or, in the case of any conversions (A) of Called Notes for which the relevant Conversion Date occurs during the related Redemption Period, in the related Notice of Redemption, (B) of Notes for which the relevant Conversion Date occurs on or after March 15, 2031, no later than March 15, 2031 or (C) for which the Company has irrevocably elected Physical Settlement pursuant to Section 14.01(b)(ii), in a notice as described in such Section or for which the Company has previously made an Irrevocable Election with respect to all subsequent conversions of the Notes, as described in the next succeeding paragraph). If the Company does not elect a Settlement Method prior to the deadline set forth in the immediately preceding sentence, the Company shall no longer have the right to elect a Settlement Method with respect to any conversion on such Conversion Date or during such period, and the Company shall be deemed to have elected the Default Settlement Method with respect to such conversion. Such Settlement Notice shall specify the relevant Settlement Method and in the case of an election of Combination Settlement, the relevant Settlement Notice shall indicate the Specified Dollar Amount per $1,000 principal amount of Notes. If the Company delivers a Settlement Notice electing (or is deemed to have elected) Combination Settlement in respect of its Conversion Obligation but does not indicate a Specified Dollar Amount per $1,000 principal amount of Notes to be converted in such Settlement Notice, the Specified Dollar Amount per $1,000 principal amount of Notes shall be deemed to be $1,000. For the avoidance of doubt, the Company’s failure to timely elect a Settlement Method or specify as applicable a Specified Dollar Amount shall not constitute a Default under this Indenture.</w:t>
      </w:r>
    </w:p>
    <w:p>
      <w:pPr>
        <w:spacing w:after="0" w:line="83" w:lineRule="exact"/>
        <w:rPr>
          <w:sz w:val="20"/>
          <w:szCs w:val="20"/>
          <w:color w:val="auto"/>
        </w:rPr>
      </w:pPr>
    </w:p>
    <w:p>
      <w:pPr>
        <w:ind w:right="20" w:firstLine="423"/>
        <w:spacing w:after="0" w:line="261" w:lineRule="auto"/>
        <w:rPr>
          <w:sz w:val="20"/>
          <w:szCs w:val="20"/>
          <w:color w:val="auto"/>
        </w:rPr>
      </w:pPr>
      <w:r>
        <w:rPr>
          <w:rFonts w:ascii="Times New Roman" w:cs="Times New Roman" w:eastAsia="Times New Roman" w:hAnsi="Times New Roman"/>
          <w:sz w:val="18"/>
          <w:szCs w:val="18"/>
          <w:color w:val="auto"/>
        </w:rPr>
        <w:t>By notice to Holders, the Trustee and the Conversion Agent (if other than the Trustee), the Company may, from time to time, change the Default Settlement Method prior to March 15, 2031. By notice to all Holders, the Company may, prior to March 15, 2031, at its option, irrevocably elect to satisfy its Conversion Obligation with respect to the Notes through any Settlement Method that the Company is then permitted to elect, including Combination Settlement with a Specified Dollar Amount per $1,000 principal</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560"/>
          </w:cols>
          <w:pgMar w:left="880" w:top="270" w:right="459" w:bottom="1440" w:gutter="0" w:footer="0" w:header="0"/>
        </w:sectPr>
      </w:pPr>
    </w:p>
    <w:bookmarkStart w:id="79" w:name="page80"/>
    <w:bookmarkEnd w:id="79"/>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amount of Notes of $1,000 or with an ability to continue to set the Specified Dollar Amount per $1,000 principal amount of Notes at or above a specific amount set forth in such election notice (any such election, an “Irrevocable Election”). If the Company changes the Default Settlement Method or the Company irrevocably elects to fix the Settlement Method, in either case, to Combination Settlement with an ability to continue to set the Specified Dollar Amount per $1,000 principal amount of Notes at or above a specific amount, the Company will, after the date of such change or election, as the case may be, inform Holders converting their Notes, the Trustee and the Conversion Agent (if other than the Trustee) of such Specified Dollar Amount no later than the relevant deadline for election of a specified Settlement Method as set forth in the immediately preceding paragraph, or, if the Company does not timely notify Holders, such Specified Dollar Amount will be the specific amount set forth in the change or election notice or, if no specific amount was set forth in the change or election notice, such Specified Dollar Amount will be $1,000 per $1,000 principal amount of Notes. A change in the Default Settlement Method or an Irrevocable Election shall apply for all conversions of Notes with Conversion Dates occurring subsequent to delivery of such notice; provided, however, that no such change or election will affect any Settlement Method theretofore elected (or deemed to be elected) with respect to any Note. For the avoidance of doubt, such an Irrevocable Election, if made by the Company, will be effective without the need to amend this Indenture or the Notes, including pursuant to</w:t>
      </w:r>
    </w:p>
    <w:p>
      <w:pPr>
        <w:spacing w:after="0" w:line="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Section 10.01(m). However, the Company may nonetheless choose to execute such an amendment at its option. If the Company changes the Default Settlement Method or if the Company irrevocably fixes the Settlement Method pursuant to this paragraph, then, concurrently with providing notice to Holders, the Trustee and the Conversion Agent (if other than the Trustee) of such change or election, the Company shall either post the Default Settlement Method or fixed Settlement Method, as the case may be, on its website or disclose the same in a current report on Form 8-K (or any successor form) that is filed with the Commission.</w:t>
      </w:r>
    </w:p>
    <w:p>
      <w:pPr>
        <w:spacing w:after="0" w:line="79" w:lineRule="exact"/>
        <w:rPr>
          <w:sz w:val="20"/>
          <w:szCs w:val="20"/>
          <w:color w:val="auto"/>
        </w:rPr>
      </w:pPr>
    </w:p>
    <w:p>
      <w:pPr>
        <w:ind w:right="320" w:firstLine="419"/>
        <w:spacing w:after="0" w:line="282" w:lineRule="auto"/>
        <w:tabs>
          <w:tab w:leader="none" w:pos="72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shares of Common Stock or combination of cash and shares of Common Stock in respect of any conversion of Notes (the “</w:t>
      </w:r>
      <w:r>
        <w:rPr>
          <w:rFonts w:ascii="Times New Roman" w:cs="Times New Roman" w:eastAsia="Times New Roman" w:hAnsi="Times New Roman"/>
          <w:sz w:val="18"/>
          <w:szCs w:val="18"/>
          <w:b w:val="1"/>
          <w:bCs w:val="1"/>
          <w:color w:val="auto"/>
        </w:rPr>
        <w:t>Settlement Amount</w:t>
      </w:r>
      <w:r>
        <w:rPr>
          <w:rFonts w:ascii="Times New Roman" w:cs="Times New Roman" w:eastAsia="Times New Roman" w:hAnsi="Times New Roman"/>
          <w:sz w:val="18"/>
          <w:szCs w:val="18"/>
          <w:color w:val="auto"/>
        </w:rPr>
        <w:t>”) shall be computed as follows:</w:t>
      </w:r>
    </w:p>
    <w:p>
      <w:pPr>
        <w:spacing w:after="0" w:line="53" w:lineRule="exact"/>
        <w:rPr>
          <w:rFonts w:ascii="Times New Roman" w:cs="Times New Roman" w:eastAsia="Times New Roman" w:hAnsi="Times New Roman"/>
          <w:sz w:val="18"/>
          <w:szCs w:val="18"/>
          <w:color w:val="auto"/>
        </w:rPr>
      </w:pPr>
    </w:p>
    <w:p>
      <w:pPr>
        <w:jc w:val="both"/>
        <w:ind w:left="540" w:right="520" w:firstLine="408"/>
        <w:spacing w:after="0" w:line="266" w:lineRule="auto"/>
        <w:tabs>
          <w:tab w:leader="none" w:pos="123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elects (or is deemed to have elected) to satisfy its Conversion Obligation in respect of such conversion by Physical Settlement, the Company shall deliver to the converting Holder in respect of each $1,000 principal amount of Notes being converted a number of shares of Common Stock equal to the Conversion Rate in effect on the Conversion Date;</w:t>
      </w:r>
    </w:p>
    <w:p>
      <w:pPr>
        <w:spacing w:after="0" w:line="67" w:lineRule="exact"/>
        <w:rPr>
          <w:rFonts w:ascii="Times New Roman" w:cs="Times New Roman" w:eastAsia="Times New Roman" w:hAnsi="Times New Roman"/>
          <w:sz w:val="18"/>
          <w:szCs w:val="18"/>
          <w:color w:val="auto"/>
        </w:rPr>
      </w:pPr>
    </w:p>
    <w:p>
      <w:pPr>
        <w:jc w:val="both"/>
        <w:ind w:left="540" w:right="120" w:firstLine="408"/>
        <w:spacing w:after="0" w:line="261" w:lineRule="auto"/>
        <w:tabs>
          <w:tab w:leader="none" w:pos="122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elects (or is deemed to have elected) to satisfy its Conversion Obligation in respect of such conversion by Cash Settlement, the Company shall pay to the converting Holder in respect of each $1,000 principal amount of Notes being converted cash in an amount equal to the sum of the Daily Conversion Values for each of the 25 consecutive Trading Days during the related Observation Period; and</w:t>
      </w:r>
    </w:p>
    <w:p>
      <w:pPr>
        <w:spacing w:after="0" w:line="11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520"/>
          </w:cols>
          <w:pgMar w:left="880" w:top="270" w:right="499" w:bottom="1440" w:gutter="0" w:footer="0" w:header="0"/>
        </w:sectPr>
      </w:pPr>
    </w:p>
    <w:bookmarkStart w:id="80" w:name="page81"/>
    <w:bookmarkEnd w:id="80"/>
    <w:p>
      <w:pPr>
        <w:ind w:left="960" w:right="340" w:firstLine="408"/>
        <w:spacing w:after="0" w:line="261" w:lineRule="auto"/>
        <w:tabs>
          <w:tab w:leader="none" w:pos="1646"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Company elects (or is deemed to have elected) to satisfy its Conversion Obligation in respect of such conversion by Combination Settlement, the Company shall pay or deliver, as the case may be, to the converting Holder in respect of each $1,000 principal amount of Notes being converted, a Settlement Amount equal to the sum of the Daily Settlement Amounts for each of the 25 consecutive Trading Days during the related Observation Period.</w:t>
      </w:r>
    </w:p>
    <w:p>
      <w:pPr>
        <w:spacing w:after="0" w:line="71" w:lineRule="exact"/>
        <w:rPr>
          <w:rFonts w:ascii="Times New Roman" w:cs="Times New Roman" w:eastAsia="Times New Roman" w:hAnsi="Times New Roman"/>
          <w:sz w:val="18"/>
          <w:szCs w:val="18"/>
          <w:color w:val="auto"/>
        </w:rPr>
      </w:pPr>
    </w:p>
    <w:p>
      <w:pPr>
        <w:ind w:left="420" w:right="40" w:firstLine="419"/>
        <w:spacing w:after="0" w:line="256" w:lineRule="auto"/>
        <w:tabs>
          <w:tab w:leader="none" w:pos="109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Daily Settlement Amounts (if applicable) and the Daily Conversion Values (if applicable) shall be determined by the Company promptly following the last day of the Observation Period. Promptly after such determination of the Daily Settlement Amounts (if applicable), the Daily Conversion Values (if applicable) and the amount of cash payable in lieu of delivering any fractional share of Common Stock, the Company shall notify the Trustee and the Conversion Agent (if other than the Trustee) of the Daily Settlement Amounts (if applicable), the Daily Conversion Values (if applicable) and the amount of cash payable in lieu of delivering any fractional shares of Common Stock. The Trustee and the Conversion Agent (if other than the Trustee) shall have no responsibility for any such determination.</w:t>
      </w:r>
    </w:p>
    <w:p>
      <w:pPr>
        <w:spacing w:after="0" w:line="79" w:lineRule="exact"/>
        <w:rPr>
          <w:rFonts w:ascii="Times New Roman" w:cs="Times New Roman" w:eastAsia="Times New Roman" w:hAnsi="Times New Roman"/>
          <w:sz w:val="18"/>
          <w:szCs w:val="18"/>
          <w:color w:val="auto"/>
        </w:rPr>
      </w:pPr>
    </w:p>
    <w:p>
      <w:pPr>
        <w:ind w:left="-20" w:firstLine="436"/>
        <w:spacing w:after="0" w:line="252" w:lineRule="auto"/>
        <w:tabs>
          <w:tab w:leader="none" w:pos="67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14.02(e), before any Holder of a Note shall be entitled to convert a Note as set forth above, such Holder shall (i) in the case of a Global Note, comply with the applicable procedures of the Depositary in effect at that time and, if required, pay funds equal to interest payable on the next Interest Payment Date to which such Holder is not entitled as set forth in Section 14.02(h) and (ii) in the case of a Physical Note (1) complete, manually sign and deliver an irrevocable notice to the Conversion Agent as set forth in the Form of Notice of Conversion (or a facsimile, PDF or other electronic transmission thereof) (a notice pursuant to the applicable procedures of the Depositary or a notice as set forth in the Form of Notice of Conversion, a “</w:t>
      </w:r>
      <w:r>
        <w:rPr>
          <w:rFonts w:ascii="Times New Roman" w:cs="Times New Roman" w:eastAsia="Times New Roman" w:hAnsi="Times New Roman"/>
          <w:sz w:val="18"/>
          <w:szCs w:val="18"/>
          <w:b w:val="1"/>
          <w:bCs w:val="1"/>
          <w:color w:val="auto"/>
        </w:rPr>
        <w:t>Notice of Conversion</w:t>
      </w:r>
      <w:r>
        <w:rPr>
          <w:rFonts w:ascii="Times New Roman" w:cs="Times New Roman" w:eastAsia="Times New Roman" w:hAnsi="Times New Roman"/>
          <w:sz w:val="18"/>
          <w:szCs w:val="18"/>
          <w:color w:val="auto"/>
        </w:rPr>
        <w:t>”) at the office of the Conversion Agent and state in writing therein the principal amount of Notes to be converted and the name or names (with addresses) in which such Holder wishes the certificate or certificates for any shares of Common Stock to be delivered upon settlement of the Conversion Obligation to be registered, (2) surrender such Notes, duly endorsed to the Company or in blank (and accompanied by appropriate endorsement and transfer documents), at the office of the Conversion Agent, (3) if required, furnish appropriate endorsements and transfer documents and (4) if required, pay funds equal to interest payable on the next Interest Payment Date to which such Holder is not entitled as set forth in Section 14.02(h). The Trustee (and if different, the Conversion Agent) shall notify the Company of any conversion pursuant to this Article 14 on the Conversion Date for such conversion. No Notes may be surrendered for conversion by a Holder thereof if such Holder has also delivered a Fundamental Change Repurchase Notice to the Company in respect of such Notes and has not validly withdrawn such Fundamental Change Repurchase Notice in accordance with Section 15.03.</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980"/>
          </w:cols>
          <w:pgMar w:left="460" w:top="270" w:right="459" w:bottom="1440" w:gutter="0" w:footer="0" w:header="0"/>
        </w:sectPr>
      </w:pPr>
    </w:p>
    <w:bookmarkStart w:id="81" w:name="page82"/>
    <w:bookmarkEnd w:id="81"/>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more than one Note shall be surrendered for conversion at one time by the same Holder, the Conversion Obligation with respect to such Notes shall be computed on the basis of the aggregate principal amount of the Notes (or specified portions thereof to the extent permitted thereby) so surrendered.</w:t>
      </w:r>
    </w:p>
    <w:p>
      <w:pPr>
        <w:spacing w:after="0" w:line="64" w:lineRule="exact"/>
        <w:rPr>
          <w:sz w:val="20"/>
          <w:szCs w:val="20"/>
          <w:color w:val="auto"/>
        </w:rPr>
      </w:pPr>
    </w:p>
    <w:p>
      <w:pPr>
        <w:ind w:firstLine="436"/>
        <w:spacing w:after="0" w:line="254" w:lineRule="auto"/>
        <w:tabs>
          <w:tab w:leader="none" w:pos="68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Note shall be deemed to have been converted immediately prior to the close of business on the date (the “</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that the Holder has complied with the requirements set forth in subsection (b) above. Except as set forth in Section 14.03(b) and Section 14.07(a), the Company shall pay or deliver, as the case may be, the consideration due in respect of the Conversion Obligation on the second Business Day immediately following the relevant Conversion Date, if the Company elects Physical Settlement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any Conversion Date following the Regular Record Date immediately preceding the Maturity Date where Physical Settlement applies to the related conversion, the Company shall settle any such conversion on the Maturity Date), or on the second Business Day immediately following the last Trading Day of the Observation Period, in the case of any other Settlement Method. If any shares of Common Stock are due to a converting Holder, the Company shall issue or cause to be issued, and deliver (if applicable) to the Conversion Agent or to such Holder, or such Holder’s nominee or nominees, the full number of shares of Common Stock to which such Holder shall be entitled, in book-entry format through the Depositary, in satisfaction of the Company’s Conversion Obligation.</w:t>
      </w:r>
    </w:p>
    <w:p>
      <w:pPr>
        <w:spacing w:after="0" w:line="84" w:lineRule="exact"/>
        <w:rPr>
          <w:rFonts w:ascii="Times New Roman" w:cs="Times New Roman" w:eastAsia="Times New Roman" w:hAnsi="Times New Roman"/>
          <w:sz w:val="18"/>
          <w:szCs w:val="18"/>
          <w:color w:val="auto"/>
        </w:rPr>
      </w:pPr>
    </w:p>
    <w:p>
      <w:pPr>
        <w:ind w:right="160" w:firstLine="436"/>
        <w:spacing w:after="0" w:line="256" w:lineRule="auto"/>
        <w:tabs>
          <w:tab w:leader="none" w:pos="69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Note shall be surrendered for partial conversion, the Company shall execute and the Trustee shall authenticate and deliver to or upon the written order of the Holder of the Note so surrendered a new Note or Notes in authorized denominations in an aggregate principal amount equal to the unconverted portion of the surrendered Note, without payment of any service charge by the converting Holder but, if required by the Company or Trustee, with payment of a sum sufficient to cover any documentary, stamp or similar issue or transfer tax or similar governmental charge required by law or that may be imposed in connection therewith as a result of the name of the Holder of the new Notes issued upon such conversion being different from the name of the Holder of the old Notes surrendered for such conversion.</w:t>
      </w:r>
    </w:p>
    <w:p>
      <w:pPr>
        <w:spacing w:after="0" w:line="79" w:lineRule="exact"/>
        <w:rPr>
          <w:rFonts w:ascii="Times New Roman" w:cs="Times New Roman" w:eastAsia="Times New Roman" w:hAnsi="Times New Roman"/>
          <w:sz w:val="18"/>
          <w:szCs w:val="18"/>
          <w:color w:val="auto"/>
        </w:rPr>
      </w:pPr>
    </w:p>
    <w:p>
      <w:pPr>
        <w:ind w:right="20" w:firstLine="436"/>
        <w:spacing w:after="0" w:line="258" w:lineRule="auto"/>
        <w:tabs>
          <w:tab w:leader="none" w:pos="68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Holder submits a Note for conversion, the Company shall pay any documentary, stamp or similar issue or transfer tax due on the issue of any shares of Common Stock upon conversion, unless the tax is due because the Holder requests such shares to be issued in a name other than the Holder’s name, in which case the Holder shall pay that tax. The Conversion Agent may refuse to deliver the certificates representing the shares of Common Stock being issued in a name other than the Holder’s name until the Trustee receives a sum sufficient to pay any tax that is due by such Holder in accordance with the immediately preceding sentence.</w:t>
      </w:r>
    </w:p>
    <w:p>
      <w:pPr>
        <w:spacing w:after="0" w:line="75" w:lineRule="exact"/>
        <w:rPr>
          <w:rFonts w:ascii="Times New Roman" w:cs="Times New Roman" w:eastAsia="Times New Roman" w:hAnsi="Times New Roman"/>
          <w:sz w:val="18"/>
          <w:szCs w:val="18"/>
          <w:color w:val="auto"/>
        </w:rPr>
      </w:pPr>
    </w:p>
    <w:p>
      <w:pPr>
        <w:ind w:right="20" w:firstLine="436"/>
        <w:spacing w:after="0" w:line="282" w:lineRule="auto"/>
        <w:tabs>
          <w:tab w:leader="none" w:pos="66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14.04, no adjustment shall be made for dividends on any shares of Common Stock issued upon the conversion of any Note as provided in this Article 14.</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0"/>
          </w:cols>
          <w:pgMar w:left="440" w:top="270" w:right="459" w:bottom="1440" w:gutter="0" w:footer="0" w:header="0"/>
        </w:sectPr>
      </w:pPr>
    </w:p>
    <w:bookmarkStart w:id="82" w:name="page83"/>
    <w:bookmarkEnd w:id="82"/>
    <w:p>
      <w:pPr>
        <w:jc w:val="both"/>
        <w:ind w:left="-20" w:firstLine="436"/>
        <w:spacing w:after="0" w:line="266" w:lineRule="auto"/>
        <w:tabs>
          <w:tab w:leader="none" w:pos="67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the conversion of an interest in a Global Note, the Trustee, or the Custodian at the direction of the Trustee, shall make a notation on such Global Note as to the reduction in the principal amount represented thereby. The Company shall notify the Trustee in writing of any conversion of Notes effected through any Conversion Agent other than the Trustee.</w:t>
      </w:r>
    </w:p>
    <w:p>
      <w:pPr>
        <w:spacing w:after="0" w:line="67" w:lineRule="exact"/>
        <w:rPr>
          <w:rFonts w:ascii="Times New Roman" w:cs="Times New Roman" w:eastAsia="Times New Roman" w:hAnsi="Times New Roman"/>
          <w:sz w:val="18"/>
          <w:szCs w:val="18"/>
          <w:color w:val="auto"/>
        </w:rPr>
      </w:pPr>
    </w:p>
    <w:p>
      <w:pPr>
        <w:ind w:left="-20" w:firstLine="436"/>
        <w:spacing w:after="0" w:line="252" w:lineRule="auto"/>
        <w:tabs>
          <w:tab w:leader="none" w:pos="67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conversion, a Holder shall not receive any separate cash payment for accrued and unpaid interest, if any, except as set forth below. The Company’s settlement of the full Conversion Obligation shall be deemed to satisfy in full its obligation to pay the principal amount of the Note and accrued and unpaid interest, if any, to, but not including, the relevant Conversion Date. As a result, accrued and unpaid interest, if any, to, but not including, the relevant Conversion Date shall be deemed to be paid in full rather than cancelled, extinguished or forfeited. Upon a conversion of Notes into a combination of cash and shares of Common Stock, accrued and unpaid interest will be deemed to be paid first out of the cash paid upon such conversion. Notwithstanding the foregoing, if Notes are converted after the close of business on a Regular Record Date and prior to the open of business on the corresponding Interest Payment Date, Holders of such Notes as of the close of business on such Regular Record Date will receive the full amount of interest payable on such Notes on the corresponding Interest Payment Date notwithstanding the conversion. Notes surrendered for conversion during the period from the close of business on any Regular Record Date to the open of business on the immediately following Interest Payment Date must be accompanied by funds equal to the amount of interest payable on the Notes so converted;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payment shall be required (1) for conversions following the close of business on the Regular Record Date immediately preceding the Maturity Date; (2) for conversions of Called Notes during a Redemption Period; (3) if the Company has specified a Fundamental Change Repurchase Date that is after a Regular Record Date and on or prior to the Business Day immediately following the corresponding Interest Payment Date; or (4) to the extent of any overdue interest, if any overdue interest exists at the time of conversion with respect to such Note. Therefore, for the avoidance of doubt, all Holders of record on the Regular Record Date immediately preceding the Maturity Date shall receive the full interest payment due on the Maturity Date in cash regardless of whether their Notes have been converted following such Regular Record Date.</w:t>
      </w:r>
    </w:p>
    <w:p>
      <w:pPr>
        <w:spacing w:after="0" w:line="86" w:lineRule="exact"/>
        <w:rPr>
          <w:rFonts w:ascii="Times New Roman" w:cs="Times New Roman" w:eastAsia="Times New Roman" w:hAnsi="Times New Roman"/>
          <w:sz w:val="18"/>
          <w:szCs w:val="18"/>
          <w:color w:val="auto"/>
        </w:rPr>
      </w:pPr>
    </w:p>
    <w:p>
      <w:pPr>
        <w:ind w:left="-20" w:right="20" w:firstLine="436"/>
        <w:spacing w:after="0" w:line="261" w:lineRule="auto"/>
        <w:tabs>
          <w:tab w:leader="none" w:pos="63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in whose name the shares of Common Stock shall be issuable upon conversion shall be treated as a stockholder of record as of the close of business on the relevant Conversion Date (if the Company elects to satisfy the related Conversion Obligation by Physical Settlement) or the last Trading Day of the relevant Observation Period (if the Company elects to satisfy the related Conversion Obligation by Combination Settlement), as the case may be. Upon a conversion of Notes, such Person shall no longer be a Holder of such Notes surrendered for conversion.</w:t>
      </w:r>
    </w:p>
    <w:p>
      <w:pPr>
        <w:spacing w:after="0" w:line="71" w:lineRule="exact"/>
        <w:rPr>
          <w:rFonts w:ascii="Times New Roman" w:cs="Times New Roman" w:eastAsia="Times New Roman" w:hAnsi="Times New Roman"/>
          <w:sz w:val="18"/>
          <w:szCs w:val="18"/>
          <w:color w:val="auto"/>
        </w:rPr>
      </w:pPr>
    </w:p>
    <w:p>
      <w:pPr>
        <w:ind w:left="-20" w:right="20" w:firstLine="436"/>
        <w:spacing w:after="0" w:line="255" w:lineRule="auto"/>
        <w:tabs>
          <w:tab w:leader="none" w:pos="63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issue any fractional share of Common Stock upon conversion of the Notes and shall instead pay cash in lieu of delivering any fractional share of Common Stock issuable upon conversion based on the Daily VWAP for the relevant Conversion Date (or, if such Conversion Date is not a Trading Day, the immediately preceding Trading Day), in the case of Physical Settlement, or based on the Daily VWAP for the last Trading Day of the relevant Observation Period, in the case of Combination Settlement. For each Note surrendered for conversion, if the Company has elected (or is deemed to have elected) Combination Settlement, the full number of shares that shall be issued upon conversion thereof shall be computed on the basis of the aggregate Daily Settlement Amounts for the relevant Observation Period and any fractional shares remaining after such computation shall be paid in cash.</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960"/>
          </w:cols>
          <w:pgMar w:left="460" w:top="270" w:right="479" w:bottom="1440" w:gutter="0" w:footer="0" w:header="0"/>
        </w:sectPr>
      </w:pPr>
    </w:p>
    <w:bookmarkStart w:id="83" w:name="page84"/>
    <w:bookmarkEnd w:id="83"/>
    <w:p>
      <w:pPr>
        <w:ind w:left="4" w:right="10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14.03</w:t>
      </w:r>
      <w:r>
        <w:rPr>
          <w:rFonts w:ascii="Times New Roman" w:cs="Times New Roman" w:eastAsia="Times New Roman" w:hAnsi="Times New Roman"/>
          <w:sz w:val="18"/>
          <w:szCs w:val="18"/>
          <w:i w:val="1"/>
          <w:iCs w:val="1"/>
          <w:color w:val="auto"/>
        </w:rPr>
        <w:t>. Increased Conversion Rate Applicable to Certain Notes Surrendered in Connection with Make-Whole Fundamental Changes or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Notice of Redemption.</w:t>
      </w:r>
    </w:p>
    <w:p>
      <w:pPr>
        <w:spacing w:after="0" w:line="52" w:lineRule="exact"/>
        <w:rPr>
          <w:sz w:val="20"/>
          <w:szCs w:val="20"/>
          <w:color w:val="auto"/>
        </w:rPr>
      </w:pPr>
    </w:p>
    <w:p>
      <w:pPr>
        <w:ind w:left="4" w:right="60" w:firstLine="436"/>
        <w:spacing w:after="0" w:line="268" w:lineRule="auto"/>
        <w:tabs>
          <w:tab w:leader="none" w:pos="689"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(i) the Effective Date of a Make-Whole Fundamental Change occurs prior to the Maturity Date and a Holder elects to convert its Notes in connection with such Make-Whole Fundamental Change or (ii) the Company delivers a Notice of Redemption as provided under Section 16.02 and a Holder elects to convert its Called Notes in connection with such Notice of Redemption, as the case may be, the Company shall, under the circumstances described below, increase the Conversion Rate for the Notes so surrendered for conversion by a number of additional shares of Common Stock (the “</w:t>
      </w:r>
      <w:r>
        <w:rPr>
          <w:rFonts w:ascii="Times New Roman" w:cs="Times New Roman" w:eastAsia="Times New Roman" w:hAnsi="Times New Roman"/>
          <w:sz w:val="17"/>
          <w:szCs w:val="17"/>
          <w:b w:val="1"/>
          <w:bCs w:val="1"/>
          <w:color w:val="auto"/>
        </w:rPr>
        <w:t>Additional Shares</w:t>
      </w:r>
      <w:r>
        <w:rPr>
          <w:rFonts w:ascii="Times New Roman" w:cs="Times New Roman" w:eastAsia="Times New Roman" w:hAnsi="Times New Roman"/>
          <w:sz w:val="17"/>
          <w:szCs w:val="17"/>
          <w:color w:val="auto"/>
        </w:rPr>
        <w:t>”), as described below. A conversion of Notes shall be deemed for these purposes to be “in connection with” a Make-Whole Fundamental Change if the relevant Conversion Date occurs during the period from, and including, the Effective Date of the Make-Whole Fundamental Change up to, and including, the Business Day immediately prior to the related Fundamental Change Repurchase Date (or, in the case of an Exempted Fundamental Change or a Make-Whole Fundamental Change that would have been a Fundamental Change but for the proviso in clause</w:t>
      </w:r>
    </w:p>
    <w:p>
      <w:pPr>
        <w:ind w:left="4" w:hanging="4"/>
        <w:spacing w:after="0" w:line="252" w:lineRule="auto"/>
        <w:tabs>
          <w:tab w:leader="none" w:pos="25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definition thereof, the 35th Trading Day immediately following the Effective Date of such Make-Whole Fundamental Change) (such period, the “</w:t>
      </w:r>
      <w:r>
        <w:rPr>
          <w:rFonts w:ascii="Times New Roman" w:cs="Times New Roman" w:eastAsia="Times New Roman" w:hAnsi="Times New Roman"/>
          <w:sz w:val="18"/>
          <w:szCs w:val="18"/>
          <w:b w:val="1"/>
          <w:bCs w:val="1"/>
          <w:color w:val="auto"/>
        </w:rPr>
        <w:t>Make-Whole Fundamental Change Period</w:t>
      </w:r>
      <w:r>
        <w:rPr>
          <w:rFonts w:ascii="Times New Roman" w:cs="Times New Roman" w:eastAsia="Times New Roman" w:hAnsi="Times New Roman"/>
          <w:sz w:val="18"/>
          <w:szCs w:val="18"/>
          <w:color w:val="auto"/>
        </w:rPr>
        <w:t>”). A conversion of Notes shall be deemed for these purposes to be “in connection with” a Notice of Redemption if such Notes are Called Notes with respect to such Notice of Redemption and the relevant Conversion Date occurs during the related Redemption Period. For the avoidance of doubt, if the Company elects to redeem fewer than all of the outstanding Notes pursuant to Article 16, Holders of the Notes that are not Called Notes shall not be entitled to convert such Notes pursuant to Section 14.01(b)(v) and shall not be entitled to an increase in the Conversion Rate for conversions of such Notes (on account of the Notice of Redemption) during the applicable Redemption Period, even if such Notes are otherwise convertible pursuant to Section 14.01(b)(i)-(iv).</w:t>
      </w:r>
    </w:p>
    <w:p>
      <w:pPr>
        <w:spacing w:after="0" w:line="80" w:lineRule="exact"/>
        <w:rPr>
          <w:rFonts w:ascii="Times New Roman" w:cs="Times New Roman" w:eastAsia="Times New Roman" w:hAnsi="Times New Roman"/>
          <w:sz w:val="18"/>
          <w:szCs w:val="18"/>
          <w:color w:val="auto"/>
        </w:rPr>
      </w:pPr>
    </w:p>
    <w:p>
      <w:pPr>
        <w:ind w:left="4" w:right="20" w:firstLine="436"/>
        <w:spacing w:after="0" w:line="253" w:lineRule="auto"/>
        <w:tabs>
          <w:tab w:leader="none" w:pos="699"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surrender of Notes for conversion in connection with a Make-Whole Fundamental Change or a Notice of Redemption, the Company shall, at its option, satisfy the related Conversion Obligation by Physical Settlement, Cash Settlement or Combination Settlement in accordance with Section 14.02;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at the effective time of a Make-Whole Fundamental Change described in clause (b) of the definition of Fundamental Change, the Reference Property following such Make-Whole Fundamental Change is composed entirely of cash, for any conversion of Notes following the Effective Date of such Make-Whole Fundamental Change, the Conversion Obligation shall be calculated based solely on the Stock Price for the transaction and shall be deemed to be an amount of cash per $1,000 principal amount of converted Notes equal to the Conversion Rate (including any increase to reflect the Additional Shares),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such Stock Price. In such event, the Conversion Obligation shall be determined and paid to Holders in cash on the fifth Business Day following the Conversion Date. The Company shall notify the Holders, the Trustee and the Conversion Agent (if other than the Trustee) in writing of the Effective Date of any Make-Whole Fundamental Change no later than five Business Days after such Effective Date.</w:t>
      </w:r>
    </w:p>
    <w:p>
      <w:pPr>
        <w:spacing w:after="0" w:line="12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964"/>
          </w:cols>
          <w:pgMar w:left="436" w:top="268" w:right="499" w:bottom="1440" w:gutter="0" w:footer="0" w:header="0"/>
        </w:sectPr>
      </w:pPr>
    </w:p>
    <w:bookmarkStart w:id="84" w:name="page85"/>
    <w:bookmarkEnd w:id="84"/>
    <w:p>
      <w:pPr>
        <w:ind w:left="-60" w:firstLine="436"/>
        <w:spacing w:after="0" w:line="253" w:lineRule="auto"/>
        <w:tabs>
          <w:tab w:leader="none" w:pos="62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number of Additional Shares, if any, by which the Conversion Rate shall be increased for conversions in connection with a Make-Whole Fundamental Change or a Notice of Redemption shall be determined by reference to the table below, based on the date on which the Make-Whole Fundamental Change occurs or becomes effective or the date the Company delivers the Notice of Redemption, as the case may be (in each case,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and the price (the “</w:t>
      </w:r>
      <w:r>
        <w:rPr>
          <w:rFonts w:ascii="Times New Roman" w:cs="Times New Roman" w:eastAsia="Times New Roman" w:hAnsi="Times New Roman"/>
          <w:sz w:val="18"/>
          <w:szCs w:val="18"/>
          <w:b w:val="1"/>
          <w:bCs w:val="1"/>
          <w:color w:val="auto"/>
        </w:rPr>
        <w:t>Stock Price</w:t>
      </w:r>
      <w:r>
        <w:rPr>
          <w:rFonts w:ascii="Times New Roman" w:cs="Times New Roman" w:eastAsia="Times New Roman" w:hAnsi="Times New Roman"/>
          <w:sz w:val="18"/>
          <w:szCs w:val="18"/>
          <w:color w:val="auto"/>
        </w:rPr>
        <w:t>”) paid (or deemed to be paid) per share of the Common Stock in the Make-Whole Fundamental Change or determined with respect to the Notice of Redemption, as the case may be. If the holders of the Common Stock receive in exchange for their Common Stock only cash in a Make-Whole Fundamental Change described in clause (b) of the definition of Fundamental Change, the Stock Price shall be the cash amount paid per share. Otherwise, the Stock Price shall be the average of the Last Reported Sale Prices of the Common Stock over the five consecutive Trading Day period ending on, and including, the Trading Day immediately preceding the applicable Effective Date. If a conversion of Called Notes during a Redemption Period would also be deemed to be in connection with a Make-Whole Fundamental Change, a Holder of any such Notes to be converted shall be entitled to a single increase to the Conversion Rate with respect to the first to occur of the Effective Date of the Notice of Redemption or the Make-Whole Fundamental Change, as applicable, and the later event shall be deemed not to have occurred for purposes of such conversion for purposes of this Section 14.03.</w:t>
      </w:r>
    </w:p>
    <w:p>
      <w:pPr>
        <w:spacing w:after="0" w:line="81" w:lineRule="exact"/>
        <w:rPr>
          <w:rFonts w:ascii="Times New Roman" w:cs="Times New Roman" w:eastAsia="Times New Roman" w:hAnsi="Times New Roman"/>
          <w:sz w:val="18"/>
          <w:szCs w:val="18"/>
          <w:color w:val="auto"/>
        </w:rPr>
      </w:pPr>
    </w:p>
    <w:p>
      <w:pPr>
        <w:ind w:left="-60" w:right="60" w:firstLine="436"/>
        <w:spacing w:after="0" w:line="258" w:lineRule="auto"/>
        <w:tabs>
          <w:tab w:leader="none" w:pos="63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Stock Prices set forth in the column headings of the table below shall be adjusted as of any date on which the Conversion Rate of the Notes is otherwise adjusted. The adjusted Stock Prices shall equal the Stock Prices applicable immediately prior to such adjustment,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a fraction, the numerator of which is the Conversion Rate immediately prior to such adjustment giving rise to the Stock Price adjustment and the denominator of which is the Conversion Rate as so adjusted. The number of Additional Shares set forth in the table below shall be adjusted in the same manner and at the same time as the Conversion Rate as set forth in Section 14.04.</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880"/>
          </w:cols>
          <w:pgMar w:left="500" w:top="270" w:right="519" w:bottom="1440" w:gutter="0" w:footer="0" w:header="0"/>
        </w:sectPr>
      </w:pPr>
    </w:p>
    <w:bookmarkStart w:id="85" w:name="page86"/>
    <w:bookmarkEnd w:id="85"/>
    <w:p>
      <w:pPr>
        <w:ind w:right="180" w:firstLine="436"/>
        <w:spacing w:after="0" w:line="282" w:lineRule="auto"/>
        <w:tabs>
          <w:tab w:leader="none" w:pos="68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following table sets forth the number of Additional Shares by which the Conversion Rate shall be increased per $1,000 principal amount of Notes pursuant to this Section 14.03 for each Stock Price and Effective Date set forth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2000" w:type="dxa"/>
            <w:vAlign w:val="bottom"/>
            <w:vMerge w:val="restart"/>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Stock Price</w:t>
            </w: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vMerge w:val="continue"/>
          </w:tcPr>
          <w:p>
            <w:pPr>
              <w:spacing w:after="0"/>
              <w:rPr>
                <w:sz w:val="12"/>
                <w:szCs w:val="12"/>
                <w:color w:val="auto"/>
              </w:rPr>
            </w:pPr>
          </w:p>
        </w:tc>
        <w:tc>
          <w:tcPr>
            <w:tcW w:w="2000" w:type="dxa"/>
            <w:vAlign w:val="bottom"/>
            <w:vMerge w:val="continue"/>
          </w:tcPr>
          <w:p>
            <w:pPr>
              <w:spacing w:after="0"/>
              <w:rPr>
                <w:sz w:val="12"/>
                <w:szCs w:val="12"/>
                <w:color w:val="auto"/>
              </w:rPr>
            </w:pPr>
          </w:p>
        </w:tc>
        <w:tc>
          <w:tcPr>
            <w:tcW w:w="640" w:type="dxa"/>
            <w:vAlign w:val="bottom"/>
          </w:tcPr>
          <w:p>
            <w:pPr>
              <w:jc w:val="right"/>
              <w:ind w:right="33"/>
              <w:spacing w:after="0" w:line="129" w:lineRule="exact"/>
              <w:rPr>
                <w:sz w:val="20"/>
                <w:szCs w:val="20"/>
                <w:color w:val="auto"/>
              </w:rPr>
            </w:pPr>
            <w:r>
              <w:rPr>
                <w:rFonts w:ascii="Times New Roman" w:cs="Times New Roman" w:eastAsia="Times New Roman" w:hAnsi="Times New Roman"/>
                <w:sz w:val="14"/>
                <w:szCs w:val="14"/>
                <w:b w:val="1"/>
                <w:bCs w:val="1"/>
                <w:color w:val="auto"/>
              </w:rPr>
              <w:t>$18.34</w:t>
            </w:r>
          </w:p>
        </w:tc>
        <w:tc>
          <w:tcPr>
            <w:tcW w:w="160" w:type="dxa"/>
            <w:vAlign w:val="bottom"/>
          </w:tcPr>
          <w:p>
            <w:pPr>
              <w:spacing w:after="0"/>
              <w:rPr>
                <w:sz w:val="12"/>
                <w:szCs w:val="12"/>
                <w:color w:val="auto"/>
              </w:rPr>
            </w:pPr>
          </w:p>
        </w:tc>
        <w:tc>
          <w:tcPr>
            <w:tcW w:w="640" w:type="dxa"/>
            <w:vAlign w:val="bottom"/>
          </w:tcPr>
          <w:p>
            <w:pPr>
              <w:jc w:val="right"/>
              <w:ind w:right="33"/>
              <w:spacing w:after="0" w:line="129" w:lineRule="exact"/>
              <w:rPr>
                <w:sz w:val="20"/>
                <w:szCs w:val="20"/>
                <w:color w:val="auto"/>
              </w:rPr>
            </w:pPr>
            <w:r>
              <w:rPr>
                <w:rFonts w:ascii="Times New Roman" w:cs="Times New Roman" w:eastAsia="Times New Roman" w:hAnsi="Times New Roman"/>
                <w:sz w:val="14"/>
                <w:szCs w:val="14"/>
                <w:b w:val="1"/>
                <w:bCs w:val="1"/>
                <w:color w:val="auto"/>
              </w:rPr>
              <w:t>$20.50</w:t>
            </w:r>
          </w:p>
        </w:tc>
        <w:tc>
          <w:tcPr>
            <w:tcW w:w="180" w:type="dxa"/>
            <w:vAlign w:val="bottom"/>
          </w:tcPr>
          <w:p>
            <w:pPr>
              <w:spacing w:after="0"/>
              <w:rPr>
                <w:sz w:val="12"/>
                <w:szCs w:val="12"/>
                <w:color w:val="auto"/>
              </w:rPr>
            </w:pPr>
          </w:p>
        </w:tc>
        <w:tc>
          <w:tcPr>
            <w:tcW w:w="640" w:type="dxa"/>
            <w:vAlign w:val="bottom"/>
          </w:tcPr>
          <w:p>
            <w:pPr>
              <w:jc w:val="right"/>
              <w:ind w:right="33"/>
              <w:spacing w:after="0" w:line="129" w:lineRule="exact"/>
              <w:rPr>
                <w:sz w:val="20"/>
                <w:szCs w:val="20"/>
                <w:color w:val="auto"/>
              </w:rPr>
            </w:pPr>
            <w:r>
              <w:rPr>
                <w:rFonts w:ascii="Times New Roman" w:cs="Times New Roman" w:eastAsia="Times New Roman" w:hAnsi="Times New Roman"/>
                <w:sz w:val="14"/>
                <w:szCs w:val="14"/>
                <w:b w:val="1"/>
                <w:bCs w:val="1"/>
                <w:color w:val="auto"/>
              </w:rPr>
              <w:t>$22.50</w:t>
            </w:r>
          </w:p>
        </w:tc>
        <w:tc>
          <w:tcPr>
            <w:tcW w:w="160" w:type="dxa"/>
            <w:vAlign w:val="bottom"/>
          </w:tcPr>
          <w:p>
            <w:pPr>
              <w:spacing w:after="0"/>
              <w:rPr>
                <w:sz w:val="12"/>
                <w:szCs w:val="12"/>
                <w:color w:val="auto"/>
              </w:rPr>
            </w:pPr>
          </w:p>
        </w:tc>
        <w:tc>
          <w:tcPr>
            <w:tcW w:w="640" w:type="dxa"/>
            <w:vAlign w:val="bottom"/>
          </w:tcPr>
          <w:p>
            <w:pPr>
              <w:jc w:val="right"/>
              <w:ind w:right="33"/>
              <w:spacing w:after="0" w:line="129" w:lineRule="exact"/>
              <w:rPr>
                <w:sz w:val="20"/>
                <w:szCs w:val="20"/>
                <w:color w:val="auto"/>
              </w:rPr>
            </w:pPr>
            <w:r>
              <w:rPr>
                <w:rFonts w:ascii="Times New Roman" w:cs="Times New Roman" w:eastAsia="Times New Roman" w:hAnsi="Times New Roman"/>
                <w:sz w:val="14"/>
                <w:szCs w:val="14"/>
                <w:b w:val="1"/>
                <w:bCs w:val="1"/>
                <w:color w:val="auto"/>
              </w:rPr>
              <w:t>$24.76</w:t>
            </w:r>
          </w:p>
        </w:tc>
        <w:tc>
          <w:tcPr>
            <w:tcW w:w="180" w:type="dxa"/>
            <w:vAlign w:val="bottom"/>
          </w:tcPr>
          <w:p>
            <w:pPr>
              <w:spacing w:after="0"/>
              <w:rPr>
                <w:sz w:val="12"/>
                <w:szCs w:val="12"/>
                <w:color w:val="auto"/>
              </w:rPr>
            </w:pPr>
          </w:p>
        </w:tc>
        <w:tc>
          <w:tcPr>
            <w:tcW w:w="540" w:type="dxa"/>
            <w:vAlign w:val="bottom"/>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$28.50</w:t>
            </w:r>
          </w:p>
        </w:tc>
        <w:tc>
          <w:tcPr>
            <w:tcW w:w="160" w:type="dxa"/>
            <w:vAlign w:val="bottom"/>
          </w:tcPr>
          <w:p>
            <w:pPr>
              <w:spacing w:after="0"/>
              <w:rPr>
                <w:sz w:val="12"/>
                <w:szCs w:val="12"/>
                <w:color w:val="auto"/>
              </w:rPr>
            </w:pPr>
          </w:p>
        </w:tc>
        <w:tc>
          <w:tcPr>
            <w:tcW w:w="560" w:type="dxa"/>
            <w:vAlign w:val="bottom"/>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$32.19</w:t>
            </w:r>
          </w:p>
        </w:tc>
        <w:tc>
          <w:tcPr>
            <w:tcW w:w="160" w:type="dxa"/>
            <w:vAlign w:val="bottom"/>
          </w:tcPr>
          <w:p>
            <w:pPr>
              <w:spacing w:after="0"/>
              <w:rPr>
                <w:sz w:val="12"/>
                <w:szCs w:val="12"/>
                <w:color w:val="auto"/>
              </w:rPr>
            </w:pPr>
          </w:p>
        </w:tc>
        <w:tc>
          <w:tcPr>
            <w:tcW w:w="560" w:type="dxa"/>
            <w:vAlign w:val="bottom"/>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$40.00</w:t>
            </w:r>
          </w:p>
        </w:tc>
        <w:tc>
          <w:tcPr>
            <w:tcW w:w="160" w:type="dxa"/>
            <w:vAlign w:val="bottom"/>
          </w:tcPr>
          <w:p>
            <w:pPr>
              <w:spacing w:after="0"/>
              <w:rPr>
                <w:sz w:val="12"/>
                <w:szCs w:val="12"/>
                <w:color w:val="auto"/>
              </w:rPr>
            </w:pPr>
          </w:p>
        </w:tc>
        <w:tc>
          <w:tcPr>
            <w:tcW w:w="560" w:type="dxa"/>
            <w:vAlign w:val="bottom"/>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$50.00</w:t>
            </w:r>
          </w:p>
        </w:tc>
        <w:tc>
          <w:tcPr>
            <w:tcW w:w="160" w:type="dxa"/>
            <w:vAlign w:val="bottom"/>
          </w:tcPr>
          <w:p>
            <w:pPr>
              <w:spacing w:after="0"/>
              <w:rPr>
                <w:sz w:val="12"/>
                <w:szCs w:val="12"/>
                <w:color w:val="auto"/>
              </w:rPr>
            </w:pPr>
          </w:p>
        </w:tc>
        <w:tc>
          <w:tcPr>
            <w:tcW w:w="540" w:type="dxa"/>
            <w:vAlign w:val="bottom"/>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$75.00</w:t>
            </w:r>
          </w:p>
        </w:tc>
        <w:tc>
          <w:tcPr>
            <w:tcW w:w="160" w:type="dxa"/>
            <w:vAlign w:val="bottom"/>
          </w:tcPr>
          <w:p>
            <w:pPr>
              <w:spacing w:after="0"/>
              <w:rPr>
                <w:sz w:val="12"/>
                <w:szCs w:val="12"/>
                <w:color w:val="auto"/>
              </w:rPr>
            </w:pPr>
          </w:p>
        </w:tc>
        <w:tc>
          <w:tcPr>
            <w:tcW w:w="560" w:type="dxa"/>
            <w:vAlign w:val="bottom"/>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$110.00</w:t>
            </w:r>
          </w:p>
        </w:tc>
        <w:tc>
          <w:tcPr>
            <w:tcW w:w="160" w:type="dxa"/>
            <w:vAlign w:val="bottom"/>
          </w:tcPr>
          <w:p>
            <w:pPr>
              <w:spacing w:after="0"/>
              <w:rPr>
                <w:sz w:val="12"/>
                <w:szCs w:val="12"/>
                <w:color w:val="auto"/>
              </w:rPr>
            </w:pPr>
          </w:p>
        </w:tc>
        <w:tc>
          <w:tcPr>
            <w:tcW w:w="560" w:type="dxa"/>
            <w:vAlign w:val="bottom"/>
          </w:tcPr>
          <w:p>
            <w:pPr>
              <w:ind w:left="40"/>
              <w:spacing w:after="0" w:line="129"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185.00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8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June 10, 2026</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14.1362</w:t>
            </w: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14.1362</w:t>
            </w:r>
          </w:p>
        </w:tc>
        <w:tc>
          <w:tcPr>
            <w:tcW w:w="1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12.1604</w:t>
            </w: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10.2137</w:t>
            </w: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2"/>
              </w:rPr>
              <w:t>7.8418</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6"/>
              </w:rPr>
              <w:t>6.1886</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6"/>
              </w:rPr>
              <w:t>3.9753</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6"/>
              </w:rPr>
              <w:t>2.4424</w:t>
            </w:r>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2"/>
              </w:rPr>
              <w:t>0.8835</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6"/>
              </w:rPr>
              <w:t>0.2285</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6"/>
              </w:rPr>
              <w:t>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15, 2027</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14.1362</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14.0054</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11.7347</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9.7342</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7.3274</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5.6782</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3.5228</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2.0846</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0.7000</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0.1580</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15, 2028</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14.1362</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13.4727</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11.1013</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9.0376</w:t>
            </w: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6.6011</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4.9733</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2.9253</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1.6364</w:t>
            </w: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0.4961</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0.0927</w:t>
            </w:r>
          </w:p>
        </w:tc>
        <w:tc>
          <w:tcPr>
            <w:tcW w:w="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15, 2029</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14.1362</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12.5400</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10.0418</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7.9124</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5.4779</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3.9242</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2.1010</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1.0718</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0.2836</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0.0401</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15, 2030</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14.1362</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10.9624</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8.2382</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6.0141</w:t>
            </w: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3.6604</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2.3234</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1.0103</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0.4410</w:t>
            </w: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0.1065</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0.0091</w:t>
            </w:r>
          </w:p>
        </w:tc>
        <w:tc>
          <w:tcPr>
            <w:tcW w:w="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0" w:type="dxa"/>
            <w:vAlign w:val="bottom"/>
          </w:tcPr>
          <w:p>
            <w:pPr>
              <w:spacing w:after="0"/>
              <w:rPr>
                <w:sz w:val="1"/>
                <w:szCs w:val="1"/>
                <w:color w:val="auto"/>
              </w:rPr>
            </w:pPr>
          </w:p>
        </w:tc>
      </w:tr>
      <w:tr>
        <w:trPr>
          <w:trHeight w:val="234"/>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15, 2031</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14.1362</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8.3912</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4.0551</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0.0000</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exact Stock Price and Effective Date may not be set forth in the table above, in which case:</w:t>
      </w:r>
    </w:p>
    <w:p>
      <w:pPr>
        <w:spacing w:after="0" w:line="117" w:lineRule="exact"/>
        <w:rPr>
          <w:sz w:val="20"/>
          <w:szCs w:val="20"/>
          <w:color w:val="auto"/>
        </w:rPr>
      </w:pPr>
    </w:p>
    <w:p>
      <w:pPr>
        <w:jc w:val="both"/>
        <w:ind w:left="440" w:right="340" w:firstLine="419"/>
        <w:spacing w:after="0" w:line="261" w:lineRule="auto"/>
        <w:tabs>
          <w:tab w:leader="none" w:pos="107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 Price is between two Stock Prices in the table above or the Effective Date is between two Effective Dates in the table, the number of Additional Shares by which the Conversion Rate shall be increased shall be determined by a straight-line interpolation between the number of Additional Shares set forth for the higher and lower Stock Prices and the earlier and later Effective Dates, as applicable, based on a 365-day year;</w:t>
      </w:r>
    </w:p>
    <w:p>
      <w:pPr>
        <w:spacing w:after="0" w:line="71"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2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 Price is greater than $185.00 per share (subject to adjustment in the same manner as the Stock Prices set forth in the column headings of the table above pursuant to subsection (d) above), no Additional Shares shall be added to the Conversion Rate; and</w:t>
      </w:r>
    </w:p>
    <w:p>
      <w:pPr>
        <w:spacing w:after="0" w:line="53" w:lineRule="exact"/>
        <w:rPr>
          <w:rFonts w:ascii="Times New Roman" w:cs="Times New Roman" w:eastAsia="Times New Roman" w:hAnsi="Times New Roman"/>
          <w:sz w:val="18"/>
          <w:szCs w:val="18"/>
          <w:color w:val="auto"/>
        </w:rPr>
      </w:pPr>
    </w:p>
    <w:p>
      <w:pPr>
        <w:ind w:left="440" w:right="380" w:firstLine="419"/>
        <w:spacing w:after="0" w:line="282" w:lineRule="auto"/>
        <w:tabs>
          <w:tab w:leader="none" w:pos="117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 Price is less than $18.34 per share (subject to adjustment in the same manner as the Stock Prices set forth in the column headings of the table above pursuant to subsection (d) above), no Additional Shares shall be added to the Conversion Rate.</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Notwithstanding the foregoing, in no event shall the Conversion Rate per $1,000 principal amount of Notes exceed 54.5256 shares of Common Stock, subject to adjustment in the same manner as the Conversion Rate pursuant to Section 14.04.</w:t>
      </w:r>
    </w:p>
    <w:p>
      <w:pPr>
        <w:spacing w:after="0" w:line="54" w:lineRule="exact"/>
        <w:rPr>
          <w:sz w:val="20"/>
          <w:szCs w:val="20"/>
          <w:color w:val="auto"/>
        </w:rPr>
      </w:pPr>
    </w:p>
    <w:p>
      <w:pPr>
        <w:ind w:right="40" w:firstLine="436"/>
        <w:spacing w:after="0" w:line="282" w:lineRule="auto"/>
        <w:tabs>
          <w:tab w:leader="none" w:pos="66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Section 14.03 shall prevent an adjustment to the Conversion Rate that would otherwise be required pursuant to Section 14.04 in respect of a Make-Whole Fundamental Change.</w:t>
      </w:r>
    </w:p>
    <w:p>
      <w:pPr>
        <w:spacing w:after="0" w:line="160"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color w:val="auto"/>
        </w:rPr>
        <w:t>Section 14.04</w:t>
      </w:r>
      <w:r>
        <w:rPr>
          <w:rFonts w:ascii="Times New Roman" w:cs="Times New Roman" w:eastAsia="Times New Roman" w:hAnsi="Times New Roman"/>
          <w:sz w:val="18"/>
          <w:szCs w:val="18"/>
          <w:i w:val="1"/>
          <w:iCs w:val="1"/>
          <w:color w:val="auto"/>
        </w:rPr>
        <w:t>. Adjustment of Conversion Rate.</w:t>
      </w:r>
      <w:r>
        <w:rPr>
          <w:rFonts w:ascii="Times New Roman" w:cs="Times New Roman" w:eastAsia="Times New Roman" w:hAnsi="Times New Roman"/>
          <w:sz w:val="18"/>
          <w:szCs w:val="18"/>
          <w:color w:val="auto"/>
        </w:rPr>
        <w:t xml:space="preserve"> The Conversion Rate shall be adjusted from time to time by the Company if any of the following events occurs, except that the Company shall not make any adjustments to the Conversion Rate if Holders of the Notes participate (other than in the case of (x) a share split or share combination or (y) a tender or exchange offer), at the same time and upon the same terms as holders of the Common Stock and solely as a result of holding the Notes, in any of the transactions described in this Section 14.04, without having to convert their Notes, as if they held a number of shares of Common Stock equal to the Conversion Rate,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principal amount (expressed in thousands) of Notes held by such Holder.</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20"/>
          </w:cols>
          <w:pgMar w:left="440" w:top="270" w:right="439" w:bottom="1440" w:gutter="0" w:footer="0" w:header="0"/>
        </w:sectPr>
      </w:pPr>
    </w:p>
    <w:bookmarkStart w:id="86" w:name="page87"/>
    <w:bookmarkEnd w:id="86"/>
    <w:p>
      <w:pPr>
        <w:ind w:right="160" w:firstLine="436"/>
        <w:spacing w:after="0" w:line="282" w:lineRule="auto"/>
        <w:tabs>
          <w:tab w:leader="none" w:pos="68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Company exclusively issues shares of Common Stock as a dividend or distribution on shares of the Common Stock, or if the Company effects a share split or share combination,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131445</wp:posOffset>
            </wp:positionV>
            <wp:extent cx="1003300" cy="3860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0330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260" w:type="dxa"/>
            <w:vAlign w:val="bottom"/>
          </w:tcPr>
          <w:p>
            <w:pPr>
              <w:spacing w:after="0"/>
              <w:rPr>
                <w:sz w:val="20"/>
                <w:szCs w:val="20"/>
                <w:color w:val="auto"/>
              </w:rPr>
            </w:pPr>
          </w:p>
        </w:tc>
        <w:tc>
          <w:tcPr>
            <w:tcW w:w="10140" w:type="dxa"/>
            <w:vAlign w:val="bottom"/>
          </w:tcPr>
          <w:p>
            <w:pPr>
              <w:spacing w:after="0"/>
              <w:rPr>
                <w:sz w:val="20"/>
                <w:szCs w:val="20"/>
                <w:color w:val="auto"/>
              </w:rPr>
            </w:pPr>
          </w:p>
        </w:tc>
      </w:tr>
      <w:tr>
        <w:trPr>
          <w:trHeight w:val="44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6"/>
                <w:szCs w:val="26"/>
                <w:color w:val="auto"/>
                <w:vertAlign w:val="subscript"/>
              </w:rPr>
              <w:t>0</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Conversion Rate in effect immediately prior to the open of business on the Ex-Dividend Date of such dividend or distribution, or</w:t>
            </w:r>
          </w:p>
        </w:tc>
      </w:tr>
      <w:tr>
        <w:trPr>
          <w:trHeight w:val="234"/>
        </w:trPr>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immediately prior to the open of business on the Effective Date of such share split or share combination, as applicable;</w:t>
            </w: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CR’</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Conversion Rate in effect immediately after the open of business on such Ex-Dividend Date or Effective Date;</w:t>
            </w:r>
          </w:p>
        </w:tc>
      </w:tr>
      <w:tr>
        <w:trPr>
          <w:trHeight w:val="30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6"/>
                <w:szCs w:val="26"/>
                <w:color w:val="auto"/>
                <w:vertAlign w:val="subscript"/>
              </w:rPr>
              <w:t>0</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1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the number of shares of Common Stock outstanding immediately prior to the open of business on such Ex-Dividend Date or Effective Date</w:t>
            </w:r>
          </w:p>
        </w:tc>
      </w:tr>
      <w:tr>
        <w:trPr>
          <w:trHeight w:val="234"/>
        </w:trPr>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(before giving effect to any such dividend, distribution, split or combination); and</w:t>
            </w:r>
          </w:p>
        </w:tc>
      </w:tr>
      <w:tr>
        <w:trPr>
          <w:trHeight w:val="30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OS’</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number of shares of Common Stock outstanding immediately after giving effect to such dividend, distribution, share split or share</w:t>
            </w:r>
          </w:p>
        </w:tc>
      </w:tr>
      <w:tr>
        <w:trPr>
          <w:trHeight w:val="234"/>
        </w:trPr>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combination.</w:t>
            </w:r>
          </w:p>
        </w:tc>
      </w:tr>
    </w:tbl>
    <w:p>
      <w:pPr>
        <w:spacing w:after="0" w:line="19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Any adjustment made under this Section 14.04(a) shall become effective immediately after the open of business on the Ex-Dividend Date for such dividend or distribution, or immediately after the open of business on the Effective Date for such share split or share combination, as applicable. If any dividend or distribution of the type described in this Section 14.04(a) is declared but not so paid or made, the Conversion Rate shall be immediately readjusted, effective as of the date the Board of Directors determines not to pay such dividend or distribution, to the Conversion Rate that would then be in effect if such dividend or distribution had not been declared.</w:t>
      </w:r>
    </w:p>
    <w:p>
      <w:pPr>
        <w:spacing w:after="0" w:line="75" w:lineRule="exact"/>
        <w:rPr>
          <w:sz w:val="20"/>
          <w:szCs w:val="20"/>
          <w:color w:val="auto"/>
        </w:rPr>
      </w:pPr>
    </w:p>
    <w:p>
      <w:pPr>
        <w:ind w:firstLine="436"/>
        <w:spacing w:after="0" w:line="258" w:lineRule="auto"/>
        <w:tabs>
          <w:tab w:leader="none" w:pos="69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distributes to all or substantially all holders of the Common Stock any rights, options or warrants (other than pursuant to a stockholder rights plan) entitling them, for a period of not more than 60 calendar days after the announcement date of such distribution, to subscribe for or purchase shares of the Common Stock at a price per share that is less than the average of the Last Reported Sale Prices of the Common Stock for the 10 consecutive Trading Day period ending on, and including, the Trading Day immediately preceding the date of announcement of such distribution, the Conversion Rate shall be increased based on the following formula:</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980"/>
          </w:cols>
          <w:pgMar w:left="440" w:top="270" w:right="479" w:bottom="1440" w:gutter="0" w:footer="0" w:header="0"/>
        </w:sectPr>
      </w:pPr>
    </w:p>
    <w:bookmarkStart w:id="87" w:name="page88"/>
    <w:bookmarkEnd w:id="87"/>
    <w:tbl>
      <w:tblPr>
        <w:tblLayout w:type="fixed"/>
        <w:tblInd w:w="4"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260" w:type="dxa"/>
            <w:vAlign w:val="bottom"/>
          </w:tcPr>
          <w:p>
            <w:pPr>
              <w:spacing w:after="0"/>
              <w:rPr>
                <w:sz w:val="20"/>
                <w:szCs w:val="20"/>
                <w:color w:val="auto"/>
              </w:rPr>
            </w:pPr>
          </w:p>
        </w:tc>
        <w:tc>
          <w:tcPr>
            <w:tcW w:w="8900" w:type="dxa"/>
            <w:vAlign w:val="bottom"/>
          </w:tcPr>
          <w:p>
            <w:pPr>
              <w:spacing w:after="0"/>
              <w:rPr>
                <w:sz w:val="20"/>
                <w:szCs w:val="20"/>
                <w:color w:val="auto"/>
              </w:rPr>
            </w:pPr>
          </w:p>
        </w:tc>
      </w:tr>
      <w:tr>
        <w:trPr>
          <w:trHeight w:val="47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6"/>
                <w:szCs w:val="26"/>
                <w:color w:val="auto"/>
                <w:vertAlign w:val="subscript"/>
              </w:rPr>
              <w:t>0</w:t>
            </w:r>
          </w:p>
        </w:tc>
        <w:tc>
          <w:tcPr>
            <w:tcW w:w="9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the Conversion Rate in effect immediately prior to the open of business on the Ex-Dividend Date for such distribution;</w:t>
            </w:r>
          </w:p>
        </w:tc>
      </w:tr>
      <w:tr>
        <w:trPr>
          <w:trHeight w:val="31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CR’</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Conversion Rate in effect immediately after the open of business on such Ex-Dividend Date;</w:t>
            </w:r>
          </w:p>
        </w:tc>
      </w:tr>
      <w:tr>
        <w:trPr>
          <w:trHeight w:val="35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6"/>
                <w:szCs w:val="26"/>
                <w:color w:val="auto"/>
                <w:vertAlign w:val="subscript"/>
              </w:rPr>
              <w:t>0</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9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the number of shares of Common Stock outstanding immediately prior to the open of business on such Ex-Dividend Date;</w:t>
            </w:r>
          </w:p>
        </w:tc>
      </w:tr>
    </w:tbl>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3174365</wp:posOffset>
            </wp:positionH>
            <wp:positionV relativeFrom="page">
              <wp:posOffset>182880</wp:posOffset>
            </wp:positionV>
            <wp:extent cx="1209040" cy="3860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86080"/>
                    </a:xfrm>
                    <a:prstGeom prst="rect">
                      <a:avLst/>
                    </a:prstGeom>
                    <a:noFill/>
                  </pic:spPr>
                </pic:pic>
              </a:graphicData>
            </a:graphic>
          </wp:anchor>
        </w:drawing>
      </w:r>
    </w:p>
    <w:p>
      <w:pPr>
        <w:ind w:left="564" w:hanging="564"/>
        <w:spacing w:after="0"/>
        <w:tabs>
          <w:tab w:leader="none" w:pos="56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total number of shares of Common Stock distributable pursuant to such rights, options or warrants; and</w:t>
      </w:r>
    </w:p>
    <w:p>
      <w:pPr>
        <w:spacing w:after="0" w:line="115" w:lineRule="exact"/>
        <w:rPr>
          <w:sz w:val="20"/>
          <w:szCs w:val="20"/>
          <w:color w:val="auto"/>
        </w:rPr>
      </w:pPr>
    </w:p>
    <w:p>
      <w:pPr>
        <w:ind w:left="884" w:right="240" w:hanging="884"/>
        <w:spacing w:after="0" w:line="267" w:lineRule="auto"/>
        <w:tabs>
          <w:tab w:leader="none" w:pos="5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the number of shares of Common Stock equal to the aggregate price payable to exercise such rights, options or warrants,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average of the Last Reported Sale Prices of the Common Stock over the 10 consecutive Trading Day period ending on, and including, the Trading Day immediately preceding the date of announcement of the distribution of such rights, options or warrants.</w:t>
      </w:r>
    </w:p>
    <w:p>
      <w:pPr>
        <w:spacing w:after="0" w:line="175" w:lineRule="exact"/>
        <w:rPr>
          <w:sz w:val="20"/>
          <w:szCs w:val="20"/>
          <w:color w:val="auto"/>
        </w:rPr>
      </w:pPr>
    </w:p>
    <w:p>
      <w:pPr>
        <w:ind w:left="4" w:right="100"/>
        <w:spacing w:after="0" w:line="256" w:lineRule="auto"/>
        <w:rPr>
          <w:sz w:val="20"/>
          <w:szCs w:val="20"/>
          <w:color w:val="auto"/>
        </w:rPr>
      </w:pPr>
      <w:r>
        <w:rPr>
          <w:rFonts w:ascii="Times New Roman" w:cs="Times New Roman" w:eastAsia="Times New Roman" w:hAnsi="Times New Roman"/>
          <w:sz w:val="18"/>
          <w:szCs w:val="18"/>
          <w:color w:val="auto"/>
        </w:rPr>
        <w:t>Any increase made under this Section 14.04(b) shall be made successively whenever any such rights, options or warrants are distributed and shall become effective immediately after the open of business on the Ex-Dividend Date for such distribution. To the extent that shares of the Common Stock are not delivered after the expiration of such rights, options or warrants, the Conversion Rate shall be decreased to the Conversion Rate that would then be in effect had the increase with respect to the distribution of such rights, options or warrants been made on the basis of delivery of only the number of shares of Common Stock actually delivered. If such rights, options or warrants are not so distributed, the Conversion Rate shall be decreased to the Conversion Rate that would then be in effect if such Ex-Dividend Date for such distribution had not occurred.</w:t>
      </w:r>
    </w:p>
    <w:p>
      <w:pPr>
        <w:spacing w:after="0" w:line="187"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For purposes of this Section 14.04(b) and for the purpose of Section 14.01(b)(ii)(A), in determining whether any rights, options or warrants entitle the holders of Common Stock to subscribe for or purchase shares of the Common Stock at a price per share that is less than such average of the Last Reported Sale Prices of the Common Stock for the 10 consecutive Trading Day period ending on, and including, the Trading Day immediately preceding the date of announcement of such distribution, and in determining the aggregate offering price of such shares of Common Stock, there shall be taken into account any consideration received by the Company for such rights, options or warrants and any amount payable on exercise or conversion thereof, the value of such consideration, if other than cash, to be determined by the Company in good faith.</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24"/>
          </w:cols>
          <w:pgMar w:left="436" w:top="1093" w:right="439" w:bottom="1440" w:gutter="0" w:footer="0" w:header="0"/>
        </w:sectPr>
      </w:pPr>
    </w:p>
    <w:bookmarkStart w:id="88" w:name="page89"/>
    <w:bookmarkEnd w:id="88"/>
    <w:p>
      <w:pPr>
        <w:ind w:left="4" w:right="20" w:firstLine="436"/>
        <w:spacing w:after="0" w:line="269" w:lineRule="auto"/>
        <w:tabs>
          <w:tab w:leader="none" w:pos="689"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Company distributes shares of its Capital Stock, evidences of its indebtedness, other assets or property of the Company or rights, options or warrants to acquire its Capital Stock or other securities, to all or substantially all holders of the Common Stock, excluding (i) dividends, distributions or issuances (including share splits) as to which an adjustment was effected (or would have been effected but for the 1% Exception) pursuant to Section 14.04(a) or Section 14.04(b), (ii) except as otherwise provided in Section 14.11, rights issued pursuant to any stockholder rights plan of the Company then in effect, (iii) distributions of Reference Property in exchange for, or upon conversion of, Common Stock in a Share Exchange Event,</w:t>
      </w:r>
    </w:p>
    <w:p>
      <w:pPr>
        <w:spacing w:after="0" w:line="2" w:lineRule="exact"/>
        <w:rPr>
          <w:rFonts w:ascii="Times New Roman" w:cs="Times New Roman" w:eastAsia="Times New Roman" w:hAnsi="Times New Roman"/>
          <w:sz w:val="17"/>
          <w:szCs w:val="17"/>
          <w:color w:val="auto"/>
        </w:rPr>
      </w:pPr>
    </w:p>
    <w:p>
      <w:pPr>
        <w:ind w:left="4" w:right="40" w:hanging="4"/>
        <w:spacing w:after="0" w:line="253" w:lineRule="auto"/>
        <w:tabs>
          <w:tab w:leader="none" w:pos="30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or distributions paid exclusively in cash as to which the provisions set forth in Section 14.04(d) shall apply, and (v) Spin-Offs as to which the provisions set forth below in this Section 14.04(c) shall apply (any of such shares of Capital Stock, evidences of indebtedness, other assets or property or rights, options or warrants to acquire Capital Stock or other securities, the “</w:t>
      </w:r>
      <w:r>
        <w:rPr>
          <w:rFonts w:ascii="Times New Roman" w:cs="Times New Roman" w:eastAsia="Times New Roman" w:hAnsi="Times New Roman"/>
          <w:sz w:val="18"/>
          <w:szCs w:val="18"/>
          <w:b w:val="1"/>
          <w:bCs w:val="1"/>
          <w:color w:val="auto"/>
        </w:rPr>
        <w:t>Distributed Property</w:t>
      </w:r>
      <w:r>
        <w:rPr>
          <w:rFonts w:ascii="Times New Roman" w:cs="Times New Roman" w:eastAsia="Times New Roman" w:hAnsi="Times New Roman"/>
          <w:sz w:val="18"/>
          <w:szCs w:val="18"/>
          <w:color w:val="auto"/>
        </w:rPr>
        <w:t>”), then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2811780</wp:posOffset>
            </wp:positionH>
            <wp:positionV relativeFrom="paragraph">
              <wp:posOffset>148590</wp:posOffset>
            </wp:positionV>
            <wp:extent cx="1380490" cy="3860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8049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260" w:type="dxa"/>
            <w:vAlign w:val="bottom"/>
          </w:tcPr>
          <w:p>
            <w:pPr>
              <w:spacing w:after="0"/>
              <w:rPr>
                <w:sz w:val="20"/>
                <w:szCs w:val="20"/>
                <w:color w:val="auto"/>
              </w:rPr>
            </w:pPr>
          </w:p>
        </w:tc>
        <w:tc>
          <w:tcPr>
            <w:tcW w:w="10200" w:type="dxa"/>
            <w:vAlign w:val="bottom"/>
          </w:tcPr>
          <w:p>
            <w:pPr>
              <w:spacing w:after="0"/>
              <w:rPr>
                <w:sz w:val="20"/>
                <w:szCs w:val="20"/>
                <w:color w:val="auto"/>
              </w:rPr>
            </w:pPr>
          </w:p>
        </w:tc>
      </w:tr>
      <w:tr>
        <w:trPr>
          <w:trHeight w:val="47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6"/>
                <w:szCs w:val="26"/>
                <w:color w:val="auto"/>
                <w:vertAlign w:val="subscript"/>
              </w:rPr>
              <w:t>0</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Conversion Rate in effect immediately prior to the open of business on the Ex-Dividend Date for such distribution;</w:t>
            </w:r>
          </w:p>
        </w:tc>
      </w:tr>
      <w:tr>
        <w:trPr>
          <w:trHeight w:val="31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CR’</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Conversion Rate in effect immediately after the open of business on such Ex-Dividend Date;</w:t>
            </w:r>
          </w:p>
        </w:tc>
      </w:tr>
      <w:tr>
        <w:trPr>
          <w:trHeight w:val="30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26"/>
                <w:szCs w:val="26"/>
                <w:color w:val="auto"/>
                <w:vertAlign w:val="subscript"/>
              </w:rPr>
              <w:t>0</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average of the Last Reported Sale Prices of the Common Stock over the 10 consecutive Trading Day period ending on, and including,</w:t>
            </w:r>
          </w:p>
        </w:tc>
      </w:tr>
      <w:tr>
        <w:trPr>
          <w:trHeight w:val="234"/>
        </w:trPr>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Trading Day immediately preceding the Ex-Dividend Date for such distribution; and</w:t>
            </w:r>
          </w:p>
        </w:tc>
      </w:tr>
      <w:tr>
        <w:trPr>
          <w:trHeight w:val="30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FMV</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the fair market value (as determined by the Company in good faith) of the Distributed Property with respect to each outstanding share of the</w:t>
            </w:r>
          </w:p>
        </w:tc>
      </w:tr>
      <w:tr>
        <w:trPr>
          <w:trHeight w:val="234"/>
        </w:trPr>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Stock on the Ex-Dividend Date for such distribution.</w:t>
            </w:r>
          </w:p>
        </w:tc>
      </w:tr>
    </w:tbl>
    <w:p>
      <w:pPr>
        <w:spacing w:after="0" w:line="198" w:lineRule="exact"/>
        <w:rPr>
          <w:sz w:val="20"/>
          <w:szCs w:val="20"/>
          <w:color w:val="auto"/>
        </w:rPr>
      </w:pPr>
    </w:p>
    <w:p>
      <w:pPr>
        <w:ind w:left="4" w:right="60"/>
        <w:spacing w:after="0" w:line="238" w:lineRule="auto"/>
        <w:rPr>
          <w:sz w:val="20"/>
          <w:szCs w:val="20"/>
          <w:color w:val="auto"/>
        </w:rPr>
      </w:pPr>
      <w:r>
        <w:rPr>
          <w:rFonts w:ascii="Times New Roman" w:cs="Times New Roman" w:eastAsia="Times New Roman" w:hAnsi="Times New Roman"/>
          <w:sz w:val="18"/>
          <w:szCs w:val="18"/>
          <w:color w:val="auto"/>
        </w:rPr>
        <w:t>Any increase made under the portion of this Section 14.04(c) above shall become effective immediately after the open of business on the Ex-Dividend Date for such distribution. If such distribution is not so paid or made, the Conversion Rate shall be decreased to be the Conversion Rate that would then be in effect if such distribution had not been declared. Notwithstanding the foregoing, if “FMV” (as defined above) is equal to or greater than “SP</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(as defined above), in lieu of the foregoing increase, each Holder of a Note shall receive, in respect of each $1,000 principal amount thereof, at the same time and upon the same terms as holders of the Common Stock receive the Distributed Property, the amount and kind of Distributed Property such Holder would have received if such Holder owned a number of shares of Common Stock equal to the Conversion Rate in effect on the Ex-Dividend Date for the distribution.</w:t>
      </w:r>
    </w:p>
    <w:p>
      <w:pPr>
        <w:spacing w:after="0" w:line="13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0984"/>
          </w:cols>
          <w:pgMar w:left="436" w:top="270" w:right="479" w:bottom="1440" w:gutter="0" w:footer="0" w:header="0"/>
        </w:sectPr>
      </w:pPr>
    </w:p>
    <w:bookmarkStart w:id="89" w:name="page90"/>
    <w:bookmarkEnd w:id="89"/>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an adjustment pursuant to this Section 14.04(c) where there has been a payment of a dividend or other distribution on the Common Stock of shares of Capital Stock of any class or series, or similar equity interest, of or relating to a Subsidiary or other business unit of the Company, that are, or, when issued, will be, listed or admitted for trading on a U.S. national securities exchange (a “</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142875</wp:posOffset>
            </wp:positionV>
            <wp:extent cx="1474470" cy="3860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47447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260" w:type="dxa"/>
            <w:vAlign w:val="bottom"/>
          </w:tcPr>
          <w:p>
            <w:pPr>
              <w:spacing w:after="0"/>
              <w:rPr>
                <w:sz w:val="20"/>
                <w:szCs w:val="20"/>
                <w:color w:val="auto"/>
              </w:rPr>
            </w:pPr>
          </w:p>
        </w:tc>
        <w:tc>
          <w:tcPr>
            <w:tcW w:w="9960" w:type="dxa"/>
            <w:vAlign w:val="bottom"/>
          </w:tcPr>
          <w:p>
            <w:pPr>
              <w:spacing w:after="0"/>
              <w:rPr>
                <w:sz w:val="20"/>
                <w:szCs w:val="20"/>
                <w:color w:val="auto"/>
              </w:rPr>
            </w:pPr>
          </w:p>
        </w:tc>
      </w:tr>
      <w:tr>
        <w:trPr>
          <w:trHeight w:val="47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6"/>
                <w:szCs w:val="26"/>
                <w:color w:val="auto"/>
                <w:vertAlign w:val="subscript"/>
              </w:rPr>
              <w:t>0</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Conversion Rate in effect immediately prior to the end of the Valuation Period;</w:t>
            </w:r>
          </w:p>
        </w:tc>
      </w:tr>
      <w:tr>
        <w:trPr>
          <w:trHeight w:val="31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CR’</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Conversion Rate in effect immediately after the end of the Valuation Period;</w:t>
            </w:r>
          </w:p>
        </w:tc>
      </w:tr>
      <w:tr>
        <w:trPr>
          <w:trHeight w:val="30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FMV</w:t>
            </w:r>
            <w:r>
              <w:rPr>
                <w:rFonts w:ascii="Times New Roman" w:cs="Times New Roman" w:eastAsia="Times New Roman" w:hAnsi="Times New Roman"/>
                <w:sz w:val="26"/>
                <w:szCs w:val="26"/>
                <w:color w:val="auto"/>
                <w:vertAlign w:val="subscript"/>
              </w:rPr>
              <w:t>0</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average of the Last Reported Sale Prices of the Capital Stock or similar equity interest distributed to holders of the Common Stock</w:t>
            </w:r>
          </w:p>
        </w:tc>
      </w:tr>
      <w:tr>
        <w:trPr>
          <w:trHeight w:val="216"/>
        </w:trPr>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applicable to one share of the Common Stock (determined by reference to the definition of Last Reported Sale Price as set forth in</w:t>
            </w:r>
          </w:p>
        </w:tc>
      </w:tr>
      <w:tr>
        <w:trPr>
          <w:trHeight w:val="212"/>
        </w:trPr>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Section 1.01 as if references therein to Common Stock were to such Capital Stock or similar equity interest) over the first 10 consecutive</w:t>
            </w:r>
          </w:p>
        </w:tc>
      </w:tr>
      <w:tr>
        <w:trPr>
          <w:trHeight w:val="238"/>
        </w:trPr>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Trading Day period after, and including, the Ex-Dividend Date of the Spin-Off (the “</w:t>
            </w:r>
            <w:r>
              <w:rPr>
                <w:rFonts w:ascii="Times New Roman" w:cs="Times New Roman" w:eastAsia="Times New Roman" w:hAnsi="Times New Roman"/>
                <w:sz w:val="18"/>
                <w:szCs w:val="18"/>
                <w:b w:val="1"/>
                <w:bCs w:val="1"/>
                <w:color w:val="auto"/>
              </w:rPr>
              <w:t>Valuation Period</w:t>
            </w:r>
            <w:r>
              <w:rPr>
                <w:rFonts w:ascii="Times New Roman" w:cs="Times New Roman" w:eastAsia="Times New Roman" w:hAnsi="Times New Roman"/>
                <w:sz w:val="18"/>
                <w:szCs w:val="18"/>
                <w:color w:val="auto"/>
              </w:rPr>
              <w:t>”); and</w:t>
            </w:r>
          </w:p>
        </w:tc>
      </w:tr>
      <w:tr>
        <w:trPr>
          <w:trHeight w:val="35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MP</w:t>
            </w:r>
            <w:r>
              <w:rPr>
                <w:rFonts w:ascii="Times New Roman" w:cs="Times New Roman" w:eastAsia="Times New Roman" w:hAnsi="Times New Roman"/>
                <w:sz w:val="26"/>
                <w:szCs w:val="26"/>
                <w:color w:val="auto"/>
                <w:vertAlign w:val="subscript"/>
              </w:rPr>
              <w:t>0</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average of the Last Reported Sale Prices of the Common Stock over the Valuation Period.</w:t>
            </w:r>
          </w:p>
        </w:tc>
      </w:tr>
    </w:tbl>
    <w:p>
      <w:pPr>
        <w:spacing w:after="0" w:line="16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increase to the Conversion Rate under the preceding paragraph shall occur at the close of business on the last Trading Day of the Valuation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in respect of any conversion of Notes for which Physical Settlement is applicable, if the relevant Conversion Date occurs during the Valuation Period, the reference to “10” in the preceding paragraph shall be deemed to be replaced with such lesser number of Trading Days as have elapsed from, and including, the Ex-Dividend Date of such Spin-Off to, and including, the Conversion Date in determining the Conversion Rate and (y) in respect of any conversion of Notes for which Cash Settlement or Combination Settlement is applicable, for any Trading Day that falls within the relevant Observation Period for such conversion and within the Valuation Period, the reference to “10” in the preceding paragraph shall be deemed to be replaced with such lesser number of Trading Days as have elapsed from, and including, the Ex-Dividend Date of such Spin-Off to, and including, such Trading Day in determining the Conversion Rate as of such Trading Day of such Observation Period. If any dividend or distribution that constitutes a Spin-Off is declared but not so paid or made, the Conversion Rate shall be immediately decreased, effective as of the date the Board of Directors determines not to pay or make such dividend or distribution, to the Conversion Rate that would then be in effect if such dividend or distribution had not been declared or announced.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00"/>
          </w:cols>
          <w:pgMar w:left="440" w:top="270" w:right="459" w:bottom="1440" w:gutter="0" w:footer="0" w:header="0"/>
        </w:sectPr>
      </w:pPr>
    </w:p>
    <w:bookmarkStart w:id="90" w:name="page91"/>
    <w:bookmarkEnd w:id="90"/>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this Section 14.04(c) (and subject in all respect to Section 14.11), rights, options or warrants distributed by the Company to all holders of the Common Stock entitling them to subscribe for or purchase shares of the Company’s Capital Stock, including Common Stock (either initially or under certain circumstances), which rights, options or warrants, until the occurrence of a specified event or events (“</w:t>
      </w:r>
      <w:r>
        <w:rPr>
          <w:rFonts w:ascii="Times New Roman" w:cs="Times New Roman" w:eastAsia="Times New Roman" w:hAnsi="Times New Roman"/>
          <w:sz w:val="18"/>
          <w:szCs w:val="18"/>
          <w:b w:val="1"/>
          <w:bCs w:val="1"/>
          <w:color w:val="auto"/>
        </w:rPr>
        <w:t>Trigger Event</w:t>
      </w:r>
      <w:r>
        <w:rPr>
          <w:rFonts w:ascii="Times New Roman" w:cs="Times New Roman" w:eastAsia="Times New Roman" w:hAnsi="Times New Roman"/>
          <w:sz w:val="18"/>
          <w:szCs w:val="18"/>
          <w:color w:val="auto"/>
        </w:rPr>
        <w:t>”): (i) are deemed to be transferred with such shares of the Common Stock; (ii) are not exercisable; and (iii) are also issued in respect of future issuances of the Common Stock, shall be deemed not to have been distributed for purposes of this Section 14.04(c) (and no adjustment to the Conversion Rate under this Section 14.04(c) will be required) until the occurrence of the earliest Trigger Event, whereupon such rights, options or warrants shall be deemed to have been distributed and an appropriate adjustment (if any is required) to the Conversion Rate shall be made under this Section 14.04(c). If any such right, option or warrant, including any such existing rights, options or warrants distributed prior to the date of this Indenture,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Ex-Dividend Date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Conversion Rate under this Section 14.04(c) was made, (1) in the case of any such rights, options or warrants that shall all have been redeemed or purchased without exercise by any holders thereof, upon such final redemption or purchase (x) the Conversion Rate shall be readjusted as if such rights, options or warrants had not been issued and (y) the Conversion Rate shall then again be readjusted to give effect to such distribution, deemed distribution or Trigger Event, as the case may be, as though it were a cash distribution, equal to the per share redemption or purchase price received by a holder or holders of Common Stock with respect to such rights, options or warrants (assuming such holder had retained such rights, options or warrants), made to all holders of Common Stock as of the date of such redemption or purchase, and (2) in the case of such rights, options or warrants that shall have expired or been terminated without exercise by any holders thereof, the Conversion Rate shall be readjusted as if such rights, options and warrants had not been issued.</w:t>
      </w:r>
    </w:p>
    <w:p>
      <w:pPr>
        <w:spacing w:after="0" w:line="188"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For purposes of Section 14.04(a), Section 14.04(b) and this Section 14.04(c), if any dividend or distribution to which this Section 14.04(c) is applicable also includes one or both of:</w:t>
      </w:r>
    </w:p>
    <w:p>
      <w:pPr>
        <w:spacing w:after="0" w:line="50" w:lineRule="exact"/>
        <w:rPr>
          <w:sz w:val="20"/>
          <w:szCs w:val="20"/>
          <w:color w:val="auto"/>
        </w:rPr>
      </w:pPr>
    </w:p>
    <w:p>
      <w:pPr>
        <w:ind w:left="740" w:hanging="304"/>
        <w:spacing w:after="0"/>
        <w:tabs>
          <w:tab w:leader="none" w:pos="7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dividend or distribution of shares of Common Stock to which Section 14.04(a) is applicable (the “</w:t>
      </w:r>
      <w:r>
        <w:rPr>
          <w:rFonts w:ascii="Times New Roman" w:cs="Times New Roman" w:eastAsia="Times New Roman" w:hAnsi="Times New Roman"/>
          <w:sz w:val="18"/>
          <w:szCs w:val="18"/>
          <w:b w:val="1"/>
          <w:bCs w:val="1"/>
          <w:color w:val="auto"/>
        </w:rPr>
        <w:t>Clause A Distribution</w:t>
      </w:r>
      <w:r>
        <w:rPr>
          <w:rFonts w:ascii="Times New Roman" w:cs="Times New Roman" w:eastAsia="Times New Roman" w:hAnsi="Times New Roman"/>
          <w:sz w:val="18"/>
          <w:szCs w:val="18"/>
          <w:color w:val="auto"/>
        </w:rPr>
        <w:t>”); or</w:t>
      </w:r>
    </w:p>
    <w:p>
      <w:pPr>
        <w:spacing w:after="0" w:line="117" w:lineRule="exact"/>
        <w:rPr>
          <w:rFonts w:ascii="Times New Roman" w:cs="Times New Roman" w:eastAsia="Times New Roman" w:hAnsi="Times New Roman"/>
          <w:sz w:val="18"/>
          <w:szCs w:val="18"/>
          <w:color w:val="auto"/>
        </w:rPr>
      </w:pPr>
    </w:p>
    <w:p>
      <w:pPr>
        <w:jc w:val="center"/>
        <w:ind w:left="5420" w:right="1160" w:hanging="4984"/>
        <w:spacing w:after="0" w:line="458" w:lineRule="auto"/>
        <w:tabs>
          <w:tab w:leader="none" w:pos="72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dividend or distribution of rights, options or warrants to which Section 14.04(b) is applicable (the “</w:t>
      </w:r>
      <w:r>
        <w:rPr>
          <w:rFonts w:ascii="Times New Roman" w:cs="Times New Roman" w:eastAsia="Times New Roman" w:hAnsi="Times New Roman"/>
          <w:sz w:val="18"/>
          <w:szCs w:val="18"/>
          <w:b w:val="1"/>
          <w:bCs w:val="1"/>
          <w:color w:val="auto"/>
        </w:rPr>
        <w:t>Clause B Distribution</w:t>
      </w:r>
      <w:r>
        <w:rPr>
          <w:rFonts w:ascii="Times New Roman" w:cs="Times New Roman" w:eastAsia="Times New Roman" w:hAnsi="Times New Roman"/>
          <w:sz w:val="18"/>
          <w:szCs w:val="18"/>
          <w:color w:val="auto"/>
        </w:rPr>
        <w:t>”), 81</w:t>
      </w:r>
    </w:p>
    <w:p>
      <w:pPr>
        <w:sectPr>
          <w:pgSz w:w="11900" w:h="16838" w:orient="portrait"/>
          <w:cols w:equalWidth="0" w:num="1">
            <w:col w:w="11000"/>
          </w:cols>
          <w:pgMar w:left="440" w:top="270" w:right="459" w:bottom="1440" w:gutter="0" w:footer="0" w:header="0"/>
        </w:sectPr>
      </w:pPr>
    </w:p>
    <w:bookmarkStart w:id="91" w:name="page92"/>
    <w:bookmarkEnd w:id="91"/>
    <w:p>
      <w:pPr>
        <w:ind w:left="4"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then, in either case, (1) such dividend or distribution, other than the Clause A Distribution and the Clause B Distribution, shall be deemed to be a dividend or distribution to which this Section 14.04(c) is applicable (the “</w:t>
      </w:r>
      <w:r>
        <w:rPr>
          <w:rFonts w:ascii="Times New Roman" w:cs="Times New Roman" w:eastAsia="Times New Roman" w:hAnsi="Times New Roman"/>
          <w:sz w:val="18"/>
          <w:szCs w:val="18"/>
          <w:b w:val="1"/>
          <w:bCs w:val="1"/>
          <w:color w:val="auto"/>
        </w:rPr>
        <w:t>Clause C Distribution</w:t>
      </w:r>
      <w:r>
        <w:rPr>
          <w:rFonts w:ascii="Times New Roman" w:cs="Times New Roman" w:eastAsia="Times New Roman" w:hAnsi="Times New Roman"/>
          <w:sz w:val="18"/>
          <w:szCs w:val="18"/>
          <w:color w:val="auto"/>
        </w:rPr>
        <w:t>”) and any Conversion Rate adjustment required by this Section 14.04(c) with respect to such Clause C Distribution shall then be made, and (2) the Clause A Distribution and Clause B Distribution shall be deemed to immediately follow the Clause C Distribution and any Conversion Rate adjustment required by Section 14.04(a) and Section 14.04(b) with respect thereto shall then be made, except that, if determined by the Company (I) the “Ex-Dividend Date” of the Clause A Distribution and the Clause B Distribution shall be deemed to be the Ex-Dividend Date of the Clause C Distribution and (II) any shares of Common Stock included in the Clause A Distribution or Clause B Distribution shall be deemed not to be “outstanding immediately prior to the open of business on such Ex-Dividend Date or Effective Date” within the meaning of Section 14.04(a) or “outstanding immediately prior to the open of business on such Ex-Dividend Date” within the meaning of Section 14.04(b).</w:t>
      </w:r>
    </w:p>
    <w:p>
      <w:pPr>
        <w:spacing w:after="0" w:line="80" w:lineRule="exact"/>
        <w:rPr>
          <w:sz w:val="20"/>
          <w:szCs w:val="20"/>
          <w:color w:val="auto"/>
        </w:rPr>
      </w:pPr>
    </w:p>
    <w:p>
      <w:pPr>
        <w:ind w:left="4" w:right="120" w:firstLine="436"/>
        <w:spacing w:after="0" w:line="282" w:lineRule="auto"/>
        <w:tabs>
          <w:tab w:leader="none" w:pos="69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makes any cash dividend or distribution to all or substantially all holders of the Common Stock,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2425700</wp:posOffset>
            </wp:positionH>
            <wp:positionV relativeFrom="paragraph">
              <wp:posOffset>131445</wp:posOffset>
            </wp:positionV>
            <wp:extent cx="2151380" cy="4629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5138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260" w:type="dxa"/>
            <w:vAlign w:val="bottom"/>
          </w:tcPr>
          <w:p>
            <w:pPr>
              <w:spacing w:after="0"/>
              <w:rPr>
                <w:sz w:val="20"/>
                <w:szCs w:val="20"/>
                <w:color w:val="auto"/>
              </w:rPr>
            </w:pPr>
          </w:p>
        </w:tc>
        <w:tc>
          <w:tcPr>
            <w:tcW w:w="10040" w:type="dxa"/>
            <w:vAlign w:val="bottom"/>
          </w:tcPr>
          <w:p>
            <w:pPr>
              <w:spacing w:after="0"/>
              <w:rPr>
                <w:sz w:val="20"/>
                <w:szCs w:val="20"/>
                <w:color w:val="auto"/>
              </w:rPr>
            </w:pPr>
          </w:p>
        </w:tc>
      </w:tr>
      <w:tr>
        <w:trPr>
          <w:trHeight w:val="47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6"/>
                <w:szCs w:val="26"/>
                <w:color w:val="auto"/>
                <w:vertAlign w:val="subscript"/>
              </w:rPr>
              <w:t>0</w:t>
            </w:r>
          </w:p>
        </w:tc>
        <w:tc>
          <w:tcPr>
            <w:tcW w:w="10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the Conversion Rate in effect immediately prior to the open of business on the Ex-Dividend Date for such dividend or distribution;</w:t>
            </w:r>
          </w:p>
        </w:tc>
      </w:tr>
      <w:tr>
        <w:trPr>
          <w:trHeight w:val="31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CR’</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Conversion Rate in effect immediately after the open of business on the Ex-Dividend Date for such dividend or distribution;</w:t>
            </w:r>
          </w:p>
        </w:tc>
      </w:tr>
      <w:tr>
        <w:trPr>
          <w:trHeight w:val="30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26"/>
                <w:szCs w:val="26"/>
                <w:color w:val="auto"/>
                <w:vertAlign w:val="subscript"/>
              </w:rPr>
              <w:t>0</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the Last Reported Sale Price of the Common Stock on the Trading Day immediately preceding the Ex-Dividend Date for such dividend or</w:t>
            </w:r>
          </w:p>
        </w:tc>
      </w:tr>
      <w:tr>
        <w:trPr>
          <w:trHeight w:val="234"/>
        </w:trPr>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distribution; and</w:t>
            </w:r>
          </w:p>
        </w:tc>
      </w:tr>
    </w:tbl>
    <w:p>
      <w:pPr>
        <w:spacing w:after="0" w:line="90" w:lineRule="exact"/>
        <w:rPr>
          <w:sz w:val="20"/>
          <w:szCs w:val="20"/>
          <w:color w:val="auto"/>
        </w:rPr>
      </w:pPr>
    </w:p>
    <w:p>
      <w:pPr>
        <w:ind w:left="564" w:hanging="564"/>
        <w:spacing w:after="0"/>
        <w:tabs>
          <w:tab w:leader="none" w:pos="56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amount in cash per share the Company distributes to all or substantially all holders of the Common Stock.</w:t>
      </w:r>
    </w:p>
    <w:p>
      <w:pPr>
        <w:spacing w:after="0" w:line="225" w:lineRule="exact"/>
        <w:rPr>
          <w:sz w:val="20"/>
          <w:szCs w:val="20"/>
          <w:color w:val="auto"/>
        </w:rPr>
      </w:pPr>
    </w:p>
    <w:p>
      <w:pPr>
        <w:ind w:left="4"/>
        <w:spacing w:after="0" w:line="238" w:lineRule="auto"/>
        <w:rPr>
          <w:sz w:val="20"/>
          <w:szCs w:val="20"/>
          <w:color w:val="auto"/>
        </w:rPr>
      </w:pPr>
      <w:r>
        <w:rPr>
          <w:rFonts w:ascii="Times New Roman" w:cs="Times New Roman" w:eastAsia="Times New Roman" w:hAnsi="Times New Roman"/>
          <w:sz w:val="18"/>
          <w:szCs w:val="18"/>
          <w:color w:val="auto"/>
        </w:rPr>
        <w:t>Any increase pursuant to this Section 14.04(d) shall become effective immediately after the open of business on the Ex-Dividend Date for such dividend or distribution. If such dividend or distribution is not so paid, the Conversion Rate shall be decreased, effective as of the date the Board of Directors determines not to make or pay such dividend or distribution, to be the Conversion Rate that would then be in effect if such dividend or distribution had not been declared. Notwithstanding the foregoing, if “C” (as defined above) is equal to or greater than “SP</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(as defined above), in lieu of the foregoing increase, each Holder of a Note shall receive, for each $1,000 principal amount of Notes it holds, at the same time and upon the same terms as holders of shares of the Common Stock, the amount of cash that such Holder would have received if such Holder owned a number of shares of Common Stock equal to the Conversion Rate on the Ex-Dividend Date for such cash dividend or distribution.</w:t>
      </w:r>
    </w:p>
    <w:p>
      <w:pPr>
        <w:spacing w:after="0" w:line="13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04"/>
          </w:cols>
          <w:pgMar w:left="436" w:top="270" w:right="459" w:bottom="1440" w:gutter="0" w:footer="0" w:header="0"/>
        </w:sectPr>
      </w:pPr>
    </w:p>
    <w:bookmarkStart w:id="92" w:name="page93"/>
    <w:bookmarkEnd w:id="92"/>
    <w:p>
      <w:pPr>
        <w:ind w:right="20" w:firstLine="436"/>
        <w:spacing w:after="0" w:line="258" w:lineRule="auto"/>
        <w:tabs>
          <w:tab w:leader="none" w:pos="68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Company or any of its Subsidiaries make a payment in respect of a tender or exchange offer for the Common Stock that is subject to the then applicable tender offer rules under the Exchange Act (other than any odd-lot tender offer), to the extent that the cash and value of any other consideration included in the payment per share of the Common Stock exceeds the average of the Last Reported Sale Prices of the Common Stock over the 10 consecutive Trading Day period commencing on, and including, the Trading Day next succeeding the last date on which tenders or exchanges may be made pursuant to such tender or exchange offer,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145415</wp:posOffset>
            </wp:positionV>
            <wp:extent cx="1885950" cy="4972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88595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260" w:type="dxa"/>
            <w:vAlign w:val="bottom"/>
          </w:tcPr>
          <w:p>
            <w:pPr>
              <w:spacing w:after="0"/>
              <w:rPr>
                <w:sz w:val="20"/>
                <w:szCs w:val="20"/>
                <w:color w:val="auto"/>
              </w:rPr>
            </w:pPr>
          </w:p>
        </w:tc>
        <w:tc>
          <w:tcPr>
            <w:tcW w:w="10140" w:type="dxa"/>
            <w:vAlign w:val="bottom"/>
          </w:tcPr>
          <w:p>
            <w:pPr>
              <w:spacing w:after="0"/>
              <w:rPr>
                <w:sz w:val="20"/>
                <w:szCs w:val="20"/>
                <w:color w:val="auto"/>
              </w:rPr>
            </w:pPr>
          </w:p>
        </w:tc>
      </w:tr>
      <w:tr>
        <w:trPr>
          <w:trHeight w:val="44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6"/>
                <w:szCs w:val="26"/>
                <w:color w:val="auto"/>
                <w:vertAlign w:val="subscript"/>
              </w:rPr>
              <w:t>0</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1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the Conversion Rate in effect immediately prior to the close of business on the 10th Trading Day immediately following, and including, the</w:t>
            </w:r>
          </w:p>
        </w:tc>
      </w:tr>
      <w:tr>
        <w:trPr>
          <w:trHeight w:val="234"/>
        </w:trPr>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Trading Day next succeeding the date such tender or exchange offer expires;</w:t>
            </w:r>
          </w:p>
        </w:tc>
      </w:tr>
      <w:tr>
        <w:trPr>
          <w:trHeight w:val="30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CR’</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Conversion Rate in effect immediately after the close of business on the 10th Trading Day immediately following, and including, the</w:t>
            </w:r>
          </w:p>
        </w:tc>
      </w:tr>
      <w:tr>
        <w:trPr>
          <w:trHeight w:val="234"/>
        </w:trPr>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Trading Day next succeeding the date such tender or exchange offer expires;</w:t>
            </w:r>
          </w:p>
        </w:tc>
      </w:tr>
      <w:tr>
        <w:trPr>
          <w:trHeight w:val="30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AC</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aggregate value of all cash and any other consideration (as determined by the Company in good faith) paid or payable for shares of</w:t>
            </w:r>
          </w:p>
        </w:tc>
      </w:tr>
      <w:tr>
        <w:trPr>
          <w:trHeight w:val="234"/>
        </w:trPr>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Stock purchased in such tender or exchange offer;</w:t>
            </w:r>
          </w:p>
        </w:tc>
      </w:tr>
      <w:tr>
        <w:trPr>
          <w:trHeight w:val="30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6"/>
                <w:szCs w:val="26"/>
                <w:color w:val="auto"/>
                <w:vertAlign w:val="subscript"/>
              </w:rPr>
              <w:t>0</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number of shares of Common Stock outstanding immediately prior to the date such tender or exchange offer expires (prior to giving</w:t>
            </w:r>
          </w:p>
        </w:tc>
      </w:tr>
      <w:tr>
        <w:trPr>
          <w:trHeight w:val="234"/>
        </w:trPr>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 to the purchase of all shares of Common Stock accepted for purchase or exchange in such tender or exchange offer);</w:t>
            </w:r>
          </w:p>
        </w:tc>
      </w:tr>
      <w:tr>
        <w:trPr>
          <w:trHeight w:val="30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OS’</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number of shares of Common Stock outstanding immediately after the date such tender or exchange offer expires (after giving effect to</w:t>
            </w:r>
          </w:p>
        </w:tc>
      </w:tr>
      <w:tr>
        <w:trPr>
          <w:trHeight w:val="234"/>
        </w:trPr>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purchase of all shares of Common Stock accepted for purchase or exchange in such tender or exchange offer); and</w:t>
            </w:r>
          </w:p>
        </w:tc>
      </w:tr>
      <w:tr>
        <w:trPr>
          <w:trHeight w:val="30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SP’</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average of the Last Reported Sale Prices of the Common Stock over the 10 consecutive Trading Day period commencing on, and</w:t>
            </w:r>
          </w:p>
        </w:tc>
      </w:tr>
      <w:tr>
        <w:trPr>
          <w:trHeight w:val="234"/>
        </w:trPr>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including, the Trading Day next succeeding the date such tender or exchange offer expires.</w:t>
            </w:r>
          </w:p>
        </w:tc>
      </w:tr>
      <w:tr>
        <w:trPr>
          <w:trHeight w:val="365"/>
        </w:trPr>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140" w:type="dxa"/>
            <w:vAlign w:val="bottom"/>
          </w:tcPr>
          <w:p>
            <w:pPr>
              <w:ind w:left="4640"/>
              <w:spacing w:after="0"/>
              <w:rPr>
                <w:sz w:val="20"/>
                <w:szCs w:val="20"/>
                <w:color w:val="auto"/>
              </w:rPr>
            </w:pPr>
            <w:r>
              <w:rPr>
                <w:rFonts w:ascii="Times New Roman" w:cs="Times New Roman" w:eastAsia="Times New Roman" w:hAnsi="Times New Roman"/>
                <w:sz w:val="18"/>
                <w:szCs w:val="18"/>
                <w:color w:val="auto"/>
              </w:rPr>
              <w:t>83</w:t>
            </w:r>
          </w:p>
        </w:tc>
      </w:tr>
    </w:tbl>
    <w:p>
      <w:pPr>
        <w:sectPr>
          <w:pgSz w:w="11900" w:h="16838" w:orient="portrait"/>
          <w:cols w:equalWidth="0" w:num="1">
            <w:col w:w="10920"/>
          </w:cols>
          <w:pgMar w:left="440" w:top="270" w:right="539" w:bottom="1440" w:gutter="0" w:footer="0" w:header="0"/>
        </w:sectPr>
      </w:pPr>
    </w:p>
    <w:bookmarkStart w:id="93" w:name="page94"/>
    <w:bookmarkEnd w:id="93"/>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increase to the Conversion Rate under this Section 14.04(e) shall occur at the close of business on the 10th Trading Day immediately following, and including, the Trading Day next succeeding the date such tender or exchange offer expires;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in respect of any conversion of Notes for which Physical Settlement is applicable, if the relevant Conversion Date occurs during the 10 Trading Days immediately following, and including, the Trading Day next succeeding the expiration date of any tender or exchange offer, references to “10” or “10th” in the preceding paragraph shall be deemed replaced with such lesser number of Trading Days as have elapsed from, and including, the Trading Day next succeeding the date that such tender or exchange offer expires to, and including, the Conversion Date in determining the Conversion Rate and (y) in respect of any conversion of Notes for which Cash Settlement or Combination Settlement is applicable, for any Trading Day that falls within the relevant Observation Period for such conversion and within the 10 Trading Days immediately following, and including, the Trading Day next succeeding the expiration date of any tender or exchange offer, references to “10” or “10th” in the preceding paragraph shall be deemed replaced with such lesser number of Trading Days as have elapsed from, and including, the Trading Day next succeeding the expiration date of such tender or exchange offer to, and including, such Trading Day in determining the Conversion Rate as of such Trading Day of such Observation Period.</w:t>
      </w:r>
    </w:p>
    <w:p>
      <w:pPr>
        <w:spacing w:after="0" w:line="192"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If the Company or one of its Subsidiaries is obligated to purchase shares of Common Stock pursuant to any such tender or exchange offer described in this Section 14.04(e) but the Company or such Subsidiary is permanently prevented by applicable law from effecting any such purchase or all such purchases are rescinded, the Conversion Rate shall be readjusted to be the Conversion Rate that would then be in effect if such tender or exchange offer had not been made or had been made only in respect of the purchases that have been made.</w:t>
      </w:r>
    </w:p>
    <w:p>
      <w:pPr>
        <w:spacing w:after="0" w:line="72" w:lineRule="exact"/>
        <w:rPr>
          <w:sz w:val="20"/>
          <w:szCs w:val="20"/>
          <w:color w:val="auto"/>
        </w:rPr>
      </w:pPr>
    </w:p>
    <w:p>
      <w:pPr>
        <w:ind w:right="20" w:firstLine="436"/>
        <w:spacing w:after="0" w:line="255" w:lineRule="auto"/>
        <w:tabs>
          <w:tab w:leader="none" w:pos="66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this Section 14.04 or any other provision of this Indenture or the Notes, if a Conversion Rate adjustment becomes effective on any Ex-Dividend Date, and a Holder that has converted its Notes on or after such Ex-Dividend Date and on or prior to the related Record Date would be treated as the record holder of the shares of Common Stock as of the related Conversion Date as described under Section 14.02(i) based on an adjusted Conversion Rate for such Ex-Dividend Date, then, notwithstanding the Conversion Rate adjustment provisions in this Section 14.04, the Conversion Rate adjustment relating to such Ex-Dividend Date shall not be made for such converting Holder. Instead, such Holder shall be treated as if such Holder were the record owner of the shares of Common Stock on an unadjusted basis and participate in the related dividend, distribution or other event giving rise to such adjustment.</w:t>
      </w:r>
    </w:p>
    <w:p>
      <w:pPr>
        <w:spacing w:after="0" w:line="80" w:lineRule="exact"/>
        <w:rPr>
          <w:rFonts w:ascii="Times New Roman" w:cs="Times New Roman" w:eastAsia="Times New Roman" w:hAnsi="Times New Roman"/>
          <w:sz w:val="18"/>
          <w:szCs w:val="18"/>
          <w:color w:val="auto"/>
        </w:rPr>
      </w:pPr>
    </w:p>
    <w:p>
      <w:pPr>
        <w:ind w:right="240" w:firstLine="436"/>
        <w:spacing w:after="0" w:line="266" w:lineRule="auto"/>
        <w:tabs>
          <w:tab w:leader="none" w:pos="69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stated herein, the Company shall not adjust the Conversion Rate for the issuance of shares of the Common Stock or any securities convertible into or exchangeable for shares of the Common Stock or the right to purchase shares of the Common Stock or such convertible or exchangeable securities.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00"/>
          </w:cols>
          <w:pgMar w:left="440" w:top="270" w:right="459" w:bottom="1440" w:gutter="0" w:footer="0" w:header="0"/>
        </w:sectPr>
      </w:pPr>
    </w:p>
    <w:bookmarkStart w:id="94" w:name="page95"/>
    <w:bookmarkEnd w:id="94"/>
    <w:p>
      <w:pPr>
        <w:ind w:firstLine="436"/>
        <w:spacing w:after="0" w:line="277" w:lineRule="auto"/>
        <w:tabs>
          <w:tab w:leader="none" w:pos="695"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to those adjustments required by clauses (a), (b), (c), (d) and (e) of this Section 14.04, and subject to applicable exchange listing rules, the Company from time to time may increase the Conversion Rate by any amount for a period of at least 20 Business Days if the Company determines that such increase would be in the Company’s best interest. In addition, subject to applicable exchange listing rules, the Company may (but is not required to) increase the Conversion Rate to avoid or diminish any income tax to holders of Common Stock or rights to purchase shares of Common Stock in connection with a dividend or distribution of shares of Common Stock (or rights to acquire shares of Common Stock) or similar event.</w:t>
      </w:r>
    </w:p>
    <w:p>
      <w:pPr>
        <w:spacing w:after="0" w:line="59" w:lineRule="exact"/>
        <w:rPr>
          <w:rFonts w:ascii="Times New Roman" w:cs="Times New Roman" w:eastAsia="Times New Roman" w:hAnsi="Times New Roman"/>
          <w:sz w:val="17"/>
          <w:szCs w:val="17"/>
          <w:color w:val="auto"/>
        </w:rPr>
      </w:pPr>
    </w:p>
    <w:p>
      <w:pPr>
        <w:ind w:left="660" w:hanging="224"/>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Article 14, the Conversion Rate shall not be adjusted:</w:t>
      </w:r>
    </w:p>
    <w:p>
      <w:pPr>
        <w:spacing w:after="0" w:line="117" w:lineRule="exact"/>
        <w:rPr>
          <w:rFonts w:ascii="Times New Roman" w:cs="Times New Roman" w:eastAsia="Times New Roman" w:hAnsi="Times New Roman"/>
          <w:sz w:val="18"/>
          <w:szCs w:val="18"/>
          <w:color w:val="auto"/>
        </w:rPr>
      </w:pPr>
    </w:p>
    <w:p>
      <w:pPr>
        <w:ind w:left="440" w:right="460" w:firstLine="419"/>
        <w:spacing w:after="0" w:line="282" w:lineRule="auto"/>
        <w:tabs>
          <w:tab w:leader="none" w:pos="107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shares of Common Stock at a price below the Conversion Price or otherwise, other than any such issuance described in clause (a), (b) or (c) of this Section 14.04;</w:t>
      </w:r>
    </w:p>
    <w:p>
      <w:pPr>
        <w:spacing w:after="0" w:line="53"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2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shares of Common Stock pursuant to any present or future plan providing for the reinvestment of dividends or interest payable on the Company’s securities and the investment of additional optional amounts in shares of Common Stock under any plan;</w:t>
      </w:r>
    </w:p>
    <w:p>
      <w:pPr>
        <w:spacing w:after="0" w:line="53" w:lineRule="exact"/>
        <w:rPr>
          <w:rFonts w:ascii="Times New Roman" w:cs="Times New Roman" w:eastAsia="Times New Roman" w:hAnsi="Times New Roman"/>
          <w:sz w:val="18"/>
          <w:szCs w:val="18"/>
          <w:color w:val="auto"/>
        </w:rPr>
      </w:pPr>
    </w:p>
    <w:p>
      <w:pPr>
        <w:ind w:left="440" w:firstLine="419"/>
        <w:spacing w:after="0" w:line="266" w:lineRule="auto"/>
        <w:tabs>
          <w:tab w:leader="none" w:pos="117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shares of Common Stock or options or rights to purchase those shares pursuant to any present or future employee, director or consultant benefit or incentive plan or program (including pursuant to any evergreen plan) of or assumed by the Company or any of the Company’s Subsidiaries;</w:t>
      </w:r>
    </w:p>
    <w:p>
      <w:pPr>
        <w:spacing w:after="0" w:line="67"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16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shares of the Common Stock pursuant to any option, warrant, right or exercisable, exchangeable or convertible security not described in clause (iii) of this subsection and outstanding as of the date the Notes were first issued;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third-party tender offer by any party other than a tender offer by one or more of the Company’s Subsidiaries as described in clause</w:t>
      </w:r>
    </w:p>
    <w:p>
      <w:pPr>
        <w:spacing w:after="0" w:line="27"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14.04;</w:t>
      </w:r>
    </w:p>
    <w:p>
      <w:pPr>
        <w:spacing w:after="0" w:line="98"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16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repurchase of any shares of Common Stock pursuant to an open market share purchase program or other buy-back transaction, including structured or derivative transactions such as accelerated share repurchase transactions or similar forward derivatives, or other buy-back transaction, that is not a tender offer or exchange offer of the kind described under clause (e) of this Section 14.04;</w:t>
      </w:r>
    </w:p>
    <w:p>
      <w:pPr>
        <w:spacing w:after="0" w:line="67" w:lineRule="exact"/>
        <w:rPr>
          <w:rFonts w:ascii="Times New Roman" w:cs="Times New Roman" w:eastAsia="Times New Roman" w:hAnsi="Times New Roman"/>
          <w:sz w:val="18"/>
          <w:szCs w:val="18"/>
          <w:color w:val="auto"/>
        </w:rPr>
      </w:pPr>
    </w:p>
    <w:p>
      <w:pPr>
        <w:ind w:left="1220" w:hanging="361"/>
        <w:spacing w:after="0"/>
        <w:tabs>
          <w:tab w:leader="none" w:pos="12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for a change in the par value (or lack of par value) of the Common Stock; or</w:t>
      </w:r>
    </w:p>
    <w:p>
      <w:pPr>
        <w:spacing w:after="0" w:line="117" w:lineRule="exact"/>
        <w:rPr>
          <w:rFonts w:ascii="Times New Roman" w:cs="Times New Roman" w:eastAsia="Times New Roman" w:hAnsi="Times New Roman"/>
          <w:sz w:val="18"/>
          <w:szCs w:val="18"/>
          <w:color w:val="auto"/>
        </w:rPr>
      </w:pPr>
    </w:p>
    <w:p>
      <w:pPr>
        <w:ind w:left="1260" w:hanging="401"/>
        <w:spacing w:after="0"/>
        <w:tabs>
          <w:tab w:leader="none" w:pos="12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accrued and unpaid interest, if any.</w:t>
      </w:r>
    </w:p>
    <w:p>
      <w:pPr>
        <w:spacing w:after="0" w:line="117" w:lineRule="exact"/>
        <w:rPr>
          <w:rFonts w:ascii="Times New Roman" w:cs="Times New Roman" w:eastAsia="Times New Roman" w:hAnsi="Times New Roman"/>
          <w:sz w:val="18"/>
          <w:szCs w:val="18"/>
          <w:color w:val="auto"/>
        </w:rPr>
      </w:pPr>
    </w:p>
    <w:p>
      <w:pPr>
        <w:ind w:right="660" w:firstLine="436"/>
        <w:spacing w:after="0" w:line="282" w:lineRule="auto"/>
        <w:tabs>
          <w:tab w:leader="none" w:pos="65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calculations and other determinations under this Article 14 shall be made by the Company and shall be made to the nearest one-ten thousandth (1/10,000th) of a share.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00"/>
          </w:cols>
          <w:pgMar w:left="440" w:top="270" w:right="459" w:bottom="1440" w:gutter="0" w:footer="0" w:header="0"/>
        </w:sectPr>
      </w:pPr>
    </w:p>
    <w:bookmarkStart w:id="95" w:name="page96"/>
    <w:bookmarkEnd w:id="95"/>
    <w:p>
      <w:pPr>
        <w:ind w:right="20" w:firstLine="436"/>
        <w:spacing w:after="0" w:line="254" w:lineRule="auto"/>
        <w:tabs>
          <w:tab w:leader="none" w:pos="69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 adjustment to the Conversion Rate otherwise required by this Section 14.04 would result in a change of less than 1% to the Conversion Rate, then, notwithstanding the foregoing, the Company may, at its election, defer and carry forward such adjustment, except that all such deferred adjustments must be given effect immediately upon the earliest to occur of the following: (i) when all such deferred adjustments would result in an aggregate change of at least 1% to the Conversion Rate, (ii) on the Conversion Date for any Notes (in the case of Physical Settlement), (iii) on each Trading Day of any Observation Period related to any conversion of Notes (in the case of Cash Settlement or Combination Settlement), (iv) March 15, 2031, (v) on any date on which the Company delivers a Notice of Redemption and (vi) on the effective date of any Fundamental Change and/or Make-Whole Fundamental Change, in each case, unless the adjustment has already been made. The provisions described in the preceding sentence are referred to herein as the “1% Exception.”</w:t>
      </w:r>
    </w:p>
    <w:p>
      <w:pPr>
        <w:spacing w:after="0" w:line="83" w:lineRule="exact"/>
        <w:rPr>
          <w:rFonts w:ascii="Times New Roman" w:cs="Times New Roman" w:eastAsia="Times New Roman" w:hAnsi="Times New Roman"/>
          <w:sz w:val="18"/>
          <w:szCs w:val="18"/>
          <w:color w:val="auto"/>
        </w:rPr>
      </w:pPr>
    </w:p>
    <w:p>
      <w:pPr>
        <w:ind w:right="60" w:firstLine="436"/>
        <w:spacing w:after="0" w:line="255" w:lineRule="auto"/>
        <w:tabs>
          <w:tab w:leader="none" w:pos="65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Conversion Rate is adjusted as herein provided, the Company shall promptly file with the Trustee (and the Conversion Agent if not the Trustee) an Officer’s Certificate setting forth the Conversion Rate after such adjustment and setting forth a brief statement of the facts requiring such adjustment. Unless and until a Responsible Officer of the Trustee shall have received such Officer’s Certificate, the Trustee shall not be deemed to have knowledge of any adjustment of the Conversion Rate and may assume without inquiry that the last Conversion Rate of which it has knowledge is still in effect. Promptly after delivery of such certificate, the Company shall prepare a notice of such adjustment of the Conversion Rate setting forth the adjusted Conversion Rate and the date on which each adjustment becomes effective and shall deliver such notice of such adjustment of the Conversion Rate to each Holder. Failure to deliver such notice shall not affect the legality or validity of any such adjustment.</w:t>
      </w:r>
    </w:p>
    <w:p>
      <w:pPr>
        <w:spacing w:after="0" w:line="80" w:lineRule="exact"/>
        <w:rPr>
          <w:rFonts w:ascii="Times New Roman" w:cs="Times New Roman" w:eastAsia="Times New Roman" w:hAnsi="Times New Roman"/>
          <w:sz w:val="18"/>
          <w:szCs w:val="18"/>
          <w:color w:val="auto"/>
        </w:rPr>
      </w:pPr>
    </w:p>
    <w:p>
      <w:pPr>
        <w:jc w:val="both"/>
        <w:ind w:firstLine="436"/>
        <w:spacing w:after="0" w:line="261" w:lineRule="auto"/>
        <w:tabs>
          <w:tab w:leader="none" w:pos="74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14.04, the number of shares of Common Stock at any time outstanding shall not include shares of Common Stock held in the treasury of the Company so long as the Company does not pay any dividend or make any distribution on shares of Common Stock held in the treasury of the Company, but shall include shares of Common Stock issuable in respect of scrip certificates issued in lieu of fractions of shares of Common Stock.</w:t>
      </w:r>
    </w:p>
    <w:p>
      <w:pPr>
        <w:spacing w:after="0" w:line="178"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Section 14.05</w:t>
      </w:r>
      <w:r>
        <w:rPr>
          <w:rFonts w:ascii="Times New Roman" w:cs="Times New Roman" w:eastAsia="Times New Roman" w:hAnsi="Times New Roman"/>
          <w:sz w:val="18"/>
          <w:szCs w:val="18"/>
          <w:i w:val="1"/>
          <w:iCs w:val="1"/>
          <w:color w:val="auto"/>
        </w:rPr>
        <w:t>. Adjustments of Prices.</w:t>
      </w:r>
      <w:r>
        <w:rPr>
          <w:rFonts w:ascii="Times New Roman" w:cs="Times New Roman" w:eastAsia="Times New Roman" w:hAnsi="Times New Roman"/>
          <w:sz w:val="18"/>
          <w:szCs w:val="18"/>
          <w:color w:val="auto"/>
        </w:rPr>
        <w:t xml:space="preserve"> Whenever any provision of this Indenture requires the Company to calculate the Last Reported Sale Prices, the Daily VWAPs, the Daily Conversion Values or the Daily Settlement Amounts over a span of multiple days (including, without limitation, an Observation Period and the period, if any, for determining the Stock Price for purposes of a Make-Whole Fundamental Change or a Notice of Redemption), the Company shall, in good faith, make appropriate adjustments (without duplication in respect of any adjustment made pursuant to Section 14.04) to each to account for any adjustment to the Conversion Rate that becomes effective, or any event requiring an adjustment to the Conversion Rate where the Ex-Dividend Date, Effective Date or expiration date, as the case may be, of the event occurs at any time during the period when the Last Reported Sale Prices, the Daily VWAPs, the Daily Conversion Values or the Daily Settlement Amounts are to be calculated.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00"/>
          </w:cols>
          <w:pgMar w:left="440" w:top="270" w:right="459" w:bottom="1440" w:gutter="0" w:footer="0" w:header="0"/>
        </w:sectPr>
      </w:pPr>
    </w:p>
    <w:bookmarkStart w:id="96" w:name="page97"/>
    <w:bookmarkEnd w:id="96"/>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14.06</w:t>
      </w:r>
      <w:r>
        <w:rPr>
          <w:rFonts w:ascii="Times New Roman" w:cs="Times New Roman" w:eastAsia="Times New Roman" w:hAnsi="Times New Roman"/>
          <w:sz w:val="18"/>
          <w:szCs w:val="18"/>
          <w:i w:val="1"/>
          <w:iCs w:val="1"/>
          <w:color w:val="auto"/>
        </w:rPr>
        <w:t>. Shares to Be Fully Paid.</w:t>
      </w:r>
      <w:r>
        <w:rPr>
          <w:rFonts w:ascii="Times New Roman" w:cs="Times New Roman" w:eastAsia="Times New Roman" w:hAnsi="Times New Roman"/>
          <w:sz w:val="18"/>
          <w:szCs w:val="18"/>
          <w:color w:val="auto"/>
        </w:rPr>
        <w:t xml:space="preserve"> The Company shall at all times reserve, free from preemptive rights, out of its authorized but unissued shares or shares held in treasury, a number of shares of Common Stock equal to the product of (a) the number of outstanding Notes and (b) the Conversion Rate (assuming the Conversion Rate has been increased by the maximum number of Additional Shares pursuant to Section 14.03), to provide for conversion of the Notes from time to time as such Notes are presented for conversion.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14.07</w:t>
      </w:r>
      <w:r>
        <w:rPr>
          <w:rFonts w:ascii="Times New Roman" w:cs="Times New Roman" w:eastAsia="Times New Roman" w:hAnsi="Times New Roman"/>
          <w:sz w:val="18"/>
          <w:szCs w:val="18"/>
          <w:i w:val="1"/>
          <w:iCs w:val="1"/>
          <w:color w:val="auto"/>
        </w:rPr>
        <w:t>. Effect of Recapitalizations, Reclassifications and Changes of the Common Stock.</w:t>
      </w:r>
    </w:p>
    <w:p>
      <w:pPr>
        <w:spacing w:after="0" w:line="119" w:lineRule="exact"/>
        <w:rPr>
          <w:sz w:val="20"/>
          <w:szCs w:val="20"/>
          <w:color w:val="auto"/>
        </w:rPr>
      </w:pPr>
    </w:p>
    <w:p>
      <w:pPr>
        <w:ind w:left="680" w:hanging="244"/>
        <w:spacing w:after="0"/>
        <w:tabs>
          <w:tab w:leader="none" w:pos="6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078"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recapitalization, reclassification or change of the Common Stock (other than a change to par value, or from par value to no par value, or changes resulting from a subdivision or combination),</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consolidation, merger, combination or similar transaction involving the Company,</w:t>
      </w:r>
    </w:p>
    <w:p>
      <w:pPr>
        <w:spacing w:after="0" w:line="117"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78"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or other transfer to a third party of the consolidated assets of the Company and the Company’s Subsidiaries substantially as an entirety or</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statutory share exchange,</w:t>
      </w:r>
    </w:p>
    <w:p>
      <w:pPr>
        <w:spacing w:after="0" w:line="22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 each case, as a result of which the Common Stock would be converted into, or exchanged for, stock, other securities, other property or assets (including cash or any combination thereof) (any such event, a “</w:t>
      </w:r>
      <w:r>
        <w:rPr>
          <w:rFonts w:ascii="Times New Roman" w:cs="Times New Roman" w:eastAsia="Times New Roman" w:hAnsi="Times New Roman"/>
          <w:sz w:val="18"/>
          <w:szCs w:val="18"/>
          <w:b w:val="1"/>
          <w:bCs w:val="1"/>
          <w:color w:val="auto"/>
        </w:rPr>
        <w:t>Share Exchange Event</w:t>
      </w:r>
      <w:r>
        <w:rPr>
          <w:rFonts w:ascii="Times New Roman" w:cs="Times New Roman" w:eastAsia="Times New Roman" w:hAnsi="Times New Roman"/>
          <w:sz w:val="18"/>
          <w:szCs w:val="18"/>
          <w:color w:val="auto"/>
        </w:rPr>
        <w:t>”), then, at and after the effective time of such Share Exchange Event, the right to convert each $1,000 principal amount of Notes shall be changed into a right to convert such principal amount of Notes into the kind and amount of shares of stock, other securities or other property or assets (including cash or any combination thereof) that a holder of a number of shares of Common Stock equal to the Conversion Rate immediately prior to such Share Exchange Event would have owned or been entitled to receive (the “</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 with each “</w:t>
      </w:r>
      <w:r>
        <w:rPr>
          <w:rFonts w:ascii="Times New Roman" w:cs="Times New Roman" w:eastAsia="Times New Roman" w:hAnsi="Times New Roman"/>
          <w:sz w:val="18"/>
          <w:szCs w:val="18"/>
          <w:b w:val="1"/>
          <w:bCs w:val="1"/>
          <w:color w:val="auto"/>
        </w:rPr>
        <w:t>unit of Reference Property</w:t>
      </w:r>
      <w:r>
        <w:rPr>
          <w:rFonts w:ascii="Times New Roman" w:cs="Times New Roman" w:eastAsia="Times New Roman" w:hAnsi="Times New Roman"/>
          <w:sz w:val="18"/>
          <w:szCs w:val="18"/>
          <w:color w:val="auto"/>
        </w:rPr>
        <w:t>” meaning the kind and amount of Reference Property that a holder of one share of Common Stock is entitled to receive) upon such Share Exchange Event and, prior to or at the effective time of such Share Exchange Event, the Company or the successor or acquiring Person, as the case may be, shall execute with the Trustee a supplemental indenture permitted under</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Section 10.01(g) providing for such change in the right to convert each $1,000 principal amount of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at and after the effective time of the Share Exchange Event (A) the Company or the successor or acquiring Person, as the case may be, shall continue to have the right to determine the form of consideration to be paid or delivered, as the case may be, upon conversion of Notes in accordance with Section 14.02 and (B) (I) any amount payable in cash upon conversion of the Notes in accordance with Section 14.02 shall continue to be payable in cash, (II) any shares of Common Stock that the Company would have been required to deliver upon conversion of the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00"/>
          </w:cols>
          <w:pgMar w:left="440" w:top="268" w:right="459" w:bottom="1440" w:gutter="0" w:footer="0" w:header="0"/>
        </w:sectPr>
      </w:pPr>
    </w:p>
    <w:bookmarkStart w:id="97" w:name="page98"/>
    <w:bookmarkEnd w:id="97"/>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in accordance with Section 14.02 shall instead be deliverable in the amount and type of Reference Property that a holder of that number of shares of Common Stock would have received in such Share Exchange Event and (III) the Daily VWAP shall be calculated based on the value of a unit of Reference Property that a holder of one share of Common Stock would have received in such Share Exchange Event.</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If the Share Exchange Event causes the Common Stock to be converted into, or exchanged for, the right to receive more than a single type of consideration (determined based in part upon any form of stockholder election), then (i) the Reference Property into which the Notes will be convertible shall be deemed to be the weighted average of the types and amounts of consideration actually received by the holders of Common Stock, and (ii) the unit of Reference Property for purposes of the immediately preceding paragraph shall refer to the consideration referred to in clause (i) attributable to one share of Common Stock. If the holders of the Common Stock receive only cash in such Share Exchange Event, then for all conversions for which the relevant Conversion Date occurs after the effective date of such Share Exchange Event (A) the consideration due upon conversion of each $1,000 principal amount of Notes shall be solely cash in an amount equal to the Conversion Rate in effect on the Conversion Date (as may be increased by any Additional Shares pursuant to Section 14.03),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price paid per share of Common Stock in such Share Exchange Event and (B) the Company shall satisfy the Conversion Obligation by paying cash to converting Holders on the fifth Business Day immediately following the relevant Conversion Date. The Company shall notify Holders, the Trustee and the Conversion Agent (if other than the Trustee) in writing of such weighted average as soon as practicable after such determination is made.</w:t>
      </w:r>
    </w:p>
    <w:p>
      <w:pPr>
        <w:spacing w:after="0" w:line="192"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If the Reference Property in respect of any such Share Exchange Event includes, in whole or in part, shares of Common Equity or American depositary receipts (or other interests) in respect of shares of Common Equity, such supplemental indenture described in the second immediately preceding paragraph shall provide for anti-dilution and other adjustments that shall be as nearly equivalent as is possible to the adjustments provided for in this Article 14 with respect to the portion of the Reference Property consisting of such Common Equity or American depositary receipts (or other interests) in respect of shares of Common Equity. If, in the case of any Share Exchange Event, the Reference Property includes shares of stock, securities or other property or assets (including any combination thereof), other than cash and/or cash equivalents, of a Person other than the Company or the successor or acquiring Person, as the case may be, in such Share Exchange Event, then such supplemental indenture shall also be executed by such other Person, if such Person is an Affiliate of the Company or the successor or acquiring Person, and shall contain such additional provisions to protect the interests of the Holders as the Company shall in good faith reasonably consider necessary by reason of the foregoing, including the provisions providing for the purchase rights set forth in Article 15.</w:t>
      </w:r>
    </w:p>
    <w:p>
      <w:pPr>
        <w:spacing w:after="0" w:line="1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0960"/>
          </w:cols>
          <w:pgMar w:left="440" w:top="270" w:right="499" w:bottom="1440" w:gutter="0" w:footer="0" w:header="0"/>
        </w:sectPr>
      </w:pPr>
    </w:p>
    <w:bookmarkStart w:id="98" w:name="page99"/>
    <w:bookmarkEnd w:id="98"/>
    <w:p>
      <w:pPr>
        <w:ind w:right="80" w:firstLine="436"/>
        <w:spacing w:after="0" w:line="256" w:lineRule="auto"/>
        <w:tabs>
          <w:tab w:leader="none" w:pos="69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When the Company executes a supplemental indenture pursuant to subsection (a) of this Section 14.07, the Company shall promptly file with the Trustee an Officer’s Certificate briefly stating the reasons therefor, the kind or amount of cash, securities or property or asset that will comprise a unit of Reference Property after any such Share Exchange Event, any adjustment to be made with respect thereto and that all conditions precedent have been complied with, and shall promptly deliver or cause to be delivered notice thereof to all Holders. The Company shall cause notice of the execution of such supplemental indenture to be delivered to each Holder within 20 days after execution thereof. Failure to deliver such notice shall not affect the legality or validity of such supplemental indenture.</w:t>
      </w:r>
    </w:p>
    <w:p>
      <w:pPr>
        <w:spacing w:after="0" w:line="79" w:lineRule="exact"/>
        <w:rPr>
          <w:rFonts w:ascii="Times New Roman" w:cs="Times New Roman" w:eastAsia="Times New Roman" w:hAnsi="Times New Roman"/>
          <w:sz w:val="18"/>
          <w:szCs w:val="18"/>
          <w:color w:val="auto"/>
        </w:rPr>
      </w:pPr>
    </w:p>
    <w:p>
      <w:pPr>
        <w:ind w:right="280" w:firstLine="436"/>
        <w:spacing w:after="0" w:line="289" w:lineRule="auto"/>
        <w:tabs>
          <w:tab w:leader="none" w:pos="685"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not become a party to any Share Exchange Event unless its terms are consistent with this Section 14.07. None of the foregoing provisions shall affect the right of a Holder of Notes to convert its Notes into cash, shares of Common Stock or a combination of cash and shares of Common Stock, as applicable, as set forth in Section 14.01 and Section 14.02 prior to the effective date of such Share Exchange Event.</w:t>
      </w:r>
    </w:p>
    <w:p>
      <w:pPr>
        <w:spacing w:after="0" w:line="49" w:lineRule="exact"/>
        <w:rPr>
          <w:rFonts w:ascii="Times New Roman" w:cs="Times New Roman" w:eastAsia="Times New Roman" w:hAnsi="Times New Roman"/>
          <w:sz w:val="17"/>
          <w:szCs w:val="17"/>
          <w:color w:val="auto"/>
        </w:rPr>
      </w:pPr>
    </w:p>
    <w:p>
      <w:pPr>
        <w:ind w:left="700" w:hanging="264"/>
        <w:spacing w:after="0"/>
        <w:tabs>
          <w:tab w:leader="none" w:pos="7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provisions of this Section shall similarly apply to successive Share Exchange Events.</w:t>
      </w:r>
    </w:p>
    <w:p>
      <w:pPr>
        <w:spacing w:after="0" w:line="223" w:lineRule="exact"/>
        <w:rPr>
          <w:sz w:val="20"/>
          <w:szCs w:val="20"/>
          <w:color w:val="auto"/>
        </w:rPr>
      </w:pPr>
    </w:p>
    <w:p>
      <w:pPr>
        <w:ind w:right="260" w:firstLine="440"/>
        <w:spacing w:after="0" w:line="284" w:lineRule="auto"/>
        <w:rPr>
          <w:sz w:val="20"/>
          <w:szCs w:val="20"/>
          <w:color w:val="auto"/>
        </w:rPr>
      </w:pPr>
      <w:r>
        <w:rPr>
          <w:rFonts w:ascii="Times New Roman" w:cs="Times New Roman" w:eastAsia="Times New Roman" w:hAnsi="Times New Roman"/>
          <w:sz w:val="18"/>
          <w:szCs w:val="18"/>
          <w:color w:val="auto"/>
        </w:rPr>
        <w:t>Section 14.08</w:t>
      </w:r>
      <w:r>
        <w:rPr>
          <w:rFonts w:ascii="Times New Roman" w:cs="Times New Roman" w:eastAsia="Times New Roman" w:hAnsi="Times New Roman"/>
          <w:sz w:val="18"/>
          <w:szCs w:val="18"/>
          <w:i w:val="1"/>
          <w:iCs w:val="1"/>
          <w:color w:val="auto"/>
        </w:rPr>
        <w:t>. Certain Covenants.</w:t>
      </w:r>
      <w:r>
        <w:rPr>
          <w:rFonts w:ascii="Times New Roman" w:cs="Times New Roman" w:eastAsia="Times New Roman" w:hAnsi="Times New Roman"/>
          <w:sz w:val="18"/>
          <w:szCs w:val="18"/>
          <w:color w:val="auto"/>
        </w:rPr>
        <w:t xml:space="preserve"> (a) The Company covenants that all shares of Common Stock issued upon conversion of Notes will be fully paid and non-assessable by the Company and free from all taxes, liens and charges with respect to the issue thereof.</w:t>
      </w:r>
    </w:p>
    <w:p>
      <w:pPr>
        <w:spacing w:after="0" w:line="52" w:lineRule="exact"/>
        <w:rPr>
          <w:sz w:val="20"/>
          <w:szCs w:val="20"/>
          <w:color w:val="auto"/>
        </w:rPr>
      </w:pPr>
    </w:p>
    <w:p>
      <w:pPr>
        <w:ind w:right="160" w:firstLine="436"/>
        <w:spacing w:after="0" w:line="261" w:lineRule="auto"/>
        <w:tabs>
          <w:tab w:leader="none" w:pos="69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that, if any shares of Common Stock to be provided for the purpose of conversion of Notes hereunder require registration with or approval of any governmental authority under any federal or state law before such shares of Common Stock may be validly issued upon conversion, the Company will, to the extent then permitted by the rules and interpretations of the Commission, secure such registration or approval, as the case may be.</w:t>
      </w:r>
    </w:p>
    <w:p>
      <w:pPr>
        <w:spacing w:after="0" w:line="71" w:lineRule="exact"/>
        <w:rPr>
          <w:rFonts w:ascii="Times New Roman" w:cs="Times New Roman" w:eastAsia="Times New Roman" w:hAnsi="Times New Roman"/>
          <w:sz w:val="18"/>
          <w:szCs w:val="18"/>
          <w:color w:val="auto"/>
        </w:rPr>
      </w:pPr>
    </w:p>
    <w:p>
      <w:pPr>
        <w:ind w:right="500" w:firstLine="436"/>
        <w:spacing w:after="0" w:line="266" w:lineRule="auto"/>
        <w:tabs>
          <w:tab w:leader="none" w:pos="68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further covenants that if at any time the Common Stock shall be listed on any national securities exchange or automated quotation system the Company will list and keep listed, so long as the Common Stock shall be so listed on such exchange or automated quotation system, any Common Stock issuable upon conversion of the Notes.</w:t>
      </w:r>
    </w:p>
    <w:p>
      <w:pPr>
        <w:spacing w:after="0" w:line="174"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Section 14.09</w:t>
      </w:r>
      <w:r>
        <w:rPr>
          <w:rFonts w:ascii="Times New Roman" w:cs="Times New Roman" w:eastAsia="Times New Roman" w:hAnsi="Times New Roman"/>
          <w:sz w:val="18"/>
          <w:szCs w:val="18"/>
          <w:i w:val="1"/>
          <w:iCs w:val="1"/>
          <w:color w:val="auto"/>
        </w:rPr>
        <w:t>. Responsibility of Trustee.</w:t>
      </w:r>
      <w:r>
        <w:rPr>
          <w:rFonts w:ascii="Times New Roman" w:cs="Times New Roman" w:eastAsia="Times New Roman" w:hAnsi="Times New Roman"/>
          <w:sz w:val="18"/>
          <w:szCs w:val="18"/>
          <w:color w:val="auto"/>
        </w:rPr>
        <w:t xml:space="preserve"> The Trustee and any other Conversion Agent shall not, at any time, be under any duty or responsibility to any Holder to determine the Conversion Rate (or any adjustment thereto) or whether any facts exist that may require any adjustment (including any increase) of the Conversion Rate, or with respect to the nature or extent or calculation of any such adjustment when made, or with respect to the method employed, or herein or in any supplemental indenture provided to be employed, in making the same. The Trustee and any other Conversion Agent shall not be accountable with respect to the validity or value (or the kind or amount) of any shares of Common Stock, or of any securities, property or cash that may at any time be issued or delivered upon the conversion of any Note; and the Trustee and any other Conversion Agent make no representations with respect thereto. Neither the Trustee nor any Conversion Agent shall be responsible for any failure of the Company to issue, transfer or deliver any shares of Common Stock or stock certificates or other securities or property or cash upon the surrender of any Note for the purpose of conversion or to comply with any of the duties, responsibilities or covenants of the Company contained in this</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0960"/>
          </w:cols>
          <w:pgMar w:left="440" w:top="270" w:right="499" w:bottom="1440" w:gutter="0" w:footer="0" w:header="0"/>
        </w:sectPr>
      </w:pPr>
    </w:p>
    <w:bookmarkStart w:id="99" w:name="page100"/>
    <w:bookmarkEnd w:id="9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14. Without limiting the generality of the foregoing, neither the Trustee nor any Conversion Agent shall be under any responsibility to determine the correctness of any provisions contained in any supplemental indenture entered into pursuant to Section 14.07 relating either to the kind or amount of shares of stock or securities or property (including cash) receivable by Holders upon the conversion of their Notes after any event referred to in such Section 14.07 or to any adjustment to be made with respect thereto, but, subject to the provisions of Section 7.01, may accept (without any independent investigation) as conclusive evidence of the correctness of any such provisions, and shall be protected in relying upon, the Officer’s Certificate (which the Company shall be obligated to file with the Trustee prior to the execution of any such supplemental indenture) with respect thereto. Neither the Trustee nor the Conversion Agent shall be responsible for determining whether any event contemplated by Section 14.01(b) has occurred that makes the Notes eligible for conversion or no longer eligible therefor until the Company has delivered to the Trustee and the Conversion Agent the notices referred to in Section 14.01(b) with respect to the commencement or termination of such conversion rights, on which notices the Trustee and the Conversion Agent may conclusively rely, and the Company agrees to deliver such notices to the Trustee and the Conversion Agent immediately after the occurrence of any such event or at such other times as shall be provided for in Section 14.01(b).</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14.10</w:t>
      </w:r>
      <w:r>
        <w:rPr>
          <w:rFonts w:ascii="Times New Roman" w:cs="Times New Roman" w:eastAsia="Times New Roman" w:hAnsi="Times New Roman"/>
          <w:sz w:val="18"/>
          <w:szCs w:val="18"/>
          <w:i w:val="1"/>
          <w:iCs w:val="1"/>
          <w:color w:val="auto"/>
        </w:rPr>
        <w:t>. [Intentionally Omitted].</w:t>
      </w:r>
    </w:p>
    <w:p>
      <w:pPr>
        <w:spacing w:after="0" w:line="22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Section 14.11</w:t>
      </w:r>
      <w:r>
        <w:rPr>
          <w:rFonts w:ascii="Times New Roman" w:cs="Times New Roman" w:eastAsia="Times New Roman" w:hAnsi="Times New Roman"/>
          <w:sz w:val="18"/>
          <w:szCs w:val="18"/>
          <w:i w:val="1"/>
          <w:iCs w:val="1"/>
          <w:color w:val="auto"/>
        </w:rPr>
        <w:t>. Stockholder Rights Plans.</w:t>
      </w:r>
      <w:r>
        <w:rPr>
          <w:rFonts w:ascii="Times New Roman" w:cs="Times New Roman" w:eastAsia="Times New Roman" w:hAnsi="Times New Roman"/>
          <w:sz w:val="18"/>
          <w:szCs w:val="18"/>
          <w:color w:val="auto"/>
        </w:rPr>
        <w:t xml:space="preserve"> If the Company has a stockholder rights plan in effect upon conversion of the Notes, each share of Common Stock, if any, issued upon such conversion shall be entitled to receive the appropriate number of rights, if any, and the certificates representing the Common Stock issued upon such conversion shall bear such legends, if any, in each case as may be provided by the terms of any such stockholder rights plan, as the same may be amended from time to time. However, if, prior to any conversion of Notes, the rights have separated from the shares of Common Stock in accordance with the provisions of the applicable stockholder rights plan, the Conversion Rate shall be adjusted at the time of separation as if the Company distributed to all or substantially all holders of the Common Stock Distributed Property as provided in Section 14.04(c), subject to readjustment in the event of the expiration, termination or redemption of such rights.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14.12</w:t>
      </w:r>
      <w:r>
        <w:rPr>
          <w:rFonts w:ascii="Times New Roman" w:cs="Times New Roman" w:eastAsia="Times New Roman" w:hAnsi="Times New Roman"/>
          <w:sz w:val="18"/>
          <w:szCs w:val="18"/>
          <w:i w:val="1"/>
          <w:iCs w:val="1"/>
          <w:color w:val="auto"/>
        </w:rPr>
        <w:t>. Exchange in Lieu of Conversion.</w:t>
      </w:r>
    </w:p>
    <w:p>
      <w:pPr>
        <w:spacing w:after="0" w:line="115" w:lineRule="exact"/>
        <w:rPr>
          <w:sz w:val="20"/>
          <w:szCs w:val="20"/>
          <w:color w:val="auto"/>
        </w:rPr>
      </w:pPr>
    </w:p>
    <w:p>
      <w:pPr>
        <w:ind w:right="20" w:firstLine="436"/>
        <w:spacing w:after="0" w:line="257" w:lineRule="auto"/>
        <w:tabs>
          <w:tab w:leader="none" w:pos="68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Holder surrenders its Notes for conversion, the Company may, at its election (an “</w:t>
      </w:r>
      <w:r>
        <w:rPr>
          <w:rFonts w:ascii="Times New Roman" w:cs="Times New Roman" w:eastAsia="Times New Roman" w:hAnsi="Times New Roman"/>
          <w:sz w:val="18"/>
          <w:szCs w:val="18"/>
          <w:b w:val="1"/>
          <w:bCs w:val="1"/>
          <w:color w:val="auto"/>
        </w:rPr>
        <w:t>Exchange Election</w:t>
      </w:r>
      <w:r>
        <w:rPr>
          <w:rFonts w:ascii="Times New Roman" w:cs="Times New Roman" w:eastAsia="Times New Roman" w:hAnsi="Times New Roman"/>
          <w:sz w:val="18"/>
          <w:szCs w:val="18"/>
          <w:color w:val="auto"/>
        </w:rPr>
        <w:t>”), direct the Conversion Agent to deliver, on or prior to the Trading Day immediately following the Conversion Date, such Notes to one or more financial institutions designated by the Company (each, a “</w:t>
      </w:r>
      <w:r>
        <w:rPr>
          <w:rFonts w:ascii="Times New Roman" w:cs="Times New Roman" w:eastAsia="Times New Roman" w:hAnsi="Times New Roman"/>
          <w:sz w:val="18"/>
          <w:szCs w:val="18"/>
          <w:b w:val="1"/>
          <w:bCs w:val="1"/>
          <w:color w:val="auto"/>
        </w:rPr>
        <w:t>Designated Financial Institution</w:t>
      </w:r>
      <w:r>
        <w:rPr>
          <w:rFonts w:ascii="Times New Roman" w:cs="Times New Roman" w:eastAsia="Times New Roman" w:hAnsi="Times New Roman"/>
          <w:sz w:val="18"/>
          <w:szCs w:val="18"/>
          <w:color w:val="auto"/>
        </w:rPr>
        <w:t>”) for exchange in lieu of conversion. In order to accept any Notes surrendered for conversion, the Designated Financial Institution(s) must agree to timely pay and/or deliver, as the case may be, in exchange for such Notes, the cash, shares of Common Stock or combination thereof that would otherwise be due upon conversion pursuant to Section 14.02 or such other amount agreed to by the Holder and the Designated Financial Institution(s) (the “</w:t>
      </w:r>
      <w:r>
        <w:rPr>
          <w:rFonts w:ascii="Times New Roman" w:cs="Times New Roman" w:eastAsia="Times New Roman" w:hAnsi="Times New Roman"/>
          <w:sz w:val="18"/>
          <w:szCs w:val="18"/>
          <w:b w:val="1"/>
          <w:bCs w:val="1"/>
          <w:color w:val="auto"/>
        </w:rPr>
        <w:t>Conversion Consideration</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0980"/>
          </w:cols>
          <w:pgMar w:left="440" w:top="270" w:right="479" w:bottom="1440" w:gutter="0" w:footer="0" w:header="0"/>
        </w:sectPr>
      </w:pPr>
    </w:p>
    <w:bookmarkStart w:id="100" w:name="page101"/>
    <w:bookmarkEnd w:id="100"/>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Company makes an Exchange Election, the Company shall, by the close of business on the Trading Day following the relevant Conversion Date, notify in writing the Trustee, the Conversion Agent (if other than the Trustee) and the Holder surrendering Notes for conversion that the Company has made the Exchange Election, and the Company shall promptly notify the Designated Financial Institution(s) of the relevant deadline for delivery of the Conversion Consideration and the type of consideration constituting the Conversion Obligation under this Indenture to be paid and/or delivered, as the case may be.</w:t>
      </w:r>
    </w:p>
    <w:p>
      <w:pPr>
        <w:spacing w:after="0" w:line="75" w:lineRule="exact"/>
        <w:rPr>
          <w:sz w:val="20"/>
          <w:szCs w:val="20"/>
          <w:color w:val="auto"/>
        </w:rPr>
      </w:pPr>
    </w:p>
    <w:p>
      <w:pPr>
        <w:ind w:firstLine="436"/>
        <w:spacing w:after="0" w:line="258" w:lineRule="auto"/>
        <w:tabs>
          <w:tab w:leader="none" w:pos="69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Notes delivered to the Designated Financial Institution(s) shall remain outstanding, subject to the applicable procedures of the Depositary. If the Designated Financial Institution(s) agree(s) to accept any Notes for exchange but does not timely pay and/or deliver, as the case may be, the related Conversion Consideration, or if such Designated Financial Institution(s) does not accept the Notes for exchange, the Company shall pay and/or deliver, as the case may be, the relevant Conversion Consideration, as, and at the time, required pursuant to this Indenture as if the Company had not made the Exchange Election.</w:t>
      </w:r>
    </w:p>
    <w:p>
      <w:pPr>
        <w:spacing w:after="0" w:line="75" w:lineRule="exact"/>
        <w:rPr>
          <w:rFonts w:ascii="Times New Roman" w:cs="Times New Roman" w:eastAsia="Times New Roman" w:hAnsi="Times New Roman"/>
          <w:sz w:val="18"/>
          <w:szCs w:val="18"/>
          <w:color w:val="auto"/>
        </w:rPr>
      </w:pPr>
    </w:p>
    <w:p>
      <w:pPr>
        <w:ind w:right="320" w:firstLine="436"/>
        <w:spacing w:after="0" w:line="282" w:lineRule="auto"/>
        <w:tabs>
          <w:tab w:leader="none" w:pos="68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designation of any Designated Financial Institution(s) to which the Notes may be submitted for exchange does not require such Designated Financial Institution(s) to accept any Notes.</w:t>
      </w:r>
    </w:p>
    <w:p>
      <w:pPr>
        <w:spacing w:after="0" w:line="16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14.13 </w:t>
      </w:r>
      <w:r>
        <w:rPr>
          <w:rFonts w:ascii="Times New Roman" w:cs="Times New Roman" w:eastAsia="Times New Roman" w:hAnsi="Times New Roman"/>
          <w:sz w:val="18"/>
          <w:szCs w:val="18"/>
          <w:i w:val="1"/>
          <w:iCs w:val="1"/>
          <w:color w:val="auto"/>
        </w:rPr>
        <w:t>Limits Upon Issuance of Shares of Common Stock Upon Conversion</w:t>
      </w:r>
      <w:r>
        <w:rPr>
          <w:rFonts w:ascii="Times New Roman" w:cs="Times New Roman" w:eastAsia="Times New Roman" w:hAnsi="Times New Roman"/>
          <w:sz w:val="18"/>
          <w:szCs w:val="18"/>
          <w:color w:val="auto"/>
        </w:rPr>
        <w:t>. The Company shall not effect the conversion of any of the Notes held by a Holder, and such Holder shall not have the right to convert any of the Notes held by such Holder pursuant to the terms and conditions of this Indenture and any such conversion shall be null and void and treated as if never made, to the extent that after giving effect to such conversion, such Holder together with its Attribution Parties collectively would beneficially own in excess of 9.9% (the “</w:t>
      </w:r>
      <w:r>
        <w:rPr>
          <w:rFonts w:ascii="Times New Roman" w:cs="Times New Roman" w:eastAsia="Times New Roman" w:hAnsi="Times New Roman"/>
          <w:sz w:val="18"/>
          <w:szCs w:val="18"/>
          <w:b w:val="1"/>
          <w:bCs w:val="1"/>
          <w:color w:val="auto"/>
        </w:rPr>
        <w:t>Maximum Percentage</w:t>
      </w:r>
      <w:r>
        <w:rPr>
          <w:rFonts w:ascii="Times New Roman" w:cs="Times New Roman" w:eastAsia="Times New Roman" w:hAnsi="Times New Roman"/>
          <w:sz w:val="18"/>
          <w:szCs w:val="18"/>
          <w:color w:val="auto"/>
        </w:rPr>
        <w:t xml:space="preserve">”) of the shares of Common Stock outstanding immediately after giving effect to such conversion. For purposes of the foregoing sentence, the aggregate number of shares of Common Stock beneficially owned by such Holder and the other Attribution Parties shall include the number of shares of Common Stock held by such Holder and all other Attribution Parties plus the number of shares of Common Stock issuable upon conversion of the Notes with respect to which the determination of such sentence is being made, but shall exclude shares of Common Stock which would be issuable upon (A) conversion of the remaining, nonconverted Notes beneficially owned by such Holder or any of the other Attribution Parties and (B) exercise or conversion of the unexercised or nonconverted portion of any other securities of the Company (including, without limitation, any convertible notes, convertible preferred stock or warrants, including the Notes) beneficially owned by such Holder or any other Attribution Party subject to a limitation on conversion or exercise analogous to the limitation contained in this </w:t>
      </w:r>
      <w:r>
        <w:rPr>
          <w:rFonts w:ascii="Times New Roman" w:cs="Times New Roman" w:eastAsia="Times New Roman" w:hAnsi="Times New Roman"/>
          <w:sz w:val="18"/>
          <w:szCs w:val="18"/>
          <w:b w:val="1"/>
          <w:bCs w:val="1"/>
          <w:color w:val="auto"/>
        </w:rPr>
        <w:t>Section 14.13</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b w:val="1"/>
          <w:bCs w:val="1"/>
          <w:color w:val="auto"/>
        </w:rPr>
        <w:t>Section 14.13</w:t>
      </w:r>
      <w:r>
        <w:rPr>
          <w:rFonts w:ascii="Times New Roman" w:cs="Times New Roman" w:eastAsia="Times New Roman" w:hAnsi="Times New Roman"/>
          <w:sz w:val="18"/>
          <w:szCs w:val="18"/>
          <w:color w:val="auto"/>
        </w:rPr>
        <w:t>, beneficial ownership shall be calculated in accordance with Section 13(d) of the Exchange Act. For purposes of determining the number of outstanding shares of Common Stock a Holder may acquire upon the conversion of such Notes without exceeding the Maximum Percentage, such Holder may rely on the number of outstanding shares of Common Stock as reflected in (x) the Company’s most recent Annual Report on Form 10-K, Quarterly Report on Form 10-Q, Current Report on Form 8-K or other public filing with the</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980"/>
          </w:cols>
          <w:pgMar w:left="440" w:top="270" w:right="479" w:bottom="1440" w:gutter="0" w:footer="0" w:header="0"/>
        </w:sectPr>
      </w:pPr>
    </w:p>
    <w:bookmarkStart w:id="101" w:name="page102"/>
    <w:bookmarkEnd w:id="101"/>
    <w:p>
      <w:pPr>
        <w:ind w:left="4"/>
        <w:spacing w:after="0" w:line="24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Commission, as the case may be, (y) a more recent public announcement by the Company or (z) any other written notice by the Company or the transfer agent for the Common Stock, if any, setting forth the number of shares of Common Stock outstanding (the “</w:t>
      </w:r>
      <w:r>
        <w:rPr>
          <w:rFonts w:ascii="Times New Roman" w:cs="Times New Roman" w:eastAsia="Times New Roman" w:hAnsi="Times New Roman"/>
          <w:sz w:val="18"/>
          <w:szCs w:val="18"/>
          <w:b w:val="1"/>
          <w:bCs w:val="1"/>
          <w:color w:val="auto"/>
        </w:rPr>
        <w:t>Reported Outstanding Share Number</w:t>
      </w:r>
      <w:r>
        <w:rPr>
          <w:rFonts w:ascii="Times New Roman" w:cs="Times New Roman" w:eastAsia="Times New Roman" w:hAnsi="Times New Roman"/>
          <w:sz w:val="18"/>
          <w:szCs w:val="18"/>
          <w:color w:val="auto"/>
        </w:rPr>
        <w:t xml:space="preserve">”). Upon the written request of a Holder, the Company shall, within two (2) Trading Days, confirm in writing to such Holder the number of shares of Common Stock then outstanding. To the extent the limitation contained in this Section 14.13 applies, the determination of whether any Notes are convertible (in relation to other securities beneficially owned by such Holder and its Attribution Parties) and the principal amount of Notes that may be converted shall be in the sole discretion of such Holder, and the submission of a Notice of Conversion shall be deemed to be such Holder’s determination that such conversion complies with the Maximum Percentage. If the Company receives a Notice of Conversion from a Holder at a time when the actual number of outstanding shares of Common Stock is less than the Reported Outstanding Share Number, the Company shall notify such Holder in writing of the number of shares of Common Stock then outstanding and, to the extent that such Notice of Conversion would otherwise cause such Holder’s beneficial ownership, as determined pursuant to this </w:t>
      </w:r>
      <w:r>
        <w:rPr>
          <w:rFonts w:ascii="Times New Roman" w:cs="Times New Roman" w:eastAsia="Times New Roman" w:hAnsi="Times New Roman"/>
          <w:sz w:val="18"/>
          <w:szCs w:val="18"/>
          <w:b w:val="1"/>
          <w:bCs w:val="1"/>
          <w:color w:val="auto"/>
        </w:rPr>
        <w:t>Section 14.13</w:t>
      </w:r>
      <w:r>
        <w:rPr>
          <w:rFonts w:ascii="Times New Roman" w:cs="Times New Roman" w:eastAsia="Times New Roman" w:hAnsi="Times New Roman"/>
          <w:sz w:val="18"/>
          <w:szCs w:val="18"/>
          <w:color w:val="auto"/>
        </w:rPr>
        <w:t>, to exceed the Maximum Percentage, such Holder must notify the Company of a reduced number of shares of Common Stock to be delivered pursuant to such Notice of Conversion. In any case, the number of outstanding shares of Common Stock shall be determined after giving effect to the conversion or exercise of securities of the Company, including such Notes, by such Holder and any other Attribution Party since the date as of which the Reported Outstanding Share Number was reported. In the event that the issuance of shares of Common Stock to a Holder upon conversion of such Notes results in such Holder and the other Attribution Parties being deemed to beneficially own, in the aggregate, more than the Maximum Percentage of the number of outstanding shares of Common Stock (as determined under Section 13(d) of the Exchange Act), the number of shares so issued by which such Holder’s and the other Attribution Parties’ aggregate beneficial ownership exceeds the Maximum Percentage (the “</w:t>
      </w:r>
      <w:r>
        <w:rPr>
          <w:rFonts w:ascii="Times New Roman" w:cs="Times New Roman" w:eastAsia="Times New Roman" w:hAnsi="Times New Roman"/>
          <w:sz w:val="18"/>
          <w:szCs w:val="18"/>
          <w:b w:val="1"/>
          <w:bCs w:val="1"/>
          <w:color w:val="auto"/>
        </w:rPr>
        <w:t>Excess Shares</w:t>
      </w:r>
      <w:r>
        <w:rPr>
          <w:rFonts w:ascii="Times New Roman" w:cs="Times New Roman" w:eastAsia="Times New Roman" w:hAnsi="Times New Roman"/>
          <w:sz w:val="18"/>
          <w:szCs w:val="18"/>
          <w:color w:val="auto"/>
        </w:rPr>
        <w:t xml:space="preserve">”) shall be deemed null and void and shall be cancelled ab initio, and such Holder shall not have the power to vote or to transfer the Excess Shares. Upon delivery of a written notice to the Company (including any such notice set forth in a Subscription Agreement), any Holder may from time to time increase or decrease the Maximum Percentage of such Holder to any other percentage;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any such increase in the Maximum Percentage will not be effective until the sixty-first (61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day after such notice is delivered to the Company and (ii) any such increase or decrease will apply only to such Holder and the other Attribution Parties and not to any other Holder that is not an Attribution Party of such Holder. For the avoidance of doubt, a Holder may elect a Maximum Percentage that is lower than 9.9%, and any such decrease shall become effective immediately upon delivery of notice to the Company. Any Notes surrendered for conversion for which shares of Common Stock are not delivered due solely to the Maximum Percentage shall not be extinguished and such Holder may, at its election, either</w:t>
      </w:r>
    </w:p>
    <w:p>
      <w:pPr>
        <w:spacing w:after="0" w:line="16" w:lineRule="exact"/>
        <w:rPr>
          <w:sz w:val="20"/>
          <w:szCs w:val="20"/>
          <w:color w:val="auto"/>
        </w:rPr>
      </w:pPr>
    </w:p>
    <w:p>
      <w:pPr>
        <w:ind w:left="4" w:right="240" w:hanging="4"/>
        <w:spacing w:after="0" w:line="253" w:lineRule="auto"/>
        <w:tabs>
          <w:tab w:leader="none" w:pos="29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the return of the Notes surrendered for conversion or (B) subsequently certify to the Company that the issuance of such shares which constitute Excess Shares would not result in a violation of the Maximum Percentage, whereupon the Company shall deliver such shares constituting Excess Shares within two (2) Trading Days following receipt of such certification and thereafter such shares shall no longer constitute Excess Shares. Until such delivery, no</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04"/>
          </w:cols>
          <w:pgMar w:left="436" w:top="270" w:right="459" w:bottom="1440" w:gutter="0" w:footer="0" w:header="0"/>
        </w:sectPr>
      </w:pPr>
    </w:p>
    <w:bookmarkStart w:id="102" w:name="page103"/>
    <w:bookmarkEnd w:id="102"/>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Person shall be deemed the holder of record of such Excess Shares. Solely for purposes of this Section 14.13, with respect to any Global Note, “Holder” shall include any beneficial owner of, or beneficial interest holder in, such Global Note and shall not be limited to the Depositary or its nominee. For purposes of clarity, the shares of Common Stock issuable to a Holder pursuant to the terms of this Indenture in excess of the Maximum Percentage shall not be deemed to be beneficially owned by such Holder for any purpose including for purposes of Section 13(d) or Rule 16a-1(a)(1) of the Exchange Act. No prior inability to convert such Notes pursuant to this paragraph shall have any effect on the applicability of the provisions of this paragraph with respect to any subsequent determination of convertibility. The provisions of this paragraph shall be construed and implemented in a manner otherwise than in strict conformity with the terms of this </w:t>
      </w:r>
      <w:r>
        <w:rPr>
          <w:rFonts w:ascii="Times New Roman" w:cs="Times New Roman" w:eastAsia="Times New Roman" w:hAnsi="Times New Roman"/>
          <w:sz w:val="18"/>
          <w:szCs w:val="18"/>
          <w:b w:val="1"/>
          <w:bCs w:val="1"/>
          <w:color w:val="auto"/>
        </w:rPr>
        <w:t>Section 14.13</w:t>
      </w:r>
      <w:r>
        <w:rPr>
          <w:rFonts w:ascii="Times New Roman" w:cs="Times New Roman" w:eastAsia="Times New Roman" w:hAnsi="Times New Roman"/>
          <w:sz w:val="18"/>
          <w:szCs w:val="18"/>
          <w:color w:val="auto"/>
        </w:rPr>
        <w:t xml:space="preserve"> to the extent necessary to correct this paragraph (or any portion of this paragraph) which may be defective or inconsistent with the intended beneficial ownership limitation contained in this </w:t>
      </w:r>
      <w:r>
        <w:rPr>
          <w:rFonts w:ascii="Times New Roman" w:cs="Times New Roman" w:eastAsia="Times New Roman" w:hAnsi="Times New Roman"/>
          <w:sz w:val="18"/>
          <w:szCs w:val="18"/>
          <w:b w:val="1"/>
          <w:bCs w:val="1"/>
          <w:color w:val="auto"/>
        </w:rPr>
        <w:t>Section 14.13</w:t>
      </w:r>
      <w:r>
        <w:rPr>
          <w:rFonts w:ascii="Times New Roman" w:cs="Times New Roman" w:eastAsia="Times New Roman" w:hAnsi="Times New Roman"/>
          <w:sz w:val="18"/>
          <w:szCs w:val="18"/>
          <w:color w:val="auto"/>
        </w:rPr>
        <w:t xml:space="preserve"> or to make changes or supplements necessary or desirable to properly give effect to such limitation. The limitation contained in this paragraph may not be waived and shall apply to a successor holder of such Notes. Neither the Trustee nor the Conversion Agent shall have any responsibility to determine the Maximum Percentage or whether the issuance of any shares results in a Holder or Attribution Party having Excess Shares or otherwise determine or monitor compliance with the terms of this </w:t>
      </w:r>
      <w:r>
        <w:rPr>
          <w:rFonts w:ascii="Times New Roman" w:cs="Times New Roman" w:eastAsia="Times New Roman" w:hAnsi="Times New Roman"/>
          <w:sz w:val="18"/>
          <w:szCs w:val="18"/>
          <w:b w:val="1"/>
          <w:bCs w:val="1"/>
          <w:color w:val="auto"/>
        </w:rPr>
        <w:t>Section 14.13</w:t>
      </w:r>
      <w:r>
        <w:rPr>
          <w:rFonts w:ascii="Times New Roman" w:cs="Times New Roman" w:eastAsia="Times New Roman" w:hAnsi="Times New Roman"/>
          <w:sz w:val="18"/>
          <w:szCs w:val="18"/>
          <w:color w:val="auto"/>
        </w:rPr>
        <w:t xml:space="preserve">. Notwithstanding anything to contrary herein, if in connection with any conversion in connection with a Notice of Redemption of a Holder’s Notes there would be Excess Shares or unconverted Notes with respect to such Holder, all such Holder’s Notes (including any unconverted Notes) subject to such conversion shall nevertheless be deemed to have been converted, discharged, satisfied and repaid in full on the applicable Conversion Date and thereafter shall not accrue any interest,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request by such Holder, such Holder shall be entitled to receive a number of shares of Common Stock equal to such Excess Shares subject to the foregoing provisions of this </w:t>
      </w:r>
      <w:r>
        <w:rPr>
          <w:rFonts w:ascii="Times New Roman" w:cs="Times New Roman" w:eastAsia="Times New Roman" w:hAnsi="Times New Roman"/>
          <w:sz w:val="18"/>
          <w:szCs w:val="18"/>
          <w:b w:val="1"/>
          <w:bCs w:val="1"/>
          <w:color w:val="auto"/>
        </w:rPr>
        <w:t>Section 14.13</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15</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EPURCHASE OF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OTES AT</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PTION OF</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OLDERS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15.01</w:t>
      </w:r>
      <w:r>
        <w:rPr>
          <w:rFonts w:ascii="Times New Roman" w:cs="Times New Roman" w:eastAsia="Times New Roman" w:hAnsi="Times New Roman"/>
          <w:sz w:val="18"/>
          <w:szCs w:val="18"/>
          <w:i w:val="1"/>
          <w:iCs w:val="1"/>
          <w:color w:val="auto"/>
        </w:rPr>
        <w:t>. [Intentionally Omitted].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15.02</w:t>
      </w:r>
      <w:r>
        <w:rPr>
          <w:rFonts w:ascii="Times New Roman" w:cs="Times New Roman" w:eastAsia="Times New Roman" w:hAnsi="Times New Roman"/>
          <w:sz w:val="18"/>
          <w:szCs w:val="18"/>
          <w:i w:val="1"/>
          <w:iCs w:val="1"/>
          <w:color w:val="auto"/>
        </w:rPr>
        <w:t>. Repurchase at Option of Holders Upon a Fundamental Change.</w:t>
      </w:r>
    </w:p>
    <w:p>
      <w:pPr>
        <w:spacing w:after="0" w:line="119" w:lineRule="exact"/>
        <w:rPr>
          <w:sz w:val="20"/>
          <w:szCs w:val="20"/>
          <w:color w:val="auto"/>
        </w:rPr>
      </w:pPr>
    </w:p>
    <w:p>
      <w:pPr>
        <w:ind w:right="140" w:firstLine="436"/>
        <w:spacing w:after="0" w:line="256" w:lineRule="auto"/>
        <w:tabs>
          <w:tab w:leader="none" w:pos="68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15.02(f), if a Fundamental Change occurs at any time, each Holder shall have the right, at such Holder’s option, to require the Company to repurchase for cash all of such Holder’s Notes, or any portion of the principal amount thereof properly surrendered and not validly withdrawn pursuant to Section 15.03 that is equal to $1,000 or an integral multiple of $1,000, on the date (the “</w:t>
      </w:r>
      <w:r>
        <w:rPr>
          <w:rFonts w:ascii="Times New Roman" w:cs="Times New Roman" w:eastAsia="Times New Roman" w:hAnsi="Times New Roman"/>
          <w:sz w:val="18"/>
          <w:szCs w:val="18"/>
          <w:b w:val="1"/>
          <w:bCs w:val="1"/>
          <w:color w:val="auto"/>
        </w:rPr>
        <w:t>Fundamental Change Repurchase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specified by the Company that is not less than 20 Business Days or more than 35 Business Days following the date of the Fundamental 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Notice at a repurchase price equal to 100% of the principal amount thereof,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thereon to, but excluding, the Fundamental Change Repurchase Date (the “</w:t>
      </w:r>
      <w:r>
        <w:rPr>
          <w:rFonts w:ascii="Times New Roman" w:cs="Times New Roman" w:eastAsia="Times New Roman" w:hAnsi="Times New Roman"/>
          <w:sz w:val="18"/>
          <w:szCs w:val="18"/>
          <w:b w:val="1"/>
          <w:bCs w:val="1"/>
          <w:color w:val="auto"/>
        </w:rPr>
        <w:t>Fundamental Change Repurchase Price</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00"/>
          </w:cols>
          <w:pgMar w:left="440" w:top="270" w:right="459" w:bottom="1440" w:gutter="0" w:footer="0" w:header="0"/>
        </w:sectPr>
      </w:pPr>
    </w:p>
    <w:bookmarkStart w:id="103" w:name="page104"/>
    <w:bookmarkEnd w:id="103"/>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the Fundamental Change Repurchase Date falls after a Regular Record Date but on or prior to the Interest Payment Date to which such Regular Record Date relates, in which case the Company shall instead pay the full amount of accrued and unpaid interest to Holders of record as of the close of business on such Regular Record Date on, or at the Company’s election, before such Interest Payment Date, and the Fundamental Change Repurchase Price shall be equal to 100% of the principal amount of Notes to be repurchased pursuant to this Article 15).</w:t>
      </w:r>
    </w:p>
    <w:p>
      <w:pPr>
        <w:spacing w:after="0" w:line="72" w:lineRule="exact"/>
        <w:rPr>
          <w:sz w:val="20"/>
          <w:szCs w:val="20"/>
          <w:color w:val="auto"/>
        </w:rPr>
      </w:pPr>
    </w:p>
    <w:p>
      <w:pPr>
        <w:ind w:left="700" w:hanging="264"/>
        <w:spacing w:after="0"/>
        <w:tabs>
          <w:tab w:leader="none" w:pos="7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Notes under this Section 15.02 shall be made, at the option of the Holder thereof, upon:</w:t>
      </w:r>
    </w:p>
    <w:p>
      <w:pPr>
        <w:spacing w:after="0" w:line="113" w:lineRule="exact"/>
        <w:rPr>
          <w:rFonts w:ascii="Times New Roman" w:cs="Times New Roman" w:eastAsia="Times New Roman" w:hAnsi="Times New Roman"/>
          <w:sz w:val="18"/>
          <w:szCs w:val="18"/>
          <w:color w:val="auto"/>
        </w:rPr>
      </w:pPr>
    </w:p>
    <w:p>
      <w:pPr>
        <w:ind w:left="440" w:right="20" w:firstLine="419"/>
        <w:spacing w:after="0" w:line="262" w:lineRule="auto"/>
        <w:tabs>
          <w:tab w:leader="none" w:pos="1078"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to the Paying Agent by a Holder of a duly completed notice (the “</w:t>
      </w:r>
      <w:r>
        <w:rPr>
          <w:rFonts w:ascii="Times New Roman" w:cs="Times New Roman" w:eastAsia="Times New Roman" w:hAnsi="Times New Roman"/>
          <w:sz w:val="18"/>
          <w:szCs w:val="18"/>
          <w:b w:val="1"/>
          <w:bCs w:val="1"/>
          <w:color w:val="auto"/>
        </w:rPr>
        <w:t>Fundamental Change Repurchase Notice</w:t>
      </w:r>
      <w:r>
        <w:rPr>
          <w:rFonts w:ascii="Times New Roman" w:cs="Times New Roman" w:eastAsia="Times New Roman" w:hAnsi="Times New Roman"/>
          <w:sz w:val="18"/>
          <w:szCs w:val="18"/>
          <w:color w:val="auto"/>
        </w:rPr>
        <w:t>”) in the form set forth in Attachment 2 to the Form of Note attached hereto as Exhibit A, if the Notes are Physical Notes, or in compliance with the Depositary’s applicable procedures for surrendering interests in Global Notes, if the Notes are Global Notes, in each case, on or before the close of business on the Business Day immediately preceding the Fundamental Change Repurchase Date; and</w:t>
      </w:r>
    </w:p>
    <w:p>
      <w:pPr>
        <w:spacing w:after="0" w:line="72" w:lineRule="exact"/>
        <w:rPr>
          <w:rFonts w:ascii="Times New Roman" w:cs="Times New Roman" w:eastAsia="Times New Roman" w:hAnsi="Times New Roman"/>
          <w:sz w:val="18"/>
          <w:szCs w:val="18"/>
          <w:color w:val="auto"/>
        </w:rPr>
      </w:pPr>
    </w:p>
    <w:p>
      <w:pPr>
        <w:ind w:left="440" w:firstLine="419"/>
        <w:spacing w:after="0" w:line="261" w:lineRule="auto"/>
        <w:tabs>
          <w:tab w:leader="none" w:pos="1128"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the Notes, if the Notes are Physical Notes, to the Paying Agent at any time after delivery of the Fundamental Change Repurchase Notice (together with all necessary endorsements for transfer) at the Corporate Trust Office of the Paying Agent, or book-entry transfer of the Notes, if the Notes are Global Notes, in compliance with the applicable procedures of the Depositary, in each case, such delivery or transfer being a condition to receipt by the Holder of the Fundamental Change Repurchase Price therefor.</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Fundamental Change Repurchase Notice in respect of any Physical Notes to be repurchased shall state:</w:t>
      </w:r>
    </w:p>
    <w:p>
      <w:pPr>
        <w:spacing w:after="0" w:line="117" w:lineRule="exact"/>
        <w:rPr>
          <w:sz w:val="20"/>
          <w:szCs w:val="20"/>
          <w:color w:val="auto"/>
        </w:rPr>
      </w:pPr>
    </w:p>
    <w:p>
      <w:pPr>
        <w:ind w:left="1080" w:hanging="221"/>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numbers of the Notes to be delivered for repurchase;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of Notes to be repurchased, which must be $1,000 or an integral multiple thereof; and</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Notes are to be repurchased by the Company pursuant to the applicable provisions of the Notes and this Indenture.</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If the Notes are Global Notes, to exercise the Fundamental Change repurchase right, Holders must surrender their Notes in accordance with applicable Depositary procedures.</w:t>
      </w:r>
    </w:p>
    <w:p>
      <w:pPr>
        <w:spacing w:after="0" w:line="162"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Notwithstanding anything herein to the contrary, any Holder delivering to the Paying Agent the Fundamental Change Repurchase Notice contemplated by this Section 15.02 shall have the right to withdraw, in whole or in part, such Fundamental Change Repurchase Notice at any time prior to the close of business on the Business Day immediately preceding the Fundamental Change Repurchase Date by delivery of a written notice of withdrawal to the Paying Agent in accordance with Section 15.03.</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0940"/>
          </w:cols>
          <w:pgMar w:left="440" w:top="270" w:right="519" w:bottom="1440" w:gutter="0" w:footer="0" w:header="0"/>
        </w:sectPr>
      </w:pPr>
    </w:p>
    <w:bookmarkStart w:id="104" w:name="page105"/>
    <w:bookmarkEnd w:id="104"/>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Paying Agent shall promptly notify the Company of the receipt by it of any Fundamental Change Repurchase Notice or written notice of withdrawal thereof.</w:t>
      </w:r>
    </w:p>
    <w:p>
      <w:pPr>
        <w:spacing w:after="0" w:line="54" w:lineRule="exact"/>
        <w:rPr>
          <w:sz w:val="20"/>
          <w:szCs w:val="20"/>
          <w:color w:val="auto"/>
        </w:rPr>
      </w:pPr>
    </w:p>
    <w:p>
      <w:pPr>
        <w:ind w:right="20" w:firstLine="436"/>
        <w:spacing w:after="0" w:line="255" w:lineRule="auto"/>
        <w:tabs>
          <w:tab w:leader="none" w:pos="68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the 20th Business Day after the occurrence of the effective date of a Fundamental Change, the Company shall provide to all Holders and the Trustee, the Conversion Agent (if other than the Trustee) and the Paying Agent (if other than the Trustee) a notice (the “</w:t>
      </w:r>
      <w:r>
        <w:rPr>
          <w:rFonts w:ascii="Times New Roman" w:cs="Times New Roman" w:eastAsia="Times New Roman" w:hAnsi="Times New Roman"/>
          <w:sz w:val="18"/>
          <w:szCs w:val="18"/>
          <w:b w:val="1"/>
          <w:bCs w:val="1"/>
          <w:color w:val="auto"/>
        </w:rPr>
        <w:t>Fundamental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Change Company Notice</w:t>
      </w:r>
      <w:r>
        <w:rPr>
          <w:rFonts w:ascii="Times New Roman" w:cs="Times New Roman" w:eastAsia="Times New Roman" w:hAnsi="Times New Roman"/>
          <w:sz w:val="18"/>
          <w:szCs w:val="18"/>
          <w:color w:val="auto"/>
        </w:rPr>
        <w:t>”) of the occurrence of the effective date of the Fundamental Change and of the resulting repurchase right at the option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arising as a result thereof. In the case of Physical Notes, such notice shall be delivered by first class mail or, in the case of Global Notes, such notice shall be delivered in accordance with the applicable procedures of the Depositary. Simultaneously with providing such notice, the Company shall publicly disclose through a press release or such other public medium as the Company may regularly use for wide dissemination of material information at that time. Each Fundamental Change Company Notice shall specify:</w:t>
      </w:r>
    </w:p>
    <w:p>
      <w:pPr>
        <w:spacing w:after="0" w:line="80"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events causing the Fundamental Change;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of the Fundamental Change;</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date on which a Holder may exercise the repurchase right pursuant to this Article 15;</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Fundamental Change Repurchase Price;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Fundamental Change Repurchase Date;</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 and the Conversion Agent, if applicable;</w:t>
      </w:r>
    </w:p>
    <w:p>
      <w:pPr>
        <w:spacing w:after="0" w:line="117" w:lineRule="exact"/>
        <w:rPr>
          <w:rFonts w:ascii="Times New Roman" w:cs="Times New Roman" w:eastAsia="Times New Roman" w:hAnsi="Times New Roman"/>
          <w:sz w:val="18"/>
          <w:szCs w:val="18"/>
          <w:color w:val="auto"/>
        </w:rPr>
      </w:pPr>
    </w:p>
    <w:p>
      <w:pPr>
        <w:ind w:left="440" w:firstLine="419"/>
        <w:spacing w:after="0" w:line="282" w:lineRule="auto"/>
        <w:tabs>
          <w:tab w:leader="none" w:pos="1218"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Conversion Rate and any adjustments to the Conversion Rate as a result of the Fundamental Change (or related Make-Whole Fundamental Change);</w:t>
      </w:r>
    </w:p>
    <w:p>
      <w:pPr>
        <w:spacing w:after="0" w:line="53"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268"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Notes with respect to which a Fundamental Change Repurchase Notice has been delivered by a Holder may be converted only if the Holder validly withdraws the Fundamental Change Repurchase Notice in accordance with the terms of this Indenture; and</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that Holders must follow to require the Company to repurchase their Notes.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0980"/>
          </w:cols>
          <w:pgMar w:left="440" w:top="270" w:right="479" w:bottom="1440" w:gutter="0" w:footer="0" w:header="0"/>
        </w:sectPr>
      </w:pPr>
    </w:p>
    <w:bookmarkStart w:id="105" w:name="page106"/>
    <w:bookmarkEnd w:id="105"/>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failure of the Company to give the foregoing notices and no defect therein shall limit the Holders’ repurchase rights or affect the validity of the proceedings for the repurchase of the Notes pursuant to this Section 15.02.</w:t>
      </w:r>
    </w:p>
    <w:p>
      <w:pPr>
        <w:spacing w:after="0" w:line="162" w:lineRule="exact"/>
        <w:rPr>
          <w:sz w:val="20"/>
          <w:szCs w:val="20"/>
          <w:color w:val="auto"/>
        </w:rPr>
      </w:pPr>
    </w:p>
    <w:p>
      <w:pPr>
        <w:ind w:right="4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At the Company’s written request given at least five (5) Business Days before such notice is to be sent (or such shorter period as shall be acceptable to the Trustee), the Trustee shall give such notice in the Company’s name and at the Company’s expense;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all cases, the text of such Fundamental Change Company Notice shall be prepared by the Company.</w:t>
      </w:r>
    </w:p>
    <w:p>
      <w:pPr>
        <w:spacing w:after="0" w:line="68" w:lineRule="exact"/>
        <w:rPr>
          <w:sz w:val="20"/>
          <w:szCs w:val="20"/>
          <w:color w:val="auto"/>
        </w:rPr>
      </w:pPr>
    </w:p>
    <w:p>
      <w:pPr>
        <w:ind w:right="260" w:firstLine="436"/>
        <w:spacing w:after="0" w:line="258" w:lineRule="auto"/>
        <w:tabs>
          <w:tab w:leader="none" w:pos="69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Article 15, the Company shall not be required to repurchase, or to make an offer to repurchase, the Notes upon a Fundamental Change if a third party makes such an offer in the same manner, at the same time and otherwise in compliance with the requirements for an offer made by the Company as set forth in this Article 15 and such third party purchases all Notes properly surrendered and not validly withdrawn under its offer in the same manner, at the same time and otherwise in compliance with the requirements for an offer made by the Company as set forth above.</w:t>
      </w:r>
    </w:p>
    <w:p>
      <w:pPr>
        <w:spacing w:after="0" w:line="75" w:lineRule="exact"/>
        <w:rPr>
          <w:rFonts w:ascii="Times New Roman" w:cs="Times New Roman" w:eastAsia="Times New Roman" w:hAnsi="Times New Roman"/>
          <w:sz w:val="18"/>
          <w:szCs w:val="18"/>
          <w:color w:val="auto"/>
        </w:rPr>
      </w:pPr>
    </w:p>
    <w:p>
      <w:pPr>
        <w:ind w:right="180" w:firstLine="436"/>
        <w:spacing w:after="0" w:line="254" w:lineRule="auto"/>
        <w:tabs>
          <w:tab w:leader="none" w:pos="68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no Notes may be repurchased by the Company on any date at the option of the Holders upon a Fundamental Change if the principal amount of the Notes has been accelerated, and such acceleration has not been rescinded, on or prior to such date (except in the case of an acceleration resulting from a Default by the Company in the payment of the Fundamental Change Repurchase Price with respect to such Notes). The Paying Agent will promptly return to the respective Holders thereof any Physical Notes held by it during the acceleration of the Notes (except in the case of an acceleration resulting from a Default by the Company in the payment of the Fundamental Change Repurchase Price with respect to such Notes), or any instructions for book-entry transfer of the Notes in compliance with the applicable procedures of the Depositary shall be deemed to have been cancelled, and, upon such return or cancellation, as the case may be, the Fundamental Change Repurchase Notice with respect thereto shall be deemed to have been withdrawn.</w:t>
      </w:r>
    </w:p>
    <w:p>
      <w:pPr>
        <w:spacing w:after="0" w:line="83" w:lineRule="exact"/>
        <w:rPr>
          <w:rFonts w:ascii="Times New Roman" w:cs="Times New Roman" w:eastAsia="Times New Roman" w:hAnsi="Times New Roman"/>
          <w:sz w:val="18"/>
          <w:szCs w:val="18"/>
          <w:color w:val="auto"/>
        </w:rPr>
      </w:pPr>
    </w:p>
    <w:p>
      <w:pPr>
        <w:ind w:right="220" w:firstLine="436"/>
        <w:spacing w:after="0" w:line="254" w:lineRule="auto"/>
        <w:tabs>
          <w:tab w:leader="none" w:pos="66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Section 15.02, the Company shall not be required to send a Fundamental Change Company Notice, or offer to repurchase or repurchase any Notes, as set forth in this Article 15, in connection with a Fundamental Change occurring pursuant to clause (b)(A) or (B) of the definition thereof, if: (i) such Fundamental Change constitutes a Share Exchange Event whose Reference Property consists entirely of cash in U.S. dollars; (ii) immediately after such Fundamental Change, the Notes become convertible (pursuant to Section 14.07 and, if applicable, Section 14.03) into consideration that consists solely of U.S. dollars in an amount per $1,000 principal amount of Notes that equals or exceeds the Fundamental Change Repurchase Price per $1,000 principal amount of Notes (calculated assuming that the same includes the maximum amount of accrued but unpaid interest payable as part of the Fundamental Change Repurchase Price for such Fundamental Change); and (iii) the Company timely sends the notice relating to such Fundamental Change required pursuant to Section 14.01(b)(iii). Any Fundamental Change with respect to which, in accordance with the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00"/>
          </w:cols>
          <w:pgMar w:left="440" w:top="270" w:right="459" w:bottom="1440" w:gutter="0" w:footer="0" w:header="0"/>
        </w:sectPr>
      </w:pPr>
    </w:p>
    <w:bookmarkStart w:id="106" w:name="page107"/>
    <w:bookmarkEnd w:id="106"/>
    <w:p>
      <w:pPr>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provisions described in this Section 15.02(f), the Company does not offer to repurchase any Notes is referred to as herein as an “</w:t>
      </w:r>
      <w:r>
        <w:rPr>
          <w:rFonts w:ascii="Times New Roman" w:cs="Times New Roman" w:eastAsia="Times New Roman" w:hAnsi="Times New Roman"/>
          <w:sz w:val="18"/>
          <w:szCs w:val="18"/>
          <w:b w:val="1"/>
          <w:bCs w:val="1"/>
          <w:color w:val="auto"/>
        </w:rPr>
        <w:t>Exempted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Fundamental Change</w:t>
      </w:r>
      <w:r>
        <w:rPr>
          <w:rFonts w:ascii="Times New Roman" w:cs="Times New Roman" w:eastAsia="Times New Roman" w:hAnsi="Times New Roman"/>
          <w:sz w:val="18"/>
          <w:szCs w:val="18"/>
          <w:color w:val="auto"/>
        </w:rPr>
        <w:t>.” For the avoidance of doubt, the maximum amount of accrued interest referred to in clause (ii) above will be determined (A)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assuming that the Fundamental Change Repurchase Date occurs on the latest possible date permitted for the applicable Fundamental Change pursuant to the provisions of this Section 15.02; and (ii) without regard to the parenthetical in Section 15.02(a) relating to a Fundamental Change Repurchase Date that falls after an Interest Record Date and prior to the corresponding Interest Payment Date.</w:t>
      </w:r>
    </w:p>
    <w:p>
      <w:pPr>
        <w:spacing w:after="0" w:line="181"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Section 15.03</w:t>
      </w:r>
      <w:r>
        <w:rPr>
          <w:rFonts w:ascii="Times New Roman" w:cs="Times New Roman" w:eastAsia="Times New Roman" w:hAnsi="Times New Roman"/>
          <w:sz w:val="18"/>
          <w:szCs w:val="18"/>
          <w:i w:val="1"/>
          <w:iCs w:val="1"/>
          <w:color w:val="auto"/>
        </w:rPr>
        <w:t>. Withdrawal of Fundamental Change Repurchase Notice.</w:t>
      </w:r>
      <w:r>
        <w:rPr>
          <w:rFonts w:ascii="Times New Roman" w:cs="Times New Roman" w:eastAsia="Times New Roman" w:hAnsi="Times New Roman"/>
          <w:sz w:val="18"/>
          <w:szCs w:val="18"/>
          <w:color w:val="auto"/>
        </w:rPr>
        <w:t xml:space="preserve"> (a) A Fundamental Change Repurchase Notice may be withdrawn (in whole or in part) in respect of Physical Notes by means of a written notice of withdrawal delivered to the Corporate Trust Office of the Paying Agent in accordance with this Section 15.03 at any time prior to the close of business on the Business Day immediately preceding the Fundamental Change Repurchase Date, specifying:</w:t>
      </w:r>
    </w:p>
    <w:p>
      <w:pPr>
        <w:spacing w:after="0" w:line="74" w:lineRule="exact"/>
        <w:rPr>
          <w:sz w:val="20"/>
          <w:szCs w:val="20"/>
          <w:color w:val="auto"/>
        </w:rPr>
      </w:pPr>
    </w:p>
    <w:p>
      <w:pPr>
        <w:ind w:left="440" w:right="540" w:firstLine="419"/>
        <w:spacing w:after="0" w:line="282" w:lineRule="auto"/>
        <w:tabs>
          <w:tab w:leader="none" w:pos="107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Notes with respect to which such notice of withdrawal is being submitted, which must be $1,000 or an integral multiple thereof,</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number of the Note in respect of which such notice of withdrawal is being submitted, and</w:t>
      </w:r>
    </w:p>
    <w:p>
      <w:pPr>
        <w:spacing w:after="0" w:line="117" w:lineRule="exact"/>
        <w:rPr>
          <w:rFonts w:ascii="Times New Roman" w:cs="Times New Roman" w:eastAsia="Times New Roman" w:hAnsi="Times New Roman"/>
          <w:sz w:val="18"/>
          <w:szCs w:val="18"/>
          <w:color w:val="auto"/>
        </w:rPr>
      </w:pPr>
    </w:p>
    <w:p>
      <w:pPr>
        <w:ind w:left="440" w:right="200" w:firstLine="419"/>
        <w:spacing w:after="0" w:line="282" w:lineRule="auto"/>
        <w:tabs>
          <w:tab w:leader="none" w:pos="117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if any, of such Note that remains subject to the original Fundamental Change Repurchase Notice, which portion must be in principal amounts of $1,000 or an integral multiple of $1,000;</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If the Notes are Global Notes, Holders must withdraw their Notes subject to repurchase at any time prior to the close of business on the Business Day immediately preceding the Fundamental Change Repurchase Date in accordance with applicable procedures of the Depositary.</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15.04</w:t>
      </w:r>
      <w:r>
        <w:rPr>
          <w:rFonts w:ascii="Times New Roman" w:cs="Times New Roman" w:eastAsia="Times New Roman" w:hAnsi="Times New Roman"/>
          <w:sz w:val="18"/>
          <w:szCs w:val="18"/>
          <w:i w:val="1"/>
          <w:iCs w:val="1"/>
          <w:color w:val="auto"/>
        </w:rPr>
        <w:t>. Deposit of Fundamental Change Repurchase Price.</w:t>
      </w:r>
      <w:r>
        <w:rPr>
          <w:rFonts w:ascii="Times New Roman" w:cs="Times New Roman" w:eastAsia="Times New Roman" w:hAnsi="Times New Roman"/>
          <w:sz w:val="18"/>
          <w:szCs w:val="18"/>
          <w:color w:val="auto"/>
        </w:rPr>
        <w:t xml:space="preserve"> (a) The Company will deposit with the Trustee (or other Paying Agent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appointed by the Company, or if the Company is acting as its own Paying Agent, set aside, segregate and hold in trust as provided in Section 4.04) 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11:00 a.m., New York City time, on the Fundamental Change Repurchase Date an amount of money sufficient to repurchase all of the Notes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 repurchased at the appropriate Fundamental Change Repurchase Price. Subject to receipt of funds and/or Notes by the Trustee (or other Paying Agent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appointed by the Company), payment for Notes surrendered for repurchase (and not validly withdrawn prior to the close of business on the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 immediately preceding the Fundamental Change Repurchase Date) will be made on the later of (i) the Fundamental Change Repurchase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 Holder has satisfied the conditions in Section 15.02) and (ii) the time of book-entry transfer or the delivery of such Note to the Trustee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Paying Agent appointed by the Company) by the Holder thereof in the manner required by Section 15.02 by mailing checks for the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payable to the Holders of such Notes entitled thereto as they shall appear in the Note Register;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payments to the Depositary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 made by wire transfer of immediately available funds to the account of the Depositary or its nominee. The Trustee shall, promptly after such payment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upon written demand by the Company, return to the Company any funds in excess of the Fundamental Change Repurchase Price.</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0980"/>
          </w:cols>
          <w:pgMar w:left="440" w:top="266" w:right="479" w:bottom="1440" w:gutter="0" w:footer="0" w:header="0"/>
        </w:sectPr>
      </w:pPr>
    </w:p>
    <w:bookmarkStart w:id="107" w:name="page108"/>
    <w:bookmarkEnd w:id="107"/>
    <w:p>
      <w:pPr>
        <w:ind w:right="60" w:firstLine="436"/>
        <w:spacing w:after="0" w:line="254" w:lineRule="auto"/>
        <w:tabs>
          <w:tab w:leader="none" w:pos="69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by 11:00 a.m. New York City time, on the Fundamental Change Repurchase Date, the Trustee (or other Paying Agent appointed by the Company) holds money sufficient to pay the Fundamental Change Repurchase Price (and, to the extent not included in the Fundamental Change Repurchase Price, accrued and unpaid interest, if applicable) of the Notes to be repurchased on such Fundamental Change Repurchase Date, then, with respect to the Notes that have been properly surrendered for repurchase and have not been validly withdrawn, (i) such Notes will cease to be outstanding, (ii) interest will cease to accrue on such Notes (whether or not book-entry transfer of the Notes has been made or whether or not the Notes have been delivered to the Trustee or Paying Agent) and (iii) all other rights of the Holders of such Notes will terminate (other than the right to receive the Fundamental Change Repurchase Price and, to the extent not included in the Fundamental Change Repurchase Price, accrued and unpaid interest, if applicable).</w:t>
      </w:r>
    </w:p>
    <w:p>
      <w:pPr>
        <w:spacing w:after="0" w:line="83" w:lineRule="exact"/>
        <w:rPr>
          <w:rFonts w:ascii="Times New Roman" w:cs="Times New Roman" w:eastAsia="Times New Roman" w:hAnsi="Times New Roman"/>
          <w:sz w:val="18"/>
          <w:szCs w:val="18"/>
          <w:color w:val="auto"/>
        </w:rPr>
      </w:pPr>
    </w:p>
    <w:p>
      <w:pPr>
        <w:ind w:right="300" w:firstLine="436"/>
        <w:spacing w:after="0" w:line="266" w:lineRule="auto"/>
        <w:tabs>
          <w:tab w:leader="none" w:pos="68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surrender of a Note that is to be repurchased in part pursuant to Section 15.02, the Company shall execute and the Trustee shall authenticate and deliver to the Holder a new Note in an authorized denomination equal in principal amount to the unrepurchased portion of the Note surrendered.</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15.05. </w:t>
      </w:r>
      <w:r>
        <w:rPr>
          <w:rFonts w:ascii="Times New Roman" w:cs="Times New Roman" w:eastAsia="Times New Roman" w:hAnsi="Times New Roman"/>
          <w:sz w:val="18"/>
          <w:szCs w:val="18"/>
          <w:i w:val="1"/>
          <w:iCs w:val="1"/>
          <w:color w:val="auto"/>
        </w:rPr>
        <w:t>Covenant to Comply with Applicable Laws Upon Repurchase of Notes</w:t>
      </w:r>
      <w:r>
        <w:rPr>
          <w:rFonts w:ascii="Times New Roman" w:cs="Times New Roman" w:eastAsia="Times New Roman" w:hAnsi="Times New Roman"/>
          <w:sz w:val="18"/>
          <w:szCs w:val="18"/>
          <w:color w:val="auto"/>
        </w:rPr>
        <w:t>. In connection with any repurchase offer upon 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Fundamental Change pursuant to this Article 15, the Company will, if required:</w:t>
      </w:r>
    </w:p>
    <w:p>
      <w:pPr>
        <w:spacing w:after="0" w:line="99" w:lineRule="exact"/>
        <w:rPr>
          <w:sz w:val="20"/>
          <w:szCs w:val="20"/>
          <w:color w:val="auto"/>
        </w:rPr>
      </w:pPr>
    </w:p>
    <w:p>
      <w:pPr>
        <w:ind w:left="680" w:hanging="244"/>
        <w:spacing w:after="0"/>
        <w:tabs>
          <w:tab w:leader="none" w:pos="6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tender offer rules under the Exchange Act that may then be applicable;</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 Schedule TO or any other required schedule under the Exchange Act; and</w:t>
      </w:r>
    </w:p>
    <w:p>
      <w:pPr>
        <w:spacing w:after="0" w:line="117" w:lineRule="exact"/>
        <w:rPr>
          <w:rFonts w:ascii="Times New Roman" w:cs="Times New Roman" w:eastAsia="Times New Roman" w:hAnsi="Times New Roman"/>
          <w:sz w:val="18"/>
          <w:szCs w:val="18"/>
          <w:color w:val="auto"/>
        </w:rPr>
      </w:pPr>
    </w:p>
    <w:p>
      <w:pPr>
        <w:ind w:right="80" w:firstLine="436"/>
        <w:spacing w:after="0" w:line="282" w:lineRule="auto"/>
        <w:tabs>
          <w:tab w:leader="none" w:pos="68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comply in all material respects with all federal and state securities laws in connection with any offer by the Company to repurchase the Notes;</w:t>
      </w:r>
    </w:p>
    <w:p>
      <w:pPr>
        <w:spacing w:after="0" w:line="162"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in each case, so as to permit the rights and obligations under this Article 15 to be exercised in the time and in the manner specified in this Article 15.</w:t>
      </w:r>
    </w:p>
    <w:p>
      <w:pPr>
        <w:spacing w:after="0" w:line="23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To the extent that the provisions of any securities laws or regulations enacted or adopted after the date of this Indenture conflict with the provisions of this Indenture relating to the Company’s obligations to repurchase the Notes upon a Fundamental Change, the Company shall comply with such securities laws and regulations and shall not be deemed to have breached its obligations under such provisions of this Indenture by virtue of such conflict.</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0960"/>
          </w:cols>
          <w:pgMar w:left="440" w:top="270" w:right="499" w:bottom="1440" w:gutter="0" w:footer="0" w:header="0"/>
        </w:sectPr>
      </w:pPr>
    </w:p>
    <w:bookmarkStart w:id="108" w:name="page109"/>
    <w:bookmarkEnd w:id="108"/>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16</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4"/>
          <w:szCs w:val="14"/>
          <w:color w:val="auto"/>
        </w:rPr>
        <w:t>PTIONAL</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EDEMPTION</w:t>
      </w:r>
    </w:p>
    <w:p>
      <w:pPr>
        <w:spacing w:after="0" w:line="205"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16.01. </w:t>
      </w:r>
      <w:r>
        <w:rPr>
          <w:rFonts w:ascii="Times New Roman" w:cs="Times New Roman" w:eastAsia="Times New Roman" w:hAnsi="Times New Roman"/>
          <w:sz w:val="18"/>
          <w:szCs w:val="18"/>
          <w:i w:val="1"/>
          <w:iCs w:val="1"/>
          <w:color w:val="auto"/>
        </w:rPr>
        <w:t>Optional Redemption</w:t>
      </w:r>
      <w:r>
        <w:rPr>
          <w:rFonts w:ascii="Times New Roman" w:cs="Times New Roman" w:eastAsia="Times New Roman" w:hAnsi="Times New Roman"/>
          <w:sz w:val="18"/>
          <w:szCs w:val="18"/>
          <w:color w:val="auto"/>
        </w:rPr>
        <w:t>. No sinking fund is provided for the Notes. The Notes shall not be redeemable by the Company prior to June 20, 2029. The Company may, at its option, redeem (an “</w:t>
      </w:r>
      <w:r>
        <w:rPr>
          <w:rFonts w:ascii="Times New Roman" w:cs="Times New Roman" w:eastAsia="Times New Roman" w:hAnsi="Times New Roman"/>
          <w:sz w:val="18"/>
          <w:szCs w:val="18"/>
          <w:b w:val="1"/>
          <w:bCs w:val="1"/>
          <w:color w:val="auto"/>
        </w:rPr>
        <w:t>Optional Redemption</w:t>
      </w:r>
      <w:r>
        <w:rPr>
          <w:rFonts w:ascii="Times New Roman" w:cs="Times New Roman" w:eastAsia="Times New Roman" w:hAnsi="Times New Roman"/>
          <w:sz w:val="18"/>
          <w:szCs w:val="18"/>
          <w:color w:val="auto"/>
        </w:rPr>
        <w:t>”) for cash all or any portion of the Notes (subject to the Partial Redemption Limitation), on a Redemption Date on or after June 20, 2029, at the Redemption Price, if the Last Reported Sale Price of the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the Notice of Redemption in accordance with Section 16.02.</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16.02 </w:t>
      </w:r>
      <w:r>
        <w:rPr>
          <w:rFonts w:ascii="Times New Roman" w:cs="Times New Roman" w:eastAsia="Times New Roman" w:hAnsi="Times New Roman"/>
          <w:sz w:val="18"/>
          <w:szCs w:val="18"/>
          <w:i w:val="1"/>
          <w:iCs w:val="1"/>
          <w:color w:val="auto"/>
        </w:rPr>
        <w:t>Notice of Optional Redemption; Selection of Notes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In case the Company exercises its Optional Redemption right to redeem all or, as the case may be, any part of the Notes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16.01, it shall fix a date for redemption (each, a “</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and it or, at its written request received by the Trustee not less than five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Business Days prior to the date such Notice of Redemption is to be sent (or such shorter period of time as may be acceptable to the Trustee), the Trustee,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name of and at the expense of the Company, shall deliver or cause to be delivered a written notice of such Optional Redemption (a “</w:t>
      </w:r>
      <w:r>
        <w:rPr>
          <w:rFonts w:ascii="Times New Roman" w:cs="Times New Roman" w:eastAsia="Times New Roman" w:hAnsi="Times New Roman"/>
          <w:sz w:val="18"/>
          <w:szCs w:val="18"/>
          <w:b w:val="1"/>
          <w:bCs w:val="1"/>
          <w:color w:val="auto"/>
        </w:rPr>
        <w:t>Notice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w:t>
      </w:r>
      <w:r>
        <w:rPr>
          <w:rFonts w:ascii="Times New Roman" w:cs="Times New Roman" w:eastAsia="Times New Roman" w:hAnsi="Times New Roman"/>
          <w:sz w:val="18"/>
          <w:szCs w:val="18"/>
          <w:color w:val="auto"/>
        </w:rPr>
        <w:t>”) not less than 30 nor more than 50 Scheduled Trading Days prior to the Redemption Date to each Holder; provided, however, that, if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shall give such notice, it shall also give written notice of the Redemption Date to the Trustee, the Paying Agent (if other than the Trustee)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Conversion Agent (if other than the Trustee); provided further that if, in accordance with the provisions of Section 14.02(a)(iii), the Company elects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delivery of a Settlement Notice to settle all conversions of Called Notes with a Conversion Date that occurs during the related Redemption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by Physical Settlement, then the Company may instead elect to choose a Redemption Date that is a Business Day not less than 15 calendar days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 more than 50 Scheduled Trading Days after the date the Company sends such Notice of Redemption. The Redemption Date set forth in the relevant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of Redemption must be a day that is scheduled to be a Business Day as of the date of such Notice of Redemption, and the Company may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specify a Redemption Date that falls on or after the 26th Scheduled Trading Day immediately preceding the Maturity Date.</w:t>
      </w:r>
    </w:p>
    <w:p>
      <w:pPr>
        <w:spacing w:after="0" w:line="99" w:lineRule="exact"/>
        <w:rPr>
          <w:sz w:val="20"/>
          <w:szCs w:val="20"/>
          <w:color w:val="auto"/>
        </w:rPr>
      </w:pPr>
    </w:p>
    <w:p>
      <w:pPr>
        <w:ind w:firstLine="436"/>
        <w:spacing w:after="0" w:line="266" w:lineRule="auto"/>
        <w:tabs>
          <w:tab w:leader="none" w:pos="69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of Redemption, if delivered in the manner herein provided, shall be conclusively presumed to have been duly given, whether or not the Holder receives such notice. In any case, failure to give such Notice of Redemption or any defect in the Notice of Redemption to the Holder of any Note designated for redemption as a whole or in part shall not affect the validity of the proceedings for the redemption of any other Note.</w:t>
      </w:r>
    </w:p>
    <w:p>
      <w:pPr>
        <w:spacing w:after="0" w:line="67"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Notice of Redemption shall specify:</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0980"/>
          </w:cols>
          <w:pgMar w:left="440" w:top="270" w:right="479" w:bottom="1440" w:gutter="0" w:footer="0" w:header="0"/>
        </w:sectPr>
      </w:pPr>
    </w:p>
    <w:bookmarkStart w:id="109" w:name="page110"/>
    <w:bookmarkEnd w:id="109"/>
    <w:p>
      <w:pPr>
        <w:ind w:left="1120" w:hanging="261"/>
        <w:spacing w:after="0"/>
        <w:tabs>
          <w:tab w:leader="none" w:pos="11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Redemption Price;</w:t>
      </w:r>
    </w:p>
    <w:p>
      <w:pPr>
        <w:spacing w:after="0" w:line="117" w:lineRule="exact"/>
        <w:rPr>
          <w:rFonts w:ascii="Times New Roman" w:cs="Times New Roman" w:eastAsia="Times New Roman" w:hAnsi="Times New Roman"/>
          <w:sz w:val="18"/>
          <w:szCs w:val="18"/>
          <w:color w:val="auto"/>
        </w:rPr>
      </w:pPr>
    </w:p>
    <w:p>
      <w:pPr>
        <w:ind w:left="440" w:right="400" w:firstLine="419"/>
        <w:spacing w:after="0" w:line="282" w:lineRule="auto"/>
        <w:tabs>
          <w:tab w:leader="none" w:pos="117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on the Redemption Date, the Redemption Price will become due and payable upon each Note to be redeemed, and that interest thereon, if any, shall cease to accrue on and after payment of the Redemption Price in full on the Redemption Date;</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such Notes are to be surrendered for payment of the Redemption Price;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of Called Notes may surrender such Notes for conversion at any time during the related Redemption Period;</w:t>
      </w:r>
    </w:p>
    <w:p>
      <w:pPr>
        <w:spacing w:after="0" w:line="117"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6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a converting Holder must follow to convert its Called Notes and the Settlement Method and Specified Dollar Amount, if applicable;</w:t>
      </w:r>
    </w:p>
    <w:p>
      <w:pPr>
        <w:spacing w:after="0" w:line="53" w:lineRule="exact"/>
        <w:rPr>
          <w:rFonts w:ascii="Times New Roman" w:cs="Times New Roman" w:eastAsia="Times New Roman" w:hAnsi="Times New Roman"/>
          <w:sz w:val="18"/>
          <w:szCs w:val="18"/>
          <w:color w:val="auto"/>
        </w:rPr>
      </w:pPr>
    </w:p>
    <w:p>
      <w:pPr>
        <w:ind w:left="1220" w:hanging="361"/>
        <w:spacing w:after="0"/>
        <w:tabs>
          <w:tab w:leader="none" w:pos="12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Rate and, if applicable, the number of Additional Shares added to the Conversion Rate in accordance with</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14.03;</w:t>
      </w:r>
    </w:p>
    <w:p>
      <w:pPr>
        <w:spacing w:after="0" w:line="99" w:lineRule="exact"/>
        <w:rPr>
          <w:sz w:val="20"/>
          <w:szCs w:val="20"/>
          <w:color w:val="auto"/>
        </w:rPr>
      </w:pPr>
    </w:p>
    <w:p>
      <w:pPr>
        <w:ind w:left="1260" w:hanging="401"/>
        <w:spacing w:after="0"/>
        <w:tabs>
          <w:tab w:leader="none" w:pos="12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ISIN or other similar numbers, if any, assigned to such Notes; and</w:t>
      </w:r>
    </w:p>
    <w:p>
      <w:pPr>
        <w:spacing w:after="0" w:line="117" w:lineRule="exact"/>
        <w:rPr>
          <w:rFonts w:ascii="Times New Roman" w:cs="Times New Roman" w:eastAsia="Times New Roman" w:hAnsi="Times New Roman"/>
          <w:sz w:val="18"/>
          <w:szCs w:val="18"/>
          <w:color w:val="auto"/>
        </w:rPr>
      </w:pPr>
    </w:p>
    <w:p>
      <w:pPr>
        <w:jc w:val="both"/>
        <w:ind w:left="440" w:right="700" w:firstLine="419"/>
        <w:spacing w:after="0" w:line="312" w:lineRule="auto"/>
        <w:tabs>
          <w:tab w:leader="none" w:pos="1168"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any Note is to be redeemed in part only, the portion of the principal amount thereof to be redeemed and on and after the Redemption Date, upon surrender of such Note, a new Note in principal amount equal to the unredeemed portion thereof shall be issued.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Notice of Redemption shall be irrevocable.</w:t>
      </w:r>
    </w:p>
    <w:p>
      <w:pPr>
        <w:spacing w:after="0" w:line="117" w:lineRule="exact"/>
        <w:rPr>
          <w:sz w:val="20"/>
          <w:szCs w:val="20"/>
          <w:color w:val="auto"/>
        </w:rPr>
      </w:pPr>
    </w:p>
    <w:p>
      <w:pPr>
        <w:ind w:firstLine="436"/>
        <w:spacing w:after="0" w:line="254" w:lineRule="auto"/>
        <w:tabs>
          <w:tab w:leader="none" w:pos="69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elects to redeem fewer than all of the outstanding Notes, at least $75,000,000 aggregate principal amount of Notes must be outstanding and not subject to Optional Redemption as of, and after giving effect to the delivery of, the relevant Notice of Redemption (such requirement, the “</w:t>
      </w:r>
      <w:r>
        <w:rPr>
          <w:rFonts w:ascii="Times New Roman" w:cs="Times New Roman" w:eastAsia="Times New Roman" w:hAnsi="Times New Roman"/>
          <w:sz w:val="18"/>
          <w:szCs w:val="18"/>
          <w:b w:val="1"/>
          <w:bCs w:val="1"/>
          <w:color w:val="auto"/>
        </w:rPr>
        <w:t>Partial Redemption Limitation</w:t>
      </w:r>
      <w:r>
        <w:rPr>
          <w:rFonts w:ascii="Times New Roman" w:cs="Times New Roman" w:eastAsia="Times New Roman" w:hAnsi="Times New Roman"/>
          <w:sz w:val="18"/>
          <w:szCs w:val="18"/>
          <w:color w:val="auto"/>
        </w:rPr>
        <w:t xml:space="preserve">”). If fewer than all of the outstanding Notes are to be redeemed and the Notes to be redeemed are Global Notes, the Notes to be redeemed shall be selected by the Depositary in accordance with the applicable procedures of the Depositary. If fewer than all of the outstanding Notes are to be redeemed and the Notes to be redeemed are not Global Notes, the Trustee shall select the Notes or portions thereof to be redeemed (in principal amounts of $1,000 or multiples thereof) by lot,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or by another method the Trustee considers to be fair and appropriate. If any Note selected for partial redemption is submitted for conversion in part after such selection, the portion of the Note submitted for conversion shall be deemed (so far as may be possible) to be the portion selected for redemption, subject, in the case of Notes represented by a Global Note, to the Depositary’s applicable procedures.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00"/>
          </w:cols>
          <w:pgMar w:left="440" w:top="270" w:right="459" w:bottom="1440" w:gutter="0" w:footer="0" w:header="0"/>
        </w:sectPr>
      </w:pPr>
    </w:p>
    <w:bookmarkStart w:id="110" w:name="page111"/>
    <w:bookmarkEnd w:id="11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16.03. </w:t>
      </w:r>
      <w:r>
        <w:rPr>
          <w:rFonts w:ascii="Times New Roman" w:cs="Times New Roman" w:eastAsia="Times New Roman" w:hAnsi="Times New Roman"/>
          <w:sz w:val="18"/>
          <w:szCs w:val="18"/>
          <w:i w:val="1"/>
          <w:iCs w:val="1"/>
          <w:color w:val="auto"/>
        </w:rPr>
        <w:t>Payment of Notes Called for Redemption</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firstLine="436"/>
        <w:spacing w:after="0" w:line="256" w:lineRule="auto"/>
        <w:tabs>
          <w:tab w:leader="none" w:pos="68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Notice of Redemption has been given in respect of all or any part of the Notes in accordance with Section 16.02, the Notes so subject to redemption shall become due and payable on the Redemption Date at the place or places stated in the Notice of Redemption and at the applicable Redemption Price. On presentation and surrender of the Notes to be redeemed at the place or places stated in the Notice of Redemption, such Notes shall be paid and redeemed by the Company at the applicable Redemption Price. Upon surrender of a Note that is to be redeemed in part pursuant to Section 16.01, the Company shall execute and the Trustee shall authenticate and deliver to the Holder a new Note in an authorized denomination equal in principal amount to the unredeemed portion of the Note surrendered.</w:t>
      </w:r>
    </w:p>
    <w:p>
      <w:pPr>
        <w:spacing w:after="0" w:line="79" w:lineRule="exact"/>
        <w:rPr>
          <w:rFonts w:ascii="Times New Roman" w:cs="Times New Roman" w:eastAsia="Times New Roman" w:hAnsi="Times New Roman"/>
          <w:sz w:val="18"/>
          <w:szCs w:val="18"/>
          <w:color w:val="auto"/>
        </w:rPr>
      </w:pPr>
    </w:p>
    <w:p>
      <w:pPr>
        <w:ind w:firstLine="436"/>
        <w:spacing w:after="0" w:line="256" w:lineRule="auto"/>
        <w:tabs>
          <w:tab w:leader="none" w:pos="69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11:00 a.m. New York City time on the Redemption Date, the Company shall deposit with the Paying Agent or, if the Company or a Subsidiary of the Company is acting as the Paying Agent, shall segregate and hold in trust as provided in Section 7.05 an amount of cash (in immediately available funds if deposited on the Redemption Date), sufficient to pay the Redemption Price of all of the Notes to be redeemed on such Redemption Date. Subject to receipt of funds by the Paying Agent, payment for the Notes to be redeemed shall be made on the Redemption Date for such Notes. The Paying Agent shall, promptly after such payment and upon written demand by the Company, return to the Company any funds in excess of the Redemption Price.</w:t>
      </w:r>
    </w:p>
    <w:p>
      <w:pPr>
        <w:spacing w:after="0" w:line="185" w:lineRule="exact"/>
        <w:rPr>
          <w:sz w:val="20"/>
          <w:szCs w:val="20"/>
          <w:color w:val="auto"/>
        </w:rPr>
      </w:pPr>
    </w:p>
    <w:p>
      <w:pPr>
        <w:ind w:right="16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16.04. </w:t>
      </w:r>
      <w:r>
        <w:rPr>
          <w:rFonts w:ascii="Times New Roman" w:cs="Times New Roman" w:eastAsia="Times New Roman" w:hAnsi="Times New Roman"/>
          <w:sz w:val="18"/>
          <w:szCs w:val="18"/>
          <w:i w:val="1"/>
          <w:iCs w:val="1"/>
          <w:color w:val="auto"/>
        </w:rPr>
        <w:t>Restrictions on Redemption</w:t>
      </w:r>
      <w:r>
        <w:rPr>
          <w:rFonts w:ascii="Times New Roman" w:cs="Times New Roman" w:eastAsia="Times New Roman" w:hAnsi="Times New Roman"/>
          <w:sz w:val="18"/>
          <w:szCs w:val="18"/>
          <w:color w:val="auto"/>
        </w:rPr>
        <w:t>. The Company may not redeem any Notes on any date if the principal amount of the Notes has been accelerated in accordance with the terms of this Indenture, and such acceleration has not been rescinded, on or prior to the Redemption Date (except in the case of an acceleration resulting from a Default by the Company in the payment of the Redemption Price with respect to such Notes).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17</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ISCELLANEOUS</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ROVISIONS</w:t>
      </w:r>
    </w:p>
    <w:p>
      <w:pPr>
        <w:spacing w:after="0" w:line="205" w:lineRule="exact"/>
        <w:rPr>
          <w:sz w:val="20"/>
          <w:szCs w:val="20"/>
          <w:color w:val="auto"/>
        </w:rPr>
      </w:pPr>
    </w:p>
    <w:p>
      <w:pPr>
        <w:ind w:right="60" w:firstLine="440"/>
        <w:spacing w:after="0" w:line="284" w:lineRule="auto"/>
        <w:rPr>
          <w:sz w:val="20"/>
          <w:szCs w:val="20"/>
          <w:color w:val="auto"/>
        </w:rPr>
      </w:pPr>
      <w:r>
        <w:rPr>
          <w:rFonts w:ascii="Times New Roman" w:cs="Times New Roman" w:eastAsia="Times New Roman" w:hAnsi="Times New Roman"/>
          <w:sz w:val="18"/>
          <w:szCs w:val="18"/>
          <w:color w:val="auto"/>
        </w:rPr>
        <w:t>Section 17.01</w:t>
      </w:r>
      <w:r>
        <w:rPr>
          <w:rFonts w:ascii="Times New Roman" w:cs="Times New Roman" w:eastAsia="Times New Roman" w:hAnsi="Times New Roman"/>
          <w:sz w:val="18"/>
          <w:szCs w:val="18"/>
          <w:i w:val="1"/>
          <w:iCs w:val="1"/>
          <w:color w:val="auto"/>
        </w:rPr>
        <w:t>. Provisions Binding on Company’s Successors.</w:t>
      </w:r>
      <w:r>
        <w:rPr>
          <w:rFonts w:ascii="Times New Roman" w:cs="Times New Roman" w:eastAsia="Times New Roman" w:hAnsi="Times New Roman"/>
          <w:sz w:val="18"/>
          <w:szCs w:val="18"/>
          <w:color w:val="auto"/>
        </w:rPr>
        <w:t xml:space="preserve"> All the covenants, stipulations, promises and agreements of the Company contained in this Indenture shall bind its successors and assigns whether so expressed or not.</w:t>
      </w:r>
    </w:p>
    <w:p>
      <w:pPr>
        <w:spacing w:after="0" w:line="158" w:lineRule="exact"/>
        <w:rPr>
          <w:sz w:val="20"/>
          <w:szCs w:val="20"/>
          <w:color w:val="auto"/>
        </w:rPr>
      </w:pPr>
    </w:p>
    <w:p>
      <w:pPr>
        <w:ind w:right="320" w:firstLine="440"/>
        <w:spacing w:after="0" w:line="267" w:lineRule="auto"/>
        <w:rPr>
          <w:sz w:val="20"/>
          <w:szCs w:val="20"/>
          <w:color w:val="auto"/>
        </w:rPr>
      </w:pPr>
      <w:r>
        <w:rPr>
          <w:rFonts w:ascii="Times New Roman" w:cs="Times New Roman" w:eastAsia="Times New Roman" w:hAnsi="Times New Roman"/>
          <w:sz w:val="18"/>
          <w:szCs w:val="18"/>
          <w:color w:val="auto"/>
        </w:rPr>
        <w:t>Section 17.02</w:t>
      </w:r>
      <w:r>
        <w:rPr>
          <w:rFonts w:ascii="Times New Roman" w:cs="Times New Roman" w:eastAsia="Times New Roman" w:hAnsi="Times New Roman"/>
          <w:sz w:val="18"/>
          <w:szCs w:val="18"/>
          <w:i w:val="1"/>
          <w:iCs w:val="1"/>
          <w:color w:val="auto"/>
        </w:rPr>
        <w:t>. Official Acts by Successor Entity.</w:t>
      </w:r>
      <w:r>
        <w:rPr>
          <w:rFonts w:ascii="Times New Roman" w:cs="Times New Roman" w:eastAsia="Times New Roman" w:hAnsi="Times New Roman"/>
          <w:sz w:val="18"/>
          <w:szCs w:val="18"/>
          <w:color w:val="auto"/>
        </w:rPr>
        <w:t xml:space="preserve"> Any act or proceeding by any provision of this Indenture authorized or required to be done or performed by any board, committee or Officer of the Company shall and may be done and performed with like force and effect by the like board, committee or officer of any corporation or other entity that shall at the time be the lawful sole successor of the Company.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00"/>
          </w:cols>
          <w:pgMar w:left="440" w:top="268" w:right="459" w:bottom="1440" w:gutter="0" w:footer="0" w:header="0"/>
        </w:sectPr>
      </w:pPr>
    </w:p>
    <w:bookmarkStart w:id="111" w:name="page112"/>
    <w:bookmarkEnd w:id="111"/>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17.03</w:t>
      </w:r>
      <w:r>
        <w:rPr>
          <w:rFonts w:ascii="Times New Roman" w:cs="Times New Roman" w:eastAsia="Times New Roman" w:hAnsi="Times New Roman"/>
          <w:sz w:val="18"/>
          <w:szCs w:val="18"/>
          <w:i w:val="1"/>
          <w:iCs w:val="1"/>
          <w:color w:val="auto"/>
        </w:rPr>
        <w:t>. Addresses for Notices, Etc.</w:t>
      </w:r>
      <w:r>
        <w:rPr>
          <w:rFonts w:ascii="Times New Roman" w:cs="Times New Roman" w:eastAsia="Times New Roman" w:hAnsi="Times New Roman"/>
          <w:sz w:val="18"/>
          <w:szCs w:val="18"/>
          <w:color w:val="auto"/>
        </w:rPr>
        <w:t xml:space="preserve"> Any notice or demand that by any provision of this Indenture is required or permitted to be given or served by the Trustee or by the Holders on the Company shall be deemed to have been sufficiently given or made, for all purposes if given or served by overnight courier or by being deposited postage prepaid by registered or certified mail in a post office letter box addressed (until another address is filed by the Company with the Trustee) to Syndax Pharmaceuticals, Inc., 730 Third Avenue, 9th Floor, New York, New York 10017, Attention: General Counsel; Chief Financial Officer. Any notice, direction, request or demand hereunder to or upon the Trustee shall be deemed to have been sufficiently given or made, for all purposes, if given or served by being deposited postage prepaid by registered or certified mail in a post office letter box addressed to the Corporate Trust Office or sent electronically in PDF format to an email address specified by the Trustee.</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Trustee, by notice to the Company, may designate additional or different addresses for subsequent notices or communications.</w:t>
      </w:r>
    </w:p>
    <w:p>
      <w:pPr>
        <w:spacing w:after="0" w:line="225" w:lineRule="exact"/>
        <w:rPr>
          <w:sz w:val="20"/>
          <w:szCs w:val="20"/>
          <w:color w:val="auto"/>
        </w:rPr>
      </w:pPr>
    </w:p>
    <w:p>
      <w:pPr>
        <w:ind w:firstLine="440"/>
        <w:spacing w:after="0" w:line="273" w:lineRule="auto"/>
        <w:rPr>
          <w:sz w:val="20"/>
          <w:szCs w:val="20"/>
          <w:color w:val="auto"/>
        </w:rPr>
      </w:pPr>
      <w:r>
        <w:rPr>
          <w:rFonts w:ascii="Times New Roman" w:cs="Times New Roman" w:eastAsia="Times New Roman" w:hAnsi="Times New Roman"/>
          <w:sz w:val="17"/>
          <w:szCs w:val="17"/>
          <w:color w:val="auto"/>
        </w:rPr>
        <w:t>Any notice or communication delivered or to be delivered to a Holder of Physical Notes shall be mailed to it by first class mail, postage prepaid, at its address as it appears on the Note Register and shall be sufficiently given to it if so mailed within the time prescribed. Any notice or communication delivered or to be delivered to a Holder of Global Notes shall be delivered in accordance with the applicable procedures of the Depositary and shall be sufficiently given to it if so delivered within the time prescribed. Notwithstanding any other provision of this Indenture or any Note, where this Indenture or any Note provides for notice of any event (including any Notice of Redemption or any Fundamental Change Company Notice) to a Holder of a Global Note (whether by mail or otherwise), such notice shall be sufficiently given if given to the Depositary (or its designee) pursuant to the standing instructions from the Depositary or its designee, including by electronic mail in accordance with the Depositary’s applicable procedures.</w:t>
      </w:r>
    </w:p>
    <w:p>
      <w:pPr>
        <w:spacing w:after="0" w:line="17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Failure to mail or deliver a notice or communication to a Holder or any defect in it shall not affect its sufficiency with respect to other Holders. If a notice or communication is mailed or delivered, as the case may be, in the manner provided above, it is duly given, whether or not the addressee receives it.</w:t>
      </w:r>
    </w:p>
    <w:p>
      <w:pPr>
        <w:spacing w:after="0" w:line="176" w:lineRule="exact"/>
        <w:rPr>
          <w:sz w:val="20"/>
          <w:szCs w:val="20"/>
          <w:color w:val="auto"/>
        </w:rPr>
      </w:pPr>
    </w:p>
    <w:p>
      <w:pPr>
        <w:ind w:right="100" w:firstLine="440"/>
        <w:spacing w:after="0" w:line="312" w:lineRule="auto"/>
        <w:rPr>
          <w:sz w:val="20"/>
          <w:szCs w:val="20"/>
          <w:color w:val="auto"/>
        </w:rPr>
      </w:pPr>
      <w:r>
        <w:rPr>
          <w:rFonts w:ascii="Times New Roman" w:cs="Times New Roman" w:eastAsia="Times New Roman" w:hAnsi="Times New Roman"/>
          <w:sz w:val="17"/>
          <w:szCs w:val="17"/>
          <w:color w:val="auto"/>
        </w:rPr>
        <w:t>In case by reason of the suspension of regular mail service or by reason of any other cause it shall be impracticable to give such notice to Holders by mail, then such notification as shall be made with the approval of the Trustee shall constitute a sufficient notification for every purpose hereunder.</w:t>
      </w:r>
    </w:p>
    <w:p>
      <w:pPr>
        <w:spacing w:after="0" w:line="138" w:lineRule="exact"/>
        <w:rPr>
          <w:sz w:val="20"/>
          <w:szCs w:val="20"/>
          <w:color w:val="auto"/>
        </w:rPr>
      </w:pPr>
    </w:p>
    <w:p>
      <w:pPr>
        <w:ind w:right="300" w:firstLine="440"/>
        <w:spacing w:after="0" w:line="267" w:lineRule="auto"/>
        <w:rPr>
          <w:sz w:val="20"/>
          <w:szCs w:val="20"/>
          <w:color w:val="auto"/>
        </w:rPr>
      </w:pPr>
      <w:r>
        <w:rPr>
          <w:rFonts w:ascii="Times New Roman" w:cs="Times New Roman" w:eastAsia="Times New Roman" w:hAnsi="Times New Roman"/>
          <w:sz w:val="18"/>
          <w:szCs w:val="18"/>
          <w:color w:val="auto"/>
        </w:rPr>
        <w:t>Section 17.04</w:t>
      </w:r>
      <w:r>
        <w:rPr>
          <w:rFonts w:ascii="Times New Roman" w:cs="Times New Roman" w:eastAsia="Times New Roman" w:hAnsi="Times New Roman"/>
          <w:sz w:val="18"/>
          <w:szCs w:val="18"/>
          <w:i w:val="1"/>
          <w:iCs w:val="1"/>
          <w:color w:val="auto"/>
        </w:rPr>
        <w:t>. Governing Law; Jurisdiction.</w:t>
      </w:r>
      <w:r>
        <w:rPr>
          <w:rFonts w:ascii="Times New Roman" w:cs="Times New Roman" w:eastAsia="Times New Roman" w:hAnsi="Times New Roman"/>
          <w:sz w:val="18"/>
          <w:szCs w:val="18"/>
          <w:color w:val="auto"/>
        </w:rPr>
        <w:t xml:space="preserve"> THIS INDENTURE AND EACH NOTE, AND ANY CLAIM, CONTROVERSY OR DISPUTE ARISING UNDER OR RELATED TO THIS INDENTURE AND EACH NOTE, SHALL BE GOVERNED BY, AND CONSTRUED IN ACCORDANCE WITH, THE LAWS OF THE STATE OF NEW YORK.</w:t>
      </w:r>
    </w:p>
    <w:p>
      <w:pPr>
        <w:spacing w:after="0" w:line="17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Company irrevocably consents and agrees, for the benefit of the Holders from time to time of the Notes and the Trustee, that any legal action, suit or proceeding against it with respect to obligations, liabilities or any other matter arising out of or in connection with this Indenture or the Notes may be brought in the courts of the State of New York or the courts of the United States located in the Borough of Manhattan, New York City, New York and, until amounts due and to become due in respect of the Notes have been paid, hereby irrevocably consents and submits to the non-exclusive jurisdiction of each such court </w:t>
      </w:r>
      <w:r>
        <w:rPr>
          <w:rFonts w:ascii="Times New Roman" w:cs="Times New Roman" w:eastAsia="Times New Roman" w:hAnsi="Times New Roman"/>
          <w:sz w:val="18"/>
          <w:szCs w:val="18"/>
          <w:i w:val="1"/>
          <w:iCs w:val="1"/>
          <w:color w:val="auto"/>
        </w:rPr>
        <w:t>in personam</w:t>
      </w:r>
      <w:r>
        <w:rPr>
          <w:rFonts w:ascii="Times New Roman" w:cs="Times New Roman" w:eastAsia="Times New Roman" w:hAnsi="Times New Roman"/>
          <w:sz w:val="18"/>
          <w:szCs w:val="18"/>
          <w:color w:val="auto"/>
        </w:rPr>
        <w:t>, generally and unconditionally with respect to any action, suit or proceeding for itself in respect of its properties, assets and revenues.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000"/>
          </w:cols>
          <w:pgMar w:left="440" w:top="268" w:right="459" w:bottom="1440" w:gutter="0" w:footer="0" w:header="0"/>
        </w:sectPr>
      </w:pPr>
    </w:p>
    <w:bookmarkStart w:id="112" w:name="page113"/>
    <w:bookmarkEnd w:id="112"/>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irrevocably and unconditionally waives, to the fullest extent permitted by law, any objection which it may now or hereafter have to the laying of venue of any of the aforesaid actions, suits or proceedings arising out of or in connection with this Indenture brought in the courts of the State of New York or the courts of the United States located in the Borough of Manhattan, New York City, New York and hereby further irrevocably and unconditionally waives and agrees not to plead or claim in any such court that any such action, suit or proceeding brought in any such court has been brought in an inconvenient forum.</w:t>
      </w:r>
    </w:p>
    <w:p>
      <w:pPr>
        <w:spacing w:after="0" w:line="181" w:lineRule="exact"/>
        <w:rPr>
          <w:sz w:val="20"/>
          <w:szCs w:val="20"/>
          <w:color w:val="auto"/>
        </w:rPr>
      </w:pPr>
    </w:p>
    <w:p>
      <w:pPr>
        <w:ind w:right="100" w:firstLine="440"/>
        <w:spacing w:after="0" w:line="267" w:lineRule="auto"/>
        <w:rPr>
          <w:sz w:val="20"/>
          <w:szCs w:val="20"/>
          <w:color w:val="auto"/>
        </w:rPr>
      </w:pPr>
      <w:r>
        <w:rPr>
          <w:rFonts w:ascii="Times New Roman" w:cs="Times New Roman" w:eastAsia="Times New Roman" w:hAnsi="Times New Roman"/>
          <w:sz w:val="18"/>
          <w:szCs w:val="18"/>
          <w:color w:val="auto"/>
        </w:rPr>
        <w:t>Section 17.05</w:t>
      </w:r>
      <w:r>
        <w:rPr>
          <w:rFonts w:ascii="Times New Roman" w:cs="Times New Roman" w:eastAsia="Times New Roman" w:hAnsi="Times New Roman"/>
          <w:sz w:val="18"/>
          <w:szCs w:val="18"/>
          <w:i w:val="1"/>
          <w:iCs w:val="1"/>
          <w:color w:val="auto"/>
        </w:rPr>
        <w:t>. Evidence of Compliance with Conditions Precedent; Certificates and Opinions of Counsel to Trustee.</w:t>
      </w:r>
      <w:r>
        <w:rPr>
          <w:rFonts w:ascii="Times New Roman" w:cs="Times New Roman" w:eastAsia="Times New Roman" w:hAnsi="Times New Roman"/>
          <w:sz w:val="18"/>
          <w:szCs w:val="18"/>
          <w:color w:val="auto"/>
        </w:rPr>
        <w:t xml:space="preserve"> Upon any application or demand by the Company to the Trustee to take any action under any of the provisions of this Indenture, the Company shall, if requested by the Trustee, furnish to the Trustee an Officer’s Certificate stating that such action is permitted by the terms of this Indenture.</w:t>
      </w:r>
    </w:p>
    <w:p>
      <w:pPr>
        <w:spacing w:after="0" w:line="17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Each Officer’s Certificate and Opinion of Counsel provided for, by or on behalf of the Company in this Indenture and delivered to the Trustee with respect to compliance with this Indenture (other than the Officer’s Certificates provided for in Section 4.08, Section 7.02(h) and Section 8.04) shall include (a) a statement that the person signing such certificate is familiar with the requested action and this Indenture; (b) a brief statement as to the nature and scope of the examination or investigation upon which the statement contained in such certificate is based; (c) a statement that, in the judgment of such person, he or she has made such examination or investigation as is necessary to enable him or her to express an informed judgment as to whether or not such action is permitted by this Indenture; and (d) a statement as to whether or not, in the judgment of such person, such action is permitted by this Indenture and that all conditions precedent to such action have been complied with;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Opinion of Counsel shall be required to be delivered in connection with (1) the original issuance of Notes on the date hereof under this Indenture, (2) the mandatory exchange of the restricted CUSIP of the Restricted Securities to an unrestricted CUSIP pursuant to the applicable procedures of the Depositary upon the Notes becoming freely tradable by non-Affiliates of the Company under Rule 144, or (3) a request by the Company that the Trustee deliver a notice to Holders under this Indenture where the Trustee receives an Officer’s Certificate with respect to such notice. With respect to matters of fact, an Opinion of Counsel may rely on an Officer’s Certificate or certificates of public officials.</w:t>
      </w:r>
    </w:p>
    <w:p>
      <w:pPr>
        <w:spacing w:after="0" w:line="190"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in this Section 17.05, if any provision in this Indenture specifically provides that the Trustee shall or may receive an Opinion of Counsel in connection with any action to be taken by the Trustee or the Company hereunder, the Trustee shall be entitled to, or entitled to request, such Opinion of Counsel.</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0980"/>
          </w:cols>
          <w:pgMar w:left="440" w:top="270" w:right="479" w:bottom="1440" w:gutter="0" w:footer="0" w:header="0"/>
        </w:sectPr>
      </w:pPr>
    </w:p>
    <w:bookmarkStart w:id="113" w:name="page114"/>
    <w:bookmarkEnd w:id="113"/>
    <w:p>
      <w:pPr>
        <w:ind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17.06</w:t>
      </w:r>
      <w:r>
        <w:rPr>
          <w:rFonts w:ascii="Times New Roman" w:cs="Times New Roman" w:eastAsia="Times New Roman" w:hAnsi="Times New Roman"/>
          <w:sz w:val="18"/>
          <w:szCs w:val="18"/>
          <w:i w:val="1"/>
          <w:iCs w:val="1"/>
          <w:color w:val="auto"/>
        </w:rPr>
        <w:t>. Legal Holidays.</w:t>
      </w:r>
      <w:r>
        <w:rPr>
          <w:rFonts w:ascii="Times New Roman" w:cs="Times New Roman" w:eastAsia="Times New Roman" w:hAnsi="Times New Roman"/>
          <w:sz w:val="18"/>
          <w:szCs w:val="18"/>
          <w:color w:val="auto"/>
        </w:rPr>
        <w:t xml:space="preserve"> In any case where any Interest Payment Date, any Fundamental Change Repurchase Date, any Redemption Date or the Maturity Date is not a Business Day or is a day on which financial institutions located in the state in which the Corporate Trust Office is located are authorized or required by law or executive order to close or be closed, then any action to be taken on such date need not be taken on such date, but may be taken on the next succeeding Business Day that is not a day on which financial institutions located in the state in which the Corporate Trust Office is located are authorized or required by law or executive order to close or be closed with the same force and effect as if taken on such date, and no interest shall accrue in respect of the delay.</w:t>
      </w:r>
    </w:p>
    <w:p>
      <w:pPr>
        <w:spacing w:after="0" w:line="182" w:lineRule="exact"/>
        <w:rPr>
          <w:sz w:val="20"/>
          <w:szCs w:val="20"/>
          <w:color w:val="auto"/>
        </w:rPr>
      </w:pPr>
    </w:p>
    <w:p>
      <w:pPr>
        <w:ind w:right="380" w:firstLine="440"/>
        <w:spacing w:after="0" w:line="284" w:lineRule="auto"/>
        <w:rPr>
          <w:sz w:val="20"/>
          <w:szCs w:val="20"/>
          <w:color w:val="auto"/>
        </w:rPr>
      </w:pPr>
      <w:r>
        <w:rPr>
          <w:rFonts w:ascii="Times New Roman" w:cs="Times New Roman" w:eastAsia="Times New Roman" w:hAnsi="Times New Roman"/>
          <w:sz w:val="18"/>
          <w:szCs w:val="18"/>
          <w:color w:val="auto"/>
        </w:rPr>
        <w:t>Section 17.07</w:t>
      </w:r>
      <w:r>
        <w:rPr>
          <w:rFonts w:ascii="Times New Roman" w:cs="Times New Roman" w:eastAsia="Times New Roman" w:hAnsi="Times New Roman"/>
          <w:sz w:val="18"/>
          <w:szCs w:val="18"/>
          <w:i w:val="1"/>
          <w:iCs w:val="1"/>
          <w:color w:val="auto"/>
        </w:rPr>
        <w:t>. No Security Interest Created.</w:t>
      </w:r>
      <w:r>
        <w:rPr>
          <w:rFonts w:ascii="Times New Roman" w:cs="Times New Roman" w:eastAsia="Times New Roman" w:hAnsi="Times New Roman"/>
          <w:sz w:val="18"/>
          <w:szCs w:val="18"/>
          <w:color w:val="auto"/>
        </w:rPr>
        <w:t xml:space="preserve"> Nothing in this Indenture or in the Notes, expressed or implied, shall be construed to constitute a security interest under the Uniform Commercial Code or similar legislation, as now or hereafter enacted and in effect, in any jurisdiction.</w:t>
      </w:r>
    </w:p>
    <w:p>
      <w:pPr>
        <w:spacing w:after="0" w:line="158" w:lineRule="exact"/>
        <w:rPr>
          <w:sz w:val="20"/>
          <w:szCs w:val="20"/>
          <w:color w:val="auto"/>
        </w:rPr>
      </w:pPr>
    </w:p>
    <w:p>
      <w:pPr>
        <w:ind w:right="120" w:firstLine="440"/>
        <w:spacing w:after="0" w:line="267" w:lineRule="auto"/>
        <w:rPr>
          <w:sz w:val="20"/>
          <w:szCs w:val="20"/>
          <w:color w:val="auto"/>
        </w:rPr>
      </w:pPr>
      <w:r>
        <w:rPr>
          <w:rFonts w:ascii="Times New Roman" w:cs="Times New Roman" w:eastAsia="Times New Roman" w:hAnsi="Times New Roman"/>
          <w:sz w:val="18"/>
          <w:szCs w:val="18"/>
          <w:color w:val="auto"/>
        </w:rPr>
        <w:t>Section 17.08</w:t>
      </w:r>
      <w:r>
        <w:rPr>
          <w:rFonts w:ascii="Times New Roman" w:cs="Times New Roman" w:eastAsia="Times New Roman" w:hAnsi="Times New Roman"/>
          <w:sz w:val="18"/>
          <w:szCs w:val="18"/>
          <w:i w:val="1"/>
          <w:iCs w:val="1"/>
          <w:color w:val="auto"/>
        </w:rPr>
        <w:t>. Benefits of Indenture.</w:t>
      </w:r>
      <w:r>
        <w:rPr>
          <w:rFonts w:ascii="Times New Roman" w:cs="Times New Roman" w:eastAsia="Times New Roman" w:hAnsi="Times New Roman"/>
          <w:sz w:val="18"/>
          <w:szCs w:val="18"/>
          <w:color w:val="auto"/>
        </w:rPr>
        <w:t xml:space="preserve"> Nothing in this Indenture or in the Notes, expressed or implied, shall give to any Person, other than the Holders, the parties hereto, any Paying Agent, any Conversion Agent, any authenticating agent, any Note Registrar and their successors hereunder, any benefit or any legal or equitable right, remedy or claim under this Indenture.</w:t>
      </w:r>
    </w:p>
    <w:p>
      <w:pPr>
        <w:spacing w:after="0" w:line="173" w:lineRule="exact"/>
        <w:rPr>
          <w:sz w:val="20"/>
          <w:szCs w:val="20"/>
          <w:color w:val="auto"/>
        </w:rPr>
      </w:pPr>
    </w:p>
    <w:p>
      <w:pPr>
        <w:jc w:val="both"/>
        <w:ind w:right="240" w:firstLine="440"/>
        <w:spacing w:after="0" w:line="267" w:lineRule="auto"/>
        <w:rPr>
          <w:sz w:val="20"/>
          <w:szCs w:val="20"/>
          <w:color w:val="auto"/>
        </w:rPr>
      </w:pPr>
      <w:r>
        <w:rPr>
          <w:rFonts w:ascii="Times New Roman" w:cs="Times New Roman" w:eastAsia="Times New Roman" w:hAnsi="Times New Roman"/>
          <w:sz w:val="18"/>
          <w:szCs w:val="18"/>
          <w:color w:val="auto"/>
        </w:rPr>
        <w:t>Section 17.09</w:t>
      </w:r>
      <w:r>
        <w:rPr>
          <w:rFonts w:ascii="Times New Roman" w:cs="Times New Roman" w:eastAsia="Times New Roman" w:hAnsi="Times New Roman"/>
          <w:sz w:val="18"/>
          <w:szCs w:val="18"/>
          <w:i w:val="1"/>
          <w:iCs w:val="1"/>
          <w:color w:val="auto"/>
        </w:rPr>
        <w:t>. Table of Contents, Headings, Etc..</w:t>
      </w:r>
      <w:r>
        <w:rPr>
          <w:rFonts w:ascii="Times New Roman" w:cs="Times New Roman" w:eastAsia="Times New Roman" w:hAnsi="Times New Roman"/>
          <w:sz w:val="18"/>
          <w:szCs w:val="18"/>
          <w:color w:val="auto"/>
        </w:rPr>
        <w:t xml:space="preserve"> The table of contents and the titles and headings of the articles and sections of this Indenture have been inserted for convenience of reference only, are not to be considered a part hereof, and shall in no way modify or restrict any of the terms or provisions hereof.</w:t>
      </w:r>
    </w:p>
    <w:p>
      <w:pPr>
        <w:spacing w:after="0" w:line="173"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Section 17.10</w:t>
      </w:r>
      <w:r>
        <w:rPr>
          <w:rFonts w:ascii="Times New Roman" w:cs="Times New Roman" w:eastAsia="Times New Roman" w:hAnsi="Times New Roman"/>
          <w:sz w:val="18"/>
          <w:szCs w:val="18"/>
          <w:i w:val="1"/>
          <w:iCs w:val="1"/>
          <w:color w:val="auto"/>
        </w:rPr>
        <w:t>. Authenticating Agent.</w:t>
      </w:r>
      <w:r>
        <w:rPr>
          <w:rFonts w:ascii="Times New Roman" w:cs="Times New Roman" w:eastAsia="Times New Roman" w:hAnsi="Times New Roman"/>
          <w:sz w:val="18"/>
          <w:szCs w:val="18"/>
          <w:color w:val="auto"/>
        </w:rPr>
        <w:t xml:space="preserve"> The Trustee may appoint an authenticating agent that shall be authorized to act on its behalf and subject to its direction in the authentication and delivery of Notes in connection with the original issuance thereof and transfers and exchanges of Notes hereunder, including under Section 2.04, Section 2.05, Section 2.06, Section 2.07, Section 10.04 and Section 15.04 as fully to all intents and purposes as though the authenticating agent had been expressly authorized by this Indenture and those Sections to authenticate and deliver Notes. For all purposes of this Indenture, the authentication and delivery of Notes by the authenticating agent shall be deemed to be authentication and delivery of such Notes “by the Trustee” and a certificate of authentication executed on behalf of the Trustee by an authenticating agent shall be deemed to satisfy any requirement hereunder or in the Notes for the Trustee’s certificate of authentication. Such authenticating agent shall at all times be a Person eligible to serve as trustee hereunder pursuant to Section 7.08.</w:t>
      </w:r>
    </w:p>
    <w:p>
      <w:pPr>
        <w:spacing w:after="0" w:line="187"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Any corporation or other entity into which any authenticating agent may be merged or converted or with which it may be consolidated, or any corporation or other entity resulting from any merger, consolidation or conversion to which any authenticating agent shall be a party, or any corporation or other entity succeeding to all or substantially all of the corporate trust business of any authenticating agent, shall be the successor of the authenticating agent hereunder, if such successor corporation or other entity is otherwise eligible under this Section 17.10, without the execution or filing of any paper or any further act on the part of the parties hereto or the authenticating agent or such successor corporation or other entity.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000"/>
          </w:cols>
          <w:pgMar w:left="440" w:top="268" w:right="459" w:bottom="1440" w:gutter="0" w:footer="0" w:header="0"/>
        </w:sectPr>
      </w:pPr>
    </w:p>
    <w:bookmarkStart w:id="114" w:name="page115"/>
    <w:bookmarkEnd w:id="114"/>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authenticating agent may at any time resign by giving written notice of resignation to the Trustee and to the Company. The Trustee may at any time terminate the agency of any authenticating agent by giving written notice of termination to such authenticating agent and to the Company. Upon receiving such a notice of resignation or upon such a termination, or in case at any time any authenticating agent shall cease to be eligible under this Section, the Trustee may appoint a successor authenticating agent (which may be the Trustee), shall give written notice of such appointment to the Company and shall deliver notice of such appointment to all Holders.</w:t>
      </w:r>
    </w:p>
    <w:p>
      <w:pPr>
        <w:spacing w:after="0" w:line="183"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The Company agrees to pay to the authenticating agent from time to time reasonable compensation for its services although the Company may terminate the authenticating agent, if it determines such agent’s fees to be unreasonable.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provisions of Section 7.02, Section 7.03, Section 7.04, Section 8.03 and this Section 17.10 shall be applicable to any authenticating agent.</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If an authenticating agent is appointed pursuant to this Section 17.10, the Notes may have endorsed thereon, in addition to the Trustee’s certificate of authentication, an alternative certificate of authentication in the following form: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Authenticating Agent, certifies that this is one of the Notes described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within-named Indenture.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97"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8"/>
          <w:szCs w:val="18"/>
          <w:color w:val="auto"/>
        </w:rPr>
        <w:t>Section 17.11</w:t>
      </w:r>
      <w:r>
        <w:rPr>
          <w:rFonts w:ascii="Times New Roman" w:cs="Times New Roman" w:eastAsia="Times New Roman" w:hAnsi="Times New Roman"/>
          <w:sz w:val="18"/>
          <w:szCs w:val="18"/>
          <w:i w:val="1"/>
          <w:iCs w:val="1"/>
          <w:color w:val="auto"/>
        </w:rPr>
        <w:t>. Execution in Counterparts.</w:t>
      </w:r>
      <w:r>
        <w:rPr>
          <w:rFonts w:ascii="Times New Roman" w:cs="Times New Roman" w:eastAsia="Times New Roman" w:hAnsi="Times New Roman"/>
          <w:sz w:val="18"/>
          <w:szCs w:val="18"/>
          <w:color w:val="auto"/>
        </w:rPr>
        <w:t xml:space="preserve"> This Indenture may be executed in any number of counterparts, each of which shall be an original, but such counterparts shall together constitute but one and the same instrument. The exchange of copies of this Indenture and of signature pages by facsimile, PDF or other electronic transmission shall constitute effective execution and delivery of this Indenture as to the parties hereto and may be used in lieu of the original Indenture for all purposes. Signatures of the parties hereto transmitted by facsimile, PDF or other electronic transmission shall constitute effective execution and delivery of this Indenture as to the other parties hereto shall be deemed to be their original signatures for all purposes.</w:t>
      </w:r>
    </w:p>
    <w:p>
      <w:pPr>
        <w:spacing w:after="0" w:line="182" w:lineRule="exact"/>
        <w:rPr>
          <w:sz w:val="20"/>
          <w:szCs w:val="20"/>
          <w:color w:val="auto"/>
        </w:rPr>
      </w:pPr>
    </w:p>
    <w:p>
      <w:pPr>
        <w:ind w:right="400" w:firstLine="440"/>
        <w:spacing w:after="0" w:line="284" w:lineRule="auto"/>
        <w:rPr>
          <w:sz w:val="20"/>
          <w:szCs w:val="20"/>
          <w:color w:val="auto"/>
        </w:rPr>
      </w:pPr>
      <w:r>
        <w:rPr>
          <w:rFonts w:ascii="Times New Roman" w:cs="Times New Roman" w:eastAsia="Times New Roman" w:hAnsi="Times New Roman"/>
          <w:sz w:val="18"/>
          <w:szCs w:val="18"/>
          <w:color w:val="auto"/>
        </w:rPr>
        <w:t>Section 17.12</w:t>
      </w:r>
      <w:r>
        <w:rPr>
          <w:rFonts w:ascii="Times New Roman" w:cs="Times New Roman" w:eastAsia="Times New Roman" w:hAnsi="Times New Roman"/>
          <w:sz w:val="18"/>
          <w:szCs w:val="18"/>
          <w:i w:val="1"/>
          <w:iCs w:val="1"/>
          <w:color w:val="auto"/>
        </w:rPr>
        <w:t>. Severability.</w:t>
      </w:r>
      <w:r>
        <w:rPr>
          <w:rFonts w:ascii="Times New Roman" w:cs="Times New Roman" w:eastAsia="Times New Roman" w:hAnsi="Times New Roman"/>
          <w:sz w:val="18"/>
          <w:szCs w:val="18"/>
          <w:color w:val="auto"/>
        </w:rPr>
        <w:t xml:space="preserve"> In the event any provision of this Indenture or in the Notes shall be invalid, illegal or unenforceable, then (to the extent permitted by law) the validity, legality or enforceability of the remaining provisions shall not in any way be affected or impaired.</w:t>
      </w:r>
    </w:p>
    <w:p>
      <w:pPr>
        <w:spacing w:after="0" w:line="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0940"/>
          </w:cols>
          <w:pgMar w:left="440" w:top="270" w:right="519" w:bottom="1440" w:gutter="0" w:footer="0" w:header="0"/>
        </w:sectPr>
      </w:pPr>
    </w:p>
    <w:bookmarkStart w:id="115" w:name="page116"/>
    <w:bookmarkEnd w:id="115"/>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17.13</w:t>
      </w:r>
      <w:r>
        <w:rPr>
          <w:rFonts w:ascii="Times New Roman" w:cs="Times New Roman" w:eastAsia="Times New Roman" w:hAnsi="Times New Roman"/>
          <w:sz w:val="18"/>
          <w:szCs w:val="18"/>
          <w:i w:val="1"/>
          <w:iCs w:val="1"/>
          <w:color w:val="auto"/>
        </w:rPr>
        <w:t>. Waiver of Jury Trial.</w:t>
      </w:r>
      <w:r>
        <w:rPr>
          <w:rFonts w:ascii="Times New Roman" w:cs="Times New Roman" w:eastAsia="Times New Roman" w:hAnsi="Times New Roman"/>
          <w:sz w:val="18"/>
          <w:szCs w:val="18"/>
          <w:color w:val="auto"/>
        </w:rPr>
        <w:t xml:space="preserve"> EACH OF THE COMPANY, THE HOLDERS OF THE NOTES, BY THEIR ACCEPTANCE THEREOF, AND THE TRUSTEE IRREVOCABLY WAIVES, TO THE FULLEST EXTENT PERMITTED BY APPLICABLE LAW, ANY AND ALL RIGHT TO TRIAL BY JURY IN ANY LEGAL PROCEEDING ARISING OUT OF OR RELATING TO THIS INDENTURE, THE NOTES OR THE TRANSACTIONS CONTEMPLATED HEREBY.</w:t>
      </w:r>
    </w:p>
    <w:p>
      <w:pPr>
        <w:spacing w:after="0" w:line="180"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Section 17.14</w:t>
      </w:r>
      <w:r>
        <w:rPr>
          <w:rFonts w:ascii="Times New Roman" w:cs="Times New Roman" w:eastAsia="Times New Roman" w:hAnsi="Times New Roman"/>
          <w:sz w:val="18"/>
          <w:szCs w:val="18"/>
          <w:i w:val="1"/>
          <w:iCs w:val="1"/>
          <w:color w:val="auto"/>
        </w:rPr>
        <w:t>. Force Majeure.</w:t>
      </w:r>
      <w:r>
        <w:rPr>
          <w:rFonts w:ascii="Times New Roman" w:cs="Times New Roman" w:eastAsia="Times New Roman" w:hAnsi="Times New Roman"/>
          <w:sz w:val="18"/>
          <w:szCs w:val="18"/>
          <w:color w:val="auto"/>
        </w:rPr>
        <w:t xml:space="preserve">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pandemics, epidemics, quarantine restrictions, recognized public emergencies, civil or military disturbances, nuclear or natural catastrophes or acts of God, and interruptions, loss or malfunctions of utilities, communications or computer (software and hardware) services; it being understood that the Trustee shall use reasonable efforts that are consistent with accepted practices in the banking industry to resume performance as soon as practicable under the circumstances.</w:t>
      </w:r>
    </w:p>
    <w:p>
      <w:pPr>
        <w:spacing w:after="0" w:line="182"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Section 17.15</w:t>
      </w:r>
      <w:r>
        <w:rPr>
          <w:rFonts w:ascii="Times New Roman" w:cs="Times New Roman" w:eastAsia="Times New Roman" w:hAnsi="Times New Roman"/>
          <w:sz w:val="18"/>
          <w:szCs w:val="18"/>
          <w:i w:val="1"/>
          <w:iCs w:val="1"/>
          <w:color w:val="auto"/>
        </w:rPr>
        <w:t>. Calculations</w:t>
      </w:r>
      <w:r>
        <w:rPr>
          <w:rFonts w:ascii="Times New Roman" w:cs="Times New Roman" w:eastAsia="Times New Roman" w:hAnsi="Times New Roman"/>
          <w:sz w:val="18"/>
          <w:szCs w:val="18"/>
          <w:color w:val="auto"/>
        </w:rPr>
        <w:t>. Except as otherwise provided herein, the Company shall be responsible for making all calculations called for under this Indenture and the Notes. These calculations include, but are not limited to, determinations of the Last Reported Sale Prices of the Common Stock, the trading price of the Notes (for purposes of determining whether the Notes are convertible as described herein), the Daily VWAPs, the Daily Conversion Values, the Daily Settlement Amounts, accrued interest payable on the Notes, the Maximum Percentage, the number of Excess Shares, Additional Interest, if any, payable on the Notes, the Redemption Price and the Conversion Rate of the Notes. The Company shall make all these calculations in good faith and, absent manifest error, the Company’s calculations shall be final and binding on Holders of Notes. The Company shall provide a schedule of its calculations to each of the Trustee, the Paying Agent (if other than the Trustee) and the Conversion Agent (if other than the Trustee), and each of the Trustee, the Paying Agent and Conversion Agent is entitled to rely conclusively upon the accuracy of the Company’s calculations without independent verification. The Trustee will forward the Company’s calculations to any Holder of Notes upon the request of that Holder at the sole cost and expense of the Company. The Trustee, Paying Agent and Conversion Agent have no responsibility for the calculations under this Indenture or the Notes or to verify the Company’s calculations.</w:t>
      </w:r>
    </w:p>
    <w:p>
      <w:pPr>
        <w:spacing w:after="0" w:line="19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17.16. </w:t>
      </w:r>
      <w:r>
        <w:rPr>
          <w:rFonts w:ascii="Times New Roman" w:cs="Times New Roman" w:eastAsia="Times New Roman" w:hAnsi="Times New Roman"/>
          <w:sz w:val="18"/>
          <w:szCs w:val="18"/>
          <w:i w:val="1"/>
          <w:iCs w:val="1"/>
          <w:color w:val="auto"/>
        </w:rPr>
        <w:t>USA PATRIOT Act.</w:t>
      </w:r>
      <w:r>
        <w:rPr>
          <w:rFonts w:ascii="Times New Roman" w:cs="Times New Roman" w:eastAsia="Times New Roman" w:hAnsi="Times New Roman"/>
          <w:sz w:val="18"/>
          <w:szCs w:val="18"/>
          <w:color w:val="auto"/>
        </w:rPr>
        <w:t xml:space="preserve">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000"/>
          </w:cols>
          <w:pgMar w:left="440" w:top="268" w:right="459" w:bottom="1440" w:gutter="0" w:footer="0" w:header="0"/>
        </w:sectPr>
      </w:pPr>
    </w:p>
    <w:bookmarkStart w:id="116" w:name="page117"/>
    <w:bookmarkEnd w:id="116"/>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17.17 </w:t>
      </w:r>
      <w:r>
        <w:rPr>
          <w:rFonts w:ascii="Times New Roman" w:cs="Times New Roman" w:eastAsia="Times New Roman" w:hAnsi="Times New Roman"/>
          <w:sz w:val="18"/>
          <w:szCs w:val="18"/>
          <w:i w:val="1"/>
          <w:iCs w:val="1"/>
          <w:color w:val="auto"/>
        </w:rPr>
        <w:t>Electronic Signatures</w:t>
      </w:r>
      <w:r>
        <w:rPr>
          <w:rFonts w:ascii="Times New Roman" w:cs="Times New Roman" w:eastAsia="Times New Roman" w:hAnsi="Times New Roman"/>
          <w:sz w:val="18"/>
          <w:szCs w:val="18"/>
          <w:color w:val="auto"/>
        </w:rPr>
        <w:t>. All notices, approvals, consents, requests and any communications hereunder must be in writing (provided that any communication sent to the Trustee hereunder must be in the form of a document that is signed manually or by way of a digital signature provided by DocuSign (or such other digital signature provider as specified in writing to Trustee by an authorized representative of the Company), in English). The Company agrees to assume all risks arising out of the use of using digital signatures and electronic methods to submit communications to Trustee, including without limitation the risk of Trustee acting on unauthorized instructions, and the risk of interception and misuse by third parties.</w:t>
      </w:r>
    </w:p>
    <w:p>
      <w:pPr>
        <w:spacing w:after="0" w:line="1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0900"/>
          </w:cols>
          <w:pgMar w:left="440" w:top="268" w:right="5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Indenture to be duly executed as of the date first written above.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SYNDAX PHARMACEUTICALS, INC.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U.S. BANK TRUST COMPANY, NATIONAL</w:t>
      </w:r>
    </w:p>
    <w:p>
      <w:pPr>
        <w:spacing w:after="0" w:line="3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ASSOCIATION, as Trustee</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Indenture</w:t>
      </w:r>
      <w:r>
        <w:rPr>
          <w:rFonts w:ascii="Times New Roman" w:cs="Times New Roman" w:eastAsia="Times New Roman" w:hAnsi="Times New Roman"/>
          <w:sz w:val="18"/>
          <w:szCs w:val="18"/>
          <w:color w:val="auto"/>
        </w:rPr>
        <w:t>]</w:t>
      </w:r>
    </w:p>
    <w:p>
      <w:pPr>
        <w:sectPr>
          <w:pgSz w:w="11900" w:h="16838" w:orient="portrait"/>
          <w:cols w:equalWidth="0" w:num="1">
            <w:col w:w="9579"/>
          </w:cols>
          <w:pgMar w:left="880" w:top="270" w:right="1440"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FACE OF NOTE]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[INCLUDE FOLLOWING LEGEND IF A GLOBAL NOTE]</w:t>
      </w:r>
    </w:p>
    <w:p>
      <w:pPr>
        <w:spacing w:after="0" w:line="225"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HEREUNDER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[INCLUDE FOLLOWING LEGEND IF A RESTRICTED SECURITY]</w:t>
      </w:r>
    </w:p>
    <w:p>
      <w:pPr>
        <w:spacing w:after="0" w:line="225"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[THIS SECURITY AND THE COMMON STOCK, IF ANY, ISSUABLE UPON CONVERSION OF THIS SECURITY HAVE NOT BEEN REGISTERED UNDER THE SECURITIES ACT OF 1933, AS AMENDED (THE “SECURITIES ACT”), AND MAY NOT BE OFFERED, SOLD, PLEDGED OR OTHERWISE TRANSFERRED EXCEPT IN ACCORDANCE WITH THE FOLLOWING SENTENCE. BY ITS ACQUISITION HEREOF OR OF A BENEFICIAL INTEREST HEREIN, THE ACQUIRER:</w:t>
      </w:r>
    </w:p>
    <w:p>
      <w:pPr>
        <w:spacing w:after="0" w:line="72" w:lineRule="exact"/>
        <w:rPr>
          <w:sz w:val="20"/>
          <w:szCs w:val="20"/>
          <w:color w:val="auto"/>
        </w:rPr>
      </w:pPr>
    </w:p>
    <w:p>
      <w:pPr>
        <w:ind w:left="440" w:right="200" w:firstLine="419"/>
        <w:spacing w:after="0" w:line="281" w:lineRule="auto"/>
        <w:tabs>
          <w:tab w:leader="none" w:pos="1118"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THAT IT AND ANY ACCOUNT FOR WHICH IT IS ACTING IS (A) A “QUALIFIED INSTITUTIONAL BUYER” (WITHIN THE MEANING OF RULE 144A UNDER THE SECURITIES ACT) OR (B) NOT A U.S. PERSON (AS DEFINED IN RULE 902 UNDER THE SECURITIES ACT) AND IS ACQUIRING THIS SECURITY IN AN OFFSHORE TRANSACTION IN COMPLIANCE WITH REGULATION S, AND THAT IT EXERCISES SOLE INVESTMENT DISCRETION WITH RESPECT TO EACH SUCH ACCOUNT, AND</w:t>
      </w:r>
    </w:p>
    <w:p>
      <w:pPr>
        <w:spacing w:after="0" w:line="56" w:lineRule="exact"/>
        <w:rPr>
          <w:rFonts w:ascii="Times New Roman" w:cs="Times New Roman" w:eastAsia="Times New Roman" w:hAnsi="Times New Roman"/>
          <w:sz w:val="17"/>
          <w:szCs w:val="17"/>
          <w:color w:val="auto"/>
        </w:rPr>
      </w:pPr>
    </w:p>
    <w:p>
      <w:pPr>
        <w:jc w:val="both"/>
        <w:ind w:left="440" w:right="60" w:firstLine="419"/>
        <w:spacing w:after="0" w:line="258" w:lineRule="auto"/>
        <w:tabs>
          <w:tab w:leader="none" w:pos="111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FOR THE BENEFIT OF SYNDAX PHARMACEUTICALS, INC. (THE “COMPANY”) THAT IT WILL NOT OFFER, SELL, PLEDGE OR OTHERWISE TRANSFER THIS SECURITY OR ANY BENEFICIAL INTEREST 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20"/>
          </w:cols>
          <w:pgMar w:left="440" w:top="266" w:right="439" w:bottom="1440" w:gutter="0" w:footer="0" w:header="0"/>
        </w:sectPr>
      </w:pPr>
    </w:p>
    <w:bookmarkStart w:id="119" w:name="page120"/>
    <w:bookmarkEnd w:id="119"/>
    <w:p>
      <w:pPr>
        <w:ind w:left="1680" w:hanging="292"/>
        <w:spacing w:after="0"/>
        <w:tabs>
          <w:tab w:leader="none" w:pos="16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COMPANY OR ANY SUBSIDIARY THEREOF, OR</w:t>
      </w:r>
    </w:p>
    <w:p>
      <w:pPr>
        <w:spacing w:after="0" w:line="11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REGISTRATION STATEMENT THAT HAS BECOME EFFECTIVE UNDER THE SECURITIES ACT,</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OR</w:t>
      </w:r>
    </w:p>
    <w:p>
      <w:pPr>
        <w:spacing w:after="0" w:line="99" w:lineRule="exact"/>
        <w:rPr>
          <w:sz w:val="20"/>
          <w:szCs w:val="20"/>
          <w:color w:val="auto"/>
        </w:rPr>
      </w:pPr>
    </w:p>
    <w:p>
      <w:pPr>
        <w:ind w:left="980" w:firstLine="408"/>
        <w:spacing w:after="0" w:line="282" w:lineRule="auto"/>
        <w:tabs>
          <w:tab w:leader="none" w:pos="166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PERSON IT REASONABLY BELIEVES TO BE A QUALIFIED INSTITUTIONAL BUYER IN COMPLIANCE WITH RULE 144A UNDER THE SECURITIES ACT, OR</w:t>
      </w:r>
    </w:p>
    <w:p>
      <w:pPr>
        <w:spacing w:after="0" w:line="53" w:lineRule="exact"/>
        <w:rPr>
          <w:rFonts w:ascii="Times New Roman" w:cs="Times New Roman" w:eastAsia="Times New Roman" w:hAnsi="Times New Roman"/>
          <w:sz w:val="18"/>
          <w:szCs w:val="18"/>
          <w:color w:val="auto"/>
        </w:rPr>
      </w:pPr>
    </w:p>
    <w:p>
      <w:pPr>
        <w:ind w:left="980" w:right="240" w:firstLine="408"/>
        <w:spacing w:after="0" w:line="282" w:lineRule="auto"/>
        <w:tabs>
          <w:tab w:leader="none" w:pos="167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OUTSIDE THE UNITED STATES, THROUGH OFFERS AND SALES THAT OCCUR OUTSIDE THE UNITED STATES WITHIN THE MEANING OF REGULATION S UNDER THE SECURITIES ACT, OR</w:t>
      </w:r>
    </w:p>
    <w:p>
      <w:pPr>
        <w:spacing w:after="0" w:line="53" w:lineRule="exact"/>
        <w:rPr>
          <w:rFonts w:ascii="Times New Roman" w:cs="Times New Roman" w:eastAsia="Times New Roman" w:hAnsi="Times New Roman"/>
          <w:sz w:val="18"/>
          <w:szCs w:val="18"/>
          <w:color w:val="auto"/>
        </w:rPr>
      </w:pPr>
    </w:p>
    <w:p>
      <w:pPr>
        <w:ind w:left="980" w:right="160" w:firstLine="408"/>
        <w:spacing w:after="0" w:line="266" w:lineRule="auto"/>
        <w:tabs>
          <w:tab w:leader="none" w:pos="165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EXEMPTION FROM REGISTRATION PROVIDED BY RULE 144 UNDER THE SECURITIES ACT (IF AVAILABLE) OR ANY OTHER AVAILABLE EXEMPTION FROM THE REGISTRATION REQUIREMENTS OF THE SECURITIES ACT.</w:t>
      </w:r>
    </w:p>
    <w:p>
      <w:pPr>
        <w:spacing w:after="0" w:line="176" w:lineRule="exact"/>
        <w:rPr>
          <w:sz w:val="20"/>
          <w:szCs w:val="20"/>
          <w:color w:val="auto"/>
        </w:rPr>
      </w:pPr>
    </w:p>
    <w:p>
      <w:pPr>
        <w:jc w:val="both"/>
        <w:ind w:right="140" w:firstLine="440"/>
        <w:spacing w:after="0" w:line="277" w:lineRule="auto"/>
        <w:rPr>
          <w:sz w:val="20"/>
          <w:szCs w:val="20"/>
          <w:color w:val="auto"/>
        </w:rPr>
      </w:pPr>
      <w:r>
        <w:rPr>
          <w:rFonts w:ascii="Times New Roman" w:cs="Times New Roman" w:eastAsia="Times New Roman" w:hAnsi="Times New Roman"/>
          <w:sz w:val="17"/>
          <w:szCs w:val="17"/>
          <w:color w:val="auto"/>
        </w:rPr>
        <w:t>PRIOR TO THE REGISTRATION OF ANY TRANSFER IN ACCORDANCE WITH CLAUSE (2)(E) ABOVE, THE COMPANY AND THE TRUSTEE RESERVE THE RIGHT TO REQUIRE THE DELIVERY OF SUCH LEGAL OPINIONS, CERTIFICATIONS OR OTHER EVIDENCE AS MAY REASONABLY BE REQUIRED IN ORDER FOR THE COMPANY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68"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HEDGING TRANSACTIONS INVOLVING THIS SECURITY AND THE COMMON STOCK, IF ANY, ISSUABLE UPON CONVERSION OF THIS SECURITY MAY NOT BE CONDUCTED UNLESS IN COMPLIANCE WITH THE SECURITIES ACT.]</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0940"/>
          </w:cols>
          <w:pgMar w:left="440" w:top="270" w:right="519" w:bottom="1440" w:gutter="0" w:footer="0" w:header="0"/>
        </w:sectPr>
      </w:pPr>
    </w:p>
    <w:bookmarkStart w:id="120" w:name="page121"/>
    <w:bookmarkEnd w:id="120"/>
    <w:p>
      <w:pPr>
        <w:jc w:val="center"/>
        <w:ind w:right="-2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Syndax Pharmaceuticals, Inc.</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7"/>
          <w:szCs w:val="17"/>
          <w:color w:val="auto"/>
        </w:rPr>
        <w:t>2.25% Convertible Senior Note due 2031</w:t>
      </w:r>
    </w:p>
    <w:p>
      <w:pPr>
        <w:sectPr>
          <w:pgSz w:w="11900" w:h="16838" w:orient="portrait"/>
          <w:cols w:equalWidth="0" w:num="1">
            <w:col w:w="11004"/>
          </w:cols>
          <w:pgMar w:left="436" w:top="270" w:right="459" w:bottom="1440" w:gutter="0" w:footer="0" w:header="0"/>
        </w:sectPr>
      </w:pPr>
    </w:p>
    <w:p>
      <w:pPr>
        <w:spacing w:after="0" w:line="2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No. [_____]</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[Initially]</w:t>
      </w:r>
      <w:r>
        <w:rPr>
          <w:rFonts w:ascii="Times New Roman" w:cs="Times New Roman" w:eastAsia="Times New Roman" w:hAnsi="Times New Roman"/>
          <w:sz w:val="12"/>
          <w:szCs w:val="12"/>
          <w:color w:val="auto"/>
        </w:rPr>
        <w:t>1</w:t>
      </w:r>
      <w:r>
        <w:rPr>
          <w:rFonts w:ascii="Times New Roman" w:cs="Times New Roman" w:eastAsia="Times New Roman" w:hAnsi="Times New Roman"/>
          <w:sz w:val="17"/>
          <w:szCs w:val="17"/>
          <w:color w:val="auto"/>
        </w:rPr>
        <w:t xml:space="preserve"> $[_____________]</w:t>
      </w:r>
    </w:p>
    <w:p>
      <w:pPr>
        <w:spacing w:after="0" w:line="200" w:lineRule="exact"/>
        <w:rPr>
          <w:sz w:val="20"/>
          <w:szCs w:val="20"/>
          <w:color w:val="auto"/>
        </w:rPr>
      </w:pPr>
    </w:p>
    <w:p>
      <w:pPr>
        <w:sectPr>
          <w:pgSz w:w="11900" w:h="16838" w:orient="portrait"/>
          <w:cols w:equalWidth="0" w:num="2">
            <w:col w:w="6664" w:space="720"/>
            <w:col w:w="3620"/>
          </w:cols>
          <w:pgMar w:left="436" w:top="270" w:right="459" w:bottom="1440" w:gutter="0" w:footer="0" w:header="0"/>
          <w:type w:val="continuous"/>
        </w:sectPr>
      </w:pPr>
    </w:p>
    <w:p>
      <w:pPr>
        <w:spacing w:after="0" w:line="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CUSIP No. [_____]</w:t>
      </w:r>
      <w:r>
        <w:rPr>
          <w:rFonts w:ascii="Times New Roman" w:cs="Times New Roman" w:eastAsia="Times New Roman" w:hAnsi="Times New Roman"/>
          <w:sz w:val="12"/>
          <w:szCs w:val="12"/>
          <w:color w:val="auto"/>
        </w:rPr>
        <w:t>2</w:t>
      </w:r>
    </w:p>
    <w:p>
      <w:pPr>
        <w:sectPr>
          <w:pgSz w:w="11900" w:h="16838" w:orient="portrait"/>
          <w:cols w:equalWidth="0" w:num="1">
            <w:col w:w="11004"/>
          </w:cols>
          <w:pgMar w:left="436" w:top="270" w:right="459" w:bottom="1440" w:gutter="0" w:footer="0" w:header="0"/>
          <w:type w:val="continuous"/>
        </w:sectPr>
      </w:pPr>
    </w:p>
    <w:p>
      <w:pPr>
        <w:spacing w:after="0" w:line="233" w:lineRule="exact"/>
        <w:rPr>
          <w:sz w:val="20"/>
          <w:szCs w:val="20"/>
          <w:color w:val="auto"/>
        </w:rPr>
      </w:pPr>
    </w:p>
    <w:p>
      <w:pPr>
        <w:jc w:val="both"/>
        <w:ind w:left="4" w:right="80" w:firstLine="440"/>
        <w:spacing w:after="0" w:line="226" w:lineRule="auto"/>
        <w:rPr>
          <w:sz w:val="20"/>
          <w:szCs w:val="20"/>
          <w:color w:val="auto"/>
        </w:rPr>
      </w:pPr>
      <w:r>
        <w:rPr>
          <w:rFonts w:ascii="Times New Roman" w:cs="Times New Roman" w:eastAsia="Times New Roman" w:hAnsi="Times New Roman"/>
          <w:sz w:val="18"/>
          <w:szCs w:val="18"/>
          <w:color w:val="auto"/>
        </w:rPr>
        <w:t>Syndax Pharmaceuticals, Inc., a corporation duly organized and validly existing under the laws of the State of Delaware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which term includes any successor corporation or other entity under the Indenture referred to on the reverse hereof), for value received hereby promises to pay to [CEDE &amp; CO.]</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[_______]</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or registered assigns, the principal sum [as set forth in the “Schedule of Exchanges of Notes” attached hereto]</w:t>
      </w: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8"/>
          <w:szCs w:val="18"/>
          <w:color w:val="auto"/>
        </w:rPr>
        <w:t xml:space="preserve"> [of</w:t>
      </w:r>
    </w:p>
    <w:p>
      <w:pPr>
        <w:ind w:left="4"/>
        <w:spacing w:after="0" w:line="180" w:lineRule="auto"/>
        <w:rPr>
          <w:sz w:val="20"/>
          <w:szCs w:val="20"/>
          <w:color w:val="auto"/>
        </w:rPr>
      </w:pPr>
      <w:r>
        <w:rPr>
          <w:rFonts w:ascii="Times New Roman" w:cs="Times New Roman" w:eastAsia="Times New Roman" w:hAnsi="Times New Roman"/>
          <w:sz w:val="17"/>
          <w:szCs w:val="17"/>
          <w:color w:val="auto"/>
        </w:rPr>
        <w:t>$[_______]]</w:t>
      </w:r>
      <w:r>
        <w:rPr>
          <w:rFonts w:ascii="Times New Roman" w:cs="Times New Roman" w:eastAsia="Times New Roman" w:hAnsi="Times New Roman"/>
          <w:sz w:val="25"/>
          <w:szCs w:val="25"/>
          <w:color w:val="auto"/>
          <w:vertAlign w:val="superscript"/>
        </w:rPr>
        <w:t>6</w:t>
      </w:r>
      <w:r>
        <w:rPr>
          <w:rFonts w:ascii="Times New Roman" w:cs="Times New Roman" w:eastAsia="Times New Roman" w:hAnsi="Times New Roman"/>
          <w:sz w:val="17"/>
          <w:szCs w:val="17"/>
          <w:color w:val="auto"/>
        </w:rPr>
        <w:t>, which amount, taken together with the principal amounts of all other outstanding Notes, shall not, unless permitted by the Indenture,</w:t>
      </w:r>
    </w:p>
    <w:p>
      <w:pPr>
        <w:spacing w:after="0" w:line="1" w:lineRule="exact"/>
        <w:rPr>
          <w:sz w:val="20"/>
          <w:szCs w:val="20"/>
          <w:color w:val="auto"/>
        </w:rPr>
      </w:pPr>
    </w:p>
    <w:p>
      <w:pPr>
        <w:jc w:val="both"/>
        <w:ind w:left="4" w:right="140"/>
        <w:spacing w:after="0" w:line="254" w:lineRule="auto"/>
        <w:rPr>
          <w:sz w:val="20"/>
          <w:szCs w:val="20"/>
          <w:color w:val="auto"/>
        </w:rPr>
      </w:pPr>
      <w:r>
        <w:rPr>
          <w:rFonts w:ascii="Times New Roman" w:cs="Times New Roman" w:eastAsia="Times New Roman" w:hAnsi="Times New Roman"/>
          <w:sz w:val="18"/>
          <w:szCs w:val="18"/>
          <w:color w:val="auto"/>
        </w:rPr>
        <w:t>exceed $250,000,000 in aggregate at any time, in accordance with the rules and applicable procedures of the Depositary, on June 15, 2031, and interest thereon as set forth below. Accrued interest on the Notes shall be computed on the basis of a 360-day year composed of twelve 30-day months and, for partial months, on the basis of the number of days actually elapsed in a 30-day month.</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This Note shall bear interest at the rate of 2.25% per year from June 10, 2026, or from the most recent date to which interest has been paid or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provided for to, but excluding, the next scheduled Interest Payment Date until June 15, 2031. Interest is payable semi-annually in arrears on each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June 15 and December 15, commencing on December 15, 2026, to Holders of record at the close of business on the preceding June 1 and December 1</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(whether or not such day is a Business Day), respectively. Additional Interest will be payable as set forth in Section 4.06(d), Section 4.06(e) and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Section 6.03 of the within-mentioned Indenture, and any reference to interest on, or in respect of, any Note therein shall be deemed to include Additional</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Interest if, in such context, Additional Interest is, was or would be payable pursuant to any of such Section 4.06(d), Section 4.06(e) or Section 6.03, and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any express mention of the payment of Additional Interest in any provision therein shall not be construed as excluding Additional Interest in those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provisions thereof where such express mention is not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84" w:lineRule="exact"/>
        <w:rPr>
          <w:sz w:val="20"/>
          <w:szCs w:val="20"/>
          <w:color w:val="auto"/>
        </w:rPr>
      </w:pPr>
    </w:p>
    <w:p>
      <w:pPr>
        <w:ind w:left="424" w:hanging="424"/>
        <w:spacing w:after="0"/>
        <w:tabs>
          <w:tab w:leader="none" w:pos="424" w:val="left"/>
        </w:tabs>
        <w:numPr>
          <w:ilvl w:val="0"/>
          <w:numId w:val="10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 if a global note.</w:t>
      </w:r>
    </w:p>
    <w:p>
      <w:pPr>
        <w:ind w:left="424" w:hanging="424"/>
        <w:spacing w:after="0" w:line="180" w:lineRule="auto"/>
        <w:tabs>
          <w:tab w:leader="none" w:pos="424" w:val="left"/>
        </w:tabs>
        <w:numPr>
          <w:ilvl w:val="0"/>
          <w:numId w:val="10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This Note will be deemed to be identified by CUSIP No. [_____] from and after such time when (i) the Company delivers, pursuant to</w:t>
      </w:r>
    </w:p>
    <w:p>
      <w:pPr>
        <w:spacing w:after="0" w:line="2" w:lineRule="exact"/>
        <w:rPr>
          <w:rFonts w:ascii="Times New Roman" w:cs="Times New Roman" w:eastAsia="Times New Roman" w:hAnsi="Times New Roman"/>
          <w:sz w:val="25"/>
          <w:szCs w:val="25"/>
          <w:color w:val="auto"/>
          <w:vertAlign w:val="superscript"/>
        </w:rPr>
      </w:pPr>
    </w:p>
    <w:p>
      <w:pPr>
        <w:ind w:left="424"/>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Section 2.05(c) of the within-mentioned Indenture, written notice to the Trustee of the occurrence of the Resale Restriction Termination Date and</w:t>
      </w:r>
    </w:p>
    <w:p>
      <w:pPr>
        <w:spacing w:after="0" w:line="7" w:lineRule="exact"/>
        <w:rPr>
          <w:sz w:val="20"/>
          <w:szCs w:val="20"/>
          <w:color w:val="auto"/>
        </w:rPr>
      </w:pPr>
    </w:p>
    <w:p>
      <w:pPr>
        <w:ind w:left="424" w:right="160"/>
        <w:spacing w:after="0" w:line="250" w:lineRule="auto"/>
        <w:rPr>
          <w:sz w:val="20"/>
          <w:szCs w:val="20"/>
          <w:color w:val="auto"/>
        </w:rPr>
      </w:pPr>
      <w:r>
        <w:rPr>
          <w:rFonts w:ascii="Times New Roman" w:cs="Times New Roman" w:eastAsia="Times New Roman" w:hAnsi="Times New Roman"/>
          <w:sz w:val="18"/>
          <w:szCs w:val="18"/>
          <w:color w:val="auto"/>
        </w:rPr>
        <w:t>the removal of the restrictive legend affixed to this Note and (ii) this Note is identified by such CUSIP number in accordance with the applicable procedures of the Depositary.</w:t>
      </w:r>
    </w:p>
    <w:p>
      <w:pPr>
        <w:ind w:left="424" w:hanging="424"/>
        <w:spacing w:after="0" w:line="180" w:lineRule="auto"/>
        <w:tabs>
          <w:tab w:leader="none" w:pos="424" w:val="left"/>
        </w:tabs>
        <w:numPr>
          <w:ilvl w:val="0"/>
          <w:numId w:val="10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 if a global note.</w:t>
      </w:r>
    </w:p>
    <w:p>
      <w:pPr>
        <w:ind w:left="424" w:hanging="424"/>
        <w:spacing w:after="0" w:line="181" w:lineRule="auto"/>
        <w:tabs>
          <w:tab w:leader="none" w:pos="424" w:val="left"/>
        </w:tabs>
        <w:numPr>
          <w:ilvl w:val="0"/>
          <w:numId w:val="10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 if a physical note.</w:t>
      </w:r>
    </w:p>
    <w:p>
      <w:pPr>
        <w:ind w:left="424" w:hanging="424"/>
        <w:spacing w:after="0" w:line="180" w:lineRule="auto"/>
        <w:tabs>
          <w:tab w:leader="none" w:pos="424" w:val="left"/>
        </w:tabs>
        <w:numPr>
          <w:ilvl w:val="0"/>
          <w:numId w:val="10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 if a global note.</w:t>
      </w:r>
    </w:p>
    <w:p>
      <w:pPr>
        <w:ind w:left="424" w:hanging="424"/>
        <w:spacing w:after="0" w:line="180" w:lineRule="auto"/>
        <w:tabs>
          <w:tab w:leader="none" w:pos="424" w:val="left"/>
        </w:tabs>
        <w:numPr>
          <w:ilvl w:val="0"/>
          <w:numId w:val="10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 if a physical note.</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004"/>
          </w:cols>
          <w:pgMar w:left="436" w:top="270" w:right="459" w:bottom="1440" w:gutter="0" w:footer="0" w:header="0"/>
          <w:type w:val="continuous"/>
        </w:sectPr>
      </w:pPr>
    </w:p>
    <w:bookmarkStart w:id="121" w:name="page122"/>
    <w:bookmarkEnd w:id="121"/>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Defaulted Amounts shall accrue interest per annum at the rate borne by the Notes, subject to the enforceability thereof under applicable law, from, and including, the relevant payment date to, but excluding, the date on which such Defaulted Amounts shall have been paid by the Company, at its election, in accordance with Section 2.03(c) of the Indenture.</w:t>
      </w:r>
    </w:p>
    <w:p>
      <w:pPr>
        <w:spacing w:after="0" w:line="176"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The Company shall pay the principal of and interest on this Note, if and so long as such Note is a Global Note, in immediately available funds to the Depositary or its nominee, as the case may be, as the registered Holder of such Note. As provided in and subject to the provisions of the Indenture, the Company shall pay the principal of any Notes (other than Notes that are Global Notes) at the office or agency designated by the Company for that purpose. The Company has initially designated the Trustee as its Paying Agent and Note Registrar in respect of the Notes and its Corporate Trust Office as a place in the continental United States of America where Notes may be presented for payment or for registration of transfer and exchange.</w:t>
      </w:r>
    </w:p>
    <w:p>
      <w:pPr>
        <w:spacing w:after="0" w:line="183"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Reference is made to the further provisions of this Note set forth on the reverse hereof, including, without limitation, provisions giving the Holder of this Note the right to convert this Note into cash, shares of Common Stock or a combination of cash and shares of Common Stock, as applicable, on the terms and subject to the limitations set forth in the Indenture. Such further provisions shall for all purposes have the same effect as though fully set forth at this place.</w:t>
      </w:r>
    </w:p>
    <w:p>
      <w:pPr>
        <w:spacing w:after="0" w:line="176" w:lineRule="exact"/>
        <w:rPr>
          <w:sz w:val="20"/>
          <w:szCs w:val="20"/>
          <w:color w:val="auto"/>
        </w:rPr>
      </w:pPr>
    </w:p>
    <w:p>
      <w:pPr>
        <w:ind w:right="7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This Note, and any claim, controversy or dispute arising under or related to this Note, shall be construed in accordance with and governed by the laws of the State of New York.</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the case of any conflict between this Note and the Indenture, the provisions of the Indenture shall control and govern.</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This Note shall not be valid or become obligatory for any purpose until the certificate of authentication hereon shall have been signed manually by the Trustee or a duly authorized authenticating agent under the Indenture.</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000"/>
          </w:cols>
          <w:pgMar w:left="440" w:top="270" w:right="459" w:bottom="1440" w:gutter="0" w:footer="0" w:header="0"/>
        </w:sectPr>
      </w:pPr>
    </w:p>
    <w:bookmarkStart w:id="122" w:name="page123"/>
    <w:bookmarkEnd w:id="12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Company has caused this Note to be duly executed.</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SYNDAX PHARMACEUTICALS, INC.</w:t>
      </w:r>
    </w:p>
    <w:p>
      <w:pPr>
        <w:spacing w:after="0" w:line="2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Trustee, certifies that this is one of the Notes described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within-named Indenture.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0019"/>
          </w:cols>
          <w:pgMar w:left="440" w:top="270" w:right="1440" w:bottom="1440" w:gutter="0" w:footer="0" w:header="0"/>
        </w:sectPr>
      </w:pPr>
    </w:p>
    <w:bookmarkStart w:id="123" w:name="page124"/>
    <w:bookmarkEnd w:id="123"/>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OF REVERSE OF NOTE]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Syndax Pharmaceuticals,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2.25% Convertible Senior Note due 2031</w:t>
      </w:r>
    </w:p>
    <w:p>
      <w:pPr>
        <w:spacing w:after="0" w:line="203"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This Note is one of a duly authorized issue of Notes of the Company, designated as its 2.25% Convertible Senior Notes due 2031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initially limited to the aggregate principal amount of $250,000,000, all issued or to be issued under and pursuant to an Indenture dated as of June 10, 2026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between the Company and U.S. Bank Trust Company, National Association,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to which Indenture and all indentures supplemental thereto reference is hereby made for a description of the rights, limitations of rights, obligations, duties and immunities thereunder of the Trustee, the Company and the Holders of the Notes. Additional Notes may be issued in an unlimited aggregate principal amount, subject to certain conditions specified in the Indenture. Capitalized terms used in this Note and not defined in this Note shall have the respective meanings set forth in the Indenture.</w:t>
      </w:r>
    </w:p>
    <w:p>
      <w:pPr>
        <w:spacing w:after="0" w:line="18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In case certain Events of Default shall have occurred and be continuing, the principal of, and interest on, all Notes may be declared, by either the Trustee or Holders of at least 25% in aggregate principal amount of Notes then outstanding, and upon said declaration shall become, due and payable, in the manner, with the effect and subject to the conditions and certain exceptions set forth in the Indenture.</w:t>
      </w:r>
    </w:p>
    <w:p>
      <w:pPr>
        <w:spacing w:after="0" w:line="176"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of the Indenture, the Company will make all payments and deliveries in respect of the Fundamental Change Repurchase Price on the Fundamental Change Repurchase Date, the Redemption Price on any Redemption Date and the principal amount on the Maturity Date, as the case may be, to the Holder who surrenders a Note to a Paying Agent to collect such payments in respect of the Note. The Company will pay cash amounts in money of the United States that at the time of payment is legal tender for payment of public and private debts.</w:t>
      </w:r>
    </w:p>
    <w:p>
      <w:pPr>
        <w:spacing w:after="0" w:line="180"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The Indenture contains provisions permitting the Company and the Trustee in certain circumstances, without the consent of the Holders of the Notes, and in certain other circumstances, with the consent of the Holders of not less than a majority in aggregate principal amount of the Notes at the time outstanding, evidenced as in the Indenture provided, to execute supplemental indentures modifying the terms of the Indenture and the Notes as described therein. It is also provided in the Indenture that, subject to certain exceptions, the Holders of a majority in aggregate principal amount of the Notes at the time outstanding may on behalf of the Holders of all of the Notes waive any past Default or Event of Default under the Indenture and its consequences.</w:t>
      </w:r>
    </w:p>
    <w:p>
      <w:pPr>
        <w:spacing w:after="0" w:line="187" w:lineRule="exact"/>
        <w:rPr>
          <w:sz w:val="20"/>
          <w:szCs w:val="20"/>
          <w:color w:val="auto"/>
        </w:rPr>
      </w:pPr>
    </w:p>
    <w:p>
      <w:pPr>
        <w:jc w:val="both"/>
        <w:ind w:right="140" w:firstLine="440"/>
        <w:spacing w:after="0" w:line="289" w:lineRule="auto"/>
        <w:rPr>
          <w:sz w:val="20"/>
          <w:szCs w:val="20"/>
          <w:color w:val="auto"/>
        </w:rPr>
      </w:pPr>
      <w:r>
        <w:rPr>
          <w:rFonts w:ascii="Times New Roman" w:cs="Times New Roman" w:eastAsia="Times New Roman" w:hAnsi="Times New Roman"/>
          <w:sz w:val="17"/>
          <w:szCs w:val="17"/>
          <w:color w:val="auto"/>
        </w:rPr>
        <w:t>Each Holder shall have the right to receive payment or delivery, as the case may be, of (x) the principal (including the Redemption Price and the Fundamental Change Repurchase Price, if applicable) of, (y) accrued and unpaid interest, if any, on, and (z) the consideration due upon conversion of, this Note at the place, at the respective times, at the rate and in the lawful money or shares of Common Stock, as the case may be, herein prescribed.</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0960"/>
          </w:cols>
          <w:pgMar w:left="440" w:top="270" w:right="499" w:bottom="1440" w:gutter="0" w:footer="0" w:header="0"/>
        </w:sectPr>
      </w:pPr>
    </w:p>
    <w:bookmarkStart w:id="124" w:name="page125"/>
    <w:bookmarkEnd w:id="124"/>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Notes are issuable in registered form without coupons in denominations of $1,000 principal amount and integral multiples thereof. At the office or agency of the Company referred to on the face hereof, and in the manner and subject to the limitations provided in the Indenture, Notes may be exchanged for a like aggregate principal amount of Notes of other authorized denominations, without payment of any service charge but, if required by the Company or Trustee, with payment of a sum sufficient to cover any transfer or similar tax that may be imposed in connection therewith as a result of the name of the Holder of the new Notes issued upon such exchange of Notes being different from the name of the Holder of the old Notes surrendered for such exchange.</w:t>
      </w:r>
    </w:p>
    <w:p>
      <w:pPr>
        <w:spacing w:after="0" w:line="187"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Notes shall be redeemable at the Company’s option on a redemption date on or after June 20, 2029 in accordance with the terms and subject to the conditions specified in the Indenture. No sinking fund is provided for the Notes.</w:t>
      </w:r>
    </w:p>
    <w:p>
      <w:pPr>
        <w:spacing w:after="0" w:line="162"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Upon the occurrence of a Fundamental Change (other than an Exempted Fundamental Change), the Holder has the right, at such Holder’s option, to require the Company to repurchase for cash all of such Holder’s Notes or any portion thereof (in principal amounts of $1,000 or integral multiples thereof) on the Fundamental Change Repurchase Date at a price equal to the Fundamental Change Repurchase Price.</w:t>
      </w:r>
    </w:p>
    <w:p>
      <w:pPr>
        <w:spacing w:after="0" w:line="176" w:lineRule="exact"/>
        <w:rPr>
          <w:sz w:val="20"/>
          <w:szCs w:val="20"/>
          <w:color w:val="auto"/>
        </w:rPr>
      </w:pPr>
    </w:p>
    <w:p>
      <w:pPr>
        <w:ind w:right="100" w:firstLine="440"/>
        <w:spacing w:after="0" w:line="281" w:lineRule="auto"/>
        <w:rPr>
          <w:sz w:val="20"/>
          <w:szCs w:val="20"/>
          <w:color w:val="auto"/>
        </w:rPr>
      </w:pPr>
      <w:r>
        <w:rPr>
          <w:rFonts w:ascii="Times New Roman" w:cs="Times New Roman" w:eastAsia="Times New Roman" w:hAnsi="Times New Roman"/>
          <w:sz w:val="17"/>
          <w:szCs w:val="17"/>
          <w:color w:val="auto"/>
        </w:rPr>
        <w:t>Subject to the provisions of the Indenture, the Holder hereof has the right, at its option, during certain periods and upon the occurrence of certain conditions specified in the Indenture, prior to the close of business on the second Scheduled Trading Day immediately preceding the Maturity Date, to convert any Notes or portion thereof that is $1,000 or an integral multiple thereof, into cash, shares of Common Stock or a combination of cash and shares of Common Stock, as applicable, at the Conversion Rate specified in the Indenture, as adjusted from time to time as provided in the Indenture.</w:t>
      </w:r>
    </w:p>
    <w:p>
      <w:pPr>
        <w:spacing w:after="0" w:line="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0960"/>
          </w:cols>
          <w:pgMar w:left="440" w:top="270" w:right="499" w:bottom="1440" w:gutter="0" w:footer="0" w:header="0"/>
        </w:sectPr>
      </w:pPr>
    </w:p>
    <w:bookmarkStart w:id="125" w:name="page126"/>
    <w:bookmarkEnd w:id="125"/>
    <w:p>
      <w:pPr>
        <w:jc w:val="center"/>
        <w:ind w:right="-5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ABBREVIATIONS</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following abbreviations, when used in the inscription of the face of this Note, shall be construed as though they were written out in full according to applicable laws or regulations: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COM = as tenants in common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UNIF GIFT MIN ACT = Uniform Gifts to Minors 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 = Custodian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ENT = as tenants by the entireties</w:t>
      </w:r>
    </w:p>
    <w:p>
      <w:pPr>
        <w:spacing w:after="0" w:line="225" w:lineRule="exact"/>
        <w:rPr>
          <w:sz w:val="20"/>
          <w:szCs w:val="20"/>
          <w:color w:val="auto"/>
        </w:rPr>
      </w:pPr>
    </w:p>
    <w:p>
      <w:pPr>
        <w:ind w:left="440" w:right="4660" w:hanging="439"/>
        <w:spacing w:after="0" w:line="461" w:lineRule="auto"/>
        <w:rPr>
          <w:sz w:val="20"/>
          <w:szCs w:val="20"/>
          <w:color w:val="auto"/>
        </w:rPr>
      </w:pPr>
      <w:r>
        <w:rPr>
          <w:rFonts w:ascii="Times New Roman" w:cs="Times New Roman" w:eastAsia="Times New Roman" w:hAnsi="Times New Roman"/>
          <w:sz w:val="18"/>
          <w:szCs w:val="18"/>
          <w:color w:val="auto"/>
        </w:rPr>
        <w:t>JT TEN = joint tenants with right of survivorship and not as tenants in common   Additional abbreviations may also be used though not in the above list.</w:t>
      </w:r>
    </w:p>
    <w:p>
      <w:pPr>
        <w:spacing w:after="0" w:line="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0480"/>
          </w:cols>
          <w:pgMar w:left="440" w:top="270" w:right="97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r>
        <w:rPr>
          <w:rFonts w:ascii="Times New Roman" w:cs="Times New Roman" w:eastAsia="Times New Roman" w:hAnsi="Times New Roman"/>
          <w:sz w:val="26"/>
          <w:szCs w:val="26"/>
          <w:b w:val="1"/>
          <w:bCs w:val="1"/>
          <w:color w:val="auto"/>
          <w:vertAlign w:val="superscript"/>
        </w:rPr>
        <w:t>7</w:t>
      </w:r>
    </w:p>
    <w:p>
      <w:pPr>
        <w:spacing w:after="0" w:line="35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SCHEDULE OF EXCHANGES OF NOTES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Syndax Pharmaceuticals, Inc.</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2.25% Convertible Senior Notes due 2031</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initial principal amount of this Global Note is [_______] DOLLARS ($[_________]). The following increases or decreases in this Global</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Note have been made:</w:t>
      </w: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Amount of decrease in</w:t>
            </w:r>
          </w:p>
        </w:tc>
        <w:tc>
          <w:tcPr>
            <w:tcW w:w="100" w:type="dxa"/>
            <w:vAlign w:val="bottom"/>
          </w:tcPr>
          <w:p>
            <w:pPr>
              <w:spacing w:after="0"/>
              <w:rPr>
                <w:sz w:val="13"/>
                <w:szCs w:val="13"/>
                <w:color w:val="auto"/>
              </w:rPr>
            </w:pPr>
          </w:p>
        </w:tc>
        <w:tc>
          <w:tcPr>
            <w:tcW w:w="2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 increase in principal</w:t>
            </w:r>
          </w:p>
        </w:tc>
        <w:tc>
          <w:tcPr>
            <w:tcW w:w="120" w:type="dxa"/>
            <w:vAlign w:val="bottom"/>
          </w:tcPr>
          <w:p>
            <w:pPr>
              <w:spacing w:after="0"/>
              <w:rPr>
                <w:sz w:val="13"/>
                <w:szCs w:val="13"/>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amount of this Global</w:t>
            </w:r>
          </w:p>
        </w:tc>
        <w:tc>
          <w:tcPr>
            <w:tcW w:w="100" w:type="dxa"/>
            <w:vAlign w:val="bottom"/>
          </w:tcPr>
          <w:p>
            <w:pPr>
              <w:spacing w:after="0"/>
              <w:rPr>
                <w:sz w:val="13"/>
                <w:szCs w:val="13"/>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Signature of authorized</w:t>
            </w:r>
          </w:p>
        </w:tc>
        <w:tc>
          <w:tcPr>
            <w:tcW w:w="0" w:type="dxa"/>
            <w:vAlign w:val="bottom"/>
          </w:tcPr>
          <w:p>
            <w:pPr>
              <w:spacing w:after="0"/>
              <w:rPr>
                <w:sz w:val="1"/>
                <w:szCs w:val="1"/>
                <w:color w:val="auto"/>
              </w:rPr>
            </w:pPr>
          </w:p>
        </w:tc>
      </w:tr>
      <w:tr>
        <w:trPr>
          <w:trHeight w:val="148"/>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9"/>
              </w:rPr>
              <w:t>Date of exchange</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principal amount of this</w:t>
            </w:r>
          </w:p>
        </w:tc>
        <w:tc>
          <w:tcPr>
            <w:tcW w:w="100" w:type="dxa"/>
            <w:vAlign w:val="bottom"/>
          </w:tcPr>
          <w:p>
            <w:pPr>
              <w:spacing w:after="0"/>
              <w:rPr>
                <w:sz w:val="12"/>
                <w:szCs w:val="12"/>
                <w:color w:val="auto"/>
              </w:rPr>
            </w:pPr>
          </w:p>
        </w:tc>
        <w:tc>
          <w:tcPr>
            <w:tcW w:w="22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Note following such decrease</w:t>
            </w:r>
          </w:p>
        </w:tc>
        <w:tc>
          <w:tcPr>
            <w:tcW w:w="10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signatory of Trustee or</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Global Note</w:t>
            </w:r>
          </w:p>
        </w:tc>
        <w:tc>
          <w:tcPr>
            <w:tcW w:w="10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amount of this Global Note</w:t>
            </w:r>
          </w:p>
        </w:tc>
        <w:tc>
          <w:tcPr>
            <w:tcW w:w="12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or increase</w:t>
            </w:r>
          </w:p>
        </w:tc>
        <w:tc>
          <w:tcPr>
            <w:tcW w:w="10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Custodian</w:t>
            </w:r>
          </w:p>
        </w:tc>
        <w:tc>
          <w:tcPr>
            <w:tcW w:w="0" w:type="dxa"/>
            <w:vAlign w:val="bottom"/>
          </w:tcPr>
          <w:p>
            <w:pPr>
              <w:spacing w:after="0"/>
              <w:rPr>
                <w:sz w:val="1"/>
                <w:szCs w:val="1"/>
                <w:color w:val="auto"/>
              </w:rPr>
            </w:pPr>
          </w:p>
        </w:tc>
      </w:tr>
      <w:tr>
        <w:trPr>
          <w:trHeight w:val="203"/>
        </w:trPr>
        <w:tc>
          <w:tcPr>
            <w:tcW w:w="10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0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424" w:hanging="424"/>
        <w:spacing w:after="0" w:line="187" w:lineRule="auto"/>
        <w:tabs>
          <w:tab w:leader="none" w:pos="424" w:val="left"/>
        </w:tabs>
        <w:numPr>
          <w:ilvl w:val="0"/>
          <w:numId w:val="10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 if a global note.</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024"/>
          </w:cols>
          <w:pgMar w:left="436" w:top="266" w:right="4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ATTACHMENT 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NOTICE OF CONVERSION]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U.S. Bank Trust Company, National Association</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333 Commerce Street, Suite 900</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Nashville, Tennessee 37201</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Attn: Wally Jones (Syndax Pharmaceuticals, Inc. Administrator)</w:t>
      </w:r>
    </w:p>
    <w:p>
      <w:pPr>
        <w:spacing w:after="0" w:line="20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The undersigned registered owner of this Note hereby exercises the option to convert this Note, or the portion hereof (that is $1,000 principal amount or an integral multiple thereof) below designated, into cash, shares of Common Stock or a combination of cash and shares of Common Stock, as applicable, in accordance with the terms of the Indenture referred to in this Note, and directs that any cash payable and any shares of Common Stock issuable and deliverable upon such conversion, together with any cash for any fractional share, and any Notes representing any unconverted principal amount hereof, be issued and delivered to the registered Holder hereof unless a different name has been indicated below. If any shares of Common Stock or any portion of this Note not converted are to be issued in the name of a Person other than the undersigned, the undersigned will pay all documentary, stamp or similar issue or transfer taxes, if any in accordance with Section 14.02(d) and Section 14.02(e) of the Indenture. Any amount required to be paid to the undersigned on account of interest accompanies this Note. Capitalized terms used herein but not defined shall have the meanings ascribed to such terms in the Indenture.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17145</wp:posOffset>
            </wp:positionV>
            <wp:extent cx="65836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583680" cy="8890"/>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308610</wp:posOffset>
            </wp:positionV>
            <wp:extent cx="307721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308610</wp:posOffset>
            </wp:positionV>
            <wp:extent cx="31457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must be guaranteed by an eligible Guarantor Institution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(banks, stock brokers, savings and loan associations and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unions) with membership in an approved signature guarantee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medallion program pursuant to Securities and Exchange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 Rule 17Ad-15 if shares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66" w:right="4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Common Stock are to be issued,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are to be delivered, other than to and in the name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registered holder.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Fill in for registration of shares if to be issued, and Notes if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delivered, other than to and in the name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27946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27946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27946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 name and address</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Principal amount to be converted (if less than all):</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$______,000</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NOTICE: The above signature(s) of the Holder(s) hereof</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must correspond with the name as written upon the face of</w:t>
      </w:r>
    </w:p>
    <w:p>
      <w:pPr>
        <w:spacing w:after="0" w:line="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the Note in every particular without alteration or</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280035</wp:posOffset>
            </wp:positionV>
            <wp:extent cx="27946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Social Security or Other Taxpayer</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Identification Number</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20"/>
          </w:cols>
          <w:pgMar w:left="440" w:top="270" w:right="6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ATTACHMENT 2</w:t>
      </w:r>
    </w:p>
    <w:p>
      <w:pPr>
        <w:spacing w:after="0" w:line="22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[FORM OF FUNDAMENTAL CHANGE REPURCHASE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U.S. Bank Trust Company, National Association</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333 Commerce Street, Suite 900</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Nashville, Tennessee 37201</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Attn: Wally Jones (Syndax Pharmaceuticals, Inc. Administrator)</w:t>
      </w:r>
    </w:p>
    <w:p>
      <w:pPr>
        <w:spacing w:after="0" w:line="203"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The undersigned registered owner of this Note hereby acknowledges receipt of a notice from Syndax Pharmaceuticals,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to the occurrence of a Fundamental Change with respect to the Company and specifying the Fundamental Change Repurchase Date and requests and instructs the Company to pay to the registered holder hereof in accordance with Section 15.02 of the Indenture referred to in this Note (1) the entire principal amount of this Note, or the portion thereof (that is $1,000 principal amount or an integral multiple thereof) below designated, and (2) if such Fundamental Change Repurchase Date does not fall during the period after a Regular Record Date and on or prior to the corresponding Interest Payment Date, accrued and unpaid interest, if any, thereon to, but excluding, such Fundamental Change Repurchase Date. Capitalized terms used herein but not defined shall have the meanings ascribed to such terms in the Indenture.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the case of Physical Notes, the certificate numbers of the Notes to be repurchased are as set forth below:</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400300" cy="889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325755</wp:posOffset>
            </wp:positionV>
            <wp:extent cx="27946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291465</wp:posOffset>
            </wp:positionV>
            <wp:extent cx="279463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Social Security or Other Taxpayer</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Identification Number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Principal amount to be repaid (if less than all): $______,000</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NOTICE: The above signature(s) of the Holder(s) hereof</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must correspond with the name as written upon the face of</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the Note in every particular without alteration or</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enlargement or any change whatever.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66" w:right="4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ATTACHMENT 3</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OF ASSIGNMENT AND TRANSFER]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value received ____________________________ hereby sell(s), assign(s) and transfer(s) unto _________________ (Please insert social security or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Taxpayer Identification Number of assignee) the within Note, and hereby irrevocably constitutes and appoints _____________________ attorney to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transfer the said Note on the books of the Company, with full power of substitution in the premises.</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In connection with any transfer of the within Note occurring prior to the Resale Restriction Termination Date, as defined in the Indenture governing such</w:t>
      </w:r>
    </w:p>
    <w:p>
      <w:pPr>
        <w:spacing w:after="0" w:line="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Note, the undersigned confirms that such Note is being transferred:</w:t>
      </w:r>
    </w:p>
    <w:p>
      <w:pPr>
        <w:spacing w:after="0" w:line="207" w:lineRule="exact"/>
        <w:rPr>
          <w:sz w:val="20"/>
          <w:szCs w:val="20"/>
          <w:color w:val="auto"/>
        </w:rPr>
      </w:pPr>
    </w:p>
    <w:p>
      <w:pPr>
        <w:ind w:left="204" w:hanging="204"/>
        <w:spacing w:after="0"/>
        <w:tabs>
          <w:tab w:leader="none" w:pos="204" w:val="left"/>
        </w:tabs>
        <w:numPr>
          <w:ilvl w:val="0"/>
          <w:numId w:val="10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To Syndax Pharmaceuticals, Inc. or a subsidiary thereof; or</w:t>
      </w:r>
    </w:p>
    <w:p>
      <w:pPr>
        <w:spacing w:after="0" w:line="225" w:lineRule="exact"/>
        <w:rPr>
          <w:rFonts w:ascii="MS PGothic" w:cs="MS PGothic" w:eastAsia="MS PGothic" w:hAnsi="MS PGothic"/>
          <w:sz w:val="18"/>
          <w:szCs w:val="18"/>
          <w:color w:val="auto"/>
        </w:rPr>
      </w:pPr>
    </w:p>
    <w:p>
      <w:pPr>
        <w:ind w:left="204" w:hanging="204"/>
        <w:spacing w:after="0"/>
        <w:tabs>
          <w:tab w:leader="none" w:pos="204" w:val="left"/>
        </w:tabs>
        <w:numPr>
          <w:ilvl w:val="0"/>
          <w:numId w:val="10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Pursuant to a registration statement that has become or been declared effective under the Securities Act of 1933, as amended; or</w:t>
      </w:r>
    </w:p>
    <w:p>
      <w:pPr>
        <w:spacing w:after="0" w:line="225" w:lineRule="exact"/>
        <w:rPr>
          <w:rFonts w:ascii="MS PGothic" w:cs="MS PGothic" w:eastAsia="MS PGothic" w:hAnsi="MS PGothic"/>
          <w:sz w:val="18"/>
          <w:szCs w:val="18"/>
          <w:color w:val="auto"/>
        </w:rPr>
      </w:pPr>
    </w:p>
    <w:p>
      <w:pPr>
        <w:ind w:left="204" w:hanging="204"/>
        <w:spacing w:after="0"/>
        <w:tabs>
          <w:tab w:leader="none" w:pos="204" w:val="left"/>
        </w:tabs>
        <w:numPr>
          <w:ilvl w:val="0"/>
          <w:numId w:val="10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To a person reasonably believed to be a qualified institutional buyer in compliance with Rule 144A under the Securities Act of 1933, as amended; or</w:t>
      </w:r>
    </w:p>
    <w:p>
      <w:pPr>
        <w:spacing w:after="0" w:line="225" w:lineRule="exact"/>
        <w:rPr>
          <w:rFonts w:ascii="MS PGothic" w:cs="MS PGothic" w:eastAsia="MS PGothic" w:hAnsi="MS PGothic"/>
          <w:sz w:val="18"/>
          <w:szCs w:val="18"/>
          <w:color w:val="auto"/>
        </w:rPr>
      </w:pPr>
    </w:p>
    <w:p>
      <w:pPr>
        <w:ind w:left="4" w:right="200" w:hanging="4"/>
        <w:spacing w:after="0" w:line="282" w:lineRule="auto"/>
        <w:tabs>
          <w:tab w:leader="none" w:pos="211" w:val="left"/>
        </w:tabs>
        <w:numPr>
          <w:ilvl w:val="0"/>
          <w:numId w:val="10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Outside the United States, through offers and sales that occur outside the United States within the meaning of Regulation S under the Securities Act of 1933, as amended; or</w:t>
      </w:r>
    </w:p>
    <w:p>
      <w:pPr>
        <w:spacing w:after="0" w:line="161" w:lineRule="exact"/>
        <w:rPr>
          <w:rFonts w:ascii="MS PGothic" w:cs="MS PGothic" w:eastAsia="MS PGothic" w:hAnsi="MS PGothic"/>
          <w:sz w:val="18"/>
          <w:szCs w:val="18"/>
          <w:color w:val="auto"/>
        </w:rPr>
      </w:pPr>
    </w:p>
    <w:p>
      <w:pPr>
        <w:ind w:left="4" w:right="180" w:hanging="4"/>
        <w:spacing w:after="0" w:line="282" w:lineRule="auto"/>
        <w:tabs>
          <w:tab w:leader="none" w:pos="211" w:val="left"/>
        </w:tabs>
        <w:numPr>
          <w:ilvl w:val="0"/>
          <w:numId w:val="10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Pursuant to and in compliance with Rule 144 under the Securities Act of 1933, as amended (if available), or any other available exemption from the registration requirements of the Securities Act of 1933, as amended.</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foregoing assignment and transfer complies with Section 2.05(f) of the Indenture (to the extent such Section is applicable).</w:t>
      </w:r>
    </w:p>
    <w:p>
      <w:pPr>
        <w:spacing w:after="0" w:line="158" w:lineRule="exact"/>
        <w:rPr>
          <w:sz w:val="20"/>
          <w:szCs w:val="20"/>
          <w:color w:val="auto"/>
        </w:rPr>
      </w:pPr>
    </w:p>
    <w:p>
      <w:pPr>
        <w:ind w:left="5324"/>
        <w:spacing w:after="0"/>
        <w:rPr>
          <w:sz w:val="20"/>
          <w:szCs w:val="20"/>
          <w:color w:val="auto"/>
        </w:rPr>
      </w:pPr>
      <w:r>
        <w:rPr>
          <w:rFonts w:ascii="Times New Roman" w:cs="Times New Roman" w:eastAsia="Times New Roman" w:hAnsi="Times New Roman"/>
          <w:sz w:val="18"/>
          <w:szCs w:val="18"/>
          <w:color w:val="auto"/>
        </w:rPr>
        <w:t>B4-1</w:t>
      </w:r>
    </w:p>
    <w:p>
      <w:pPr>
        <w:sectPr>
          <w:pgSz w:w="11900" w:h="16838" w:orient="portrait"/>
          <w:cols w:equalWidth="0" w:num="1">
            <w:col w:w="11024"/>
          </w:cols>
          <w:pgMar w:left="436" w:top="266" w:right="4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Dated: 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27946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582930</wp:posOffset>
            </wp:positionV>
            <wp:extent cx="27946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27946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must be guaranteed by an eligible Guarantor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Institution (banks, stock brokers, savings and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associations and credit unions) with membership in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signature guarantee medallion program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 17Ad-15 if Notes are to be delivered, other than to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name of the registered holder.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NOTICE: The signature on the assignment must correspond with the name as written upon the face of the Note in every particular without alteration or enlargement or any change whatever.</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SYNDAX PHARMACEUTICALS,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B4-2</w:t>
      </w:r>
    </w:p>
    <w:p>
      <w:pPr>
        <w:sectPr>
          <w:pgSz w:w="11900" w:h="16838" w:orient="portrait"/>
          <w:cols w:equalWidth="0" w:num="1">
            <w:col w:w="10880"/>
          </w:cols>
          <w:pgMar w:left="440" w:top="270" w:right="579" w:bottom="1440" w:gutter="0" w:footer="0" w:header="0"/>
        </w:sectPr>
      </w:pPr>
    </w:p>
    <w:bookmarkStart w:id="132" w:name="page133"/>
    <w:bookmarkEnd w:id="132"/>
    <w:p>
      <w:pPr>
        <w:ind w:left="10180"/>
        <w:spacing w:after="0"/>
        <w:rPr>
          <w:sz w:val="20"/>
          <w:szCs w:val="20"/>
          <w:color w:val="auto"/>
        </w:rPr>
      </w:pPr>
      <w:r>
        <w:rPr>
          <w:rFonts w:ascii="Times New Roman" w:cs="Times New Roman" w:eastAsia="Times New Roman" w:hAnsi="Times New Roman"/>
          <w:sz w:val="17"/>
          <w:szCs w:val="17"/>
          <w:b w:val="1"/>
          <w:bCs w:val="1"/>
          <w:color w:val="auto"/>
        </w:rPr>
        <w:t>Exhibit 4.2</w:t>
      </w:r>
    </w:p>
    <w:p>
      <w:pPr>
        <w:spacing w:after="0" w:line="241"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HEREUNDER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THIS SECURITY AND THE COMMON STOCK, IF ANY, ISSUABLE UPON CONVERSION OF THIS SECURITY HAVE NOT BEEN REGISTERED UNDER THE SECURITIES ACT OF 1933, AS AMENDED (THE “SECURITIES ACT”), AND MAY NOT BE OFFERED, SOLD, PLEDGED OR OTHERWISE TRANSFERRED EXCEPT IN ACCORDANCE WITH THE FOLLOWING SENTENCE. BY ITS ACQUISITION HEREOF OR OF A BENEFICIAL INTEREST HEREIN, THE ACQUIRER:</w:t>
      </w:r>
    </w:p>
    <w:p>
      <w:pPr>
        <w:spacing w:after="0" w:line="72" w:lineRule="exact"/>
        <w:rPr>
          <w:sz w:val="20"/>
          <w:szCs w:val="20"/>
          <w:color w:val="auto"/>
        </w:rPr>
      </w:pPr>
    </w:p>
    <w:p>
      <w:pPr>
        <w:ind w:left="440" w:right="200" w:firstLine="419"/>
        <w:spacing w:after="0" w:line="281" w:lineRule="auto"/>
        <w:tabs>
          <w:tab w:leader="none" w:pos="1118"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THAT IT AND ANY ACCOUNT FOR WHICH IT IS ACTING IS (A) A “QUALIFIED INSTITUTIONAL BUYER” (WITHIN THE MEANING OF RULE 144A UNDER THE SECURITIES ACT) OR (B) NOT A U.S. PERSON (AS DEFINED IN RULE 902 UNDER THE SECURITIES ACT) AND IS ACQUIRING THIS SECURITY IN AN OFFSHORE TRANSACTION IN COMPLIANCE WITH REGULATION S, AND THAT IT EXERCISES SOLE INVESTMENT DISCRETION WITH RESPECT TO EACH SUCH ACCOUNT, AND</w:t>
      </w:r>
    </w:p>
    <w:p>
      <w:pPr>
        <w:spacing w:after="0" w:line="56" w:lineRule="exact"/>
        <w:rPr>
          <w:rFonts w:ascii="Times New Roman" w:cs="Times New Roman" w:eastAsia="Times New Roman" w:hAnsi="Times New Roman"/>
          <w:sz w:val="17"/>
          <w:szCs w:val="17"/>
          <w:color w:val="auto"/>
        </w:rPr>
      </w:pPr>
    </w:p>
    <w:p>
      <w:pPr>
        <w:ind w:left="440" w:right="60" w:firstLine="419"/>
        <w:spacing w:after="0" w:line="258" w:lineRule="auto"/>
        <w:tabs>
          <w:tab w:leader="none" w:pos="111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FOR THE BENEFIT OF SYNDAX PHARMACEUTICALS, INC. (THE “COMPANY”) THAT IT WILL NOT OFFER, SELL, PLEDGE OR OTHERWISE TRANSFER THIS SECURITY OR ANY BENEFICIAL INTEREST 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w:t>
      </w:r>
    </w:p>
    <w:p>
      <w:pPr>
        <w:spacing w:after="0" w:line="75"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OR ANY SUBSIDIARY THEREOF, OR</w:t>
      </w:r>
    </w:p>
    <w:p>
      <w:pPr>
        <w:spacing w:after="0" w:line="11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REGISTRATION STATEMENT THAT HAS BECOME EFFECTIVE UNDER THE SECURITIES ACT,</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w:t>
      </w:r>
    </w:p>
    <w:p>
      <w:pPr>
        <w:spacing w:after="0" w:line="98" w:lineRule="exact"/>
        <w:rPr>
          <w:rFonts w:ascii="Times New Roman" w:cs="Times New Roman" w:eastAsia="Times New Roman" w:hAnsi="Times New Roman"/>
          <w:sz w:val="18"/>
          <w:szCs w:val="18"/>
          <w:color w:val="auto"/>
        </w:rPr>
      </w:pPr>
    </w:p>
    <w:p>
      <w:pPr>
        <w:ind w:left="980" w:right="80" w:firstLine="408"/>
        <w:spacing w:after="0" w:line="282" w:lineRule="auto"/>
        <w:tabs>
          <w:tab w:leader="none" w:pos="1666"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PERSON IT REASONABLY BELIEVES TO BE A QUALIFIED INSTITUTIONAL BUYER IN COMPLIANCE WITH RULE 144A UNDER THE SECURITIES ACT, OR</w:t>
      </w:r>
    </w:p>
    <w:p>
      <w:pPr>
        <w:sectPr>
          <w:pgSz w:w="11900" w:h="16838" w:orient="portrait"/>
          <w:cols w:equalWidth="0" w:num="1">
            <w:col w:w="11020"/>
          </w:cols>
          <w:pgMar w:left="440" w:top="117" w:right="439" w:bottom="1440" w:gutter="0" w:footer="0" w:header="0"/>
        </w:sectPr>
      </w:pPr>
    </w:p>
    <w:bookmarkStart w:id="133" w:name="page134"/>
    <w:bookmarkEnd w:id="133"/>
    <w:p>
      <w:pPr>
        <w:ind w:left="980" w:right="100" w:firstLine="408"/>
        <w:spacing w:after="0" w:line="282" w:lineRule="auto"/>
        <w:tabs>
          <w:tab w:leader="none" w:pos="167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OUTSIDE THE UNITED STATES, THROUGH OFFERS AND SALES THAT OCCUR OUTSIDE THE UNITED STATES WITHIN THE MEANING OF REGULATION S UNDER THE SECURITIES ACT, OR</w:t>
      </w:r>
    </w:p>
    <w:p>
      <w:pPr>
        <w:spacing w:after="0" w:line="53" w:lineRule="exact"/>
        <w:rPr>
          <w:rFonts w:ascii="Times New Roman" w:cs="Times New Roman" w:eastAsia="Times New Roman" w:hAnsi="Times New Roman"/>
          <w:sz w:val="18"/>
          <w:szCs w:val="18"/>
          <w:color w:val="auto"/>
        </w:rPr>
      </w:pPr>
    </w:p>
    <w:p>
      <w:pPr>
        <w:ind w:left="980" w:right="20" w:firstLine="408"/>
        <w:spacing w:after="0" w:line="266" w:lineRule="auto"/>
        <w:tabs>
          <w:tab w:leader="none" w:pos="165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EXEMPTION FROM REGISTRATION PROVIDED BY RULE 144 UNDER THE SECURITIES ACT (IF AVAILABLE) OR ANY OTHER AVAILABLE EXEMPTION FROM THE REGISTRATION REQUIREMENTS OF THE SECURITIES ACT.</w:t>
      </w:r>
    </w:p>
    <w:p>
      <w:pPr>
        <w:spacing w:after="0" w:line="176" w:lineRule="exact"/>
        <w:rPr>
          <w:sz w:val="20"/>
          <w:szCs w:val="20"/>
          <w:color w:val="auto"/>
        </w:rPr>
      </w:pPr>
    </w:p>
    <w:p>
      <w:pPr>
        <w:jc w:val="both"/>
        <w:ind w:firstLine="440"/>
        <w:spacing w:after="0" w:line="277" w:lineRule="auto"/>
        <w:rPr>
          <w:sz w:val="20"/>
          <w:szCs w:val="20"/>
          <w:color w:val="auto"/>
        </w:rPr>
      </w:pPr>
      <w:r>
        <w:rPr>
          <w:rFonts w:ascii="Times New Roman" w:cs="Times New Roman" w:eastAsia="Times New Roman" w:hAnsi="Times New Roman"/>
          <w:sz w:val="17"/>
          <w:szCs w:val="17"/>
          <w:color w:val="auto"/>
        </w:rPr>
        <w:t>PRIOR TO THE REGISTRATION OF ANY TRANSFER IN ACCORDANCE WITH CLAUSE (2)(E) ABOVE, THE COMPANY AND THE TRUSTEE RESERVE THE RIGHT TO REQUIRE THE DELIVERY OF SUCH LEGAL OPINIONS, CERTIFICATIONS OR OTHER EVIDENCE AS MAY REASONABLY BE REQUIRED IN ORDER FOR THE COMPANY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68"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HEDGING TRANSACTIONS INVOLVING THIS SECURITY AND THE COMMON STOCK, IF ANY, ISSUABLE UPON CONVERSION OF THIS SECURITY MAY NOT BE CONDUCTED UNLESS IN COMPLIANCE WITH THE SECURITIES ACT.</w:t>
      </w:r>
    </w:p>
    <w:p>
      <w:pPr>
        <w:sectPr>
          <w:pgSz w:w="11900" w:h="16838" w:orient="portrait"/>
          <w:cols w:equalWidth="0" w:num="1">
            <w:col w:w="10800"/>
          </w:cols>
          <w:pgMar w:left="440" w:top="270" w:right="659" w:bottom="1440" w:gutter="0" w:footer="0" w:header="0"/>
        </w:sectPr>
      </w:pPr>
    </w:p>
    <w:bookmarkStart w:id="134" w:name="page135"/>
    <w:bookmarkEnd w:id="134"/>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Syndax Pharmaceuticals, Inc.</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2.25% Convertible Senior Note due 2031</w:t>
      </w:r>
    </w:p>
    <w:p>
      <w:pPr>
        <w:spacing w:after="0" w:line="252" w:lineRule="exact"/>
        <w:rPr>
          <w:sz w:val="20"/>
          <w:szCs w:val="20"/>
          <w:color w:val="auto"/>
        </w:rPr>
      </w:pPr>
    </w:p>
    <w:p>
      <w:pPr>
        <w:ind w:left="4"/>
        <w:spacing w:after="0"/>
        <w:tabs>
          <w:tab w:leader="none" w:pos="7804" w:val="left"/>
        </w:tabs>
        <w:rPr>
          <w:sz w:val="20"/>
          <w:szCs w:val="20"/>
          <w:color w:val="auto"/>
        </w:rPr>
      </w:pPr>
      <w:r>
        <w:rPr>
          <w:rFonts w:ascii="Times New Roman" w:cs="Times New Roman" w:eastAsia="Times New Roman" w:hAnsi="Times New Roman"/>
          <w:sz w:val="18"/>
          <w:szCs w:val="18"/>
          <w:color w:val="auto"/>
        </w:rPr>
        <w:t>No. A-1</w:t>
      </w:r>
      <w:r>
        <w:rPr>
          <w:sz w:val="20"/>
          <w:szCs w:val="20"/>
          <w:color w:val="auto"/>
        </w:rPr>
        <w:tab/>
      </w:r>
      <w:r>
        <w:rPr>
          <w:rFonts w:ascii="Times New Roman" w:cs="Times New Roman" w:eastAsia="Times New Roman" w:hAnsi="Times New Roman"/>
          <w:sz w:val="18"/>
          <w:szCs w:val="18"/>
          <w:color w:val="auto"/>
        </w:rPr>
        <w:t>Initially $250,000,000</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CUSIP No. 87164F AA3</w:t>
      </w:r>
      <w:r>
        <w:rPr>
          <w:rFonts w:ascii="Times New Roman" w:cs="Times New Roman" w:eastAsia="Times New Roman" w:hAnsi="Times New Roman"/>
          <w:sz w:val="26"/>
          <w:szCs w:val="26"/>
          <w:color w:val="auto"/>
          <w:vertAlign w:val="superscript"/>
        </w:rPr>
        <w:t>1</w:t>
      </w:r>
    </w:p>
    <w:p>
      <w:pPr>
        <w:spacing w:after="0" w:line="129"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Syndax Pharmaceuticals, Inc., a corporation duly organized and validly existing under the laws of the State of Delaware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which term includes any successor corporation or other entity under the Indenture referred to on the reverse hereof), for value received hereby promises to pay to CEDE &amp; CO., or registered assigns, the principal sum as set forth in the “Schedule of Exchanges of Notes” attached hereto, which amount, taken together with the principal amounts of all other outstanding Notes, shall not, unless permitted by the Indenture, exceed $250,000,000 in aggregate at any time, in accordance with the rules and applicable procedures of the Depositary, on June 15, 2031, and interest thereon as set forth below. Accrued interest on the Notes shall be computed on the basis of a 360-day year composed of twelve 30-day months and, for partial months, on the basis of the number of days actually elapsed in a 30-day month.</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This Note shall bear interest at the rate of 2.25% per year from June 10, 2026, or from the most recent date to which interest has been paid or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provided for to, but excluding, the next scheduled Interest Payment Date until June 15, 2031. Interest is payable semi-annually in arrears on each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June 15 and December 15, commencing on December 15, 2026, to Holders of record at the close of business on the preceding June 1 and December 1</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(whether or not such day is a Business Day), respectively. Additional Interest will be payable as set forth in Section 4.06(d), Section 4.06(e) and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Section 6.03 of the within-mentioned Indenture, and any reference to interest on, or in respect of, any Note therein shall be deemed to include Additional</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Interest if, in such context, Additional Interest is, was or would be payable pursuant to any of such Section 4.06(d), Section 4.06(e) or Section 6.03, and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any express mention of the payment of Additional Interest in any provision therein shall not be construed as excluding Additional Interest in those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provisions thereof where such express mention is not made.</w:t>
      </w:r>
    </w:p>
    <w:p>
      <w:pPr>
        <w:spacing w:after="0" w:line="207"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Any Defaulted Amounts shall accrue interest per annum at the rate borne by the Notes, subject to the enforceability thereof under applicable law, from, and including, the relevant payment date to, but excluding, the date on which such Defaulted Amounts shall have been paid by the Company, at its election, in accordance with Section 2.03(c) of the Indenture.</w:t>
      </w:r>
    </w:p>
    <w:p>
      <w:pPr>
        <w:spacing w:after="0" w:line="176"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The Company shall pay the principal of and interest on this Note, if and so long as such Note is a Global Note, in immediately available funds to the Depositary or its nominee, as the case may be, as the registered Holder of such Note. As provided in and subject to the provisions of the Indenture, the Company shall pay the principal of any Notes (other than Notes that are Global Notes) at the office or agency designated by the Company for that purpose. The Company has initially designated the Trustee as its Paying Agent and Note Registrar in respect of the Notes and its Corporate Trust Office as a place in the continental United States of America where Notes may be presented for payment or for registration of transfer and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7715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6" w:lineRule="exact"/>
        <w:rPr>
          <w:sz w:val="20"/>
          <w:szCs w:val="20"/>
          <w:color w:val="auto"/>
        </w:rPr>
      </w:pPr>
    </w:p>
    <w:p>
      <w:pPr>
        <w:ind w:left="424" w:right="120" w:hanging="424"/>
        <w:spacing w:after="0" w:line="227" w:lineRule="auto"/>
        <w:tabs>
          <w:tab w:leader="none" w:pos="424" w:val="left"/>
        </w:tabs>
        <w:numPr>
          <w:ilvl w:val="0"/>
          <w:numId w:val="11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This Note will be deemed to be identified by CUSIP No. 87164F AB1 from and after such time when (i) the Company delivers, pursuant to Section 2.05(c) of the within-mentioned Indenture, written notice to the Trustee of the occurrence of the Resale Restriction Termination Date and the removal of the restrictive legend affixed to this Note and (ii) this Note is identified by such CUSIP number in accordance with the applicable procedures of the Depositary.</w:t>
      </w:r>
    </w:p>
    <w:p>
      <w:pPr>
        <w:sectPr>
          <w:pgSz w:w="11900" w:h="16838" w:orient="portrait"/>
          <w:cols w:equalWidth="0" w:num="1">
            <w:col w:w="11004"/>
          </w:cols>
          <w:pgMar w:left="436" w:top="270" w:right="459" w:bottom="1440" w:gutter="0" w:footer="0" w:header="0"/>
        </w:sectPr>
      </w:pPr>
    </w:p>
    <w:bookmarkStart w:id="135" w:name="page136"/>
    <w:bookmarkEnd w:id="135"/>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Reference is made to the further provisions of this Note set forth on the reverse hereof, including, without limitation, provisions giving the Holder of this Note the right to convert this Note into cash, shares of Common Stock or a combination of cash and shares of Common Stock, as applicable, on the terms and subject to the limitations set forth in the Indenture. Such further provisions shall for all purposes have the same effect as though fully set forth at this place.</w:t>
      </w:r>
    </w:p>
    <w:p>
      <w:pPr>
        <w:spacing w:after="0" w:line="176" w:lineRule="exact"/>
        <w:rPr>
          <w:sz w:val="20"/>
          <w:szCs w:val="20"/>
          <w:color w:val="auto"/>
        </w:rPr>
      </w:pPr>
    </w:p>
    <w:p>
      <w:pPr>
        <w:ind w:right="7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This Note, and any claim, controversy or dispute arising under or related to this Note, shall be construed in accordance with and governed by the laws of the State of New York.</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the case of any conflict between this Note and the Indenture, the provisions of the Indenture shall control and govern.</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This Note shall not be valid or become obligatory for any purpose until the certificate of authentication hereon shall have been signed manually by the Trustee or a duly authorized authenticating agent under the Indenture.</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70" w:right="459" w:bottom="1440" w:gutter="0" w:footer="0" w:header="0"/>
        </w:sectPr>
      </w:pPr>
    </w:p>
    <w:bookmarkStart w:id="136" w:name="page137"/>
    <w:bookmarkEnd w:id="136"/>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Company has caused this Note to be duly executed.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TRUSTEE’S CERTIFICATE OF AUTHENTICATION</w:t>
      </w:r>
    </w:p>
    <w:p>
      <w:pPr>
        <w:spacing w:after="0" w:line="225" w:lineRule="exact"/>
        <w:rPr>
          <w:sz w:val="20"/>
          <w:szCs w:val="20"/>
          <w:color w:val="auto"/>
        </w:rPr>
      </w:pPr>
    </w:p>
    <w:p>
      <w:pPr>
        <w:ind w:right="1800"/>
        <w:spacing w:after="0" w:line="266" w:lineRule="auto"/>
        <w:rPr>
          <w:sz w:val="20"/>
          <w:szCs w:val="20"/>
          <w:color w:val="auto"/>
        </w:rPr>
      </w:pPr>
      <w:r>
        <w:rPr>
          <w:rFonts w:ascii="Times New Roman" w:cs="Times New Roman" w:eastAsia="Times New Roman" w:hAnsi="Times New Roman"/>
          <w:sz w:val="18"/>
          <w:szCs w:val="18"/>
          <w:color w:val="auto"/>
        </w:rPr>
        <w:t>U.S. BANK TRUST COMPANY, NATIONAL ASSOCIATION as Trustee, certifies that this is one of the Notes described in the within-named Indenture.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SYNDAX PHARMACEUTICALS, INC.</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17145</wp:posOffset>
            </wp:positionV>
            <wp:extent cx="25628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2">
            <w:col w:w="6420" w:space="200"/>
            <w:col w:w="3399"/>
          </w:cols>
          <w:pgMar w:left="440" w:top="270" w:right="1440" w:bottom="1440" w:gutter="0" w:footer="0" w:header="0"/>
        </w:sectPr>
      </w:pPr>
    </w:p>
    <w:bookmarkStart w:id="137" w:name="page138"/>
    <w:bookmarkEnd w:id="137"/>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Syndax Pharmaceuticals,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2.25% Convertible Senior Note due 2031</w:t>
      </w:r>
    </w:p>
    <w:p>
      <w:pPr>
        <w:spacing w:after="0" w:line="203"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This Note is one of a duly authorized issue of Notes of the Company, designated as its 2.25% Convertible Senior Notes due 2031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initially limited to the aggregate principal amount of $250,000,000, all issued or to be issued under and pursuant to an Indenture dated as of June 10, 2026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between the Company and U.S. Bank Trust Company, National Association,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to which Indenture and all indentures supplemental thereto reference is hereby made for a description of the rights, limitations of rights, obligations, duties and immunities thereunder of the Trustee, the Company and the Holders of the Notes. Additional Notes may be issued in an unlimited aggregate principal amount, subject to certain conditions specified in the Indenture. Capitalized terms used in this Note and not defined in this Note shall have the respective meanings set forth in the Indenture.</w:t>
      </w:r>
    </w:p>
    <w:p>
      <w:pPr>
        <w:spacing w:after="0" w:line="18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In case certain Events of Default shall have occurred and be continuing, the principal of, and interest on, all Notes may be declared, by either the Trustee or Holders of at least 25% in aggregate principal amount of Notes then outstanding, and upon said declaration shall become, due and payable, in the manner, with the effect and subject to the conditions and certain exceptions set forth in the Indenture.</w:t>
      </w:r>
    </w:p>
    <w:p>
      <w:pPr>
        <w:spacing w:after="0" w:line="176"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of the Indenture, the Company will make all payments and deliveries in respect of the Fundamental Change Repurchase Price on the Fundamental Change Repurchase Date, the Redemption Price on any Redemption Date and the principal amount on the Maturity Date, as the case may be, to the Holder who surrenders a Note to a Paying Agent to collect such payments in respect of the Note. The Company will pay cash amounts in money of the United States that at the time of payment is legal tender for payment of public and private debts.</w:t>
      </w:r>
    </w:p>
    <w:p>
      <w:pPr>
        <w:spacing w:after="0" w:line="180"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The Indenture contains provisions permitting the Company and the Trustee in certain circumstances, without the consent of the Holders of the Notes, and in certain other circumstances, with the consent of the Holders of not less than a majority in aggregate principal amount of the Notes at the time outstanding, evidenced as in the Indenture provided, to execute supplemental indentures modifying the terms of the Indenture and the Notes as described therein. It is also provided in the Indenture that, subject to certain exceptions, the Holders of a majority in aggregate principal amount of the Notes at the time outstanding may on behalf of the Holders of all of the Notes waive any past Default or Event of Default under the Indenture and its consequences.</w:t>
      </w:r>
    </w:p>
    <w:p>
      <w:pPr>
        <w:spacing w:after="0" w:line="187" w:lineRule="exact"/>
        <w:rPr>
          <w:sz w:val="20"/>
          <w:szCs w:val="20"/>
          <w:color w:val="auto"/>
        </w:rPr>
      </w:pPr>
    </w:p>
    <w:p>
      <w:pPr>
        <w:jc w:val="both"/>
        <w:ind w:right="140" w:firstLine="440"/>
        <w:spacing w:after="0" w:line="289" w:lineRule="auto"/>
        <w:rPr>
          <w:sz w:val="20"/>
          <w:szCs w:val="20"/>
          <w:color w:val="auto"/>
        </w:rPr>
      </w:pPr>
      <w:r>
        <w:rPr>
          <w:rFonts w:ascii="Times New Roman" w:cs="Times New Roman" w:eastAsia="Times New Roman" w:hAnsi="Times New Roman"/>
          <w:sz w:val="17"/>
          <w:szCs w:val="17"/>
          <w:color w:val="auto"/>
        </w:rPr>
        <w:t>Each Holder shall have the right to receive payment or delivery, as the case may be, of (x) the principal (including the Redemption Price and the Fundamental Change Repurchase Price, if applicable) of, (y) accrued and unpaid interest, if any, on, and (z) the consideration due upon conversion of, this Note at the place, at the respective times, at the rate and in the lawful money or shares of Common Stock, as the case may be, herein prescribed.</w:t>
      </w:r>
    </w:p>
    <w:p>
      <w:pPr>
        <w:sectPr>
          <w:pgSz w:w="11900" w:h="16838" w:orient="portrait"/>
          <w:cols w:equalWidth="0" w:num="1">
            <w:col w:w="10960"/>
          </w:cols>
          <w:pgMar w:left="440" w:top="270" w:right="499" w:bottom="1440" w:gutter="0" w:footer="0" w:header="0"/>
        </w:sectPr>
      </w:pPr>
    </w:p>
    <w:bookmarkStart w:id="138" w:name="page139"/>
    <w:bookmarkEnd w:id="138"/>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Notes are issuable in registered form without coupons in denominations of $1,000 principal amount and integral multiples thereof. At the office or agency of the Company referred to on the face hereof, and in the manner and subject to the limitations provided in the Indenture, Notes may be exchanged for a like aggregate principal amount of Notes of other authorized denominations, without payment of any service charge but, if required by the Company or Trustee, with payment of a sum sufficient to cover any transfer or similar tax that may be imposed in connection therewith as a result of the name of the Holder of the new Notes issued upon such exchange of Notes being different from the name of the Holder of the old Notes surrendered for such exchange.</w:t>
      </w:r>
    </w:p>
    <w:p>
      <w:pPr>
        <w:spacing w:after="0" w:line="187"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Notes shall be redeemable at the Company’s option on a redemption date on or after June 20, 2029 in accordance with the terms and subject to the conditions specified in the Indenture. No sinking fund is provided for the Notes.</w:t>
      </w:r>
    </w:p>
    <w:p>
      <w:pPr>
        <w:spacing w:after="0" w:line="162"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Upon the occurrence of a Fundamental Change (other than an Exempted Fundamental Change), the Holder has the right, at such Holder’s option, to require the Company to repurchase for cash all of such Holder’s Notes or any portion thereof (in principal amounts of $1,000 or integral multiples thereof) on the Fundamental Change Repurchase Date at a price equal to the Fundamental Change Repurchase Price.</w:t>
      </w:r>
    </w:p>
    <w:p>
      <w:pPr>
        <w:spacing w:after="0" w:line="176" w:lineRule="exact"/>
        <w:rPr>
          <w:sz w:val="20"/>
          <w:szCs w:val="20"/>
          <w:color w:val="auto"/>
        </w:rPr>
      </w:pPr>
    </w:p>
    <w:p>
      <w:pPr>
        <w:ind w:right="100" w:firstLine="440"/>
        <w:spacing w:after="0" w:line="281" w:lineRule="auto"/>
        <w:rPr>
          <w:sz w:val="20"/>
          <w:szCs w:val="20"/>
          <w:color w:val="auto"/>
        </w:rPr>
      </w:pPr>
      <w:r>
        <w:rPr>
          <w:rFonts w:ascii="Times New Roman" w:cs="Times New Roman" w:eastAsia="Times New Roman" w:hAnsi="Times New Roman"/>
          <w:sz w:val="17"/>
          <w:szCs w:val="17"/>
          <w:color w:val="auto"/>
        </w:rPr>
        <w:t>Subject to the provisions of the Indenture, the Holder hereof has the right, at its option, during certain periods and upon the occurrence of certain conditions specified in the Indenture, prior to the close of business on the second Scheduled Trading Day immediately preceding the Maturity Date, to convert any Notes or portion thereof that is $1,000 or an integral multiple thereof, into cash, shares of Common Stock or a combination of cash and shares of Common Stock, as applicable, at the Conversion Rate specified in the Indenture, as adjusted from time to time as provided in the Indenture.</w:t>
      </w:r>
    </w:p>
    <w:p>
      <w:pPr>
        <w:sectPr>
          <w:pgSz w:w="11900" w:h="16838" w:orient="portrait"/>
          <w:cols w:equalWidth="0" w:num="1">
            <w:col w:w="10960"/>
          </w:cols>
          <w:pgMar w:left="440" w:top="270" w:right="499" w:bottom="1440" w:gutter="0" w:footer="0" w:header="0"/>
        </w:sectPr>
      </w:pPr>
    </w:p>
    <w:bookmarkStart w:id="139" w:name="page140"/>
    <w:bookmarkEnd w:id="139"/>
    <w:p>
      <w:pPr>
        <w:jc w:val="center"/>
        <w:ind w:right="-5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ABBREVIATIONS</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following abbreviations, when used in the inscription of the face of this Note, shall be construed as though they were written out in full according to applicable laws or regulations: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COM = as tenants in common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UNIF GIFT MIN ACT = Uniform Gifts to Minors 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 = Custodian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ENT = as tenants by the entireties</w:t>
      </w:r>
    </w:p>
    <w:p>
      <w:pPr>
        <w:spacing w:after="0" w:line="225" w:lineRule="exact"/>
        <w:rPr>
          <w:sz w:val="20"/>
          <w:szCs w:val="20"/>
          <w:color w:val="auto"/>
        </w:rPr>
      </w:pPr>
    </w:p>
    <w:p>
      <w:pPr>
        <w:ind w:left="440" w:right="4660" w:hanging="439"/>
        <w:spacing w:after="0" w:line="532" w:lineRule="auto"/>
        <w:rPr>
          <w:sz w:val="20"/>
          <w:szCs w:val="20"/>
          <w:color w:val="auto"/>
        </w:rPr>
      </w:pPr>
      <w:r>
        <w:rPr>
          <w:rFonts w:ascii="Times New Roman" w:cs="Times New Roman" w:eastAsia="Times New Roman" w:hAnsi="Times New Roman"/>
          <w:sz w:val="18"/>
          <w:szCs w:val="18"/>
          <w:color w:val="auto"/>
        </w:rPr>
        <w:t>JT TEN = joint tenants with right of survivorship and not as tenants in common   Additional abbreviations may also be used though not in the above list.</w:t>
      </w:r>
    </w:p>
    <w:p>
      <w:pPr>
        <w:sectPr>
          <w:pgSz w:w="11900" w:h="16838" w:orient="portrait"/>
          <w:cols w:equalWidth="0" w:num="1">
            <w:col w:w="10480"/>
          </w:cols>
          <w:pgMar w:left="440" w:top="270" w:right="97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OF EXCHANGES OF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Syndax Pharmaceuticals,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2.25% Convertible Senior Notes due 2031</w:t>
      </w:r>
    </w:p>
    <w:p>
      <w:pPr>
        <w:spacing w:after="0" w:line="207"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The initial principal amount of this Global Note is TWO HUNDRED AND FIFTY MILLION DOLLARS ($250,000,000). The following increases or decreases in this Global Note have been made: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Amount of decrease in</w:t>
            </w:r>
          </w:p>
        </w:tc>
        <w:tc>
          <w:tcPr>
            <w:tcW w:w="100" w:type="dxa"/>
            <w:vAlign w:val="bottom"/>
          </w:tcPr>
          <w:p>
            <w:pPr>
              <w:spacing w:after="0"/>
              <w:rPr>
                <w:sz w:val="13"/>
                <w:szCs w:val="13"/>
                <w:color w:val="auto"/>
              </w:rPr>
            </w:pPr>
          </w:p>
        </w:tc>
        <w:tc>
          <w:tcPr>
            <w:tcW w:w="2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 increase in principal</w:t>
            </w:r>
          </w:p>
        </w:tc>
        <w:tc>
          <w:tcPr>
            <w:tcW w:w="120" w:type="dxa"/>
            <w:vAlign w:val="bottom"/>
          </w:tcPr>
          <w:p>
            <w:pPr>
              <w:spacing w:after="0"/>
              <w:rPr>
                <w:sz w:val="13"/>
                <w:szCs w:val="13"/>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amount of this Global</w:t>
            </w:r>
          </w:p>
        </w:tc>
        <w:tc>
          <w:tcPr>
            <w:tcW w:w="100" w:type="dxa"/>
            <w:vAlign w:val="bottom"/>
          </w:tcPr>
          <w:p>
            <w:pPr>
              <w:spacing w:after="0"/>
              <w:rPr>
                <w:sz w:val="13"/>
                <w:szCs w:val="13"/>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Signature of authorized</w:t>
            </w:r>
          </w:p>
        </w:tc>
        <w:tc>
          <w:tcPr>
            <w:tcW w:w="0" w:type="dxa"/>
            <w:vAlign w:val="bottom"/>
          </w:tcPr>
          <w:p>
            <w:pPr>
              <w:spacing w:after="0"/>
              <w:rPr>
                <w:sz w:val="1"/>
                <w:szCs w:val="1"/>
                <w:color w:val="auto"/>
              </w:rPr>
            </w:pPr>
          </w:p>
        </w:tc>
      </w:tr>
      <w:tr>
        <w:trPr>
          <w:trHeight w:val="148"/>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9"/>
              </w:rPr>
              <w:t>Date of exchange</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principal amount of this</w:t>
            </w:r>
          </w:p>
        </w:tc>
        <w:tc>
          <w:tcPr>
            <w:tcW w:w="100" w:type="dxa"/>
            <w:vAlign w:val="bottom"/>
          </w:tcPr>
          <w:p>
            <w:pPr>
              <w:spacing w:after="0"/>
              <w:rPr>
                <w:sz w:val="12"/>
                <w:szCs w:val="12"/>
                <w:color w:val="auto"/>
              </w:rPr>
            </w:pPr>
          </w:p>
        </w:tc>
        <w:tc>
          <w:tcPr>
            <w:tcW w:w="22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Note following such decrease</w:t>
            </w:r>
          </w:p>
        </w:tc>
        <w:tc>
          <w:tcPr>
            <w:tcW w:w="10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signatory of Trustee or</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vMerge w:val="continue"/>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Global Note</w:t>
            </w:r>
          </w:p>
        </w:tc>
        <w:tc>
          <w:tcPr>
            <w:tcW w:w="10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amount of this Global Note</w:t>
            </w:r>
          </w:p>
        </w:tc>
        <w:tc>
          <w:tcPr>
            <w:tcW w:w="12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or increase</w:t>
            </w:r>
          </w:p>
        </w:tc>
        <w:tc>
          <w:tcPr>
            <w:tcW w:w="10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Custodian</w:t>
            </w:r>
          </w:p>
        </w:tc>
        <w:tc>
          <w:tcPr>
            <w:tcW w:w="0" w:type="dxa"/>
            <w:vAlign w:val="bottom"/>
          </w:tcPr>
          <w:p>
            <w:pPr>
              <w:spacing w:after="0"/>
              <w:rPr>
                <w:sz w:val="1"/>
                <w:szCs w:val="1"/>
                <w:color w:val="auto"/>
              </w:rPr>
            </w:pPr>
          </w:p>
        </w:tc>
      </w:tr>
      <w:tr>
        <w:trPr>
          <w:trHeight w:val="203"/>
        </w:trPr>
        <w:tc>
          <w:tcPr>
            <w:tcW w:w="10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ATTACHMENT 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NOTICE OF CONVERSION]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U.S. Bank Trust Company, National Association</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333 Commerce Street, Suite 900</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Nashville, Tennessee 37201</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Attn: Wally Jones (Syndax Pharmaceuticals, Inc. Administrator)</w:t>
      </w:r>
    </w:p>
    <w:p>
      <w:pPr>
        <w:spacing w:after="0" w:line="20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The undersigned registered owner of this Note hereby exercises the option to convert this Note, or the portion hereof (that is $1,000 principal amount or an integral multiple thereof) below designated, into cash, shares of Common Stock or a combination of cash and shares of Common Stock, as applicable, in accordance with the terms of the Indenture referred to in this Note, and directs that any cash payable and any shares of Common Stock issuable and deliverable upon such conversion, together with any cash for any fractional share, and any Notes representing any unconverted principal amount hereof, be issued and delivered to the registered Holder hereof unless a different name has been indicated below. If any shares of Common Stock or any portion of this Note not converted are to be issued in the name of a Person other than the undersigned, the undersigned will pay all documentary, stamp or similar issue or transfer taxes, if any in accordance with Section 14.02(d) and Section 14.02(e) of the Indenture. Any amount required to be paid to the undersigned on account of interest accompanies this Note. Capitalized terms used herein but not defined shall have the meanings ascribed to such terms in the Indenture.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17145</wp:posOffset>
            </wp:positionV>
            <wp:extent cx="65836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308610</wp:posOffset>
            </wp:positionV>
            <wp:extent cx="307721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34118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must be guaranteed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an eligible Guarantor Institution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(banks, stock brokers, savings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associations and credit unions)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membership in an approved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 medallion program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Securities and Exchange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 Rule 17Ad-15 if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Common Stock are to be issued,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are to be delivered, other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and in the name of the registered holder.</w:t>
      </w:r>
    </w:p>
    <w:p>
      <w:pPr>
        <w:sectPr>
          <w:pgSz w:w="11900" w:h="16838" w:orient="portrait"/>
          <w:cols w:equalWidth="0" w:num="1">
            <w:col w:w="11020"/>
          </w:cols>
          <w:pgMar w:left="440" w:top="266" w:right="4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Fill in for registration of shares if to be issued, and Notes if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delivered, other than to and in the name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27946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27946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27946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 name and address</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Principal amount to be converted (if less than all):</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$______,000</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NOTICE: The above signature(s) of the Holder(s) hereof</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must correspond with the name as written upon the face of</w:t>
      </w:r>
    </w:p>
    <w:p>
      <w:pPr>
        <w:spacing w:after="0" w:line="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the Note in every particular without alteration or</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280035</wp:posOffset>
            </wp:positionV>
            <wp:extent cx="27946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Social Security or Other Taxpayer</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Identification Number</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20"/>
          </w:cols>
          <w:pgMar w:left="440" w:top="270" w:right="6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ATTACHMENT 2</w:t>
      </w:r>
    </w:p>
    <w:p>
      <w:pPr>
        <w:spacing w:after="0" w:line="22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[FORM OF FUNDAMENTAL CHANGE REPURCHASE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U.S. Bank Trust Company, National Association</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333 Commerce Street, Suite 900</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Nashville, Tennessee 37201</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Attn: Wally Jones (Syndax Pharmaceuticals, Inc. Administrator)</w:t>
      </w:r>
    </w:p>
    <w:p>
      <w:pPr>
        <w:spacing w:after="0" w:line="203"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The undersigned registered owner of this Note hereby acknowledges receipt of a notice from Syndax Pharmaceuticals,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to the occurrence of a Fundamental Change with respect to the Company and specifying the Fundamental Change Repurchase Date and requests and instructs the Company to pay to the registered holder hereof in accordance with Section 15.02 of the Indenture referred to in this Note (1) the entire principal amount of this Note, or the portion thereof (that is $1,000 principal amount or an integral multiple thereof) below designated, and (2) if such Fundamental Change Repurchase Date does not fall during the period after a Regular Record Date and on or prior to the corresponding Interest Payment Date, accrued and unpaid interest, if any, thereon to, but excluding, such Fundamental Change Repurchase Date. Capitalized terms used herein but not defined shall have the meanings ascribed to such terms in the Indenture.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the case of Physical Notes, the certificate numbers of the Notes to be repurchased are as set forth below:</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17145</wp:posOffset>
            </wp:positionV>
            <wp:extent cx="300037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308610</wp:posOffset>
            </wp:positionV>
            <wp:extent cx="307721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291465</wp:posOffset>
            </wp:positionV>
            <wp:extent cx="307721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Social Security or Other Taxpayer</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Identification Number</w:t>
      </w:r>
    </w:p>
    <w:p>
      <w:pPr>
        <w:spacing w:after="0" w:line="20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Principal amount to be repaid (if less than all): $______,000</w:t>
      </w:r>
    </w:p>
    <w:p>
      <w:pPr>
        <w:spacing w:after="0" w:line="22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NOTICE: The above signature(s) of the Holder(s) hereof must</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correspond with the name as written upon the face of the Note in</w:t>
      </w:r>
    </w:p>
    <w:p>
      <w:pPr>
        <w:spacing w:after="0" w:line="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every particular without alteration or enlargement or any change</w:t>
      </w:r>
    </w:p>
    <w:p>
      <w:pPr>
        <w:spacing w:after="0" w:line="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whatever.</w:t>
      </w:r>
    </w:p>
    <w:p>
      <w:pPr>
        <w:sectPr>
          <w:pgSz w:w="11900" w:h="16838" w:orient="portrait"/>
          <w:cols w:equalWidth="0" w:num="1">
            <w:col w:w="11020"/>
          </w:cols>
          <w:pgMar w:left="440" w:top="266" w:right="4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ATTACHMENT 3</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OF ASSIGNMENT AND TRANSFER]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value received ____________________________ hereby sell(s), assign(s) and transfer(s) unto _________________ (Please insert social security or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Taxpayer Identification Number of assignee) the within Note, and hereby irrevocably constitutes and appoints _____________________ attorney to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transfer the said Note on the books of the Company, with full power of substitution in the premises.</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In connection with any transfer of the within Note occurring prior to the Resale Restriction Termination Date, as defined in the Indenture governing such</w:t>
      </w:r>
    </w:p>
    <w:p>
      <w:pPr>
        <w:spacing w:after="0" w:line="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Note, the undersigned confirms that such Note is being transferred:</w:t>
      </w:r>
    </w:p>
    <w:p>
      <w:pPr>
        <w:spacing w:after="0" w:line="207" w:lineRule="exact"/>
        <w:rPr>
          <w:sz w:val="20"/>
          <w:szCs w:val="20"/>
          <w:color w:val="auto"/>
        </w:rPr>
      </w:pPr>
    </w:p>
    <w:p>
      <w:pPr>
        <w:ind w:left="204" w:hanging="204"/>
        <w:spacing w:after="0"/>
        <w:tabs>
          <w:tab w:leader="none" w:pos="204" w:val="left"/>
        </w:tabs>
        <w:numPr>
          <w:ilvl w:val="0"/>
          <w:numId w:val="11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To Syndax Pharmaceuticals, Inc. or a subsidiary thereof; or</w:t>
      </w:r>
    </w:p>
    <w:p>
      <w:pPr>
        <w:spacing w:after="0" w:line="225" w:lineRule="exact"/>
        <w:rPr>
          <w:rFonts w:ascii="MS PGothic" w:cs="MS PGothic" w:eastAsia="MS PGothic" w:hAnsi="MS PGothic"/>
          <w:sz w:val="18"/>
          <w:szCs w:val="18"/>
          <w:color w:val="auto"/>
        </w:rPr>
      </w:pPr>
    </w:p>
    <w:p>
      <w:pPr>
        <w:ind w:left="204" w:hanging="204"/>
        <w:spacing w:after="0"/>
        <w:tabs>
          <w:tab w:leader="none" w:pos="204" w:val="left"/>
        </w:tabs>
        <w:numPr>
          <w:ilvl w:val="0"/>
          <w:numId w:val="11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Pursuant to a registration statement that has become or been declared effective under the Securities Act of 1933, as amended; or</w:t>
      </w:r>
    </w:p>
    <w:p>
      <w:pPr>
        <w:spacing w:after="0" w:line="225" w:lineRule="exact"/>
        <w:rPr>
          <w:rFonts w:ascii="MS PGothic" w:cs="MS PGothic" w:eastAsia="MS PGothic" w:hAnsi="MS PGothic"/>
          <w:sz w:val="18"/>
          <w:szCs w:val="18"/>
          <w:color w:val="auto"/>
        </w:rPr>
      </w:pPr>
    </w:p>
    <w:p>
      <w:pPr>
        <w:ind w:left="204" w:hanging="204"/>
        <w:spacing w:after="0"/>
        <w:tabs>
          <w:tab w:leader="none" w:pos="204" w:val="left"/>
        </w:tabs>
        <w:numPr>
          <w:ilvl w:val="0"/>
          <w:numId w:val="11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To a person reasonably believed to be a qualified institutional buyer in compliance with Rule 144A under the Securities Act of 1933, as amended; or</w:t>
      </w:r>
    </w:p>
    <w:p>
      <w:pPr>
        <w:spacing w:after="0" w:line="225" w:lineRule="exact"/>
        <w:rPr>
          <w:rFonts w:ascii="MS PGothic" w:cs="MS PGothic" w:eastAsia="MS PGothic" w:hAnsi="MS PGothic"/>
          <w:sz w:val="18"/>
          <w:szCs w:val="18"/>
          <w:color w:val="auto"/>
        </w:rPr>
      </w:pPr>
    </w:p>
    <w:p>
      <w:pPr>
        <w:ind w:left="4" w:right="200" w:hanging="4"/>
        <w:spacing w:after="0" w:line="282" w:lineRule="auto"/>
        <w:tabs>
          <w:tab w:leader="none" w:pos="211" w:val="left"/>
        </w:tabs>
        <w:numPr>
          <w:ilvl w:val="0"/>
          <w:numId w:val="11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Outside the United States, through offers and sales that occur outside the United States within the meaning of Regulation S under the Securities Act of 1933, as amended; or</w:t>
      </w:r>
    </w:p>
    <w:p>
      <w:pPr>
        <w:spacing w:after="0" w:line="161" w:lineRule="exact"/>
        <w:rPr>
          <w:rFonts w:ascii="MS PGothic" w:cs="MS PGothic" w:eastAsia="MS PGothic" w:hAnsi="MS PGothic"/>
          <w:sz w:val="18"/>
          <w:szCs w:val="18"/>
          <w:color w:val="auto"/>
        </w:rPr>
      </w:pPr>
    </w:p>
    <w:p>
      <w:pPr>
        <w:ind w:left="4" w:right="180" w:hanging="4"/>
        <w:spacing w:after="0" w:line="282" w:lineRule="auto"/>
        <w:tabs>
          <w:tab w:leader="none" w:pos="211" w:val="left"/>
        </w:tabs>
        <w:numPr>
          <w:ilvl w:val="0"/>
          <w:numId w:val="11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Pursuant to and in compliance with Rule 144 under the Securities Act of 1933, as amended (if available), or any other available exemption from the registration requirements of the Securities Act of 1933, as amended.</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foregoing assignment and transfer complies with Section 2.05(f) of the Indenture (to the extent such Section is applicable).</w:t>
      </w:r>
    </w:p>
    <w:p>
      <w:pPr>
        <w:sectPr>
          <w:pgSz w:w="11900" w:h="16838" w:orient="portrait"/>
          <w:cols w:equalWidth="0" w:num="1">
            <w:col w:w="11024"/>
          </w:cols>
          <w:pgMar w:left="436" w:top="266" w:right="4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Dated: 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279463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582930</wp:posOffset>
            </wp:positionV>
            <wp:extent cx="27946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27946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must be guaranteed by an eligible Guarantor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Institution (banks, stock brokers, savings and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associations and credit unions) with membership in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signature guarantee medallion program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 17Ad-15 if Notes are to be delivered, other than to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name of the registered holder.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NOTICE: The signature on the assignment must correspond with the name as written upon the face of the Note in every particular without alteration or enlargement or any change whatever.</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SYNDAX PHARMACEUTICALS,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sectPr>
      <w:pgSz w:w="11900" w:h="16838" w:orient="portrait"/>
      <w:cols w:equalWidth="0" w:num="1">
        <w:col w:w="10880"/>
      </w:cols>
      <w:pgMar w:left="440" w:top="270"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CF10FD8"/>
    <w:multiLevelType w:val="hybridMultilevel"/>
    <w:lvl w:ilvl="0">
      <w:lvlJc w:val="left"/>
      <w:lvlText w:val="☐"/>
      <w:numFmt w:val="bullet"/>
      <w:start w:val="1"/>
    </w:lvl>
  </w:abstractNum>
  <w:abstractNum w:abstractNumId="1">
    <w:nsid w:val="180115BE"/>
    <w:multiLevelType w:val="hybridMultilevel"/>
    <w:lvl w:ilvl="0">
      <w:lvlJc w:val="left"/>
      <w:lvlText w:val="%1"/>
      <w:numFmt w:val="decimal"/>
      <w:start w:val="104"/>
    </w:lvl>
  </w:abstractNum>
  <w:abstractNum w:abstractNumId="2">
    <w:nsid w:val="235BA861"/>
    <w:multiLevelType w:val="hybridMultilevel"/>
    <w:lvl w:ilvl="0">
      <w:lvlJc w:val="left"/>
      <w:lvlText w:val="(%1)"/>
      <w:numFmt w:val="lowerLetter"/>
      <w:start w:val="1"/>
    </w:lvl>
  </w:abstractNum>
  <w:abstractNum w:abstractNumId="3">
    <w:nsid w:val="47398C89"/>
    <w:multiLevelType w:val="hybridMultilevel"/>
    <w:lvl w:ilvl="0">
      <w:lvlJc w:val="left"/>
      <w:lvlText w:val="(%1)"/>
      <w:numFmt w:val="lowerLetter"/>
      <w:start w:val="1"/>
    </w:lvl>
  </w:abstractNum>
  <w:abstractNum w:abstractNumId="4">
    <w:nsid w:val="354FE9F9"/>
    <w:multiLevelType w:val="hybridMultilevel"/>
    <w:lvl w:ilvl="0">
      <w:lvlJc w:val="left"/>
      <w:lvlText w:val="(%1)"/>
      <w:numFmt w:val="lowerLetter"/>
      <w:start w:val="4"/>
    </w:lvl>
  </w:abstractNum>
  <w:abstractNum w:abstractNumId="5">
    <w:nsid w:val="15B5AF5C"/>
    <w:multiLevelType w:val="hybridMultilevel"/>
    <w:lvl w:ilvl="0">
      <w:lvlJc w:val="left"/>
      <w:lvlText w:val="(%1)"/>
      <w:numFmt w:val="lowerRoman"/>
      <w:start w:val="10"/>
    </w:lvl>
  </w:abstractNum>
  <w:abstractNum w:abstractNumId="6">
    <w:nsid w:val="741226BB"/>
    <w:multiLevelType w:val="hybridMultilevel"/>
    <w:lvl w:ilvl="0">
      <w:lvlJc w:val="left"/>
      <w:lvlText w:val="(%1)"/>
      <w:numFmt w:val="lowerLetter"/>
      <w:start w:val="1"/>
    </w:lvl>
  </w:abstractNum>
  <w:abstractNum w:abstractNumId="7">
    <w:nsid w:val="D34B6A8"/>
    <w:multiLevelType w:val="hybridMultilevel"/>
    <w:lvl w:ilvl="0">
      <w:lvlJc w:val="left"/>
      <w:lvlText w:val="(%1)"/>
      <w:numFmt w:val="decimal"/>
      <w:start w:val="2"/>
    </w:lvl>
  </w:abstractNum>
  <w:abstractNum w:abstractNumId="8">
    <w:nsid w:val="10233C99"/>
    <w:multiLevelType w:val="hybridMultilevel"/>
    <w:lvl w:ilvl="0">
      <w:lvlJc w:val="left"/>
      <w:lvlText w:val="(%1)"/>
      <w:numFmt w:val="lowerRoman"/>
      <w:start w:val="3"/>
    </w:lvl>
  </w:abstractNum>
  <w:abstractNum w:abstractNumId="9">
    <w:nsid w:val="3F6AB60F"/>
    <w:multiLevelType w:val="hybridMultilevel"/>
    <w:lvl w:ilvl="0">
      <w:lvlJc w:val="left"/>
      <w:lvlText w:val="%1"/>
      <w:numFmt w:val="lowerLetter"/>
      <w:start w:val="1"/>
    </w:lvl>
    <w:lvl w:ilvl="1">
      <w:lvlJc w:val="left"/>
      <w:lvlText w:val="(%2)"/>
      <w:numFmt w:val="lowerLetter"/>
      <w:start w:val="2"/>
    </w:lvl>
  </w:abstractNum>
  <w:abstractNum w:abstractNumId="10">
    <w:nsid w:val="61574095"/>
    <w:multiLevelType w:val="hybridMultilevel"/>
    <w:lvl w:ilvl="0">
      <w:lvlJc w:val="left"/>
      <w:lvlText w:val="(%1)"/>
      <w:numFmt w:val="lowerLetter"/>
      <w:start w:val="9"/>
    </w:lvl>
    <w:lvl w:ilvl="1">
      <w:lvlJc w:val="left"/>
      <w:lvlText w:val="%2"/>
      <w:numFmt w:val="lowerLetter"/>
      <w:start w:val="1"/>
    </w:lvl>
  </w:abstractNum>
  <w:abstractNum w:abstractNumId="11">
    <w:nsid w:val="7E0C57B1"/>
    <w:multiLevelType w:val="hybridMultilevel"/>
    <w:lvl w:ilvl="0">
      <w:lvlJc w:val="left"/>
      <w:lvlText w:val="(%1)"/>
      <w:numFmt w:val="lowerRoman"/>
      <w:start w:val="2"/>
    </w:lvl>
  </w:abstractNum>
  <w:abstractNum w:abstractNumId="12">
    <w:nsid w:val="77AE35EB"/>
    <w:multiLevelType w:val="hybridMultilevel"/>
    <w:lvl w:ilvl="0">
      <w:lvlJc w:val="left"/>
      <w:lvlText w:val="(%1)"/>
      <w:numFmt w:val="lowerLetter"/>
      <w:start w:val="1"/>
    </w:lvl>
  </w:abstractNum>
  <w:abstractNum w:abstractNumId="13">
    <w:nsid w:val="579BE4F1"/>
    <w:multiLevelType w:val="hybridMultilevel"/>
    <w:lvl w:ilvl="0">
      <w:lvlJc w:val="left"/>
      <w:lvlText w:val="(%1)"/>
      <w:numFmt w:val="lowerRoman"/>
      <w:start w:val="2"/>
    </w:lvl>
  </w:abstractNum>
  <w:abstractNum w:abstractNumId="14">
    <w:nsid w:val="310C50B3"/>
    <w:multiLevelType w:val="hybridMultilevel"/>
    <w:lvl w:ilvl="0">
      <w:lvlJc w:val="left"/>
      <w:lvlText w:val="(%1)"/>
      <w:numFmt w:val="lowerLetter"/>
      <w:start w:val="2"/>
    </w:lvl>
  </w:abstractNum>
  <w:abstractNum w:abstractNumId="15">
    <w:nsid w:val="5FF87E05"/>
    <w:multiLevelType w:val="hybridMultilevel"/>
    <w:lvl w:ilvl="0">
      <w:lvlJc w:val="left"/>
      <w:lvlText w:val="(%1)"/>
      <w:numFmt w:val="decimal"/>
      <w:start w:val="1"/>
    </w:lvl>
    <w:lvl w:ilvl="1">
      <w:lvlJc w:val="left"/>
      <w:lvlText w:val="(%2)"/>
      <w:numFmt w:val="upperLetter"/>
      <w:start w:val="1"/>
    </w:lvl>
  </w:abstractNum>
  <w:abstractNum w:abstractNumId="16">
    <w:nsid w:val="2F305DEF"/>
    <w:multiLevelType w:val="hybridMultilevel"/>
    <w:lvl w:ilvl="0">
      <w:lvlJc w:val="left"/>
      <w:lvlText w:val="(%1)"/>
      <w:numFmt w:val="upperLetter"/>
      <w:start w:val="4"/>
    </w:lvl>
  </w:abstractNum>
  <w:abstractNum w:abstractNumId="17">
    <w:nsid w:val="25A70BF7"/>
    <w:multiLevelType w:val="hybridMultilevel"/>
    <w:lvl w:ilvl="0">
      <w:lvlJc w:val="left"/>
      <w:lvlText w:val="(%1)"/>
      <w:numFmt w:val="lowerLetter"/>
      <w:start w:val="4"/>
    </w:lvl>
  </w:abstractNum>
  <w:abstractNum w:abstractNumId="18">
    <w:nsid w:val="1DBABF00"/>
    <w:multiLevelType w:val="hybridMultilevel"/>
    <w:lvl w:ilvl="0">
      <w:lvlJc w:val="left"/>
      <w:lvlText w:val="(%1)"/>
      <w:numFmt w:val="decimal"/>
      <w:start w:val="1"/>
    </w:lvl>
    <w:lvl w:ilvl="1">
      <w:lvlJc w:val="left"/>
      <w:lvlText w:val="(%2)"/>
      <w:numFmt w:val="upperLetter"/>
      <w:start w:val="1"/>
    </w:lvl>
  </w:abstractNum>
  <w:abstractNum w:abstractNumId="19">
    <w:nsid w:val="4AD084E9"/>
    <w:multiLevelType w:val="hybridMultilevel"/>
    <w:lvl w:ilvl="0">
      <w:lvlJc w:val="left"/>
      <w:lvlText w:val="(%1)"/>
      <w:numFmt w:val="lowerLetter"/>
      <w:start w:val="5"/>
    </w:lvl>
  </w:abstractNum>
  <w:abstractNum w:abstractNumId="20">
    <w:nsid w:val="1F48EAA1"/>
    <w:multiLevelType w:val="hybridMultilevel"/>
    <w:lvl w:ilvl="0">
      <w:lvlJc w:val="left"/>
      <w:lvlText w:val="(%1)"/>
      <w:numFmt w:val="lowerRoman"/>
      <w:start w:val="1"/>
    </w:lvl>
  </w:abstractNum>
  <w:abstractNum w:abstractNumId="21">
    <w:nsid w:val="1381823A"/>
    <w:multiLevelType w:val="hybridMultilevel"/>
    <w:lvl w:ilvl="0">
      <w:lvlJc w:val="left"/>
      <w:lvlText w:val="(%1)"/>
      <w:numFmt w:val="lowerLetter"/>
      <w:start w:val="2"/>
    </w:lvl>
  </w:abstractNum>
  <w:abstractNum w:abstractNumId="22">
    <w:nsid w:val="5DB70AE5"/>
    <w:multiLevelType w:val="hybridMultilevel"/>
    <w:lvl w:ilvl="0">
      <w:lvlJc w:val="left"/>
      <w:lvlText w:val="(%1)"/>
      <w:numFmt w:val="lowerLetter"/>
      <w:start w:val="2"/>
    </w:lvl>
  </w:abstractNum>
  <w:abstractNum w:abstractNumId="23">
    <w:nsid w:val="100F8FCA"/>
    <w:multiLevelType w:val="hybridMultilevel"/>
    <w:lvl w:ilvl="0">
      <w:lvlJc w:val="left"/>
      <w:lvlText w:val="(%1)"/>
      <w:numFmt w:val="lowerLetter"/>
      <w:start w:val="5"/>
    </w:lvl>
  </w:abstractNum>
  <w:abstractNum w:abstractNumId="24">
    <w:nsid w:val="6590700B"/>
    <w:multiLevelType w:val="hybridMultilevel"/>
    <w:lvl w:ilvl="0">
      <w:lvlJc w:val="left"/>
      <w:lvlText w:val="(%1)"/>
      <w:numFmt w:val="lowerLetter"/>
      <w:start w:val="7"/>
    </w:lvl>
  </w:abstractNum>
  <w:abstractNum w:abstractNumId="25">
    <w:nsid w:val="15014ACB"/>
    <w:multiLevelType w:val="hybridMultilevel"/>
    <w:lvl w:ilvl="0">
      <w:lvlJc w:val="left"/>
      <w:lvlText w:val="(%1)"/>
      <w:numFmt w:val="lowerLetter"/>
      <w:start w:val="1"/>
    </w:lvl>
  </w:abstractNum>
  <w:abstractNum w:abstractNumId="26">
    <w:nsid w:val="5F5E7FD0"/>
    <w:multiLevelType w:val="hybridMultilevel"/>
    <w:lvl w:ilvl="0">
      <w:lvlJc w:val="left"/>
      <w:lvlText w:val="(%1)"/>
      <w:numFmt w:val="lowerLetter"/>
      <w:start w:val="4"/>
    </w:lvl>
  </w:abstractNum>
  <w:abstractNum w:abstractNumId="27">
    <w:nsid w:val="98A3148"/>
    <w:multiLevelType w:val="hybridMultilevel"/>
    <w:lvl w:ilvl="0">
      <w:lvlJc w:val="left"/>
      <w:lvlText w:val="(%1)"/>
      <w:numFmt w:val="lowerLetter"/>
      <w:start w:val="10"/>
    </w:lvl>
  </w:abstractNum>
  <w:abstractNum w:abstractNumId="28">
    <w:nsid w:val="799D0247"/>
    <w:multiLevelType w:val="hybridMultilevel"/>
    <w:lvl w:ilvl="0">
      <w:lvlJc w:val="left"/>
      <w:lvlText w:val="(%1)"/>
      <w:numFmt w:val="lowerLetter"/>
      <w:start w:val="25"/>
    </w:lvl>
  </w:abstractNum>
  <w:abstractNum w:abstractNumId="29">
    <w:nsid w:val="6B94764"/>
    <w:multiLevelType w:val="hybridMultilevel"/>
    <w:lvl w:ilvl="0">
      <w:lvlJc w:val="left"/>
      <w:lvlText w:val="(%1)"/>
      <w:numFmt w:val="lowerLetter"/>
      <w:start w:val="1"/>
    </w:lvl>
  </w:abstractNum>
  <w:abstractNum w:abstractNumId="30">
    <w:nsid w:val="42C296BD"/>
    <w:multiLevelType w:val="hybridMultilevel"/>
    <w:lvl w:ilvl="0">
      <w:lvlJc w:val="left"/>
      <w:lvlText w:val="(%1)"/>
      <w:numFmt w:val="lowerLetter"/>
      <w:start w:val="25"/>
    </w:lvl>
  </w:abstractNum>
  <w:abstractNum w:abstractNumId="31">
    <w:nsid w:val="168E121F"/>
    <w:multiLevelType w:val="hybridMultilevel"/>
    <w:lvl w:ilvl="0">
      <w:lvlJc w:val="left"/>
      <w:lvlText w:val="(%1)"/>
      <w:numFmt w:val="lowerLetter"/>
      <w:start w:val="1"/>
    </w:lvl>
    <w:lvl w:ilvl="1">
      <w:lvlJc w:val="left"/>
      <w:lvlText w:val="(%2)"/>
      <w:numFmt w:val="lowerRoman"/>
      <w:start w:val="1"/>
    </w:lvl>
  </w:abstractNum>
  <w:abstractNum w:abstractNumId="32">
    <w:nsid w:val="1EBA5D23"/>
    <w:multiLevelType w:val="hybridMultilevel"/>
    <w:lvl w:ilvl="0">
      <w:lvlJc w:val="left"/>
      <w:lvlText w:val="(%1)"/>
      <w:numFmt w:val="lowerLetter"/>
      <w:start w:val="3"/>
    </w:lvl>
  </w:abstractNum>
  <w:abstractNum w:abstractNumId="33">
    <w:nsid w:val="661E3F1E"/>
    <w:multiLevelType w:val="hybridMultilevel"/>
    <w:lvl w:ilvl="0">
      <w:lvlJc w:val="left"/>
      <w:lvlText w:val="(%1)"/>
      <w:numFmt w:val="lowerLetter"/>
      <w:start w:val="1"/>
    </w:lvl>
  </w:abstractNum>
  <w:abstractNum w:abstractNumId="34">
    <w:nsid w:val="5DC79EA8"/>
    <w:multiLevelType w:val="hybridMultilevel"/>
    <w:lvl w:ilvl="0">
      <w:lvlJc w:val="left"/>
      <w:lvlText w:val="(%1)"/>
      <w:numFmt w:val="lowerLetter"/>
      <w:start w:val="9"/>
    </w:lvl>
  </w:abstractNum>
  <w:abstractNum w:abstractNumId="35">
    <w:nsid w:val="540A471C"/>
    <w:multiLevelType w:val="hybridMultilevel"/>
    <w:lvl w:ilvl="0">
      <w:lvlJc w:val="left"/>
      <w:lvlText w:val="(%1)"/>
      <w:numFmt w:val="lowerLetter"/>
      <w:start w:val="1"/>
    </w:lvl>
    <w:lvl w:ilvl="1">
      <w:lvlJc w:val="left"/>
      <w:lvlText w:val="(%2)"/>
      <w:numFmt w:val="lowerRoman"/>
      <w:start w:val="1"/>
    </w:lvl>
  </w:abstractNum>
  <w:abstractNum w:abstractNumId="36">
    <w:nsid w:val="7BD3EE7B"/>
    <w:multiLevelType w:val="hybridMultilevel"/>
    <w:lvl w:ilvl="0">
      <w:lvlJc w:val="left"/>
      <w:lvlText w:val="(%1)"/>
      <w:numFmt w:val="lowerLetter"/>
      <w:start w:val="3"/>
    </w:lvl>
  </w:abstractNum>
  <w:abstractNum w:abstractNumId="37">
    <w:nsid w:val="51D9C564"/>
    <w:multiLevelType w:val="hybridMultilevel"/>
    <w:lvl w:ilvl="0">
      <w:lvlJc w:val="left"/>
      <w:lvlText w:val="(%1)"/>
      <w:numFmt w:val="lowerLetter"/>
      <w:start w:val="1"/>
    </w:lvl>
  </w:abstractNum>
  <w:abstractNum w:abstractNumId="38">
    <w:nsid w:val="613EFDC5"/>
    <w:multiLevelType w:val="hybridMultilevel"/>
    <w:lvl w:ilvl="0">
      <w:lvlJc w:val="left"/>
      <w:lvlText w:val="(%1)"/>
      <w:numFmt w:val="lowerLetter"/>
      <w:start w:val="1"/>
    </w:lvl>
  </w:abstractNum>
  <w:abstractNum w:abstractNumId="39">
    <w:nsid w:val="BF72B14"/>
    <w:multiLevelType w:val="hybridMultilevel"/>
    <w:lvl w:ilvl="0">
      <w:lvlJc w:val="left"/>
      <w:lvlText w:val="(%1)"/>
      <w:numFmt w:val="lowerLetter"/>
      <w:start w:val="1"/>
    </w:lvl>
  </w:abstractNum>
  <w:abstractNum w:abstractNumId="40">
    <w:nsid w:val="11447B73"/>
    <w:multiLevelType w:val="hybridMultilevel"/>
    <w:lvl w:ilvl="0">
      <w:lvlJc w:val="left"/>
      <w:lvlText w:val="(%1)"/>
      <w:numFmt w:val="lowerLetter"/>
      <w:start w:val="9"/>
    </w:lvl>
  </w:abstractNum>
  <w:abstractNum w:abstractNumId="41">
    <w:nsid w:val="42963E5A"/>
    <w:multiLevelType w:val="hybridMultilevel"/>
    <w:lvl w:ilvl="0">
      <w:lvlJc w:val="left"/>
      <w:lvlText w:val="(%1)"/>
      <w:numFmt w:val="lowerLetter"/>
      <w:start w:val="1"/>
    </w:lvl>
  </w:abstractNum>
  <w:abstractNum w:abstractNumId="42">
    <w:nsid w:val="A0382C5"/>
    <w:multiLevelType w:val="hybridMultilevel"/>
    <w:lvl w:ilvl="0">
      <w:lvlJc w:val="left"/>
      <w:lvlText w:val="(%1)"/>
      <w:numFmt w:val="lowerLetter"/>
      <w:start w:val="4"/>
    </w:lvl>
  </w:abstractNum>
  <w:abstractNum w:abstractNumId="43">
    <w:nsid w:val="8F2B15E"/>
    <w:multiLevelType w:val="hybridMultilevel"/>
    <w:lvl w:ilvl="0">
      <w:lvlJc w:val="left"/>
      <w:lvlText w:val="(%1)"/>
      <w:numFmt w:val="lowerLetter"/>
      <w:start w:val="1"/>
    </w:lvl>
  </w:abstractNum>
  <w:abstractNum w:abstractNumId="44">
    <w:nsid w:val="1A32234B"/>
    <w:multiLevelType w:val="hybridMultilevel"/>
    <w:lvl w:ilvl="0">
      <w:lvlJc w:val="left"/>
      <w:lvlText w:val="(%1)"/>
      <w:numFmt w:val="lowerLetter"/>
      <w:start w:val="1"/>
    </w:lvl>
  </w:abstractNum>
  <w:abstractNum w:abstractNumId="45">
    <w:nsid w:val="3B0FD379"/>
    <w:multiLevelType w:val="hybridMultilevel"/>
    <w:lvl w:ilvl="0">
      <w:lvlJc w:val="left"/>
      <w:lvlText w:val="(%1)"/>
      <w:numFmt w:val="lowerRoman"/>
      <w:start w:val="1"/>
    </w:lvl>
  </w:abstractNum>
  <w:abstractNum w:abstractNumId="46">
    <w:nsid w:val="68EB2F63"/>
    <w:multiLevelType w:val="hybridMultilevel"/>
    <w:lvl w:ilvl="0">
      <w:lvlJc w:val="left"/>
      <w:lvlText w:val="(%1)"/>
      <w:numFmt w:val="lowerRoman"/>
      <w:start w:val="10"/>
    </w:lvl>
    <w:lvl w:ilvl="1">
      <w:lvlJc w:val="left"/>
      <w:lvlText w:val="(%2)"/>
      <w:numFmt w:val="lowerRoman"/>
      <w:start w:val="2"/>
    </w:lvl>
    <w:lvl w:ilvl="2">
      <w:lvlJc w:val="left"/>
      <w:lvlText w:val="(%3)"/>
      <w:numFmt w:val="upperLetter"/>
      <w:start w:val="1"/>
    </w:lvl>
  </w:abstractNum>
  <w:abstractNum w:abstractNumId="47">
    <w:nsid w:val="4962813B"/>
    <w:multiLevelType w:val="hybridMultilevel"/>
    <w:lvl w:ilvl="0">
      <w:lvlJc w:val="left"/>
      <w:lvlText w:val="(%1)"/>
      <w:numFmt w:val="upperLetter"/>
      <w:start w:val="2"/>
    </w:lvl>
  </w:abstractNum>
  <w:abstractNum w:abstractNumId="48">
    <w:nsid w:val="60B6DF70"/>
    <w:multiLevelType w:val="hybridMultilevel"/>
    <w:lvl w:ilvl="0">
      <w:lvlJc w:val="left"/>
      <w:lvlText w:val="(%1)"/>
      <w:numFmt w:val="lowerRoman"/>
      <w:start w:val="3"/>
    </w:lvl>
  </w:abstractNum>
  <w:abstractNum w:abstractNumId="49">
    <w:nsid w:val="6A5EE64"/>
    <w:multiLevelType w:val="hybridMultilevel"/>
    <w:lvl w:ilvl="0">
      <w:lvlJc w:val="left"/>
      <w:lvlText w:val="(%1)"/>
      <w:numFmt w:val="lowerRoman"/>
      <w:start w:val="4"/>
    </w:lvl>
  </w:abstractNum>
  <w:abstractNum w:abstractNumId="50">
    <w:nsid w:val="14330624"/>
    <w:multiLevelType w:val="hybridMultilevel"/>
    <w:lvl w:ilvl="0">
      <w:lvlJc w:val="left"/>
      <w:lvlText w:val="(%1)"/>
      <w:numFmt w:val="lowerLetter"/>
      <w:start w:val="1"/>
    </w:lvl>
    <w:lvl w:ilvl="1">
      <w:lvlJc w:val="left"/>
      <w:lvlText w:val="(%2)"/>
      <w:numFmt w:val="lowerRoman"/>
      <w:start w:val="1"/>
    </w:lvl>
  </w:abstractNum>
  <w:abstractNum w:abstractNumId="51">
    <w:nsid w:val="7FFFCA11"/>
    <w:multiLevelType w:val="hybridMultilevel"/>
    <w:lvl w:ilvl="0">
      <w:lvlJc w:val="left"/>
      <w:lvlText w:val="(%1)"/>
      <w:numFmt w:val="lowerRoman"/>
      <w:start w:val="3"/>
    </w:lvl>
  </w:abstractNum>
  <w:abstractNum w:abstractNumId="52">
    <w:nsid w:val="1A27709E"/>
    <w:multiLevelType w:val="hybridMultilevel"/>
    <w:lvl w:ilvl="0">
      <w:lvlJc w:val="left"/>
      <w:lvlText w:val="(%1)"/>
      <w:numFmt w:val="lowerRoman"/>
      <w:start w:val="4"/>
    </w:lvl>
    <w:lvl w:ilvl="1">
      <w:lvlJc w:val="left"/>
      <w:lvlText w:val="(%2)"/>
      <w:numFmt w:val="upperLetter"/>
      <w:start w:val="1"/>
    </w:lvl>
  </w:abstractNum>
  <w:abstractNum w:abstractNumId="53">
    <w:nsid w:val="71EA1109"/>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54">
    <w:nsid w:val="100F59DC"/>
    <w:multiLevelType w:val="hybridMultilevel"/>
    <w:lvl w:ilvl="0">
      <w:lvlJc w:val="left"/>
      <w:lvlText w:val="%1"/>
      <w:numFmt w:val="lowerLetter"/>
      <w:start w:val="1"/>
    </w:lvl>
    <w:lvl w:ilvl="1">
      <w:lvlJc w:val="left"/>
      <w:lvlText w:val="(%2)"/>
      <w:numFmt w:val="lowerLetter"/>
      <w:start w:val="22"/>
    </w:lvl>
    <w:lvl w:ilvl="2">
      <w:lvlJc w:val="left"/>
      <w:lvlText w:val="%3"/>
      <w:numFmt w:val="upperLetter"/>
      <w:start w:val="1"/>
    </w:lvl>
  </w:abstractNum>
  <w:abstractNum w:abstractNumId="55">
    <w:nsid w:val="7FB7E0AA"/>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56">
    <w:nsid w:val="6EB5BD4"/>
    <w:multiLevelType w:val="hybridMultilevel"/>
    <w:lvl w:ilvl="0">
      <w:lvlJc w:val="left"/>
      <w:lvlText w:val="(%1)"/>
      <w:numFmt w:val="lowerLetter"/>
      <w:start w:val="3"/>
    </w:lvl>
  </w:abstractNum>
  <w:abstractNum w:abstractNumId="57">
    <w:nsid w:val="6F6DD9AC"/>
    <w:multiLevelType w:val="hybridMultilevel"/>
    <w:lvl w:ilvl="0">
      <w:lvlJc w:val="left"/>
      <w:lvlText w:val="(%1)"/>
      <w:numFmt w:val="lowerLetter"/>
      <w:start w:val="7"/>
    </w:lvl>
  </w:abstractNum>
  <w:abstractNum w:abstractNumId="58">
    <w:nsid w:val="94211F2"/>
    <w:multiLevelType w:val="hybridMultilevel"/>
    <w:lvl w:ilvl="0">
      <w:lvlJc w:val="left"/>
      <w:lvlText w:val="%1"/>
      <w:numFmt w:val="lowerLetter"/>
      <w:start w:val="1"/>
    </w:lvl>
    <w:lvl w:ilvl="1">
      <w:lvlJc w:val="left"/>
      <w:lvlText w:val="(%2)"/>
      <w:numFmt w:val="lowerLetter"/>
      <w:start w:val="1"/>
    </w:lvl>
  </w:abstractNum>
  <w:abstractNum w:abstractNumId="59">
    <w:nsid w:val="885E1B"/>
    <w:multiLevelType w:val="hybridMultilevel"/>
    <w:lvl w:ilvl="0">
      <w:lvlJc w:val="left"/>
      <w:lvlText w:val="(%1)"/>
      <w:numFmt w:val="lowerLetter"/>
      <w:start w:val="2"/>
    </w:lvl>
    <w:lvl w:ilvl="1">
      <w:lvlJc w:val="left"/>
      <w:lvlText w:val="(%2)"/>
      <w:numFmt w:val="lowerLetter"/>
      <w:start w:val="2"/>
    </w:lvl>
  </w:abstractNum>
  <w:abstractNum w:abstractNumId="60">
    <w:nsid w:val="76272110"/>
    <w:multiLevelType w:val="hybridMultilevel"/>
    <w:lvl w:ilvl="0">
      <w:lvlJc w:val="left"/>
      <w:lvlText w:val="(%1)"/>
      <w:numFmt w:val="lowerLetter"/>
      <w:start w:val="3"/>
    </w:lvl>
  </w:abstractNum>
  <w:abstractNum w:abstractNumId="61">
    <w:nsid w:val="4C04A8AF"/>
    <w:multiLevelType w:val="hybridMultilevel"/>
    <w:lvl w:ilvl="0">
      <w:lvlJc w:val="left"/>
      <w:lvlText w:val="(%1)"/>
      <w:numFmt w:val="lowerLetter"/>
      <w:start w:val="5"/>
    </w:lvl>
  </w:abstractNum>
  <w:abstractNum w:abstractNumId="62">
    <w:nsid w:val="1716703B"/>
    <w:multiLevelType w:val="hybridMultilevel"/>
    <w:lvl w:ilvl="0">
      <w:lvlJc w:val="left"/>
      <w:lvlText w:val="(%1)"/>
      <w:numFmt w:val="lowerRoman"/>
      <w:start w:val="1"/>
    </w:lvl>
  </w:abstractNum>
  <w:abstractNum w:abstractNumId="63">
    <w:nsid w:val="14E17E33"/>
    <w:multiLevelType w:val="hybridMultilevel"/>
    <w:lvl w:ilvl="0">
      <w:lvlJc w:val="left"/>
      <w:lvlText w:val="(%1)"/>
      <w:numFmt w:val="lowerLetter"/>
      <w:start w:val="6"/>
    </w:lvl>
  </w:abstractNum>
  <w:abstractNum w:abstractNumId="64">
    <w:nsid w:val="3222E7CD"/>
    <w:multiLevelType w:val="hybridMultilevel"/>
    <w:lvl w:ilvl="0">
      <w:lvlJc w:val="left"/>
      <w:lvlText w:val="(%1)"/>
      <w:numFmt w:val="lowerLetter"/>
      <w:start w:val="1"/>
    </w:lvl>
  </w:abstractNum>
  <w:abstractNum w:abstractNumId="65">
    <w:nsid w:val="74DE0EE3"/>
    <w:multiLevelType w:val="hybridMultilevel"/>
    <w:lvl w:ilvl="0">
      <w:lvlJc w:val="left"/>
      <w:lvlText w:val="(%1)"/>
      <w:numFmt w:val="lowerLetter"/>
      <w:start w:val="2"/>
    </w:lvl>
  </w:abstractNum>
  <w:abstractNum w:abstractNumId="66">
    <w:nsid w:val="68EBC550"/>
    <w:multiLevelType w:val="hybridMultilevel"/>
    <w:lvl w:ilvl="0">
      <w:lvlJc w:val="left"/>
      <w:lvlText w:val="X"/>
      <w:numFmt w:val="bullet"/>
      <w:start w:val="1"/>
    </w:lvl>
  </w:abstractNum>
  <w:abstractNum w:abstractNumId="67">
    <w:nsid w:val="2DF6D648"/>
    <w:multiLevelType w:val="hybridMultilevel"/>
    <w:lvl w:ilvl="0">
      <w:lvlJc w:val="left"/>
      <w:lvlText w:val="Y"/>
      <w:numFmt w:val="bullet"/>
      <w:start w:val="1"/>
    </w:lvl>
  </w:abstractNum>
  <w:abstractNum w:abstractNumId="68">
    <w:nsid w:val="46B7D447"/>
    <w:multiLevelType w:val="hybridMultilevel"/>
    <w:lvl w:ilvl="0">
      <w:lvlJc w:val="left"/>
      <w:lvlText w:val="%1"/>
      <w:numFmt w:val="lowerRoman"/>
      <w:start w:val="1"/>
    </w:lvl>
    <w:lvl w:ilvl="1">
      <w:lvlJc w:val="left"/>
      <w:lvlText w:val="(%2)"/>
      <w:numFmt w:val="lowerLetter"/>
      <w:start w:val="3"/>
    </w:lvl>
  </w:abstractNum>
  <w:abstractNum w:abstractNumId="69">
    <w:nsid w:val="4A2AC315"/>
    <w:multiLevelType w:val="hybridMultilevel"/>
    <w:lvl w:ilvl="0">
      <w:lvlJc w:val="left"/>
      <w:lvlText w:val="(%1)"/>
      <w:numFmt w:val="lowerRoman"/>
      <w:start w:val="4"/>
    </w:lvl>
    <w:lvl w:ilvl="1">
      <w:lvlJc w:val="left"/>
      <w:lvlText w:val="%2"/>
      <w:numFmt w:val="lowerLetter"/>
      <w:start w:val="1"/>
    </w:lvl>
  </w:abstractNum>
  <w:abstractNum w:abstractNumId="70">
    <w:nsid w:val="39EE015C"/>
    <w:multiLevelType w:val="hybridMultilevel"/>
    <w:lvl w:ilvl="0">
      <w:lvlJc w:val="left"/>
      <w:lvlText w:val="(%1)"/>
      <w:numFmt w:val="upperLetter"/>
      <w:start w:val="1"/>
    </w:lvl>
  </w:abstractNum>
  <w:abstractNum w:abstractNumId="71">
    <w:nsid w:val="57FC4FBB"/>
    <w:multiLevelType w:val="hybridMultilevel"/>
    <w:lvl w:ilvl="0">
      <w:lvlJc w:val="left"/>
      <w:lvlText w:val="(%1)"/>
      <w:numFmt w:val="lowerLetter"/>
      <w:start w:val="4"/>
    </w:lvl>
  </w:abstractNum>
  <w:abstractNum w:abstractNumId="72">
    <w:nsid w:val="CC1016F"/>
    <w:multiLevelType w:val="hybridMultilevel"/>
    <w:lvl w:ilvl="0">
      <w:lvlJc w:val="left"/>
      <w:lvlText w:val="C"/>
      <w:numFmt w:val="bullet"/>
      <w:start w:val="1"/>
    </w:lvl>
  </w:abstractNum>
  <w:abstractNum w:abstractNumId="73">
    <w:nsid w:val="43F18422"/>
    <w:multiLevelType w:val="hybridMultilevel"/>
    <w:lvl w:ilvl="0">
      <w:lvlJc w:val="left"/>
      <w:lvlText w:val="(%1)"/>
      <w:numFmt w:val="lowerLetter"/>
      <w:start w:val="5"/>
    </w:lvl>
  </w:abstractNum>
  <w:abstractNum w:abstractNumId="74">
    <w:nsid w:val="60EF0119"/>
    <w:multiLevelType w:val="hybridMultilevel"/>
    <w:lvl w:ilvl="0">
      <w:lvlJc w:val="left"/>
      <w:lvlText w:val="(%1)"/>
      <w:numFmt w:val="lowerLetter"/>
      <w:start w:val="6"/>
    </w:lvl>
  </w:abstractNum>
  <w:abstractNum w:abstractNumId="75">
    <w:nsid w:val="26F324BA"/>
    <w:multiLevelType w:val="hybridMultilevel"/>
    <w:lvl w:ilvl="0">
      <w:lvlJc w:val="left"/>
      <w:lvlText w:val="(%1)"/>
      <w:numFmt w:val="lowerLetter"/>
      <w:start w:val="8"/>
    </w:lvl>
    <w:lvl w:ilvl="1">
      <w:lvlJc w:val="left"/>
      <w:lvlText w:val="(%2)"/>
      <w:numFmt w:val="lowerRoman"/>
      <w:start w:val="1"/>
    </w:lvl>
  </w:abstractNum>
  <w:abstractNum w:abstractNumId="76">
    <w:nsid w:val="7F01579B"/>
    <w:multiLevelType w:val="hybridMultilevel"/>
    <w:lvl w:ilvl="0">
      <w:lvlJc w:val="left"/>
      <w:lvlText w:val="(%1)"/>
      <w:numFmt w:val="lowerLetter"/>
      <w:start w:val="5"/>
    </w:lvl>
    <w:lvl w:ilvl="1">
      <w:lvlJc w:val="left"/>
      <w:lvlText w:val="(%2)"/>
      <w:numFmt w:val="lowerRoman"/>
      <w:start w:val="6"/>
    </w:lvl>
  </w:abstractNum>
  <w:abstractNum w:abstractNumId="77">
    <w:nsid w:val="49DA307D"/>
    <w:multiLevelType w:val="hybridMultilevel"/>
    <w:lvl w:ilvl="0">
      <w:lvlJc w:val="left"/>
      <w:lvlText w:val="(%1)"/>
      <w:numFmt w:val="lowerLetter"/>
      <w:start w:val="10"/>
    </w:lvl>
    <w:lvl w:ilvl="1">
      <w:lvlJc w:val="left"/>
      <w:lvlText w:val="%2"/>
      <w:numFmt w:val="lowerRoman"/>
      <w:start w:val="1"/>
    </w:lvl>
  </w:abstractNum>
  <w:abstractNum w:abstractNumId="78">
    <w:nsid w:val="7055A5F5"/>
    <w:multiLevelType w:val="hybridMultilevel"/>
    <w:lvl w:ilvl="0">
      <w:lvlJc w:val="left"/>
      <w:lvlText w:val="(%1)"/>
      <w:numFmt w:val="lowerLetter"/>
      <w:start w:val="11"/>
    </w:lvl>
  </w:abstractNum>
  <w:abstractNum w:abstractNumId="79">
    <w:nsid w:val="5FB8370B"/>
    <w:multiLevelType w:val="hybridMultilevel"/>
    <w:lvl w:ilvl="0">
      <w:lvlJc w:val="left"/>
      <w:lvlText w:val="(%1)"/>
      <w:numFmt w:val="lowerLetter"/>
      <w:start w:val="1"/>
    </w:lvl>
    <w:lvl w:ilvl="1">
      <w:lvlJc w:val="left"/>
      <w:lvlText w:val="(%2)"/>
      <w:numFmt w:val="lowerRoman"/>
      <w:start w:val="1"/>
    </w:lvl>
  </w:abstractNum>
  <w:abstractNum w:abstractNumId="80">
    <w:nsid w:val="50801EE1"/>
    <w:multiLevelType w:val="hybridMultilevel"/>
    <w:lvl w:ilvl="0">
      <w:lvlJc w:val="left"/>
      <w:lvlText w:val="(%1)"/>
      <w:numFmt w:val="lowerLetter"/>
      <w:start w:val="2"/>
    </w:lvl>
  </w:abstractNum>
  <w:abstractNum w:abstractNumId="81">
    <w:nsid w:val="488AC1A"/>
    <w:multiLevelType w:val="hybridMultilevel"/>
    <w:lvl w:ilvl="0">
      <w:lvlJc w:val="left"/>
      <w:lvlText w:val="(%1)"/>
      <w:numFmt w:val="lowerLetter"/>
      <w:start w:val="2"/>
    </w:lvl>
  </w:abstractNum>
  <w:abstractNum w:abstractNumId="82">
    <w:nsid w:val="5FB8011C"/>
    <w:multiLevelType w:val="hybridMultilevel"/>
    <w:lvl w:ilvl="0">
      <w:lvlJc w:val="left"/>
      <w:lvlText w:val="(%1)"/>
      <w:numFmt w:val="lowerLetter"/>
      <w:start w:val="1"/>
    </w:lvl>
  </w:abstractNum>
  <w:abstractNum w:abstractNumId="83">
    <w:nsid w:val="6AA78F7F"/>
    <w:multiLevelType w:val="hybridMultilevel"/>
    <w:lvl w:ilvl="0">
      <w:lvlJc w:val="left"/>
      <w:lvlText w:val="(%1)"/>
      <w:numFmt w:val="lowerLetter"/>
      <w:start w:val="2"/>
    </w:lvl>
  </w:abstractNum>
  <w:abstractNum w:abstractNumId="84">
    <w:nsid w:val="7672BD23"/>
    <w:multiLevelType w:val="hybridMultilevel"/>
    <w:lvl w:ilvl="0">
      <w:lvlJc w:val="left"/>
      <w:lvlText w:val="(%1)"/>
      <w:numFmt w:val="upperLetter"/>
      <w:start w:val="1"/>
    </w:lvl>
  </w:abstractNum>
  <w:abstractNum w:abstractNumId="85">
    <w:nsid w:val="6FC75AF8"/>
    <w:multiLevelType w:val="hybridMultilevel"/>
    <w:lvl w:ilvl="0">
      <w:lvlJc w:val="left"/>
      <w:lvlText w:val="(%1)"/>
      <w:numFmt w:val="lowerLetter"/>
      <w:start w:val="1"/>
    </w:lvl>
  </w:abstractNum>
  <w:abstractNum w:abstractNumId="86">
    <w:nsid w:val="6A5F7029"/>
    <w:multiLevelType w:val="hybridMultilevel"/>
    <w:lvl w:ilvl="0">
      <w:lvlJc w:val="left"/>
      <w:lvlText w:val="(%1)"/>
      <w:numFmt w:val="lowerLetter"/>
      <w:start w:val="2"/>
    </w:lvl>
    <w:lvl w:ilvl="1">
      <w:lvlJc w:val="left"/>
      <w:lvlText w:val="(%2)"/>
      <w:numFmt w:val="lowerRoman"/>
      <w:start w:val="1"/>
    </w:lvl>
  </w:abstractNum>
  <w:abstractNum w:abstractNumId="87">
    <w:nsid w:val="7D5E18F8"/>
    <w:multiLevelType w:val="hybridMultilevel"/>
    <w:lvl w:ilvl="0">
      <w:lvlJc w:val="left"/>
      <w:lvlText w:val="(%1)"/>
      <w:numFmt w:val="lowerRoman"/>
      <w:start w:val="1"/>
    </w:lvl>
  </w:abstractNum>
  <w:abstractNum w:abstractNumId="88">
    <w:nsid w:val="5F3534A4"/>
    <w:multiLevelType w:val="hybridMultilevel"/>
    <w:lvl w:ilvl="0">
      <w:lvlJc w:val="left"/>
      <w:lvlText w:val="(%1)"/>
      <w:numFmt w:val="lowerLetter"/>
      <w:start w:val="3"/>
    </w:lvl>
    <w:lvl w:ilvl="1">
      <w:lvlJc w:val="left"/>
      <w:lvlText w:val="(%2)"/>
      <w:numFmt w:val="lowerRoman"/>
      <w:start w:val="1"/>
    </w:lvl>
  </w:abstractNum>
  <w:abstractNum w:abstractNumId="89">
    <w:nsid w:val="73A1821B"/>
    <w:multiLevelType w:val="hybridMultilevel"/>
    <w:lvl w:ilvl="0">
      <w:lvlJc w:val="left"/>
      <w:lvlText w:val="(%1)"/>
      <w:numFmt w:val="lowerLetter"/>
      <w:start w:val="4"/>
    </w:lvl>
  </w:abstractNum>
  <w:abstractNum w:abstractNumId="90">
    <w:nsid w:val="7DE67713"/>
    <w:multiLevelType w:val="hybridMultilevel"/>
    <w:lvl w:ilvl="0">
      <w:lvlJc w:val="left"/>
      <w:lvlText w:val="(%1)"/>
      <w:numFmt w:val="lowerRoman"/>
      <w:start w:val="1"/>
    </w:lvl>
  </w:abstractNum>
  <w:abstractNum w:abstractNumId="91">
    <w:nsid w:val="555C55B5"/>
    <w:multiLevelType w:val="hybridMultilevel"/>
    <w:lvl w:ilvl="0">
      <w:lvlJc w:val="left"/>
      <w:lvlText w:val="(%1)"/>
      <w:numFmt w:val="lowerLetter"/>
      <w:start w:val="2"/>
    </w:lvl>
  </w:abstractNum>
  <w:abstractNum w:abstractNumId="92">
    <w:nsid w:val="3FA62ACA"/>
    <w:multiLevelType w:val="hybridMultilevel"/>
    <w:lvl w:ilvl="0">
      <w:lvlJc w:val="left"/>
      <w:lvlText w:val="(%1)"/>
      <w:numFmt w:val="lowerLetter"/>
      <w:start w:val="1"/>
    </w:lvl>
  </w:abstractNum>
  <w:abstractNum w:abstractNumId="93">
    <w:nsid w:val="14FCE74E"/>
    <w:multiLevelType w:val="hybridMultilevel"/>
    <w:lvl w:ilvl="0">
      <w:lvlJc w:val="left"/>
      <w:lvlText w:val="(%1)"/>
      <w:numFmt w:val="lowerLetter"/>
      <w:start w:val="2"/>
    </w:lvl>
    <w:lvl w:ilvl="1">
      <w:lvlJc w:val="left"/>
      <w:lvlText w:val="(%2)"/>
      <w:numFmt w:val="lowerLetter"/>
      <w:start w:val="9"/>
    </w:lvl>
  </w:abstractNum>
  <w:abstractNum w:abstractNumId="94">
    <w:nsid w:val="6A3DD3E8"/>
    <w:multiLevelType w:val="hybridMultilevel"/>
    <w:lvl w:ilvl="0">
      <w:lvlJc w:val="left"/>
      <w:lvlText w:val="(%1)"/>
      <w:numFmt w:val="lowerRoman"/>
      <w:start w:val="2"/>
    </w:lvl>
  </w:abstractNum>
  <w:abstractNum w:abstractNumId="95">
    <w:nsid w:val="71C91298"/>
    <w:multiLevelType w:val="hybridMultilevel"/>
    <w:lvl w:ilvl="0">
      <w:lvlJc w:val="left"/>
      <w:lvlText w:val="(%1)"/>
      <w:numFmt w:val="lowerRoman"/>
      <w:start w:val="8"/>
    </w:lvl>
  </w:abstractNum>
  <w:abstractNum w:abstractNumId="96">
    <w:nsid w:val="9DAF632"/>
    <w:multiLevelType w:val="hybridMultilevel"/>
    <w:lvl w:ilvl="0">
      <w:lvlJc w:val="left"/>
      <w:lvlText w:val="(%1)"/>
      <w:numFmt w:val="lowerLetter"/>
      <w:start w:val="4"/>
    </w:lvl>
  </w:abstractNum>
  <w:abstractNum w:abstractNumId="97">
    <w:nsid w:val="53299938"/>
    <w:multiLevelType w:val="hybridMultilevel"/>
    <w:lvl w:ilvl="0">
      <w:lvlJc w:val="left"/>
      <w:lvlText w:val="(%1)"/>
      <w:numFmt w:val="lowerLetter"/>
      <w:start w:val="1"/>
    </w:lvl>
  </w:abstractNum>
  <w:abstractNum w:abstractNumId="98">
    <w:nsid w:val="1FBFE8E0"/>
    <w:multiLevelType w:val="hybridMultilevel"/>
    <w:lvl w:ilvl="0">
      <w:lvlJc w:val="left"/>
      <w:lvlText w:val="(%1)"/>
      <w:numFmt w:val="decimal"/>
      <w:start w:val="1"/>
    </w:lvl>
  </w:abstractNum>
  <w:abstractNum w:abstractNumId="99">
    <w:nsid w:val="5092CA79"/>
    <w:multiLevelType w:val="hybridMultilevel"/>
    <w:lvl w:ilvl="0">
      <w:lvlJc w:val="left"/>
      <w:lvlText w:val="(%1)"/>
      <w:numFmt w:val="upperLetter"/>
      <w:start w:val="1"/>
    </w:lvl>
  </w:abstractNum>
  <w:abstractNum w:abstractNumId="100">
    <w:nsid w:val="1D545C4D"/>
    <w:multiLevelType w:val="hybridMultilevel"/>
    <w:lvl w:ilvl="0">
      <w:lvlJc w:val="left"/>
      <w:lvlText w:val="(%1)"/>
      <w:numFmt w:val="upperLetter"/>
      <w:start w:val="3"/>
    </w:lvl>
  </w:abstractNum>
  <w:abstractNum w:abstractNumId="101">
    <w:nsid w:val="59ADEA3D"/>
    <w:multiLevelType w:val="hybridMultilevel"/>
    <w:lvl w:ilvl="0">
      <w:lvlJc w:val="left"/>
      <w:lvlText w:val="1"/>
      <w:numFmt w:val="bullet"/>
      <w:start w:val="1"/>
    </w:lvl>
  </w:abstractNum>
  <w:abstractNum w:abstractNumId="102">
    <w:nsid w:val="288F1A34"/>
    <w:multiLevelType w:val="hybridMultilevel"/>
    <w:lvl w:ilvl="0">
      <w:lvlJc w:val="left"/>
      <w:lvlText w:val="2"/>
      <w:numFmt w:val="bullet"/>
      <w:start w:val="1"/>
    </w:lvl>
  </w:abstractNum>
  <w:abstractNum w:abstractNumId="103">
    <w:nsid w:val="2A155DBC"/>
    <w:multiLevelType w:val="hybridMultilevel"/>
    <w:lvl w:ilvl="0">
      <w:lvlJc w:val="left"/>
      <w:lvlText w:val="3"/>
      <w:numFmt w:val="bullet"/>
      <w:start w:val="1"/>
    </w:lvl>
  </w:abstractNum>
  <w:abstractNum w:abstractNumId="104">
    <w:nsid w:val="1D9F6E5F"/>
    <w:multiLevelType w:val="hybridMultilevel"/>
    <w:lvl w:ilvl="0">
      <w:lvlJc w:val="left"/>
      <w:lvlText w:val="4"/>
      <w:numFmt w:val="bullet"/>
      <w:start w:val="1"/>
    </w:lvl>
  </w:abstractNum>
  <w:abstractNum w:abstractNumId="105">
    <w:nsid w:val="97E1B4E"/>
    <w:multiLevelType w:val="hybridMultilevel"/>
    <w:lvl w:ilvl="0">
      <w:lvlJc w:val="left"/>
      <w:lvlText w:val="5"/>
      <w:numFmt w:val="bullet"/>
      <w:start w:val="1"/>
    </w:lvl>
  </w:abstractNum>
  <w:abstractNum w:abstractNumId="106">
    <w:nsid w:val="51088277"/>
    <w:multiLevelType w:val="hybridMultilevel"/>
    <w:lvl w:ilvl="0">
      <w:lvlJc w:val="left"/>
      <w:lvlText w:val="6"/>
      <w:numFmt w:val="bullet"/>
      <w:start w:val="1"/>
    </w:lvl>
  </w:abstractNum>
  <w:abstractNum w:abstractNumId="107">
    <w:nsid w:val="1CA0C5FA"/>
    <w:multiLevelType w:val="hybridMultilevel"/>
    <w:lvl w:ilvl="0">
      <w:lvlJc w:val="left"/>
      <w:lvlText w:val="7"/>
      <w:numFmt w:val="bullet"/>
      <w:start w:val="1"/>
    </w:lvl>
  </w:abstractNum>
  <w:abstractNum w:abstractNumId="108">
    <w:nsid w:val="53584BCB"/>
    <w:multiLevelType w:val="hybridMultilevel"/>
    <w:lvl w:ilvl="0">
      <w:lvlJc w:val="left"/>
      <w:lvlText w:val="☐"/>
      <w:numFmt w:val="bullet"/>
      <w:start w:val="1"/>
    </w:lvl>
  </w:abstractNum>
  <w:abstractNum w:abstractNumId="109">
    <w:nsid w:val="415E286C"/>
    <w:multiLevelType w:val="hybridMultilevel"/>
    <w:lvl w:ilvl="0">
      <w:lvlJc w:val="left"/>
      <w:lvlText w:val="(%1)"/>
      <w:numFmt w:val="decimal"/>
      <w:start w:val="1"/>
    </w:lvl>
    <w:lvl w:ilvl="1">
      <w:lvlJc w:val="left"/>
      <w:lvlText w:val="(%2)"/>
      <w:numFmt w:val="upperLetter"/>
      <w:start w:val="1"/>
    </w:lvl>
  </w:abstractNum>
  <w:abstractNum w:abstractNumId="110">
    <w:nsid w:val="7C58FD05"/>
    <w:multiLevelType w:val="hybridMultilevel"/>
    <w:lvl w:ilvl="0">
      <w:lvlJc w:val="left"/>
      <w:lvlText w:val="(%1)"/>
      <w:numFmt w:val="upperLetter"/>
      <w:start w:val="4"/>
    </w:lvl>
  </w:abstractNum>
  <w:abstractNum w:abstractNumId="111">
    <w:nsid w:val="23D86AAC"/>
    <w:multiLevelType w:val="hybridMultilevel"/>
    <w:lvl w:ilvl="0">
      <w:lvlJc w:val="left"/>
      <w:lvlText w:val="1"/>
      <w:numFmt w:val="bullet"/>
      <w:start w:val="1"/>
    </w:lvl>
  </w:abstractNum>
  <w:abstractNum w:abstractNumId="112">
    <w:nsid w:val="45E6D48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2026-06-10T16:21:57Z</dcterms:created>
  <dcterms:modified xsi:type="dcterms:W3CDTF">2026-06-10T16:21:57Z</dcterms:modified>
</cp:coreProperties>
</file>